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F6F5" w14:textId="0354AE1A" w:rsidR="00525AAC" w:rsidRDefault="00525AAC" w:rsidP="00525AAC">
      <w:pPr>
        <w:pBdr>
          <w:top w:val="single" w:sz="4" w:space="1" w:color="auto"/>
          <w:left w:val="single" w:sz="4" w:space="4" w:color="auto"/>
          <w:bottom w:val="single" w:sz="4" w:space="1" w:color="auto"/>
          <w:right w:val="single" w:sz="4" w:space="4" w:color="auto"/>
        </w:pBdr>
      </w:pPr>
      <w:r>
        <w:t xml:space="preserve">Ez a dokumentum az </w:t>
      </w:r>
      <w:r>
        <w:t>Kefdensis</w:t>
      </w:r>
      <w:r>
        <w:t xml:space="preserve"> jóváhagyott kísérőirata, amelybe ki vannak emelve az előző eljárás óta a kísérőiratot érintő változások </w:t>
      </w:r>
      <w:r>
        <w:t>(EMEA/H/C/006490/0000)</w:t>
      </w:r>
      <w:r>
        <w:t>.</w:t>
      </w:r>
    </w:p>
    <w:p w14:paraId="6907EA0C" w14:textId="77777777" w:rsidR="00525AAC" w:rsidRDefault="00525AAC" w:rsidP="00525AAC">
      <w:pPr>
        <w:pBdr>
          <w:top w:val="single" w:sz="4" w:space="1" w:color="auto"/>
          <w:left w:val="single" w:sz="4" w:space="4" w:color="auto"/>
          <w:bottom w:val="single" w:sz="4" w:space="1" w:color="auto"/>
          <w:right w:val="single" w:sz="4" w:space="4" w:color="auto"/>
        </w:pBdr>
      </w:pPr>
    </w:p>
    <w:p w14:paraId="6FAAAE6A" w14:textId="128CD370" w:rsidR="00525AAC" w:rsidRPr="003F66DE" w:rsidRDefault="00525AAC" w:rsidP="00525AAC">
      <w:pPr>
        <w:pBdr>
          <w:top w:val="single" w:sz="4" w:space="1" w:color="auto"/>
          <w:left w:val="single" w:sz="4" w:space="4" w:color="auto"/>
          <w:bottom w:val="single" w:sz="4" w:space="1" w:color="auto"/>
          <w:right w:val="single" w:sz="4" w:space="4" w:color="auto"/>
        </w:pBdr>
      </w:pPr>
      <w:r>
        <w:t xml:space="preserve">További információ az Európai Gyógyszerügynökség honlapján található: </w:t>
      </w:r>
      <w:hyperlink r:id="rId12" w:history="1">
        <w:r>
          <w:rPr>
            <w:rStyle w:val="Hyperlink"/>
          </w:rPr>
          <w:t>https://www.ema.europa.eu/en/medicines/human/epar/kefdensis</w:t>
        </w:r>
      </w:hyperlink>
    </w:p>
    <w:p w14:paraId="7472598D" w14:textId="77777777" w:rsidR="00951F81" w:rsidRPr="00C515CC" w:rsidRDefault="00951F81" w:rsidP="00C515CC">
      <w:pPr>
        <w:jc w:val="center"/>
      </w:pPr>
    </w:p>
    <w:p w14:paraId="61E274ED" w14:textId="77777777" w:rsidR="00951F81" w:rsidRPr="00C515CC" w:rsidRDefault="00951F81" w:rsidP="00C515CC">
      <w:pPr>
        <w:jc w:val="center"/>
      </w:pPr>
    </w:p>
    <w:p w14:paraId="47AC87EE" w14:textId="77777777" w:rsidR="00951F81" w:rsidRPr="00C515CC" w:rsidRDefault="00951F81" w:rsidP="00C515CC">
      <w:pPr>
        <w:jc w:val="center"/>
      </w:pPr>
    </w:p>
    <w:p w14:paraId="40E79B83" w14:textId="77777777" w:rsidR="00951F81" w:rsidRPr="00C515CC" w:rsidRDefault="00951F81" w:rsidP="00C515CC">
      <w:pPr>
        <w:jc w:val="center"/>
      </w:pPr>
    </w:p>
    <w:p w14:paraId="1045D991" w14:textId="77777777" w:rsidR="00951F81" w:rsidRPr="00C515CC" w:rsidRDefault="00951F81" w:rsidP="00C515CC">
      <w:pPr>
        <w:jc w:val="center"/>
      </w:pPr>
    </w:p>
    <w:p w14:paraId="62B85582" w14:textId="77777777" w:rsidR="00951F81" w:rsidRPr="00C515CC" w:rsidRDefault="00951F81" w:rsidP="00C515CC">
      <w:pPr>
        <w:jc w:val="center"/>
      </w:pPr>
    </w:p>
    <w:p w14:paraId="54B54127" w14:textId="77777777" w:rsidR="00951F81" w:rsidRPr="00C515CC" w:rsidRDefault="00951F81" w:rsidP="00C515CC">
      <w:pPr>
        <w:jc w:val="center"/>
      </w:pPr>
    </w:p>
    <w:p w14:paraId="489168B5" w14:textId="77777777" w:rsidR="00951F81" w:rsidRPr="00C515CC" w:rsidRDefault="00951F81" w:rsidP="00C515CC">
      <w:pPr>
        <w:jc w:val="center"/>
      </w:pPr>
    </w:p>
    <w:p w14:paraId="0D6AC50B" w14:textId="77777777" w:rsidR="00951F81" w:rsidRPr="00C515CC" w:rsidRDefault="00951F81" w:rsidP="00C515CC">
      <w:pPr>
        <w:jc w:val="center"/>
        <w:rPr>
          <w:bCs/>
        </w:rPr>
      </w:pPr>
    </w:p>
    <w:p w14:paraId="5415EFF1" w14:textId="77777777" w:rsidR="00951F81" w:rsidRPr="00C515CC" w:rsidRDefault="00951F81" w:rsidP="00C515CC">
      <w:pPr>
        <w:jc w:val="center"/>
        <w:rPr>
          <w:bCs/>
        </w:rPr>
      </w:pPr>
    </w:p>
    <w:p w14:paraId="68A2CC30" w14:textId="77777777" w:rsidR="00951F81" w:rsidRPr="00C515CC" w:rsidRDefault="00951F81" w:rsidP="00C515CC">
      <w:pPr>
        <w:jc w:val="center"/>
        <w:rPr>
          <w:bCs/>
        </w:rPr>
      </w:pPr>
    </w:p>
    <w:p w14:paraId="48802CE5" w14:textId="77777777" w:rsidR="00951F81" w:rsidRPr="00C515CC" w:rsidRDefault="00951F81" w:rsidP="00C515CC">
      <w:pPr>
        <w:jc w:val="center"/>
        <w:rPr>
          <w:bCs/>
        </w:rPr>
      </w:pPr>
    </w:p>
    <w:p w14:paraId="784736C3" w14:textId="77777777" w:rsidR="00951F81" w:rsidRPr="00C515CC" w:rsidRDefault="00951F81" w:rsidP="00C515CC">
      <w:pPr>
        <w:jc w:val="center"/>
        <w:rPr>
          <w:bCs/>
        </w:rPr>
      </w:pPr>
    </w:p>
    <w:p w14:paraId="5F0CD46B" w14:textId="77777777" w:rsidR="00951F81" w:rsidRPr="00C515CC" w:rsidRDefault="00951F81" w:rsidP="00C515CC">
      <w:pPr>
        <w:jc w:val="center"/>
        <w:rPr>
          <w:bCs/>
        </w:rPr>
      </w:pPr>
    </w:p>
    <w:p w14:paraId="0A3DF733" w14:textId="77777777" w:rsidR="00951F81" w:rsidRPr="00C515CC" w:rsidRDefault="00951F81" w:rsidP="00C515CC">
      <w:pPr>
        <w:jc w:val="center"/>
        <w:rPr>
          <w:bCs/>
        </w:rPr>
      </w:pPr>
    </w:p>
    <w:p w14:paraId="06410957" w14:textId="77777777" w:rsidR="00951F81" w:rsidRPr="00C515CC" w:rsidRDefault="00951F81" w:rsidP="00C515CC">
      <w:pPr>
        <w:jc w:val="center"/>
        <w:rPr>
          <w:bCs/>
        </w:rPr>
      </w:pPr>
    </w:p>
    <w:p w14:paraId="08100FB9" w14:textId="77777777" w:rsidR="00951F81" w:rsidRPr="00C515CC" w:rsidRDefault="00951F81" w:rsidP="00C515CC">
      <w:pPr>
        <w:jc w:val="center"/>
        <w:rPr>
          <w:bCs/>
        </w:rPr>
      </w:pPr>
    </w:p>
    <w:p w14:paraId="6B37D9C3" w14:textId="77777777" w:rsidR="00951F81" w:rsidRPr="00C515CC" w:rsidRDefault="00951F81" w:rsidP="00C515CC">
      <w:pPr>
        <w:jc w:val="center"/>
        <w:rPr>
          <w:bCs/>
        </w:rPr>
      </w:pPr>
    </w:p>
    <w:p w14:paraId="58A9F876" w14:textId="77777777" w:rsidR="00951F81" w:rsidRPr="00C515CC" w:rsidRDefault="00951F81" w:rsidP="00C515CC">
      <w:pPr>
        <w:jc w:val="center"/>
        <w:rPr>
          <w:bCs/>
        </w:rPr>
      </w:pPr>
    </w:p>
    <w:p w14:paraId="0BADB2FE" w14:textId="77777777" w:rsidR="00951F81" w:rsidRPr="00C515CC" w:rsidRDefault="00951F81" w:rsidP="00C515CC">
      <w:pPr>
        <w:jc w:val="center"/>
        <w:rPr>
          <w:bCs/>
        </w:rPr>
      </w:pPr>
    </w:p>
    <w:p w14:paraId="21B871DF" w14:textId="77777777" w:rsidR="00951F81" w:rsidRPr="00C515CC" w:rsidRDefault="00951F81" w:rsidP="00C515CC">
      <w:pPr>
        <w:jc w:val="center"/>
        <w:rPr>
          <w:bCs/>
        </w:rPr>
      </w:pPr>
    </w:p>
    <w:p w14:paraId="3BF5494F" w14:textId="77777777" w:rsidR="00951F81" w:rsidRPr="00C515CC" w:rsidRDefault="00951F81" w:rsidP="00C515CC">
      <w:pPr>
        <w:jc w:val="center"/>
        <w:rPr>
          <w:bCs/>
        </w:rPr>
      </w:pPr>
    </w:p>
    <w:p w14:paraId="4C0A389C" w14:textId="77777777" w:rsidR="00951F81" w:rsidRPr="00C515CC" w:rsidRDefault="00951F81" w:rsidP="00C515CC">
      <w:pPr>
        <w:jc w:val="center"/>
        <w:rPr>
          <w:bCs/>
        </w:rPr>
      </w:pPr>
    </w:p>
    <w:p w14:paraId="3F2A9B81" w14:textId="77777777" w:rsidR="00951F81" w:rsidRPr="00C515CC" w:rsidRDefault="00951F81" w:rsidP="00C515CC">
      <w:pPr>
        <w:jc w:val="center"/>
        <w:rPr>
          <w:b/>
          <w:bCs/>
        </w:rPr>
      </w:pPr>
      <w:r w:rsidRPr="00C515CC">
        <w:rPr>
          <w:b/>
        </w:rPr>
        <w:t>I. MELLÉKLET</w:t>
      </w:r>
    </w:p>
    <w:p w14:paraId="609C6DBE" w14:textId="77777777" w:rsidR="00951F81" w:rsidRPr="00C515CC" w:rsidRDefault="00951F81" w:rsidP="00C515CC">
      <w:pPr>
        <w:jc w:val="center"/>
        <w:rPr>
          <w:bCs/>
        </w:rPr>
      </w:pPr>
    </w:p>
    <w:p w14:paraId="6C2AEF9B" w14:textId="77777777" w:rsidR="00951F81" w:rsidRPr="00C515CC" w:rsidRDefault="00951F81" w:rsidP="00C515CC">
      <w:pPr>
        <w:pStyle w:val="TitleA"/>
        <w:outlineLvl w:val="0"/>
      </w:pPr>
      <w:r w:rsidRPr="00C515CC">
        <w:t>ALKALMAZÁSI ELŐÍRÁS</w:t>
      </w:r>
    </w:p>
    <w:p w14:paraId="71D2BEDB" w14:textId="6EC74FBB" w:rsidR="006F5587" w:rsidRPr="00C515CC" w:rsidRDefault="00884E6E" w:rsidP="00633DB8">
      <w:pPr>
        <w:keepNext/>
        <w:tabs>
          <w:tab w:val="clear" w:pos="567"/>
        </w:tabs>
      </w:pPr>
      <w:r w:rsidRPr="00C515CC">
        <w:br w:type="page"/>
      </w:r>
      <w:r w:rsidR="006F5587" w:rsidRPr="00C515CC">
        <w:rPr>
          <w:noProof/>
        </w:rPr>
        <w:lastRenderedPageBreak/>
        <w:drawing>
          <wp:inline distT="0" distB="0" distL="0" distR="0" wp14:anchorId="1AB16C3B" wp14:editId="2391E435">
            <wp:extent cx="200025" cy="171450"/>
            <wp:effectExtent l="0" t="0" r="0" b="0"/>
            <wp:docPr id="694553625"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0047"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6F5587" w:rsidRPr="00C515CC">
        <w: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w:t>
      </w:r>
      <w:r w:rsidR="00DA60FC" w:rsidRPr="00C515CC">
        <w:t> </w:t>
      </w:r>
      <w:r w:rsidR="006F5587" w:rsidRPr="00C515CC">
        <w:t>pontban kaphatnak további tájékoztatást.</w:t>
      </w:r>
    </w:p>
    <w:p w14:paraId="3EA703F7" w14:textId="77777777" w:rsidR="006F5587" w:rsidRPr="00C515CC" w:rsidRDefault="006F5587" w:rsidP="00C515CC">
      <w:pPr>
        <w:ind w:left="567" w:hanging="567"/>
      </w:pPr>
    </w:p>
    <w:p w14:paraId="373823A1" w14:textId="77777777" w:rsidR="006F5587" w:rsidRPr="00C515CC" w:rsidRDefault="006F5587" w:rsidP="00C515CC">
      <w:pPr>
        <w:ind w:left="567" w:hanging="567"/>
      </w:pPr>
    </w:p>
    <w:p w14:paraId="484D94ED" w14:textId="6EA7D235" w:rsidR="00951F81" w:rsidRPr="00C515CC" w:rsidRDefault="00884E6E" w:rsidP="00C515CC">
      <w:pPr>
        <w:keepNext/>
        <w:ind w:left="567" w:hanging="567"/>
      </w:pPr>
      <w:r w:rsidRPr="00C515CC">
        <w:rPr>
          <w:b/>
        </w:rPr>
        <w:t>1.</w:t>
      </w:r>
      <w:r w:rsidRPr="00C515CC">
        <w:rPr>
          <w:b/>
        </w:rPr>
        <w:tab/>
        <w:t>A GYÓGYSZER NEVE</w:t>
      </w:r>
    </w:p>
    <w:p w14:paraId="6357290E" w14:textId="77777777" w:rsidR="00951F81" w:rsidRPr="00C515CC" w:rsidRDefault="00951F81" w:rsidP="00C515CC">
      <w:pPr>
        <w:keepNext/>
      </w:pPr>
    </w:p>
    <w:p w14:paraId="21CED993" w14:textId="7D2C1485" w:rsidR="00951F81" w:rsidRPr="00C515CC" w:rsidRDefault="00A96EB8" w:rsidP="00C515CC">
      <w:r w:rsidRPr="00C515CC">
        <w:t>Kefdensis</w:t>
      </w:r>
      <w:r w:rsidR="00951F81" w:rsidRPr="00C515CC">
        <w:t xml:space="preserve"> 60 mg oldatos injekció előretöltött fecskendőben</w:t>
      </w:r>
    </w:p>
    <w:p w14:paraId="177DADED" w14:textId="77777777" w:rsidR="00951F81" w:rsidRPr="00C515CC" w:rsidRDefault="00951F81" w:rsidP="00C515CC"/>
    <w:p w14:paraId="4B86288D" w14:textId="77777777" w:rsidR="00951F81" w:rsidRPr="00C515CC" w:rsidRDefault="00951F81" w:rsidP="00C515CC"/>
    <w:p w14:paraId="74CE7FB0" w14:textId="77777777" w:rsidR="00951F81" w:rsidRPr="00C515CC" w:rsidRDefault="00951F81" w:rsidP="00C515CC">
      <w:pPr>
        <w:keepNext/>
        <w:ind w:left="567" w:hanging="567"/>
      </w:pPr>
      <w:r w:rsidRPr="00C515CC">
        <w:rPr>
          <w:b/>
        </w:rPr>
        <w:t>2.</w:t>
      </w:r>
      <w:r w:rsidRPr="00C515CC">
        <w:rPr>
          <w:b/>
        </w:rPr>
        <w:tab/>
        <w:t>MINŐSÉGI ÉS MENNYISÉGI ÖSSZETÉTEL</w:t>
      </w:r>
    </w:p>
    <w:p w14:paraId="3105744E" w14:textId="77777777" w:rsidR="00951F81" w:rsidRPr="00C515CC" w:rsidRDefault="00951F81" w:rsidP="00C515CC">
      <w:pPr>
        <w:keepNext/>
      </w:pPr>
    </w:p>
    <w:p w14:paraId="394BA76F" w14:textId="40861B53" w:rsidR="00951F81" w:rsidRPr="00C515CC" w:rsidRDefault="00D5306E" w:rsidP="00C515CC">
      <w:r>
        <w:t>M</w:t>
      </w:r>
      <w:r w:rsidRPr="00C515CC">
        <w:t xml:space="preserve">inden előretöltött fecskendő </w:t>
      </w:r>
      <w:r w:rsidR="00951F81" w:rsidRPr="00C515CC">
        <w:t>60 mg denoszumabot tartalmaz 1 ml oldatban (60 mg/ml).</w:t>
      </w:r>
    </w:p>
    <w:p w14:paraId="266311A9" w14:textId="77777777" w:rsidR="00951F81" w:rsidRPr="00C515CC" w:rsidRDefault="00951F81" w:rsidP="00C515CC"/>
    <w:p w14:paraId="41A94D0C" w14:textId="29DA12FE" w:rsidR="00951F81" w:rsidRPr="00C515CC" w:rsidRDefault="00951F81" w:rsidP="00C515CC">
      <w:r w:rsidRPr="00C515CC">
        <w:t>A denoszumab emlős- (kínaihörcsög</w:t>
      </w:r>
      <w:r w:rsidRPr="00C515CC">
        <w:noBreakHyphen/>
        <w:t>ovarium) sejtvonalban</w:t>
      </w:r>
      <w:r w:rsidR="00D5306E">
        <w:t>,</w:t>
      </w:r>
      <w:r w:rsidRPr="00C515CC">
        <w:t xml:space="preserve"> rekombináns DNS</w:t>
      </w:r>
      <w:r w:rsidRPr="00C515CC">
        <w:noBreakHyphen/>
        <w:t>technológiával előállított, humán monoklonális IgG2</w:t>
      </w:r>
      <w:r w:rsidRPr="00C515CC">
        <w:noBreakHyphen/>
        <w:t>antitest.</w:t>
      </w:r>
    </w:p>
    <w:p w14:paraId="16FD983C" w14:textId="77777777" w:rsidR="00951F81" w:rsidRPr="00C515CC" w:rsidRDefault="00951F81" w:rsidP="00C515CC"/>
    <w:p w14:paraId="41957CEC" w14:textId="77777777" w:rsidR="00951F81" w:rsidRPr="00C515CC" w:rsidRDefault="00951F81" w:rsidP="00C515CC">
      <w:r w:rsidRPr="00C515CC">
        <w:t>A segédanyagok teljes listáját lásd a 6.1 pontban.</w:t>
      </w:r>
    </w:p>
    <w:p w14:paraId="1EE635DD" w14:textId="77777777" w:rsidR="00951F81" w:rsidRPr="00C515CC" w:rsidRDefault="00951F81" w:rsidP="00C515CC"/>
    <w:p w14:paraId="00AD27BF" w14:textId="77777777" w:rsidR="00951F81" w:rsidRPr="00C515CC" w:rsidRDefault="00951F81" w:rsidP="00C515CC"/>
    <w:p w14:paraId="0DDA704E" w14:textId="77777777" w:rsidR="00951F81" w:rsidRPr="00C515CC" w:rsidRDefault="00951F81" w:rsidP="00C515CC">
      <w:pPr>
        <w:keepNext/>
        <w:ind w:left="567" w:hanging="567"/>
        <w:rPr>
          <w:b/>
        </w:rPr>
      </w:pPr>
      <w:r w:rsidRPr="00C515CC">
        <w:rPr>
          <w:b/>
        </w:rPr>
        <w:t>3.</w:t>
      </w:r>
      <w:r w:rsidRPr="00C515CC">
        <w:rPr>
          <w:b/>
        </w:rPr>
        <w:tab/>
        <w:t>GYÓGYSZERFORMA</w:t>
      </w:r>
    </w:p>
    <w:p w14:paraId="1013105F" w14:textId="77777777" w:rsidR="00951F81" w:rsidRPr="00C515CC" w:rsidRDefault="00951F81" w:rsidP="00C515CC">
      <w:pPr>
        <w:keepNext/>
      </w:pPr>
    </w:p>
    <w:p w14:paraId="4667B5AF" w14:textId="77777777" w:rsidR="00951F81" w:rsidRPr="00C515CC" w:rsidRDefault="00951F81" w:rsidP="00C515CC">
      <w:r w:rsidRPr="00C515CC">
        <w:t>Oldatos injekció (injekció).</w:t>
      </w:r>
    </w:p>
    <w:p w14:paraId="13B1E05E" w14:textId="77777777" w:rsidR="00951F81" w:rsidRPr="00C515CC" w:rsidRDefault="00951F81" w:rsidP="00C515CC"/>
    <w:p w14:paraId="29F93397" w14:textId="3F2B8A01" w:rsidR="00951F81" w:rsidRPr="00C515CC" w:rsidRDefault="00951F81" w:rsidP="00C515CC">
      <w:r w:rsidRPr="00C515CC">
        <w:t>Tiszta, színtelen</w:t>
      </w:r>
      <w:r w:rsidRPr="00C515CC">
        <w:noBreakHyphen/>
        <w:t>halványsárga oldat</w:t>
      </w:r>
      <w:r w:rsidR="00DA60FC" w:rsidRPr="00C515CC">
        <w:t>, pH</w:t>
      </w:r>
      <w:r w:rsidR="00DA60FC" w:rsidRPr="00C515CC">
        <w:noBreakHyphen/>
        <w:t>ja 5,9</w:t>
      </w:r>
      <w:r w:rsidR="00DA60FC" w:rsidRPr="00C515CC">
        <w:noBreakHyphen/>
        <w:t>6,5 és ozmolalitása 270 – 330 mOsm/kg</w:t>
      </w:r>
      <w:r w:rsidRPr="00C515CC">
        <w:t>.</w:t>
      </w:r>
    </w:p>
    <w:p w14:paraId="583CFF98" w14:textId="77777777" w:rsidR="00951F81" w:rsidRPr="00C515CC" w:rsidRDefault="00951F81" w:rsidP="00C515CC"/>
    <w:p w14:paraId="37265EF5" w14:textId="77777777" w:rsidR="00951F81" w:rsidRPr="00C515CC" w:rsidRDefault="00951F81" w:rsidP="00C515CC"/>
    <w:p w14:paraId="5615B6B1" w14:textId="77777777" w:rsidR="00951F81" w:rsidRPr="00C515CC" w:rsidRDefault="00951F81" w:rsidP="00C515CC">
      <w:pPr>
        <w:keepNext/>
        <w:ind w:left="567" w:hanging="567"/>
        <w:rPr>
          <w:b/>
        </w:rPr>
      </w:pPr>
      <w:r w:rsidRPr="00C515CC">
        <w:rPr>
          <w:b/>
        </w:rPr>
        <w:t>4.</w:t>
      </w:r>
      <w:r w:rsidRPr="00C515CC">
        <w:rPr>
          <w:b/>
        </w:rPr>
        <w:tab/>
        <w:t>KLINIKAI JELLEMZŐK</w:t>
      </w:r>
    </w:p>
    <w:p w14:paraId="1A0E8E67" w14:textId="77777777" w:rsidR="00951F81" w:rsidRPr="00C515CC" w:rsidRDefault="00951F81" w:rsidP="00C515CC">
      <w:pPr>
        <w:keepNext/>
      </w:pPr>
    </w:p>
    <w:p w14:paraId="3B79C0B0" w14:textId="5106B194" w:rsidR="00951F81" w:rsidRPr="00C515CC" w:rsidRDefault="00951F81" w:rsidP="00BF395F">
      <w:pPr>
        <w:keepNext/>
        <w:tabs>
          <w:tab w:val="clear" w:pos="567"/>
        </w:tabs>
        <w:ind w:left="562" w:hanging="562"/>
        <w:rPr>
          <w:b/>
        </w:rPr>
      </w:pPr>
      <w:r w:rsidRPr="00C515CC">
        <w:rPr>
          <w:b/>
        </w:rPr>
        <w:t>4.1</w:t>
      </w:r>
      <w:r w:rsidRPr="00C515CC">
        <w:rPr>
          <w:b/>
        </w:rPr>
        <w:tab/>
        <w:t>Terápiás javallatok</w:t>
      </w:r>
    </w:p>
    <w:p w14:paraId="48E1ED6A" w14:textId="77777777" w:rsidR="00951F81" w:rsidRPr="00C515CC" w:rsidRDefault="00951F81" w:rsidP="00C515CC">
      <w:pPr>
        <w:keepNext/>
      </w:pPr>
    </w:p>
    <w:p w14:paraId="45959B72" w14:textId="77777777" w:rsidR="00D5306E" w:rsidRDefault="00951F81" w:rsidP="00C515CC">
      <w:r w:rsidRPr="00C515CC">
        <w:t xml:space="preserve">Osteoporosis kezelése – csonttörések szempontjából fokozott veszélynek kitett – postmenopausában lévő nők, valamint férfiak esetében. </w:t>
      </w:r>
    </w:p>
    <w:p w14:paraId="1E5DCE4E" w14:textId="21514375" w:rsidR="00951F81" w:rsidRPr="00C515CC" w:rsidRDefault="00951F81" w:rsidP="00C515CC">
      <w:r w:rsidRPr="00C515CC">
        <w:t xml:space="preserve">A </w:t>
      </w:r>
      <w:r w:rsidR="00A96EB8" w:rsidRPr="00C515CC">
        <w:t>Kefdensis</w:t>
      </w:r>
      <w:r w:rsidRPr="00C515CC">
        <w:t xml:space="preserve"> szignifikánsan csökkenti a csigolyatörések, a non</w:t>
      </w:r>
      <w:r w:rsidRPr="00C515CC">
        <w:noBreakHyphen/>
        <w:t>vertebralis és a csípőtáji törések kockázatát postmenopausában lévő nőknél.</w:t>
      </w:r>
    </w:p>
    <w:p w14:paraId="0FC0552A" w14:textId="77777777" w:rsidR="00951F81" w:rsidRPr="00C515CC" w:rsidRDefault="00951F81" w:rsidP="00C515CC"/>
    <w:p w14:paraId="608FE307" w14:textId="2DCC16D4" w:rsidR="00951F81" w:rsidRPr="00C515CC" w:rsidRDefault="00951F81" w:rsidP="00C515CC">
      <w:r w:rsidRPr="00C515CC">
        <w:t>A hormonablációval összefüggő csontvesztés kezelése</w:t>
      </w:r>
      <w:r w:rsidR="00D5306E">
        <w:t>,</w:t>
      </w:r>
      <w:r w:rsidRPr="00C515CC">
        <w:t xml:space="preserve"> csonttörések szempontjából fokozott veszélynek kitett prostatacarcinomás férfiak esetében (lásd 5.1 pont). Hormonablációban részesülő prostatacarcinomás férfiakban a </w:t>
      </w:r>
      <w:r w:rsidR="00A96EB8" w:rsidRPr="00C515CC">
        <w:t>Kefdensis</w:t>
      </w:r>
      <w:r w:rsidRPr="00C515CC">
        <w:t xml:space="preserve"> szignifikánsan csökkenti a csigolyatörések kockázatát.</w:t>
      </w:r>
    </w:p>
    <w:p w14:paraId="0B057B48" w14:textId="77777777" w:rsidR="00951F81" w:rsidRPr="00C515CC" w:rsidRDefault="00951F81" w:rsidP="00C515CC"/>
    <w:p w14:paraId="6C5736AC" w14:textId="508DCD49" w:rsidR="00951F81" w:rsidRPr="00C515CC" w:rsidRDefault="00951F81" w:rsidP="00C515CC">
      <w:r w:rsidRPr="00C515CC">
        <w:t>A hosszú távú</w:t>
      </w:r>
      <w:r w:rsidR="00D5306E">
        <w:t>,</w:t>
      </w:r>
      <w:r w:rsidRPr="00C515CC">
        <w:t xml:space="preserve"> szisztémás glükokortikoid</w:t>
      </w:r>
      <w:r w:rsidRPr="00C515CC">
        <w:noBreakHyphen/>
        <w:t>terápiával összefüggő csontvesztés kezelése</w:t>
      </w:r>
      <w:r w:rsidR="00D5306E">
        <w:t>,</w:t>
      </w:r>
      <w:r w:rsidRPr="00C515CC">
        <w:t xml:space="preserve"> csonttörések szempontjából fokozott veszélynek kitett felnőtt betegek esetében (lásd 5.1 pont).</w:t>
      </w:r>
    </w:p>
    <w:p w14:paraId="68D94331" w14:textId="77777777" w:rsidR="00951F81" w:rsidRPr="00C515CC" w:rsidRDefault="00951F81" w:rsidP="00C515CC"/>
    <w:p w14:paraId="71F39F6A" w14:textId="77777777" w:rsidR="00951F81" w:rsidRPr="00C515CC" w:rsidRDefault="00951F81" w:rsidP="00C515CC">
      <w:pPr>
        <w:keepNext/>
        <w:ind w:left="567" w:hanging="567"/>
        <w:rPr>
          <w:b/>
        </w:rPr>
      </w:pPr>
      <w:r w:rsidRPr="00C515CC">
        <w:rPr>
          <w:b/>
        </w:rPr>
        <w:t>4.2</w:t>
      </w:r>
      <w:r w:rsidRPr="00C515CC">
        <w:rPr>
          <w:b/>
        </w:rPr>
        <w:tab/>
        <w:t>Adagolás és alkalmazás</w:t>
      </w:r>
    </w:p>
    <w:p w14:paraId="2A37A5F0" w14:textId="77777777" w:rsidR="00951F81" w:rsidRPr="00C515CC" w:rsidRDefault="00951F81" w:rsidP="00C515CC">
      <w:pPr>
        <w:keepNext/>
      </w:pPr>
    </w:p>
    <w:p w14:paraId="33E5A88D" w14:textId="77777777" w:rsidR="00951F81" w:rsidRPr="00C515CC" w:rsidRDefault="00951F81" w:rsidP="00C515CC">
      <w:pPr>
        <w:keepNext/>
        <w:rPr>
          <w:u w:val="single"/>
        </w:rPr>
      </w:pPr>
      <w:r w:rsidRPr="00C515CC">
        <w:rPr>
          <w:u w:val="single"/>
        </w:rPr>
        <w:t>Adagolás</w:t>
      </w:r>
    </w:p>
    <w:p w14:paraId="0C800430" w14:textId="77777777" w:rsidR="00951F81" w:rsidRPr="00C515CC" w:rsidRDefault="00951F81" w:rsidP="00C515CC">
      <w:pPr>
        <w:keepNext/>
      </w:pPr>
    </w:p>
    <w:p w14:paraId="262D6C8C" w14:textId="77777777" w:rsidR="00951F81" w:rsidRPr="00C515CC" w:rsidRDefault="00951F81" w:rsidP="00C515CC">
      <w:r w:rsidRPr="00C515CC">
        <w:t>Az ajánlott adag 60 mg denoszumab, amelyet 6 havonta egyszer, subcutan injekcióban a combba, a hasfalba vagy a felkarba kell beadni.</w:t>
      </w:r>
    </w:p>
    <w:p w14:paraId="37A9F8CC" w14:textId="77777777" w:rsidR="00951F81" w:rsidRPr="00C515CC" w:rsidRDefault="00951F81" w:rsidP="00C515CC"/>
    <w:p w14:paraId="0EBA7DF5" w14:textId="77777777" w:rsidR="00951F81" w:rsidRPr="00C515CC" w:rsidRDefault="00951F81" w:rsidP="00C515CC">
      <w:r w:rsidRPr="00C515CC">
        <w:t>A betegek számára biztosítani kell a megfelelő kalcium</w:t>
      </w:r>
      <w:r w:rsidRPr="00C515CC">
        <w:noBreakHyphen/>
        <w:t xml:space="preserve"> és D</w:t>
      </w:r>
      <w:r w:rsidRPr="00C515CC">
        <w:noBreakHyphen/>
        <w:t>vitamin</w:t>
      </w:r>
      <w:r w:rsidRPr="00C515CC">
        <w:noBreakHyphen/>
        <w:t>pótlást (lásd 4.4 pont).</w:t>
      </w:r>
    </w:p>
    <w:p w14:paraId="237EDD4C" w14:textId="77777777" w:rsidR="00951F81" w:rsidRPr="00C515CC" w:rsidRDefault="00951F81" w:rsidP="00C515CC"/>
    <w:p w14:paraId="54FC766A" w14:textId="73D31FBB" w:rsidR="00951F81" w:rsidRPr="00C515CC" w:rsidRDefault="00951F81" w:rsidP="00C515CC">
      <w:r w:rsidRPr="00C515CC">
        <w:t xml:space="preserve">A </w:t>
      </w:r>
      <w:r w:rsidR="00A96EB8" w:rsidRPr="00C515CC">
        <w:t>Kefdensis</w:t>
      </w:r>
      <w:r w:rsidRPr="00C515CC">
        <w:noBreakHyphen/>
      </w:r>
      <w:r w:rsidR="00A96EB8" w:rsidRPr="00C515CC">
        <w:t xml:space="preserve">szel </w:t>
      </w:r>
      <w:r w:rsidRPr="00C515CC">
        <w:t xml:space="preserve">kezelt betegek részére át kell adni a betegtájékoztatót és </w:t>
      </w:r>
      <w:r w:rsidR="00A96EB8" w:rsidRPr="00C515CC">
        <w:t>meg</w:t>
      </w:r>
      <w:r w:rsidR="009F3780" w:rsidRPr="00C515CC">
        <w:t xml:space="preserve"> kell </w:t>
      </w:r>
      <w:r w:rsidR="00A96EB8" w:rsidRPr="00C515CC">
        <w:t xml:space="preserve">kapniuk az </w:t>
      </w:r>
      <w:r w:rsidR="00B33475">
        <w:t>beteg</w:t>
      </w:r>
      <w:r w:rsidRPr="00C515CC">
        <w:t>kártyát.</w:t>
      </w:r>
    </w:p>
    <w:p w14:paraId="7457971F" w14:textId="77777777" w:rsidR="00951F81" w:rsidRPr="00C515CC" w:rsidRDefault="00951F81" w:rsidP="00C515CC"/>
    <w:p w14:paraId="5F4D7F90" w14:textId="77777777" w:rsidR="00951F81" w:rsidRPr="00C515CC" w:rsidRDefault="00951F81" w:rsidP="00C515CC">
      <w:r w:rsidRPr="00C515CC">
        <w:lastRenderedPageBreak/>
        <w:t>Az osteoporosis antireszorptív kezelésének (beleértve a denoszumabot és a biszfoszfonátokat is) optimális teljes időtartama nincs meghatározva. A folyamatos denoszumab</w:t>
      </w:r>
      <w:r w:rsidRPr="00C515CC">
        <w:noBreakHyphen/>
        <w:t>kezelés szükségességét az előnyök és a lehetséges kockázatok alapján időszakosan egyénileg felül kell vizsgálni, különösen 5 éven át tartó vagy annál hosszabb alkalmazás esetén (lásd 4.4 pont).</w:t>
      </w:r>
    </w:p>
    <w:p w14:paraId="3B23A888" w14:textId="77777777" w:rsidR="00951F81" w:rsidRPr="00C515CC" w:rsidRDefault="00951F81" w:rsidP="00C515CC"/>
    <w:p w14:paraId="62052E7D" w14:textId="77777777" w:rsidR="00951F81" w:rsidRPr="00C515CC" w:rsidRDefault="00951F81" w:rsidP="00C515CC">
      <w:pPr>
        <w:keepNext/>
        <w:tabs>
          <w:tab w:val="clear" w:pos="567"/>
        </w:tabs>
        <w:rPr>
          <w:i/>
          <w:iCs/>
        </w:rPr>
      </w:pPr>
      <w:r w:rsidRPr="00C515CC">
        <w:rPr>
          <w:i/>
        </w:rPr>
        <w:t>Idősek (65 évesek vagy idősebbek)</w:t>
      </w:r>
    </w:p>
    <w:p w14:paraId="7BD55D61" w14:textId="77777777" w:rsidR="00951F81" w:rsidRPr="00C515CC" w:rsidRDefault="00951F81" w:rsidP="00C515CC">
      <w:r w:rsidRPr="00C515CC">
        <w:t>Idős betegek esetében nem szükséges az adagolás módosítása.</w:t>
      </w:r>
    </w:p>
    <w:p w14:paraId="436C48A0" w14:textId="77777777" w:rsidR="00951F81" w:rsidRPr="00C515CC" w:rsidRDefault="00951F81" w:rsidP="00C515CC"/>
    <w:p w14:paraId="2C2AFBAA" w14:textId="77777777" w:rsidR="00951F81" w:rsidRPr="00C515CC" w:rsidRDefault="00951F81" w:rsidP="00C515CC">
      <w:pPr>
        <w:keepNext/>
        <w:tabs>
          <w:tab w:val="clear" w:pos="567"/>
        </w:tabs>
        <w:rPr>
          <w:i/>
          <w:iCs/>
        </w:rPr>
      </w:pPr>
      <w:r w:rsidRPr="00C515CC">
        <w:rPr>
          <w:i/>
        </w:rPr>
        <w:t>Vesekárosodás</w:t>
      </w:r>
    </w:p>
    <w:p w14:paraId="080584EC" w14:textId="05754E4F" w:rsidR="00951F81" w:rsidRPr="00C515CC" w:rsidRDefault="00B33475" w:rsidP="00C515CC">
      <w:r>
        <w:t>Vesekárosodásban szenvedő</w:t>
      </w:r>
      <w:r w:rsidR="00951F81" w:rsidRPr="00C515CC">
        <w:t xml:space="preserve"> betegek esetében nem szükséges az adagolás módosítása (lásd a kalciumszint monitorozására vonatkozó ajánlásokat a 4.4 pontban).</w:t>
      </w:r>
    </w:p>
    <w:p w14:paraId="56C9153E" w14:textId="77777777" w:rsidR="00951F81" w:rsidRPr="00C515CC" w:rsidRDefault="00951F81" w:rsidP="00C515CC"/>
    <w:p w14:paraId="7B40DE9C" w14:textId="2F015AD0" w:rsidR="00951F81" w:rsidRPr="00C515CC" w:rsidRDefault="00951F81" w:rsidP="00C515CC">
      <w:r w:rsidRPr="00C515CC">
        <w:t>Nincsenek adatok a hosszú távú</w:t>
      </w:r>
      <w:r w:rsidR="00826491">
        <w:t>,</w:t>
      </w:r>
      <w:r w:rsidRPr="00C515CC">
        <w:t xml:space="preserve"> szisztémás glükokortikoid</w:t>
      </w:r>
      <w:r w:rsidRPr="00C515CC">
        <w:noBreakHyphen/>
        <w:t>terápiában részesülő és súlyos</w:t>
      </w:r>
      <w:r w:rsidR="00B33475">
        <w:t xml:space="preserve"> vesekárosodásban</w:t>
      </w:r>
      <w:r w:rsidRPr="00C515CC">
        <w:t xml:space="preserve"> (</w:t>
      </w:r>
      <w:r w:rsidR="008A73A7" w:rsidRPr="008A73A7">
        <w:t xml:space="preserve">glomerulusfiltrációs ráta, </w:t>
      </w:r>
      <w:r w:rsidRPr="00C515CC">
        <w:t xml:space="preserve">GFR &lt; 30 ml/perc) </w:t>
      </w:r>
      <w:r w:rsidR="00B33475">
        <w:t xml:space="preserve">szenvedő </w:t>
      </w:r>
      <w:r w:rsidRPr="00C515CC">
        <w:t>betegekkel kapcsolatban.</w:t>
      </w:r>
    </w:p>
    <w:p w14:paraId="02A906E1" w14:textId="77777777" w:rsidR="00951F81" w:rsidRPr="00C515CC" w:rsidRDefault="00951F81" w:rsidP="00C515CC"/>
    <w:p w14:paraId="29799120" w14:textId="77777777" w:rsidR="00951F81" w:rsidRPr="00C515CC" w:rsidRDefault="00951F81" w:rsidP="00C515CC">
      <w:pPr>
        <w:keepNext/>
        <w:tabs>
          <w:tab w:val="clear" w:pos="567"/>
        </w:tabs>
        <w:rPr>
          <w:i/>
          <w:iCs/>
        </w:rPr>
      </w:pPr>
      <w:r w:rsidRPr="00C515CC">
        <w:rPr>
          <w:i/>
        </w:rPr>
        <w:t>Májkárosodás</w:t>
      </w:r>
    </w:p>
    <w:p w14:paraId="37C1329F" w14:textId="77777777" w:rsidR="00951F81" w:rsidRPr="00C515CC" w:rsidRDefault="00951F81" w:rsidP="00C515CC">
      <w:r w:rsidRPr="00C515CC">
        <w:t>A denoszumab biztonságosságát és hatásosságát májkárosodásban szenvedő betegeknél nem vizsgálták (lásd 5.2 pont).</w:t>
      </w:r>
    </w:p>
    <w:p w14:paraId="09BFDEDF" w14:textId="77777777" w:rsidR="00951F81" w:rsidRPr="00C515CC" w:rsidRDefault="00951F81" w:rsidP="00C515CC"/>
    <w:p w14:paraId="20D5D413" w14:textId="77777777" w:rsidR="00951F81" w:rsidRPr="00C515CC" w:rsidRDefault="00951F81" w:rsidP="00C515CC">
      <w:pPr>
        <w:keepNext/>
        <w:tabs>
          <w:tab w:val="clear" w:pos="567"/>
        </w:tabs>
        <w:rPr>
          <w:i/>
          <w:iCs/>
        </w:rPr>
      </w:pPr>
      <w:r w:rsidRPr="00C515CC">
        <w:rPr>
          <w:i/>
        </w:rPr>
        <w:t>Gyermekek és serdülők</w:t>
      </w:r>
    </w:p>
    <w:p w14:paraId="4635A62F" w14:textId="0CBC341F" w:rsidR="00951F81" w:rsidRPr="00C515CC" w:rsidRDefault="00951F81" w:rsidP="00C515CC">
      <w:r w:rsidRPr="00C515CC">
        <w:t xml:space="preserve">A </w:t>
      </w:r>
      <w:r w:rsidR="00A96EB8" w:rsidRPr="00C515CC">
        <w:t>Kefdensis</w:t>
      </w:r>
      <w:r w:rsidRPr="00C515CC">
        <w:noBreakHyphen/>
        <w:t>t nem szabad alkalmazni gyermek és serdülő korú (18 évesnél fiatalabb) betegeknél</w:t>
      </w:r>
      <w:r w:rsidR="00826491">
        <w:t>,</w:t>
      </w:r>
      <w:r w:rsidRPr="00C515CC">
        <w:t xml:space="preserve"> </w:t>
      </w:r>
      <w:r w:rsidR="00826491">
        <w:t xml:space="preserve">a </w:t>
      </w:r>
      <w:r w:rsidRPr="00C515CC">
        <w:t>súlyos hypercalcaemia kialakulásával, a csontok növekedésének potenciális gátlásával</w:t>
      </w:r>
      <w:r w:rsidR="00826491">
        <w:t>, valamint</w:t>
      </w:r>
      <w:r w:rsidRPr="00C515CC">
        <w:t xml:space="preserve"> a fogak áttörésének hiányával kapcsolatos biztonságossági aggályok miatt (lásd még 4.4 és 5.3 pont). A 2</w:t>
      </w:r>
      <w:r w:rsidR="000D6409" w:rsidRPr="00C515CC">
        <w:noBreakHyphen/>
      </w:r>
      <w:r w:rsidRPr="00C515CC">
        <w:t>17 év</w:t>
      </w:r>
      <w:r w:rsidR="00CF4D27" w:rsidRPr="00C515CC">
        <w:t>es</w:t>
      </w:r>
      <w:r w:rsidRPr="00C515CC">
        <w:t xml:space="preserve"> gyermekekre</w:t>
      </w:r>
      <w:r w:rsidR="00B33475">
        <w:t xml:space="preserve"> és serdülőkre</w:t>
      </w:r>
      <w:r w:rsidRPr="00C515CC">
        <w:t xml:space="preserve"> vonatkozóan jelenleg rendelkezésre álló adatokat az 5.1 és 5.2 pont tartalmazza.</w:t>
      </w:r>
    </w:p>
    <w:p w14:paraId="13352548" w14:textId="77777777" w:rsidR="00951F81" w:rsidRPr="00C515CC" w:rsidRDefault="00951F81" w:rsidP="00C515CC"/>
    <w:p w14:paraId="78E3E437" w14:textId="77777777" w:rsidR="00951F81" w:rsidRPr="00C515CC" w:rsidRDefault="00951F81" w:rsidP="00C515CC">
      <w:pPr>
        <w:keepNext/>
        <w:rPr>
          <w:u w:val="single"/>
        </w:rPr>
      </w:pPr>
      <w:r w:rsidRPr="00C515CC">
        <w:rPr>
          <w:u w:val="single"/>
        </w:rPr>
        <w:t>Az alkalmazás módja</w:t>
      </w:r>
    </w:p>
    <w:p w14:paraId="59B70080" w14:textId="77777777" w:rsidR="00951F81" w:rsidRPr="00C515CC" w:rsidRDefault="00951F81" w:rsidP="00C515CC">
      <w:pPr>
        <w:keepNext/>
      </w:pPr>
    </w:p>
    <w:p w14:paraId="5C9B0557" w14:textId="77777777" w:rsidR="00951F81" w:rsidRPr="00C515CC" w:rsidRDefault="00951F81" w:rsidP="00C515CC">
      <w:r w:rsidRPr="00C515CC">
        <w:t>Bőr alá történő beadásra.</w:t>
      </w:r>
    </w:p>
    <w:p w14:paraId="4228C873" w14:textId="77777777" w:rsidR="00951F81" w:rsidRPr="00C515CC" w:rsidRDefault="00951F81" w:rsidP="00C515CC"/>
    <w:p w14:paraId="319EC88F" w14:textId="77777777" w:rsidR="00951F81" w:rsidRPr="00C515CC" w:rsidRDefault="00951F81" w:rsidP="00C515CC">
      <w:r w:rsidRPr="00C515CC">
        <w:t>A beadást az injekciózási technikákban megfelelően képzett személynek kell végeznie.</w:t>
      </w:r>
    </w:p>
    <w:p w14:paraId="3380D531" w14:textId="77777777" w:rsidR="00951F81" w:rsidRPr="00C515CC" w:rsidRDefault="00951F81" w:rsidP="00C515CC"/>
    <w:p w14:paraId="707F77F6" w14:textId="77777777" w:rsidR="00951F81" w:rsidRPr="00C515CC" w:rsidRDefault="00951F81" w:rsidP="00C515CC">
      <w:r w:rsidRPr="00C515CC">
        <w:t>Az alkalmazásra, kezelésre és megsemmisítésre vonatkozó utasításokat lásd a 6.6 pontban.</w:t>
      </w:r>
    </w:p>
    <w:p w14:paraId="652A1D4A" w14:textId="77777777" w:rsidR="00951F81" w:rsidRPr="00C515CC" w:rsidRDefault="00951F81" w:rsidP="00C515CC"/>
    <w:p w14:paraId="1BB282B7" w14:textId="77777777" w:rsidR="00951F81" w:rsidRPr="00C515CC" w:rsidRDefault="00951F81" w:rsidP="00C515CC">
      <w:pPr>
        <w:keepNext/>
        <w:ind w:left="567" w:hanging="567"/>
        <w:rPr>
          <w:b/>
        </w:rPr>
      </w:pPr>
      <w:r w:rsidRPr="00C515CC">
        <w:rPr>
          <w:b/>
        </w:rPr>
        <w:t>4.3</w:t>
      </w:r>
      <w:r w:rsidRPr="00C515CC">
        <w:rPr>
          <w:b/>
        </w:rPr>
        <w:tab/>
        <w:t>Ellenjavallatok</w:t>
      </w:r>
    </w:p>
    <w:p w14:paraId="2A4D705D" w14:textId="77777777" w:rsidR="00951F81" w:rsidRPr="00C515CC" w:rsidRDefault="00951F81" w:rsidP="00C515CC">
      <w:pPr>
        <w:keepNext/>
      </w:pPr>
    </w:p>
    <w:p w14:paraId="77DC5701" w14:textId="77777777" w:rsidR="00951F81" w:rsidRPr="00C515CC" w:rsidRDefault="00951F81" w:rsidP="00C515CC">
      <w:r w:rsidRPr="00C515CC">
        <w:t>A készítmény hatóanyagával vagy a 6.1 pontban felsorolt bármely segédanyagával szembeni túlérzékenység.</w:t>
      </w:r>
    </w:p>
    <w:p w14:paraId="5B02BC8B" w14:textId="77777777" w:rsidR="00951F81" w:rsidRPr="00C515CC" w:rsidRDefault="00951F81" w:rsidP="00C515CC"/>
    <w:p w14:paraId="13081204" w14:textId="77777777" w:rsidR="00951F81" w:rsidRPr="00C515CC" w:rsidRDefault="00951F81" w:rsidP="00C515CC">
      <w:r w:rsidRPr="00C515CC">
        <w:t>Hypocalcaemia (lásd 4.4 pont).</w:t>
      </w:r>
    </w:p>
    <w:p w14:paraId="37A7DE0C" w14:textId="77777777" w:rsidR="00951F81" w:rsidRPr="00C515CC" w:rsidRDefault="00951F81" w:rsidP="00C515CC"/>
    <w:p w14:paraId="3DFE4DD9" w14:textId="77777777" w:rsidR="00951F81" w:rsidRPr="00C515CC" w:rsidRDefault="00951F81" w:rsidP="00C515CC">
      <w:pPr>
        <w:keepNext/>
        <w:ind w:left="567" w:hanging="567"/>
        <w:rPr>
          <w:b/>
        </w:rPr>
      </w:pPr>
      <w:r w:rsidRPr="00C515CC">
        <w:rPr>
          <w:b/>
        </w:rPr>
        <w:t>4.4</w:t>
      </w:r>
      <w:r w:rsidRPr="00C515CC">
        <w:rPr>
          <w:b/>
        </w:rPr>
        <w:tab/>
        <w:t>Különleges figyelmeztetések és az alkalmazással kapcsolatos óvintézkedések</w:t>
      </w:r>
    </w:p>
    <w:p w14:paraId="5FFD4F5A" w14:textId="77777777" w:rsidR="00951F81" w:rsidRPr="00C515CC" w:rsidRDefault="00951F81" w:rsidP="00C515CC">
      <w:pPr>
        <w:keepNext/>
      </w:pPr>
    </w:p>
    <w:p w14:paraId="13DA2184" w14:textId="77777777" w:rsidR="00951F81" w:rsidRPr="00C515CC" w:rsidRDefault="00951F81" w:rsidP="00C515CC">
      <w:pPr>
        <w:pStyle w:val="Style11ptunderlined"/>
      </w:pPr>
      <w:r w:rsidRPr="00C515CC">
        <w:t>Nyomonkövethetőség</w:t>
      </w:r>
    </w:p>
    <w:p w14:paraId="3244750F" w14:textId="77777777" w:rsidR="00951F81" w:rsidRPr="00C515CC" w:rsidRDefault="00951F81" w:rsidP="00C515CC">
      <w:pPr>
        <w:keepNext/>
      </w:pPr>
    </w:p>
    <w:p w14:paraId="074B8B75" w14:textId="77777777" w:rsidR="00951F81" w:rsidRPr="00C515CC" w:rsidRDefault="00951F81" w:rsidP="00C515CC">
      <w:r w:rsidRPr="00C515CC">
        <w:t>A biológiai készítmények nyomonkövethetőségének javítása érdekében az alkalmazott készítmény nevét és gyártási tételszámát egyértelműen kell feltüntetni.</w:t>
      </w:r>
    </w:p>
    <w:p w14:paraId="7831B428" w14:textId="77777777" w:rsidR="00951F81" w:rsidRPr="00C515CC" w:rsidRDefault="00951F81" w:rsidP="00C515CC"/>
    <w:p w14:paraId="25D96CA0" w14:textId="77777777" w:rsidR="00951F81" w:rsidRPr="00C515CC" w:rsidRDefault="00951F81" w:rsidP="00C515CC">
      <w:pPr>
        <w:keepNext/>
        <w:rPr>
          <w:u w:val="single"/>
        </w:rPr>
      </w:pPr>
      <w:r w:rsidRPr="00C515CC">
        <w:rPr>
          <w:u w:val="single"/>
        </w:rPr>
        <w:t>Kalcium</w:t>
      </w:r>
      <w:r w:rsidRPr="00C515CC">
        <w:rPr>
          <w:u w:val="single"/>
        </w:rPr>
        <w:noBreakHyphen/>
        <w:t xml:space="preserve"> és D</w:t>
      </w:r>
      <w:r w:rsidRPr="00C515CC">
        <w:rPr>
          <w:u w:val="single"/>
        </w:rPr>
        <w:noBreakHyphen/>
        <w:t>vitamin</w:t>
      </w:r>
      <w:r w:rsidRPr="00C515CC">
        <w:rPr>
          <w:u w:val="single"/>
        </w:rPr>
        <w:noBreakHyphen/>
        <w:t>pótlás</w:t>
      </w:r>
    </w:p>
    <w:p w14:paraId="212906FA" w14:textId="77777777" w:rsidR="00951F81" w:rsidRPr="00C515CC" w:rsidRDefault="00951F81" w:rsidP="00C515CC">
      <w:pPr>
        <w:keepNext/>
      </w:pPr>
    </w:p>
    <w:p w14:paraId="3DFD57EC" w14:textId="77777777" w:rsidR="00951F81" w:rsidRPr="00C515CC" w:rsidRDefault="00951F81" w:rsidP="00C515CC">
      <w:r w:rsidRPr="00C515CC">
        <w:t>Minden beteg esetében fontos a megfelelő kalcium</w:t>
      </w:r>
      <w:r w:rsidRPr="00C515CC">
        <w:noBreakHyphen/>
        <w:t xml:space="preserve"> és D</w:t>
      </w:r>
      <w:r w:rsidRPr="00C515CC">
        <w:noBreakHyphen/>
        <w:t>vitamin</w:t>
      </w:r>
      <w:r w:rsidRPr="00C515CC">
        <w:noBreakHyphen/>
        <w:t>bevitel.</w:t>
      </w:r>
    </w:p>
    <w:p w14:paraId="3B22CDEE" w14:textId="77777777" w:rsidR="00951F81" w:rsidRPr="00C515CC" w:rsidRDefault="00951F81" w:rsidP="00C515CC"/>
    <w:p w14:paraId="4142EB18" w14:textId="77777777" w:rsidR="00951F81" w:rsidRPr="00C515CC" w:rsidRDefault="00951F81" w:rsidP="00C515CC">
      <w:pPr>
        <w:keepNext/>
        <w:rPr>
          <w:u w:val="single"/>
        </w:rPr>
      </w:pPr>
      <w:r w:rsidRPr="00C515CC">
        <w:rPr>
          <w:u w:val="single"/>
        </w:rPr>
        <w:t>Az alkalmazással kapcsolatos óvintézkedések</w:t>
      </w:r>
    </w:p>
    <w:p w14:paraId="3F41C412" w14:textId="77777777" w:rsidR="00951F81" w:rsidRPr="00C515CC" w:rsidRDefault="00951F81" w:rsidP="00C515CC">
      <w:pPr>
        <w:keepNext/>
      </w:pPr>
    </w:p>
    <w:p w14:paraId="590BC3E6" w14:textId="77777777" w:rsidR="00951F81" w:rsidRPr="00C515CC" w:rsidRDefault="00951F81" w:rsidP="00C515CC">
      <w:pPr>
        <w:keepNext/>
        <w:tabs>
          <w:tab w:val="clear" w:pos="567"/>
        </w:tabs>
        <w:rPr>
          <w:i/>
          <w:iCs/>
        </w:rPr>
      </w:pPr>
      <w:r w:rsidRPr="00C515CC">
        <w:rPr>
          <w:i/>
        </w:rPr>
        <w:t>Hypocalcaemia</w:t>
      </w:r>
    </w:p>
    <w:p w14:paraId="336734D5" w14:textId="591A1C27" w:rsidR="00951F81" w:rsidRPr="00C515CC" w:rsidRDefault="00951F81" w:rsidP="00C515CC">
      <w:r w:rsidRPr="00C515CC">
        <w:t>Fontos azonosítani azokat a betegeket, akiknél a hypocalcaemia kockázatot jelent. A kezelés elkezdése előtt a hypocalcaemiát megfelelő kalcium</w:t>
      </w:r>
      <w:r w:rsidRPr="00C515CC">
        <w:noBreakHyphen/>
        <w:t xml:space="preserve"> és D</w:t>
      </w:r>
      <w:r w:rsidRPr="00C515CC">
        <w:noBreakHyphen/>
        <w:t>vitamin</w:t>
      </w:r>
      <w:r w:rsidRPr="00C515CC">
        <w:noBreakHyphen/>
        <w:t>bevitellel korrigálni kell. Hypocalcaemiára hajlamos betegek esetében ajánlott a kalciumszint klinikai monitorozása minden adag előtt, az első adag beadását követő két héten belül. Amennyiben a kezelés alatt bármilyen, hypocalcaemiára utaló tünet jelentkezik (a tüneteket lásd a 4.8 pontban), a kalciumszintet meg kell határozni. A betegek figyelmét fel kell hívni, hogy jelentsék a hypocalcaemiára utaló tüneteket.</w:t>
      </w:r>
    </w:p>
    <w:p w14:paraId="1962A6E6" w14:textId="77777777" w:rsidR="00951F81" w:rsidRPr="00C515CC" w:rsidRDefault="00951F81" w:rsidP="00C515CC"/>
    <w:p w14:paraId="78A97F06" w14:textId="4449D254" w:rsidR="00951F81" w:rsidRPr="00C515CC" w:rsidRDefault="00951F81" w:rsidP="00C515CC">
      <w:r w:rsidRPr="00C515CC">
        <w:t>A forgalomba hozatalt követő alkalmazás során súlyos</w:t>
      </w:r>
      <w:r w:rsidR="00B33475">
        <w:t>,</w:t>
      </w:r>
      <w:r w:rsidRPr="00C515CC">
        <w:t xml:space="preserve"> tünetekkel járó hypocalcaemiát (kórházi ellátást igénylő, életveszélyes és halálos eseteket) jelentettek. Bár a legtöbb eset a kezelés megkezdésének első heteiben fordult elő, </w:t>
      </w:r>
      <w:r w:rsidR="00B33475">
        <w:t>a súlyos, tünetekkel járó hypocalcaemia</w:t>
      </w:r>
      <w:r w:rsidRPr="00C515CC">
        <w:t xml:space="preserve"> később is előfordult.</w:t>
      </w:r>
    </w:p>
    <w:p w14:paraId="1C38938F" w14:textId="77777777" w:rsidR="00951F81" w:rsidRPr="00C515CC" w:rsidRDefault="00951F81" w:rsidP="00C515CC"/>
    <w:p w14:paraId="4181A8B8" w14:textId="77777777" w:rsidR="00951F81" w:rsidRPr="00C515CC" w:rsidRDefault="00951F81" w:rsidP="00C515CC">
      <w:r w:rsidRPr="00C515CC">
        <w:t>Az egyidejű glükokortikoid</w:t>
      </w:r>
      <w:r w:rsidRPr="00C515CC">
        <w:noBreakHyphen/>
        <w:t>kezelés a hypocalcaemia kockázatát növelő additív rizikótényező.</w:t>
      </w:r>
    </w:p>
    <w:p w14:paraId="26327788" w14:textId="77777777" w:rsidR="00951F81" w:rsidRPr="00C515CC" w:rsidRDefault="00951F81" w:rsidP="00C515CC"/>
    <w:p w14:paraId="79206A54" w14:textId="77777777" w:rsidR="00951F81" w:rsidRPr="00C515CC" w:rsidRDefault="00951F81" w:rsidP="00C515CC">
      <w:pPr>
        <w:keepNext/>
        <w:tabs>
          <w:tab w:val="clear" w:pos="567"/>
        </w:tabs>
        <w:rPr>
          <w:i/>
          <w:iCs/>
        </w:rPr>
      </w:pPr>
      <w:r w:rsidRPr="00C515CC">
        <w:rPr>
          <w:i/>
        </w:rPr>
        <w:t>Vesekárosodás</w:t>
      </w:r>
    </w:p>
    <w:p w14:paraId="6B9C151E" w14:textId="77777777" w:rsidR="00951F81" w:rsidRPr="00C515CC" w:rsidRDefault="00951F81" w:rsidP="00C515CC">
      <w:r w:rsidRPr="00C515CC">
        <w:t>A súlyos vesekárosodásban (kreatinin</w:t>
      </w:r>
      <w:r w:rsidRPr="00C515CC">
        <w:noBreakHyphen/>
        <w:t>clearance &lt; 30 ml/perc) szenvedő vagy dialíziskezelésben részesülő betegeknél nagyobb a hypocalcaemia kialakulásának kockázata. A hypocalcaemia és az azt kísérő parathormonszint</w:t>
      </w:r>
      <w:r w:rsidRPr="00C515CC">
        <w:noBreakHyphen/>
        <w:t>emelkedés kialakulásának kockázata a vesekárosodás súlyosságának növekedésével fokozódik. Súlyos és halálos eseteket jelentettek. Ezeknél a betegeknél különösen fontos a megfelelő kalcium</w:t>
      </w:r>
      <w:r w:rsidRPr="00C515CC">
        <w:noBreakHyphen/>
        <w:t xml:space="preserve"> és D</w:t>
      </w:r>
      <w:r w:rsidRPr="00C515CC">
        <w:noBreakHyphen/>
        <w:t>vitamin</w:t>
      </w:r>
      <w:r w:rsidRPr="00C515CC">
        <w:noBreakHyphen/>
        <w:t>bevitel, valamint a kalciumszint rendszeres ellenőrzése, lásd fent.</w:t>
      </w:r>
    </w:p>
    <w:p w14:paraId="5DE322CC" w14:textId="77777777" w:rsidR="00951F81" w:rsidRPr="00C515CC" w:rsidRDefault="00951F81" w:rsidP="00C515CC"/>
    <w:p w14:paraId="6DBAD289" w14:textId="77777777" w:rsidR="00951F81" w:rsidRPr="00C515CC" w:rsidRDefault="00951F81" w:rsidP="00C515CC">
      <w:pPr>
        <w:keepNext/>
        <w:tabs>
          <w:tab w:val="clear" w:pos="567"/>
        </w:tabs>
        <w:rPr>
          <w:i/>
          <w:iCs/>
        </w:rPr>
      </w:pPr>
      <w:r w:rsidRPr="00C515CC">
        <w:rPr>
          <w:i/>
        </w:rPr>
        <w:t>Bőrfertőzések</w:t>
      </w:r>
    </w:p>
    <w:p w14:paraId="332BB739" w14:textId="5F16BCE7" w:rsidR="00951F81" w:rsidRPr="00C515CC" w:rsidRDefault="00951F81" w:rsidP="00C515CC">
      <w:r w:rsidRPr="00C515CC">
        <w:t xml:space="preserve">A denoszumabot kapó betegeknél kórházi kezelést igénylő bőrfertőzések (mindenekelőtt cellulitis) alakulhatnak ki (lásd 4.8 pont). A betegeket tájékoztatni kell, hogy a cellulitis okozta </w:t>
      </w:r>
      <w:r w:rsidR="00D54165">
        <w:t>jelek</w:t>
      </w:r>
      <w:r w:rsidR="00D54165" w:rsidRPr="00C515CC">
        <w:t xml:space="preserve"> </w:t>
      </w:r>
      <w:r w:rsidRPr="00C515CC">
        <w:t>vagy tünetek fellépése esetén azonnal forduljanak orvoshoz.</w:t>
      </w:r>
    </w:p>
    <w:p w14:paraId="2F20DD73" w14:textId="77777777" w:rsidR="00951F81" w:rsidRPr="00C515CC" w:rsidRDefault="00951F81" w:rsidP="00C515CC"/>
    <w:p w14:paraId="1ADC5328" w14:textId="77777777" w:rsidR="00951F81" w:rsidRPr="00C515CC" w:rsidRDefault="00951F81" w:rsidP="00C515CC">
      <w:pPr>
        <w:keepNext/>
        <w:tabs>
          <w:tab w:val="clear" w:pos="567"/>
        </w:tabs>
        <w:rPr>
          <w:i/>
          <w:iCs/>
        </w:rPr>
      </w:pPr>
      <w:r w:rsidRPr="00C515CC">
        <w:rPr>
          <w:i/>
        </w:rPr>
        <w:t>Az állcsont osteonecrosisa (Osteonecrosis of the jaw, ONJ)</w:t>
      </w:r>
    </w:p>
    <w:p w14:paraId="116ED8DC" w14:textId="4E958A1E" w:rsidR="00951F81" w:rsidRPr="00C515CC" w:rsidRDefault="00951F81" w:rsidP="00C515CC">
      <w:r w:rsidRPr="00C515CC">
        <w:t>Ritkán ONJ</w:t>
      </w:r>
      <w:r w:rsidRPr="00C515CC">
        <w:noBreakHyphen/>
        <w:t xml:space="preserve">ről számoltak be olyan betegeknél, akik az osteoporosis kezelésére </w:t>
      </w:r>
      <w:r w:rsidR="00A96EB8" w:rsidRPr="00C515CC">
        <w:t>denoszumabo</w:t>
      </w:r>
      <w:r w:rsidRPr="00C515CC">
        <w:t>t kapnak (lásd 4.8 pont).</w:t>
      </w:r>
    </w:p>
    <w:p w14:paraId="648233A8" w14:textId="77777777" w:rsidR="00951F81" w:rsidRPr="00C515CC" w:rsidRDefault="00951F81" w:rsidP="00C515CC"/>
    <w:p w14:paraId="720495A9" w14:textId="77777777" w:rsidR="00951F81" w:rsidRPr="00C515CC" w:rsidRDefault="00951F81" w:rsidP="00C515CC">
      <w:r w:rsidRPr="00C515CC">
        <w:t>El kell halasztani a kezelés indítását/az új kezelést azoknál a betegeknél, akiknek szájüregében még nem gyógyult, nyílt lágyrész</w:t>
      </w:r>
      <w:r w:rsidRPr="00C515CC">
        <w:noBreakHyphen/>
        <w:t>elváltozás található. Azoknál a betegeknél, akiknél egyidejű kockázati tényezők állnak fenn, a denoszumab</w:t>
      </w:r>
      <w:r w:rsidRPr="00C515CC">
        <w:noBreakHyphen/>
        <w:t>kezelés előtt ajánlott a megelőző fogászati kezeléssel egybekötött fogászati kivizsgálás és a haszon</w:t>
      </w:r>
      <w:r w:rsidRPr="00C515CC">
        <w:noBreakHyphen/>
        <w:t>kockázat egyéni értékelése.</w:t>
      </w:r>
    </w:p>
    <w:p w14:paraId="34EE683C" w14:textId="77777777" w:rsidR="00951F81" w:rsidRPr="00C515CC" w:rsidRDefault="00951F81" w:rsidP="00C515CC"/>
    <w:p w14:paraId="392198BE" w14:textId="77777777" w:rsidR="00951F81" w:rsidRPr="00C515CC" w:rsidRDefault="00951F81" w:rsidP="00C515CC">
      <w:pPr>
        <w:keepNext/>
      </w:pPr>
      <w:r w:rsidRPr="00C515CC">
        <w:t>Az ONJ kockázatának egyéni meghatározásakor a következő kockázati tényezőket kell figyelembe venni:</w:t>
      </w:r>
    </w:p>
    <w:p w14:paraId="58ED8DC9" w14:textId="3C811D9B" w:rsidR="00951F81" w:rsidRPr="00C515CC" w:rsidRDefault="00951F81" w:rsidP="00C515CC">
      <w:pPr>
        <w:numPr>
          <w:ilvl w:val="0"/>
          <w:numId w:val="54"/>
        </w:numPr>
        <w:tabs>
          <w:tab w:val="clear" w:pos="567"/>
        </w:tabs>
        <w:ind w:left="567" w:hanging="567"/>
      </w:pPr>
      <w:r w:rsidRPr="00C515CC">
        <w:t xml:space="preserve">a csontfelszívódást gátló gyógyszer hatékonysága (a hatékonyabb készítményeknél </w:t>
      </w:r>
      <w:r w:rsidR="00D54165">
        <w:t>nagyobb</w:t>
      </w:r>
      <w:r w:rsidR="00D54165" w:rsidRPr="00C515CC">
        <w:t xml:space="preserve"> </w:t>
      </w:r>
      <w:r w:rsidRPr="00C515CC">
        <w:t xml:space="preserve">a kockázat), az alkalmazás módja (parenteralis alkalmazáskor </w:t>
      </w:r>
      <w:r w:rsidR="00D54165">
        <w:t>nagyobb</w:t>
      </w:r>
      <w:r w:rsidR="00D54165" w:rsidRPr="00C515CC">
        <w:t xml:space="preserve"> </w:t>
      </w:r>
      <w:r w:rsidRPr="00C515CC">
        <w:t>a kockázat), és a csontfelszívódást gátló készítmény kumulatív adagja.</w:t>
      </w:r>
    </w:p>
    <w:p w14:paraId="2C652CEA" w14:textId="77777777" w:rsidR="00951F81" w:rsidRPr="00C515CC" w:rsidRDefault="00951F81" w:rsidP="00C515CC">
      <w:pPr>
        <w:numPr>
          <w:ilvl w:val="0"/>
          <w:numId w:val="54"/>
        </w:numPr>
        <w:tabs>
          <w:tab w:val="clear" w:pos="567"/>
        </w:tabs>
        <w:ind w:left="567" w:hanging="567"/>
      </w:pPr>
      <w:r w:rsidRPr="00C515CC">
        <w:t>daganatos betegség, kísérőbetegségek (például vérszegénység, coagulopathiák, fertőzés), dohányzás.</w:t>
      </w:r>
    </w:p>
    <w:p w14:paraId="4078DF21" w14:textId="40599E46" w:rsidR="00951F81" w:rsidRPr="00C515CC" w:rsidRDefault="00951F81" w:rsidP="00C515CC">
      <w:pPr>
        <w:keepNext/>
        <w:numPr>
          <w:ilvl w:val="0"/>
          <w:numId w:val="54"/>
        </w:numPr>
        <w:tabs>
          <w:tab w:val="clear" w:pos="567"/>
        </w:tabs>
        <w:ind w:left="567" w:hanging="567"/>
      </w:pPr>
      <w:r w:rsidRPr="00C515CC">
        <w:t>egyidejű kezelések: kortikoszteroidok, kemoterápia, angiogenezis</w:t>
      </w:r>
      <w:r w:rsidR="00826491">
        <w:t>-</w:t>
      </w:r>
      <w:r w:rsidRPr="00C515CC">
        <w:t>gátlók, a fej</w:t>
      </w:r>
      <w:r w:rsidRPr="00C515CC">
        <w:noBreakHyphen/>
        <w:t>nyaki régió sugárkezelése.</w:t>
      </w:r>
    </w:p>
    <w:p w14:paraId="7814D1D2" w14:textId="77777777" w:rsidR="00951F81" w:rsidRPr="00C515CC" w:rsidRDefault="00951F81" w:rsidP="00C515CC">
      <w:pPr>
        <w:numPr>
          <w:ilvl w:val="0"/>
          <w:numId w:val="54"/>
        </w:numPr>
        <w:tabs>
          <w:tab w:val="clear" w:pos="567"/>
        </w:tabs>
        <w:ind w:left="567" w:hanging="567"/>
      </w:pPr>
      <w:r w:rsidRPr="00C515CC">
        <w:t>nem megfelelő szájápolás, fogágybetegség, nem megfelelően illeszkedő műfogsor, fogászati betegség a kórtörténetben, invazív fogászati beavatkozások (például foghúzás).</w:t>
      </w:r>
    </w:p>
    <w:p w14:paraId="51C26784" w14:textId="77777777" w:rsidR="00951F81" w:rsidRPr="00C515CC" w:rsidRDefault="00951F81" w:rsidP="00C515CC"/>
    <w:p w14:paraId="2A0A011B" w14:textId="77777777" w:rsidR="00951F81" w:rsidRPr="00C515CC" w:rsidRDefault="00951F81" w:rsidP="00C515CC">
      <w:r w:rsidRPr="00C515CC">
        <w:t>Minden beteg figyelmét fel kell hívni a helyes szájápolás és a rendszeres fogorvosi ellenőrzések fontosságára és arra, hogy a denoszumab</w:t>
      </w:r>
      <w:r w:rsidRPr="00C515CC">
        <w:noBreakHyphen/>
        <w:t>kezelés ideje alatt azonnal jelentsenek bármilyen szájüregi tünetet, pl. mozgó fogat, fájdalmat vagy duzzanatot, illetve a nem gyógyuló sebeket és a váladékozást. A kezelés ideje alatt invazív fogászati beavatkozásra csak gondos mérlegelést követően kerülhet sor, és közvetlenül a denoszumab alkalmazása előtt vagy után kerülendő az ilyen beavatkozás.</w:t>
      </w:r>
    </w:p>
    <w:p w14:paraId="5CD92D97" w14:textId="77777777" w:rsidR="00951F81" w:rsidRPr="00C515CC" w:rsidRDefault="00951F81" w:rsidP="00C515CC"/>
    <w:p w14:paraId="12B6F052" w14:textId="4919AA89" w:rsidR="00951F81" w:rsidRPr="00C515CC" w:rsidRDefault="00951F81" w:rsidP="00C515CC">
      <w:r w:rsidRPr="00C515CC">
        <w:t xml:space="preserve">Azoknak a betegeknek a kezelési tervét, akiknél ONJ alakul ki, a kezelőorvos és az ONJ kezelésében jártas fogorvos vagy szájsebész szoros együttműködésével kell kialakítani. Mérlegelni kell a kezelés átmeneti felfüggesztését mindaddig, amíg az állapot elmúlik, és </w:t>
      </w:r>
      <w:r w:rsidR="00D54165">
        <w:t>a közrejátszó</w:t>
      </w:r>
      <w:r w:rsidRPr="00C515CC">
        <w:t xml:space="preserve"> kockázati tényezők mérséklődnek, ahol ez lehetséges.</w:t>
      </w:r>
    </w:p>
    <w:p w14:paraId="0F2E33F0" w14:textId="77777777" w:rsidR="00951F81" w:rsidRPr="00C515CC" w:rsidRDefault="00951F81" w:rsidP="00C515CC"/>
    <w:p w14:paraId="7A8B2FDD" w14:textId="77777777" w:rsidR="00951F81" w:rsidRPr="00C515CC" w:rsidRDefault="00951F81" w:rsidP="00C515CC">
      <w:pPr>
        <w:keepNext/>
        <w:tabs>
          <w:tab w:val="clear" w:pos="567"/>
        </w:tabs>
        <w:rPr>
          <w:i/>
          <w:iCs/>
        </w:rPr>
      </w:pPr>
      <w:r w:rsidRPr="00C515CC">
        <w:rPr>
          <w:i/>
        </w:rPr>
        <w:t>A külső hallójárat osteonecrosisa</w:t>
      </w:r>
    </w:p>
    <w:p w14:paraId="48B81B89" w14:textId="1A7DB063" w:rsidR="00951F81" w:rsidRPr="00C515CC" w:rsidRDefault="00951F81" w:rsidP="00C515CC">
      <w:r w:rsidRPr="00C515CC">
        <w:t xml:space="preserve">A denoszumab alkalmazásakor </w:t>
      </w:r>
      <w:r w:rsidR="00D54165">
        <w:t xml:space="preserve">a </w:t>
      </w:r>
      <w:r w:rsidRPr="00C515CC">
        <w:t>külső hallójárat osteonecrosis</w:t>
      </w:r>
      <w:r w:rsidR="00D54165">
        <w:t>á</w:t>
      </w:r>
      <w:r w:rsidRPr="00C515CC">
        <w:t>t jelentett</w:t>
      </w:r>
      <w:r w:rsidR="00D54165">
        <w:t>é</w:t>
      </w:r>
      <w:r w:rsidRPr="00C515CC">
        <w:t xml:space="preserve">k. A külső hallójárat osteonecrosisának lehetséges kockázati tényezői közé a </w:t>
      </w:r>
      <w:r w:rsidR="00D54165" w:rsidRPr="00C515CC">
        <w:t>szteroid</w:t>
      </w:r>
      <w:r w:rsidR="00D54165">
        <w:t>-alkalmazás</w:t>
      </w:r>
      <w:r w:rsidR="00D54165" w:rsidRPr="00C515CC">
        <w:t xml:space="preserve"> </w:t>
      </w:r>
      <w:r w:rsidRPr="00C515CC">
        <w:t>és a kemoterápia és/vagy a helyi kockázati tényezők tartoznak, mint például a fertőzés vagy a trauma. A külső hallójárat osteonecrosisának lehetőségét mérlegelni kell azoknál a denoszumabbal kezelt betegeknél, akiknél fültünetek jelentkeznek, beleértve a krónikus fülgyulladást is.</w:t>
      </w:r>
    </w:p>
    <w:p w14:paraId="5A052020" w14:textId="77777777" w:rsidR="00951F81" w:rsidRPr="00C515CC" w:rsidRDefault="00951F81" w:rsidP="00C515CC"/>
    <w:p w14:paraId="11AE3ECC" w14:textId="77777777" w:rsidR="00951F81" w:rsidRPr="00C515CC" w:rsidRDefault="00951F81" w:rsidP="00C515CC">
      <w:pPr>
        <w:keepNext/>
        <w:tabs>
          <w:tab w:val="clear" w:pos="567"/>
        </w:tabs>
        <w:rPr>
          <w:i/>
          <w:iCs/>
        </w:rPr>
      </w:pPr>
      <w:r w:rsidRPr="00C515CC">
        <w:rPr>
          <w:i/>
        </w:rPr>
        <w:t>A combcsont atípusos törései</w:t>
      </w:r>
    </w:p>
    <w:p w14:paraId="64ABE369" w14:textId="5B003DA5" w:rsidR="00951F81" w:rsidRPr="00C515CC" w:rsidRDefault="00951F81" w:rsidP="00C515CC">
      <w:r w:rsidRPr="00C515CC">
        <w:t>Denoszumabbal kezelt betegeknél atípusos femur</w:t>
      </w:r>
      <w:r w:rsidRPr="00C515CC">
        <w:noBreakHyphen/>
        <w:t>töréseket jelentettek (lásd 4.8 pont). Az atípusos femur</w:t>
      </w:r>
      <w:r w:rsidRPr="00C515CC">
        <w:noBreakHyphen/>
        <w:t>törés előfordulhat csekély trauma hatására vagy trauma nélkül is</w:t>
      </w:r>
      <w:r w:rsidR="00477822">
        <w:t>,</w:t>
      </w:r>
      <w:r w:rsidRPr="00C515CC">
        <w:t xml:space="preserve"> a combcsont subtrochantericus és diaphysealis régiójában. Ezeket az eseményeket specifikus radiológiai leletek jellemzik. Bizonyos komorbid állapotokban (pl. D</w:t>
      </w:r>
      <w:r w:rsidRPr="00C515CC">
        <w:noBreakHyphen/>
        <w:t>vitamin</w:t>
      </w:r>
      <w:r w:rsidR="00477822">
        <w:t>-</w:t>
      </w:r>
      <w:r w:rsidRPr="00C515CC">
        <w:t>hiányban, rheumatoid arthritisben, hypophosphatasiában) szenvedő és bizonyos gyógyszereket (pl. biszfoszfonátokat, glükokortikoidokat, proton</w:t>
      </w:r>
      <w:r w:rsidRPr="00C515CC">
        <w:noBreakHyphen/>
        <w:t xml:space="preserve">pumpa gátlókat) alkalmazó betegeknél szintén </w:t>
      </w:r>
      <w:r w:rsidR="00D54165" w:rsidRPr="00C515CC">
        <w:t xml:space="preserve">jelentettek </w:t>
      </w:r>
      <w:r w:rsidRPr="00C515CC">
        <w:t>atípusos femur</w:t>
      </w:r>
      <w:r w:rsidRPr="00C515CC">
        <w:noBreakHyphen/>
        <w:t>töréseket. Ezek az események is antireszorptív kezelés nélkül fordultak elő. A biszfoszfonátokhoz kapcsolódóan jelentett</w:t>
      </w:r>
      <w:r w:rsidR="00477822">
        <w:t>,</w:t>
      </w:r>
      <w:r w:rsidRPr="00C515CC">
        <w:t xml:space="preserve"> hasonló törések gyakran bilaterálisak, ezért azoknál a denoszumabbal kezelt betegeknél, akiknek femur diaphysis törése van, az ellenoldali combcsontot is meg kell vizsgálni. Azoknál a betegeknél, akiknél fennáll az atípusos femur</w:t>
      </w:r>
      <w:r w:rsidRPr="00C515CC">
        <w:noBreakHyphen/>
        <w:t>törés gyanúja, a beteg előny/kockázat arányának egyedi értékelése alapján fontolóra kell venni a denoszumab</w:t>
      </w:r>
      <w:r w:rsidRPr="00C515CC">
        <w:noBreakHyphen/>
        <w:t>kezelés abbahagyását. A denoszumab</w:t>
      </w:r>
      <w:r w:rsidRPr="00C515CC">
        <w:noBreakHyphen/>
        <w:t>kezelés alatt a betegeket tájékoztatni kell, hogy az új</w:t>
      </w:r>
      <w:r w:rsidR="00477822">
        <w:t>onnan jelentkező</w:t>
      </w:r>
      <w:r w:rsidRPr="00C515CC">
        <w:t xml:space="preserve"> vagy szokatlan comb</w:t>
      </w:r>
      <w:r w:rsidRPr="00C515CC">
        <w:noBreakHyphen/>
        <w:t>, csípő</w:t>
      </w:r>
      <w:r w:rsidRPr="00C515CC">
        <w:noBreakHyphen/>
        <w:t xml:space="preserve"> vagy lágyékfájdal</w:t>
      </w:r>
      <w:r w:rsidR="00477822">
        <w:t xml:space="preserve">makról </w:t>
      </w:r>
      <w:r w:rsidRPr="00C515CC">
        <w:t xml:space="preserve">számoljanak be. Az ilyen tünetekkel jelentkező betegeknél vizsgálni kell az </w:t>
      </w:r>
      <w:r w:rsidR="00D54165">
        <w:t xml:space="preserve">eseetleges </w:t>
      </w:r>
      <w:r w:rsidRPr="00C515CC">
        <w:t>inkomplett femur</w:t>
      </w:r>
      <w:r w:rsidRPr="00C515CC">
        <w:noBreakHyphen/>
        <w:t>törést.</w:t>
      </w:r>
    </w:p>
    <w:p w14:paraId="3140220A" w14:textId="77777777" w:rsidR="00951F81" w:rsidRPr="00C515CC" w:rsidRDefault="00951F81" w:rsidP="00C515CC"/>
    <w:p w14:paraId="0466ACE2" w14:textId="77777777" w:rsidR="00951F81" w:rsidRPr="00C515CC" w:rsidRDefault="00951F81" w:rsidP="00C515CC">
      <w:pPr>
        <w:keepNext/>
        <w:tabs>
          <w:tab w:val="clear" w:pos="567"/>
        </w:tabs>
        <w:rPr>
          <w:i/>
          <w:iCs/>
        </w:rPr>
      </w:pPr>
      <w:r w:rsidRPr="00C515CC">
        <w:rPr>
          <w:i/>
        </w:rPr>
        <w:t>Hosszú távú antireszorptív kezelés</w:t>
      </w:r>
    </w:p>
    <w:p w14:paraId="72030602" w14:textId="32DE4829" w:rsidR="00951F81" w:rsidRPr="00C515CC" w:rsidRDefault="00951F81" w:rsidP="00C515CC">
      <w:r w:rsidRPr="00C515CC">
        <w:t>A hosszú távú antireszorptív kezelés (beleértve a denoszumabot és a biszfoszfonátokat is) a csontátépítés jelentős gátlása miatt hozzájárulhat a nemkívánatos hatások</w:t>
      </w:r>
      <w:r w:rsidR="00477822">
        <w:t xml:space="preserve"> –</w:t>
      </w:r>
      <w:r w:rsidRPr="00C515CC">
        <w:t xml:space="preserve"> mint például az állcsont osteonecrosis és a combcsont atípusos törései</w:t>
      </w:r>
      <w:r w:rsidR="00477822">
        <w:t xml:space="preserve"> –</w:t>
      </w:r>
      <w:r w:rsidRPr="00C515CC">
        <w:t xml:space="preserve"> megnövekedett kockázatához (lásd 4.2 pont).</w:t>
      </w:r>
    </w:p>
    <w:p w14:paraId="790A657F" w14:textId="77777777" w:rsidR="00951F81" w:rsidRDefault="00951F81" w:rsidP="00C515CC"/>
    <w:p w14:paraId="4009834E" w14:textId="77777777" w:rsidR="003F6E34" w:rsidRPr="00C515CC" w:rsidRDefault="003F6E34" w:rsidP="003F6E34">
      <w:pPr>
        <w:keepNext/>
        <w:tabs>
          <w:tab w:val="clear" w:pos="567"/>
        </w:tabs>
        <w:rPr>
          <w:i/>
          <w:iCs/>
        </w:rPr>
      </w:pPr>
      <w:r w:rsidRPr="003F6E34">
        <w:rPr>
          <w:i/>
          <w:iCs/>
        </w:rPr>
        <w:t>A kezelés abbahagyása</w:t>
      </w:r>
    </w:p>
    <w:p w14:paraId="07E7EAE2" w14:textId="5F21FE71" w:rsidR="003F6E34" w:rsidRDefault="003F6E34" w:rsidP="003F6E34">
      <w:r w:rsidRPr="003F6E34">
        <w:t>A denoszumab-kezelés abbahagyását követően a csont ásványianyag-sűrűségének (bone mineral density, BMD) csökkenése várható (lásd 5.1</w:t>
      </w:r>
      <w:r>
        <w:t> </w:t>
      </w:r>
      <w:r w:rsidRPr="003F6E34">
        <w:t>pont), ami a törések fokozott kockázatához vezet. Ezért a BMD</w:t>
      </w:r>
      <w:r>
        <w:noBreakHyphen/>
      </w:r>
      <w:r w:rsidRPr="003F6E34">
        <w:t>érték monitorozása javasolt, illetve mérlegelendő a szakmai irányelveknek megfelelő alternatív kezelés.</w:t>
      </w:r>
    </w:p>
    <w:p w14:paraId="31F32868" w14:textId="77777777" w:rsidR="003F6E34" w:rsidRPr="00C515CC" w:rsidRDefault="003F6E34" w:rsidP="003F6E34"/>
    <w:p w14:paraId="1EE4B332" w14:textId="77777777" w:rsidR="00951F81" w:rsidRPr="00C515CC" w:rsidRDefault="00951F81" w:rsidP="00C515CC">
      <w:pPr>
        <w:keepNext/>
        <w:tabs>
          <w:tab w:val="clear" w:pos="567"/>
        </w:tabs>
        <w:rPr>
          <w:i/>
          <w:iCs/>
        </w:rPr>
      </w:pPr>
      <w:r w:rsidRPr="00C515CC">
        <w:rPr>
          <w:i/>
        </w:rPr>
        <w:t>Egyidejű kezelés más, denoszumabot tartalmazó gyógyszerrel</w:t>
      </w:r>
    </w:p>
    <w:p w14:paraId="46BB5AF5" w14:textId="77777777" w:rsidR="00951F81" w:rsidRPr="00C515CC" w:rsidRDefault="00951F81" w:rsidP="00C515CC">
      <w:r w:rsidRPr="00C515CC">
        <w:t>A denoszumabbal kezelt betegeket nem szabad egyidejűleg más, denoszumabot tartalmazó gyógyszerrel kezelni (a csontrendszert érintő események megelőzésére, szolid tumorok csontáttéteiben szenvedő felnőtteknél).</w:t>
      </w:r>
    </w:p>
    <w:p w14:paraId="1C9D4205" w14:textId="77777777" w:rsidR="00951F81" w:rsidRPr="00C515CC" w:rsidRDefault="00951F81" w:rsidP="00C515CC"/>
    <w:p w14:paraId="57FA8B90" w14:textId="77777777" w:rsidR="00951F81" w:rsidRPr="00C515CC" w:rsidRDefault="00951F81" w:rsidP="00C515CC">
      <w:pPr>
        <w:keepNext/>
        <w:rPr>
          <w:i/>
          <w:iCs/>
        </w:rPr>
      </w:pPr>
      <w:r w:rsidRPr="00C515CC">
        <w:rPr>
          <w:i/>
        </w:rPr>
        <w:t>Hypercalcaemia gyermekeknél és serdülőknél</w:t>
      </w:r>
    </w:p>
    <w:p w14:paraId="41C8F3AC" w14:textId="045E03E6" w:rsidR="00951F81" w:rsidRPr="00C515CC" w:rsidRDefault="00951F81" w:rsidP="00C515CC">
      <w:r w:rsidRPr="00C515CC">
        <w:t xml:space="preserve">A </w:t>
      </w:r>
      <w:r w:rsidR="00A96EB8" w:rsidRPr="00C515CC">
        <w:t>Kefdensis</w:t>
      </w:r>
      <w:r w:rsidRPr="00C515CC">
        <w:noBreakHyphen/>
        <w:t>t nem szabad gyermek</w:t>
      </w:r>
      <w:r w:rsidR="00477822">
        <w:t>-</w:t>
      </w:r>
      <w:r w:rsidRPr="00C515CC">
        <w:t xml:space="preserve"> és serdülőkorú (18 évesnél fiatalabb) betegeknél alkalmazni. Súlyos hypercalcaemiáról számoltak be. Egyes klinikai vizsgálati esetekben </w:t>
      </w:r>
      <w:r w:rsidR="005600A8">
        <w:t>akut</w:t>
      </w:r>
      <w:r w:rsidR="005600A8" w:rsidRPr="00C515CC">
        <w:t xml:space="preserve"> </w:t>
      </w:r>
      <w:r w:rsidRPr="00C515CC">
        <w:t>vesekárosodás alakult ki.</w:t>
      </w:r>
    </w:p>
    <w:p w14:paraId="5538D796" w14:textId="77777777" w:rsidR="00951F81" w:rsidRPr="00C515CC" w:rsidRDefault="00951F81" w:rsidP="00C515CC"/>
    <w:p w14:paraId="3135E4C5" w14:textId="77777777" w:rsidR="00951F81" w:rsidRPr="00C515CC" w:rsidRDefault="00951F81" w:rsidP="00C515CC">
      <w:pPr>
        <w:keepNext/>
        <w:ind w:left="567" w:hanging="567"/>
        <w:rPr>
          <w:b/>
        </w:rPr>
      </w:pPr>
      <w:r w:rsidRPr="00C515CC">
        <w:rPr>
          <w:b/>
        </w:rPr>
        <w:t>4.5</w:t>
      </w:r>
      <w:r w:rsidRPr="00C515CC">
        <w:rPr>
          <w:b/>
        </w:rPr>
        <w:tab/>
        <w:t>Gyógyszerkölcsönhatások és egyéb interakciók</w:t>
      </w:r>
    </w:p>
    <w:p w14:paraId="7B9639FF" w14:textId="77777777" w:rsidR="00951F81" w:rsidRPr="00C515CC" w:rsidRDefault="00951F81" w:rsidP="00C515CC">
      <w:pPr>
        <w:keepNext/>
      </w:pPr>
    </w:p>
    <w:p w14:paraId="4D3BE312" w14:textId="25C83CB6" w:rsidR="00951F81" w:rsidRPr="00C515CC" w:rsidRDefault="00951F81" w:rsidP="00C515CC">
      <w:r w:rsidRPr="00C515CC">
        <w:t xml:space="preserve">Egy interakciós vizsgálatban a denoszumab nem befolyásolta a midazolám farmakokinetikáját, mely a </w:t>
      </w:r>
      <w:r w:rsidR="00DE5209">
        <w:t>citokróm</w:t>
      </w:r>
      <w:r w:rsidRPr="00C515CC">
        <w:t> P450 3A4 (CYP3A4) által metabolizálódik. Ez azt jelzi, hogy a denoszumab nem változtatja meg azoknak a gyógyszereknek a farmakokinetikáját, melyek a CYP3A4 által metabolizálódnak.</w:t>
      </w:r>
    </w:p>
    <w:p w14:paraId="0D831810" w14:textId="77777777" w:rsidR="00951F81" w:rsidRPr="00C515CC" w:rsidRDefault="00951F81" w:rsidP="00C515CC"/>
    <w:p w14:paraId="793ECE37" w14:textId="0DCDE7C3" w:rsidR="00951F81" w:rsidRPr="00C515CC" w:rsidRDefault="00951F81" w:rsidP="00C515CC">
      <w:r w:rsidRPr="00C515CC">
        <w:t>Nincs klinikai adat a denoszumab és a hormonpótló (ösztrogén)</w:t>
      </w:r>
      <w:r w:rsidR="00DE5209">
        <w:t>-</w:t>
      </w:r>
      <w:r w:rsidRPr="00C515CC">
        <w:t>terápia egyidejű alkalmazásáról, de a farmakodinámiás interakció lehetősége alacsonynak tekinthető.</w:t>
      </w:r>
    </w:p>
    <w:p w14:paraId="7979FADB" w14:textId="77777777" w:rsidR="00951F81" w:rsidRPr="00C515CC" w:rsidRDefault="00951F81" w:rsidP="00C515CC"/>
    <w:p w14:paraId="57998C88" w14:textId="77777777" w:rsidR="00951F81" w:rsidRPr="00C515CC" w:rsidRDefault="00951F81" w:rsidP="00C515CC">
      <w:r w:rsidRPr="00C515CC">
        <w:t>Egy (alendronátról denoszumabra történő) gyógyszerváltásos vizsgálat adatai alapján, postmenopausalis osteoporosisban szenvedő nőknél a korábbi alendronát</w:t>
      </w:r>
      <w:r w:rsidRPr="00C515CC">
        <w:noBreakHyphen/>
        <w:t>kezelés nem változtatta meg a denoszumab farmakokinetikáját és farmakodinámiáját.</w:t>
      </w:r>
    </w:p>
    <w:p w14:paraId="38B129AE" w14:textId="77777777" w:rsidR="00951F81" w:rsidRPr="00C515CC" w:rsidRDefault="00951F81" w:rsidP="00C515CC"/>
    <w:p w14:paraId="7F98BDBE" w14:textId="77777777" w:rsidR="00951F81" w:rsidRPr="00C515CC" w:rsidRDefault="00951F81" w:rsidP="00C515CC">
      <w:pPr>
        <w:keepNext/>
        <w:ind w:left="567" w:hanging="567"/>
        <w:rPr>
          <w:b/>
        </w:rPr>
      </w:pPr>
      <w:r w:rsidRPr="00C515CC">
        <w:rPr>
          <w:b/>
        </w:rPr>
        <w:t>4.6</w:t>
      </w:r>
      <w:r w:rsidRPr="00C515CC">
        <w:rPr>
          <w:b/>
        </w:rPr>
        <w:tab/>
        <w:t>Termékenység, terhesség és szoptatás</w:t>
      </w:r>
    </w:p>
    <w:p w14:paraId="21B41172" w14:textId="77777777" w:rsidR="00951F81" w:rsidRPr="00C515CC" w:rsidRDefault="00951F81" w:rsidP="00C515CC">
      <w:pPr>
        <w:keepNext/>
      </w:pPr>
    </w:p>
    <w:p w14:paraId="140DF9CA" w14:textId="77777777" w:rsidR="00951F81" w:rsidRPr="00C515CC" w:rsidRDefault="00951F81" w:rsidP="00C515CC">
      <w:pPr>
        <w:keepNext/>
        <w:rPr>
          <w:u w:val="single"/>
        </w:rPr>
      </w:pPr>
      <w:r w:rsidRPr="00C515CC">
        <w:rPr>
          <w:u w:val="single"/>
        </w:rPr>
        <w:t>Terhesség</w:t>
      </w:r>
    </w:p>
    <w:p w14:paraId="773476C6" w14:textId="77777777" w:rsidR="00951F81" w:rsidRPr="00C515CC" w:rsidRDefault="00951F81" w:rsidP="00C515CC">
      <w:pPr>
        <w:keepNext/>
      </w:pPr>
    </w:p>
    <w:p w14:paraId="32BD7335" w14:textId="39C7B408" w:rsidR="00951F81" w:rsidRPr="00C515CC" w:rsidRDefault="00951F81" w:rsidP="00C515CC">
      <w:r w:rsidRPr="00C515CC">
        <w:t xml:space="preserve">A denoszumab terheseknél történő alkalmazásáról </w:t>
      </w:r>
      <w:r w:rsidR="005600A8">
        <w:t>nincsenek adatok</w:t>
      </w:r>
      <w:r w:rsidR="00DE5209">
        <w:t>,</w:t>
      </w:r>
      <w:r w:rsidRPr="00C515CC">
        <w:t xml:space="preserve"> vagy csak korlátozott mennyiségű </w:t>
      </w:r>
      <w:r w:rsidR="005600A8">
        <w:t>adat</w:t>
      </w:r>
      <w:r w:rsidR="005600A8" w:rsidRPr="00C515CC">
        <w:t xml:space="preserve"> </w:t>
      </w:r>
      <w:r w:rsidRPr="00C515CC">
        <w:t xml:space="preserve">áll rendelkezésre. </w:t>
      </w:r>
      <w:r w:rsidR="005600A8" w:rsidRPr="007516F7">
        <w:t>Az állatokkal végzett vizsgálatok reprodukciós</w:t>
      </w:r>
      <w:r w:rsidRPr="00C515CC">
        <w:t xml:space="preserve"> toxicitást igazoltak (lásd 5.3 pont).</w:t>
      </w:r>
    </w:p>
    <w:p w14:paraId="28F973AC" w14:textId="77777777" w:rsidR="00951F81" w:rsidRPr="00C515CC" w:rsidRDefault="00951F81" w:rsidP="00C515CC"/>
    <w:p w14:paraId="04D768E7" w14:textId="53B74FCF" w:rsidR="00951F81" w:rsidRPr="00C515CC" w:rsidRDefault="00951F81" w:rsidP="00C515CC">
      <w:r w:rsidRPr="00C515CC">
        <w:t xml:space="preserve">A </w:t>
      </w:r>
      <w:r w:rsidR="00A96EB8" w:rsidRPr="00C515CC">
        <w:t>Kefdensis</w:t>
      </w:r>
      <w:r w:rsidRPr="00C515CC">
        <w:t xml:space="preserve"> alkalmazása nem </w:t>
      </w:r>
      <w:r w:rsidR="005600A8">
        <w:t>javasolt</w:t>
      </w:r>
      <w:r w:rsidR="005600A8" w:rsidRPr="00C515CC">
        <w:t xml:space="preserve"> </w:t>
      </w:r>
      <w:r w:rsidRPr="00C515CC">
        <w:t xml:space="preserve">terhesség alatt és olyan fogamzóképes korú nők esetében, akik nem alkalmaznak fogamzásgátlást. A betegeket figyelmeztetni kell, hogy a </w:t>
      </w:r>
      <w:r w:rsidR="00A96EB8" w:rsidRPr="00C515CC">
        <w:t>denoszumab</w:t>
      </w:r>
      <w:r w:rsidRPr="00C515CC">
        <w:noBreakHyphen/>
        <w:t xml:space="preserve">kezelés alatt és az azt követő legalább 5 hónap során ne essenek teherbe. A </w:t>
      </w:r>
      <w:r w:rsidR="00A96EB8" w:rsidRPr="00C515CC">
        <w:t>denoszumab</w:t>
      </w:r>
      <w:r w:rsidRPr="00C515CC">
        <w:t xml:space="preserve"> magzatra gyakorolt hatása a terhesség második és harmadik harmadában nagyobb lehet, mivel a </w:t>
      </w:r>
      <w:r w:rsidR="005600A8" w:rsidRPr="00C515CC">
        <w:t xml:space="preserve">terhesség előrehaladtával fokozódik </w:t>
      </w:r>
      <w:r w:rsidR="005600A8">
        <w:t xml:space="preserve">a </w:t>
      </w:r>
      <w:r w:rsidRPr="00C515CC">
        <w:t xml:space="preserve">monoklonális antitestek </w:t>
      </w:r>
      <w:r w:rsidR="005600A8" w:rsidRPr="00C515CC">
        <w:t xml:space="preserve">átjutása </w:t>
      </w:r>
      <w:r w:rsidR="005600A8">
        <w:t xml:space="preserve">a </w:t>
      </w:r>
      <w:r w:rsidRPr="00C515CC">
        <w:t>placentán, a legnagyobb mértékét az utolsó trimeszterben éri el.</w:t>
      </w:r>
    </w:p>
    <w:p w14:paraId="56E00A1B" w14:textId="77777777" w:rsidR="00951F81" w:rsidRPr="00C515CC" w:rsidRDefault="00951F81" w:rsidP="00C515CC"/>
    <w:p w14:paraId="6BF0A3BE" w14:textId="77777777" w:rsidR="00951F81" w:rsidRPr="00C515CC" w:rsidRDefault="00951F81" w:rsidP="00C515CC">
      <w:pPr>
        <w:keepNext/>
        <w:rPr>
          <w:u w:val="single"/>
        </w:rPr>
      </w:pPr>
      <w:r w:rsidRPr="00C515CC">
        <w:rPr>
          <w:u w:val="single"/>
        </w:rPr>
        <w:t>Szoptatás</w:t>
      </w:r>
    </w:p>
    <w:p w14:paraId="09C6AC7C" w14:textId="77777777" w:rsidR="00951F81" w:rsidRPr="00C515CC" w:rsidRDefault="00951F81" w:rsidP="00C515CC">
      <w:pPr>
        <w:keepNext/>
      </w:pPr>
    </w:p>
    <w:p w14:paraId="25D3B949" w14:textId="264F28FC" w:rsidR="00951F81" w:rsidRPr="00C515CC" w:rsidRDefault="00951F81" w:rsidP="00C515CC">
      <w:r w:rsidRPr="00C515CC">
        <w:t>Nem ismert, hogy a denoszumab kiválasztódik</w:t>
      </w:r>
      <w:r w:rsidRPr="00C515CC">
        <w:noBreakHyphen/>
        <w:t>e a humán anyatejbe. Géntechnológiával módosított egerek</w:t>
      </w:r>
      <w:r w:rsidR="005600A8">
        <w:t>nél</w:t>
      </w:r>
      <w:r w:rsidRPr="00C515CC">
        <w:t>, amelyek</w:t>
      </w:r>
      <w:r w:rsidR="005600A8">
        <w:t>nél</w:t>
      </w:r>
      <w:r w:rsidRPr="00C515CC">
        <w:t xml:space="preserve"> a RANKL</w:t>
      </w:r>
      <w:r w:rsidRPr="00C515CC">
        <w:noBreakHyphen/>
        <w:t>t génablációval kikapcsolták („knockout </w:t>
      </w:r>
      <w:r w:rsidRPr="00C515CC">
        <w:noBreakHyphen/>
        <w:t xml:space="preserve"> génkiütött” egér), a vizsgálatok arra utalnak, hogy a RANKL (amely a denoszumab célpontja, lásd 5.1 pont) hiánya a vemhesség során akadályozhatja az emlőmirigy érését, és az ellést követően a tejelválasztás károsodásához vezethet (lásd 5.3 pont). A </w:t>
      </w:r>
      <w:r w:rsidR="00A96EB8" w:rsidRPr="00C515CC">
        <w:t>denoszumab</w:t>
      </w:r>
      <w:r w:rsidRPr="00C515CC">
        <w:t xml:space="preserve"> alkalmazása előtt el kell dönteni, hogy a szoptatást függesztik fel, vagy tartózkodnak a kezeléstől, figyelembe véve a szoptatás előnyét az újszülött gyermekre/csecsemőre nézve, valamint a </w:t>
      </w:r>
      <w:r w:rsidR="00A96EB8" w:rsidRPr="00C515CC">
        <w:t>denoszumab</w:t>
      </w:r>
      <w:r w:rsidRPr="00C515CC">
        <w:noBreakHyphen/>
        <w:t>kezelés előnyét a</w:t>
      </w:r>
      <w:r w:rsidR="003D35FA">
        <w:t>z</w:t>
      </w:r>
      <w:r w:rsidRPr="00C515CC">
        <w:t xml:space="preserve"> </w:t>
      </w:r>
      <w:r w:rsidR="003D35FA">
        <w:t>anyára</w:t>
      </w:r>
      <w:r w:rsidR="003D35FA" w:rsidRPr="00C515CC">
        <w:t xml:space="preserve"> </w:t>
      </w:r>
      <w:r w:rsidRPr="00C515CC">
        <w:t>nézve.</w:t>
      </w:r>
    </w:p>
    <w:p w14:paraId="4677EDC0" w14:textId="77777777" w:rsidR="00951F81" w:rsidRPr="00C515CC" w:rsidRDefault="00951F81" w:rsidP="00C515CC"/>
    <w:p w14:paraId="01E8BC7D" w14:textId="77777777" w:rsidR="00951F81" w:rsidRPr="00C515CC" w:rsidRDefault="00951F81" w:rsidP="00C515CC">
      <w:pPr>
        <w:keepNext/>
        <w:rPr>
          <w:u w:val="single"/>
        </w:rPr>
      </w:pPr>
      <w:r w:rsidRPr="00C515CC">
        <w:rPr>
          <w:u w:val="single"/>
        </w:rPr>
        <w:t>Termékenység</w:t>
      </w:r>
    </w:p>
    <w:p w14:paraId="5893C3CD" w14:textId="77777777" w:rsidR="00951F81" w:rsidRPr="00C515CC" w:rsidRDefault="00951F81" w:rsidP="00C515CC">
      <w:pPr>
        <w:keepNext/>
      </w:pPr>
    </w:p>
    <w:p w14:paraId="37CB78C0" w14:textId="77777777" w:rsidR="00951F81" w:rsidRPr="00C515CC" w:rsidRDefault="00951F81" w:rsidP="00C515CC">
      <w:r w:rsidRPr="00C515CC">
        <w:t>Nincsenek adatok a denoszumabnak az emberi termékenységre kifejtett hatásáról. Állatkísérletek nem igazoltak direkt vagy indirekt káros hatásokat a termékenység tekintetében (lásd 5.3 pont).</w:t>
      </w:r>
    </w:p>
    <w:p w14:paraId="13E43019" w14:textId="77777777" w:rsidR="00951F81" w:rsidRPr="00C515CC" w:rsidRDefault="00951F81" w:rsidP="00C515CC"/>
    <w:p w14:paraId="3415FA76" w14:textId="77777777" w:rsidR="00951F81" w:rsidRPr="00C515CC" w:rsidRDefault="00951F81" w:rsidP="00C515CC">
      <w:pPr>
        <w:keepNext/>
        <w:ind w:left="567" w:hanging="567"/>
        <w:rPr>
          <w:b/>
        </w:rPr>
      </w:pPr>
      <w:r w:rsidRPr="00C515CC">
        <w:rPr>
          <w:b/>
        </w:rPr>
        <w:t>4.7</w:t>
      </w:r>
      <w:r w:rsidRPr="00C515CC">
        <w:rPr>
          <w:b/>
        </w:rPr>
        <w:tab/>
        <w:t>A készítmény hatásai a gépjárművezetéshez és a gépek kezeléséhez szükséges képességekre</w:t>
      </w:r>
    </w:p>
    <w:p w14:paraId="4A36505E" w14:textId="77777777" w:rsidR="00951F81" w:rsidRPr="00C515CC" w:rsidRDefault="00951F81" w:rsidP="00C515CC">
      <w:pPr>
        <w:keepNext/>
      </w:pPr>
    </w:p>
    <w:p w14:paraId="20B5F546" w14:textId="48746453" w:rsidR="00951F81" w:rsidRPr="00C515CC" w:rsidRDefault="00951F81" w:rsidP="00C515CC">
      <w:r w:rsidRPr="00C515CC">
        <w:t xml:space="preserve">A </w:t>
      </w:r>
      <w:r w:rsidR="005D70A2" w:rsidRPr="00C515CC">
        <w:t>denoszumab</w:t>
      </w:r>
      <w:r w:rsidRPr="00C515CC">
        <w:t xml:space="preserve"> </w:t>
      </w:r>
      <w:r w:rsidR="00BD3D36" w:rsidRPr="00C515CC">
        <w:t>nem,</w:t>
      </w:r>
      <w:r w:rsidRPr="00C515CC">
        <w:t xml:space="preserve"> vagy csak elhanyagolható mértékben befolyásolja a gépjárművezetéshez és a gépek kezeléséhez szükséges képességeket.</w:t>
      </w:r>
    </w:p>
    <w:p w14:paraId="7F8F5112" w14:textId="77777777" w:rsidR="00951F81" w:rsidRPr="00C515CC" w:rsidRDefault="00951F81" w:rsidP="00C515CC"/>
    <w:p w14:paraId="38262D28" w14:textId="77777777" w:rsidR="00951F81" w:rsidRPr="00C515CC" w:rsidRDefault="00951F81" w:rsidP="00C515CC">
      <w:pPr>
        <w:keepNext/>
        <w:ind w:left="567" w:hanging="567"/>
        <w:rPr>
          <w:b/>
        </w:rPr>
      </w:pPr>
      <w:r w:rsidRPr="00C515CC">
        <w:rPr>
          <w:b/>
        </w:rPr>
        <w:t>4.8</w:t>
      </w:r>
      <w:r w:rsidRPr="00C515CC">
        <w:rPr>
          <w:b/>
        </w:rPr>
        <w:tab/>
        <w:t>Nemkívánatos hatások, mellékhatások</w:t>
      </w:r>
    </w:p>
    <w:p w14:paraId="2B9F16B3" w14:textId="77777777" w:rsidR="00951F81" w:rsidRPr="00C515CC" w:rsidRDefault="00951F81" w:rsidP="00C515CC">
      <w:pPr>
        <w:keepNext/>
      </w:pPr>
    </w:p>
    <w:p w14:paraId="1136893A" w14:textId="77777777" w:rsidR="00951F81" w:rsidRPr="00C515CC" w:rsidRDefault="00951F81" w:rsidP="00C515CC">
      <w:pPr>
        <w:keepNext/>
        <w:rPr>
          <w:u w:val="single"/>
        </w:rPr>
      </w:pPr>
      <w:r w:rsidRPr="00C515CC">
        <w:rPr>
          <w:u w:val="single"/>
        </w:rPr>
        <w:t>A biztonságossági profil összegzése</w:t>
      </w:r>
    </w:p>
    <w:p w14:paraId="743B3262" w14:textId="77777777" w:rsidR="00951F81" w:rsidRPr="00C515CC" w:rsidRDefault="00951F81" w:rsidP="00C515CC">
      <w:pPr>
        <w:keepNext/>
      </w:pPr>
    </w:p>
    <w:p w14:paraId="1E08E246" w14:textId="2F738CAF" w:rsidR="00951F81" w:rsidRPr="00C515CC" w:rsidRDefault="00951F81" w:rsidP="00C515CC">
      <w:r w:rsidRPr="00C515CC">
        <w:t>A denoszumab leggyakoribb mellékhatásai (tíz betegből több mint egy</w:t>
      </w:r>
      <w:r w:rsidR="003D35FA">
        <w:t>et érinthet</w:t>
      </w:r>
      <w:r w:rsidRPr="00C515CC">
        <w:t>) a csont</w:t>
      </w:r>
      <w:r w:rsidRPr="00C515CC">
        <w:noBreakHyphen/>
        <w:t xml:space="preserve"> és izomrendszeri fájdalom, valamint a végtagfájdalom. Cellulitis nem gyakori eseteit, hypocalcaemia, túlérzékenység, állcsont</w:t>
      </w:r>
      <w:r w:rsidRPr="00C515CC">
        <w:noBreakHyphen/>
        <w:t>osteonecrosis és atípusos femur</w:t>
      </w:r>
      <w:r w:rsidRPr="00C515CC">
        <w:noBreakHyphen/>
        <w:t>törés ritka eseteit figyelték meg a denoszumab</w:t>
      </w:r>
      <w:r w:rsidRPr="00C515CC">
        <w:noBreakHyphen/>
        <w:t>kezelésben részesülő betegeknél (lásd 4.4 és 4.8 pont – egyes mellékhatások leírása).</w:t>
      </w:r>
    </w:p>
    <w:p w14:paraId="55DD56E5" w14:textId="77777777" w:rsidR="00951F81" w:rsidRPr="00C515CC" w:rsidRDefault="00951F81" w:rsidP="00C515CC"/>
    <w:p w14:paraId="275B6343" w14:textId="77777777" w:rsidR="00951F81" w:rsidRPr="00C515CC" w:rsidRDefault="00951F81" w:rsidP="00C515CC">
      <w:pPr>
        <w:keepNext/>
        <w:rPr>
          <w:u w:val="single"/>
        </w:rPr>
      </w:pPr>
      <w:r w:rsidRPr="00C515CC">
        <w:rPr>
          <w:u w:val="single"/>
        </w:rPr>
        <w:t>A mellékhatások táblázatos felsorolása</w:t>
      </w:r>
    </w:p>
    <w:p w14:paraId="77FBD388" w14:textId="77777777" w:rsidR="00951F81" w:rsidRPr="00C515CC" w:rsidRDefault="00951F81" w:rsidP="00C515CC">
      <w:pPr>
        <w:keepNext/>
      </w:pPr>
    </w:p>
    <w:p w14:paraId="12EF1294" w14:textId="77777777" w:rsidR="00951F81" w:rsidRPr="00C515CC" w:rsidRDefault="00951F81" w:rsidP="00C515CC">
      <w:r w:rsidRPr="00C515CC">
        <w:t>Az 1. táblázat osteoporosisban szenvedő vagy hormonablációban részesülő emlő</w:t>
      </w:r>
      <w:r w:rsidRPr="00C515CC">
        <w:noBreakHyphen/>
        <w:t xml:space="preserve"> vagy prostatacarcinomás betegeknél, a II. és III. fázisú klinikai vizsgálatok során jelentett és/vagy a spontán jelentésekből származó mellékhatásokat írja le.</w:t>
      </w:r>
    </w:p>
    <w:p w14:paraId="78A86924" w14:textId="77777777" w:rsidR="00951F81" w:rsidRPr="00C515CC" w:rsidRDefault="00951F81" w:rsidP="00C515CC"/>
    <w:p w14:paraId="6FD67ED0" w14:textId="77777777" w:rsidR="00951F81" w:rsidRPr="00C515CC" w:rsidRDefault="00951F81" w:rsidP="00C515CC">
      <w:r w:rsidRPr="00C515CC">
        <w:t>A mellékhatások osztályozására az alábbi konvenciót alkalmazták (lásd 1. táblázat): nagyon gyakori (≥ 1/10), gyakori (≥ 1/100 – &lt; 1/10), nem gyakori (≥ 1/1000 – &lt; 1/100), ritka (≥ 1/10 000 – &lt; 1/1000), nagyon ritka (&lt; 1/10 000) és nem ismert (a gyakoriság a rendelkezésre álló adatokból nem állapítható meg). Az egyes gyakorisági kategóriákon, illetve szervrendszereken belül a mellékhatások csökkenő súlyosság szerint kerülnek megadásra.</w:t>
      </w:r>
    </w:p>
    <w:p w14:paraId="12CBF1C5" w14:textId="77777777" w:rsidR="00951F81" w:rsidRPr="00C515CC" w:rsidRDefault="00951F81" w:rsidP="00C515CC"/>
    <w:p w14:paraId="3506BDF3" w14:textId="77777777" w:rsidR="00951F81" w:rsidRPr="00C515CC" w:rsidRDefault="00951F81" w:rsidP="00C515CC">
      <w:pPr>
        <w:keepNext/>
        <w:rPr>
          <w:b/>
          <w:bCs/>
        </w:rPr>
      </w:pPr>
      <w:r w:rsidRPr="00C515CC">
        <w:rPr>
          <w:b/>
        </w:rPr>
        <w:t>1. táblázat – Osteoporosisban szenvedő betegeknél és hormonablációban részesülő emlő</w:t>
      </w:r>
      <w:r w:rsidRPr="00C515CC">
        <w:rPr>
          <w:b/>
        </w:rPr>
        <w:noBreakHyphen/>
        <w:t xml:space="preserve"> vagy prostatacarcinomás betegeknél jelentett mellékhatások</w:t>
      </w:r>
    </w:p>
    <w:p w14:paraId="5EB1F3A2" w14:textId="77777777" w:rsidR="00951F81" w:rsidRPr="00C515CC" w:rsidRDefault="00951F81" w:rsidP="00C515CC">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rsidRPr="00C515CC"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77777777" w:rsidR="00951F81" w:rsidRPr="00C515CC" w:rsidRDefault="00951F81" w:rsidP="00C515CC">
            <w:pPr>
              <w:keepNext/>
              <w:rPr>
                <w:rFonts w:eastAsia="MS Mincho"/>
                <w:b/>
              </w:rPr>
            </w:pPr>
            <w:r w:rsidRPr="00C515CC">
              <w:rPr>
                <w:b/>
              </w:rPr>
              <w:t>MedDRA szervrendszeri kategória</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C515CC" w:rsidRDefault="00951F81" w:rsidP="00C515CC">
            <w:pPr>
              <w:keepNext/>
              <w:rPr>
                <w:rFonts w:eastAsia="MS Mincho"/>
                <w:bCs/>
                <w:u w:val="single"/>
              </w:rPr>
            </w:pPr>
            <w:r w:rsidRPr="00C515CC">
              <w:rPr>
                <w:b/>
              </w:rPr>
              <w:t>Gyakorisági kategória</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C515CC" w:rsidRDefault="00951F81" w:rsidP="00C515CC">
            <w:pPr>
              <w:keepNext/>
              <w:rPr>
                <w:rFonts w:eastAsia="MS Mincho"/>
                <w:b/>
                <w:bCs/>
              </w:rPr>
            </w:pPr>
            <w:r w:rsidRPr="00C515CC">
              <w:rPr>
                <w:b/>
              </w:rPr>
              <w:t>Mellékhatás</w:t>
            </w:r>
          </w:p>
        </w:tc>
      </w:tr>
      <w:tr w:rsidR="00951F81" w:rsidRPr="00C515CC"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C515CC" w:rsidRDefault="00951F81" w:rsidP="00C515CC">
            <w:pPr>
              <w:keepNext/>
            </w:pPr>
            <w:r w:rsidRPr="00C515CC">
              <w:t>Fertőző betegségek és parazitafertőzések</w:t>
            </w:r>
          </w:p>
        </w:tc>
        <w:tc>
          <w:tcPr>
            <w:tcW w:w="1393" w:type="pct"/>
            <w:tcBorders>
              <w:top w:val="single" w:sz="4" w:space="0" w:color="auto"/>
              <w:left w:val="single" w:sz="4" w:space="0" w:color="auto"/>
              <w:bottom w:val="nil"/>
              <w:right w:val="single" w:sz="4" w:space="0" w:color="auto"/>
            </w:tcBorders>
          </w:tcPr>
          <w:p w14:paraId="687EDD9C" w14:textId="77777777" w:rsidR="00951F81" w:rsidRPr="00C515CC" w:rsidRDefault="00951F81" w:rsidP="00C515CC">
            <w:r w:rsidRPr="00C515CC">
              <w:t>Gyakori</w:t>
            </w:r>
          </w:p>
        </w:tc>
        <w:tc>
          <w:tcPr>
            <w:tcW w:w="1952" w:type="pct"/>
            <w:tcBorders>
              <w:top w:val="single" w:sz="4" w:space="0" w:color="auto"/>
              <w:left w:val="single" w:sz="4" w:space="0" w:color="auto"/>
              <w:bottom w:val="nil"/>
              <w:right w:val="single" w:sz="4" w:space="0" w:color="auto"/>
            </w:tcBorders>
          </w:tcPr>
          <w:p w14:paraId="6608A72D" w14:textId="77777777" w:rsidR="00951F81" w:rsidRPr="00C515CC" w:rsidRDefault="00951F81" w:rsidP="00C515CC">
            <w:r w:rsidRPr="00C515CC">
              <w:t>Húgyúti fertőzés</w:t>
            </w:r>
          </w:p>
        </w:tc>
      </w:tr>
      <w:tr w:rsidR="00951F81" w:rsidRPr="00C515CC"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C515CC" w:rsidRDefault="00951F81" w:rsidP="00C515CC">
            <w:pPr>
              <w:keepNext/>
            </w:pPr>
          </w:p>
        </w:tc>
        <w:tc>
          <w:tcPr>
            <w:tcW w:w="1393" w:type="pct"/>
            <w:tcBorders>
              <w:top w:val="nil"/>
              <w:left w:val="single" w:sz="4" w:space="0" w:color="auto"/>
              <w:bottom w:val="nil"/>
              <w:right w:val="single" w:sz="4" w:space="0" w:color="auto"/>
            </w:tcBorders>
          </w:tcPr>
          <w:p w14:paraId="25F445C1" w14:textId="77777777" w:rsidR="00951F81" w:rsidRPr="00C515CC" w:rsidRDefault="00951F81" w:rsidP="00C515CC">
            <w:r w:rsidRPr="00C515CC">
              <w:t>Gyakori</w:t>
            </w:r>
          </w:p>
        </w:tc>
        <w:tc>
          <w:tcPr>
            <w:tcW w:w="1952" w:type="pct"/>
            <w:tcBorders>
              <w:top w:val="nil"/>
              <w:left w:val="single" w:sz="4" w:space="0" w:color="auto"/>
              <w:bottom w:val="nil"/>
              <w:right w:val="single" w:sz="4" w:space="0" w:color="auto"/>
            </w:tcBorders>
          </w:tcPr>
          <w:p w14:paraId="2724B53D" w14:textId="77777777" w:rsidR="00951F81" w:rsidRPr="00C515CC" w:rsidRDefault="00951F81" w:rsidP="00C515CC">
            <w:r w:rsidRPr="00C515CC">
              <w:t>Felső légúti fertőzés</w:t>
            </w:r>
          </w:p>
        </w:tc>
      </w:tr>
      <w:tr w:rsidR="00951F81" w:rsidRPr="00C515CC"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C515CC" w:rsidRDefault="00951F81" w:rsidP="00C515CC">
            <w:pPr>
              <w:keepNext/>
            </w:pPr>
          </w:p>
        </w:tc>
        <w:tc>
          <w:tcPr>
            <w:tcW w:w="1393" w:type="pct"/>
            <w:tcBorders>
              <w:top w:val="nil"/>
              <w:left w:val="single" w:sz="4" w:space="0" w:color="auto"/>
              <w:bottom w:val="nil"/>
              <w:right w:val="single" w:sz="4" w:space="0" w:color="auto"/>
            </w:tcBorders>
          </w:tcPr>
          <w:p w14:paraId="30CB131F" w14:textId="77777777" w:rsidR="00951F81" w:rsidRPr="00C515CC" w:rsidRDefault="00951F81" w:rsidP="00C515CC">
            <w:r w:rsidRPr="00C515CC">
              <w:t>Nem gyakori</w:t>
            </w:r>
          </w:p>
        </w:tc>
        <w:tc>
          <w:tcPr>
            <w:tcW w:w="1952" w:type="pct"/>
            <w:tcBorders>
              <w:top w:val="nil"/>
              <w:left w:val="single" w:sz="4" w:space="0" w:color="auto"/>
              <w:bottom w:val="nil"/>
              <w:right w:val="single" w:sz="4" w:space="0" w:color="auto"/>
            </w:tcBorders>
          </w:tcPr>
          <w:p w14:paraId="79A963DA" w14:textId="77777777" w:rsidR="00951F81" w:rsidRPr="00C515CC" w:rsidRDefault="00951F81" w:rsidP="00C515CC">
            <w:r w:rsidRPr="00C515CC">
              <w:t>Diverticulitis</w:t>
            </w:r>
            <w:r w:rsidRPr="00C515CC">
              <w:rPr>
                <w:vertAlign w:val="superscript"/>
              </w:rPr>
              <w:t>1</w:t>
            </w:r>
          </w:p>
        </w:tc>
      </w:tr>
      <w:tr w:rsidR="00951F81" w:rsidRPr="00C515CC"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C515CC" w:rsidRDefault="00951F81" w:rsidP="00C515CC">
            <w:pPr>
              <w:keepNext/>
            </w:pPr>
          </w:p>
        </w:tc>
        <w:tc>
          <w:tcPr>
            <w:tcW w:w="1393" w:type="pct"/>
            <w:tcBorders>
              <w:top w:val="nil"/>
              <w:left w:val="single" w:sz="4" w:space="0" w:color="auto"/>
              <w:bottom w:val="nil"/>
              <w:right w:val="single" w:sz="4" w:space="0" w:color="auto"/>
            </w:tcBorders>
          </w:tcPr>
          <w:p w14:paraId="0ABD241A" w14:textId="77777777" w:rsidR="00951F81" w:rsidRPr="00C515CC" w:rsidRDefault="00951F81" w:rsidP="00C515CC">
            <w:r w:rsidRPr="00C515CC">
              <w:t>Nem gyakori</w:t>
            </w:r>
          </w:p>
        </w:tc>
        <w:tc>
          <w:tcPr>
            <w:tcW w:w="1952" w:type="pct"/>
            <w:tcBorders>
              <w:top w:val="nil"/>
              <w:left w:val="single" w:sz="4" w:space="0" w:color="auto"/>
              <w:bottom w:val="nil"/>
              <w:right w:val="single" w:sz="4" w:space="0" w:color="auto"/>
            </w:tcBorders>
          </w:tcPr>
          <w:p w14:paraId="151EC2BA" w14:textId="77777777" w:rsidR="00951F81" w:rsidRPr="00C515CC" w:rsidRDefault="00951F81" w:rsidP="00C515CC">
            <w:r w:rsidRPr="00C515CC">
              <w:t>Cellulitis</w:t>
            </w:r>
            <w:r w:rsidRPr="00C515CC">
              <w:rPr>
                <w:vertAlign w:val="superscript"/>
              </w:rPr>
              <w:t>1</w:t>
            </w:r>
          </w:p>
        </w:tc>
      </w:tr>
      <w:tr w:rsidR="00951F81" w:rsidRPr="00C515CC"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C515CC" w:rsidRDefault="00951F81" w:rsidP="00C515CC">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C515CC" w:rsidRDefault="00951F81" w:rsidP="00C515CC">
            <w:r w:rsidRPr="00C515CC">
              <w:t>Nem gyakori</w:t>
            </w:r>
          </w:p>
        </w:tc>
        <w:tc>
          <w:tcPr>
            <w:tcW w:w="1952" w:type="pct"/>
            <w:tcBorders>
              <w:top w:val="nil"/>
              <w:left w:val="single" w:sz="4" w:space="0" w:color="auto"/>
              <w:bottom w:val="single" w:sz="4" w:space="0" w:color="auto"/>
              <w:right w:val="single" w:sz="4" w:space="0" w:color="auto"/>
            </w:tcBorders>
          </w:tcPr>
          <w:p w14:paraId="72473FBF" w14:textId="77777777" w:rsidR="00951F81" w:rsidRPr="00C515CC" w:rsidRDefault="00951F81" w:rsidP="00C515CC">
            <w:r w:rsidRPr="00C515CC">
              <w:t>Fülfertőzés</w:t>
            </w:r>
          </w:p>
        </w:tc>
      </w:tr>
      <w:tr w:rsidR="00951F81" w:rsidRPr="00C515CC"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C515CC" w:rsidRDefault="00951F81" w:rsidP="00C515CC">
            <w:pPr>
              <w:keepNext/>
            </w:pPr>
            <w:r w:rsidRPr="00C515CC">
              <w:t>Immunrendszeri betegségek és tünetek</w:t>
            </w:r>
          </w:p>
        </w:tc>
        <w:tc>
          <w:tcPr>
            <w:tcW w:w="1393" w:type="pct"/>
            <w:tcBorders>
              <w:top w:val="single" w:sz="4" w:space="0" w:color="auto"/>
              <w:left w:val="single" w:sz="4" w:space="0" w:color="auto"/>
              <w:bottom w:val="nil"/>
              <w:right w:val="single" w:sz="4" w:space="0" w:color="auto"/>
            </w:tcBorders>
          </w:tcPr>
          <w:p w14:paraId="21A5A143" w14:textId="77777777" w:rsidR="00951F81" w:rsidRPr="00C515CC" w:rsidRDefault="00951F81" w:rsidP="00C515CC">
            <w:r w:rsidRPr="00C515CC">
              <w:t>Ritka</w:t>
            </w:r>
          </w:p>
        </w:tc>
        <w:tc>
          <w:tcPr>
            <w:tcW w:w="1952" w:type="pct"/>
            <w:tcBorders>
              <w:top w:val="single" w:sz="4" w:space="0" w:color="auto"/>
              <w:left w:val="single" w:sz="4" w:space="0" w:color="auto"/>
              <w:bottom w:val="nil"/>
              <w:right w:val="single" w:sz="4" w:space="0" w:color="auto"/>
            </w:tcBorders>
          </w:tcPr>
          <w:p w14:paraId="6A2845E7" w14:textId="77777777" w:rsidR="00951F81" w:rsidRPr="00C515CC" w:rsidRDefault="00951F81" w:rsidP="00C515CC">
            <w:r w:rsidRPr="00C515CC">
              <w:t>Gyógyszer</w:t>
            </w:r>
            <w:r w:rsidRPr="00C515CC">
              <w:noBreakHyphen/>
              <w:t>túlérzékenység</w:t>
            </w:r>
            <w:r w:rsidRPr="00C515CC">
              <w:rPr>
                <w:vertAlign w:val="superscript"/>
              </w:rPr>
              <w:t>1</w:t>
            </w:r>
          </w:p>
        </w:tc>
      </w:tr>
      <w:tr w:rsidR="00951F81" w:rsidRPr="00C515CC"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C515CC" w:rsidRDefault="00951F81" w:rsidP="00C515CC">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C515CC" w:rsidRDefault="00951F81" w:rsidP="00C515CC">
            <w:r w:rsidRPr="00C515CC">
              <w:t>Ritka</w:t>
            </w:r>
          </w:p>
        </w:tc>
        <w:tc>
          <w:tcPr>
            <w:tcW w:w="1952" w:type="pct"/>
            <w:tcBorders>
              <w:top w:val="nil"/>
              <w:left w:val="single" w:sz="4" w:space="0" w:color="auto"/>
              <w:bottom w:val="single" w:sz="4" w:space="0" w:color="auto"/>
              <w:right w:val="single" w:sz="4" w:space="0" w:color="auto"/>
            </w:tcBorders>
          </w:tcPr>
          <w:p w14:paraId="2A72ECF1" w14:textId="77777777" w:rsidR="00951F81" w:rsidRPr="00C515CC" w:rsidRDefault="00951F81" w:rsidP="00C515CC">
            <w:r w:rsidRPr="00C515CC">
              <w:t>Anaphylaxiás reakció</w:t>
            </w:r>
            <w:r w:rsidRPr="00C515CC">
              <w:rPr>
                <w:vertAlign w:val="superscript"/>
              </w:rPr>
              <w:t>1</w:t>
            </w:r>
          </w:p>
        </w:tc>
      </w:tr>
      <w:tr w:rsidR="00951F81" w:rsidRPr="00C515CC"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C515CC" w:rsidRDefault="00951F81" w:rsidP="00C515CC">
            <w:r w:rsidRPr="00C515CC">
              <w:t>Anyagcsere</w:t>
            </w:r>
            <w:r w:rsidRPr="00C515CC">
              <w:noBreakHyphen/>
              <w:t xml:space="preserve"> és táplálkozási betegségek és tünetek</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C515CC" w:rsidRDefault="00951F81" w:rsidP="00C515CC">
            <w:r w:rsidRPr="00C515CC">
              <w:t>Ritka</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C515CC" w:rsidRDefault="00951F81" w:rsidP="00C515CC">
            <w:r w:rsidRPr="00C515CC">
              <w:t>Hypocalcaemia</w:t>
            </w:r>
            <w:r w:rsidRPr="00C515CC">
              <w:rPr>
                <w:vertAlign w:val="superscript"/>
              </w:rPr>
              <w:t>1</w:t>
            </w:r>
          </w:p>
        </w:tc>
      </w:tr>
      <w:tr w:rsidR="00951F81" w:rsidRPr="00C515CC"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C515CC" w:rsidRDefault="00951F81" w:rsidP="00C515CC">
            <w:r w:rsidRPr="00C515CC">
              <w:t>Idegrendszeri betegségek és tünetek</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C515CC" w:rsidRDefault="00951F81" w:rsidP="00C515CC">
            <w:r w:rsidRPr="00C515CC">
              <w:t>Gyakori</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C515CC" w:rsidRDefault="00951F81" w:rsidP="00C515CC">
            <w:r w:rsidRPr="00C515CC">
              <w:t>Ischialgia</w:t>
            </w:r>
          </w:p>
        </w:tc>
      </w:tr>
      <w:tr w:rsidR="00951F81" w:rsidRPr="00C515CC"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Pr="00C515CC" w:rsidRDefault="00951F81" w:rsidP="00C515CC">
            <w:r w:rsidRPr="00C515CC">
              <w:t>Emésztőrendszeri betegségek és tünetek</w:t>
            </w:r>
          </w:p>
        </w:tc>
        <w:tc>
          <w:tcPr>
            <w:tcW w:w="1393" w:type="pct"/>
            <w:tcBorders>
              <w:top w:val="single" w:sz="4" w:space="0" w:color="auto"/>
              <w:left w:val="single" w:sz="4" w:space="0" w:color="auto"/>
              <w:bottom w:val="nil"/>
              <w:right w:val="single" w:sz="4" w:space="0" w:color="auto"/>
            </w:tcBorders>
          </w:tcPr>
          <w:p w14:paraId="177260FC" w14:textId="77777777" w:rsidR="00951F81" w:rsidRPr="00C515CC" w:rsidRDefault="00951F81" w:rsidP="00C515CC">
            <w:r w:rsidRPr="00C515CC">
              <w:t>Gyakori</w:t>
            </w:r>
          </w:p>
        </w:tc>
        <w:tc>
          <w:tcPr>
            <w:tcW w:w="1952" w:type="pct"/>
            <w:tcBorders>
              <w:top w:val="single" w:sz="4" w:space="0" w:color="auto"/>
              <w:left w:val="single" w:sz="4" w:space="0" w:color="auto"/>
              <w:bottom w:val="nil"/>
              <w:right w:val="single" w:sz="4" w:space="0" w:color="auto"/>
            </w:tcBorders>
          </w:tcPr>
          <w:p w14:paraId="19FF6902" w14:textId="77777777" w:rsidR="00951F81" w:rsidRPr="00C515CC" w:rsidRDefault="00951F81" w:rsidP="00C515CC">
            <w:r w:rsidRPr="00C515CC">
              <w:t>Székrekedés</w:t>
            </w:r>
          </w:p>
        </w:tc>
      </w:tr>
      <w:tr w:rsidR="00951F81" w:rsidRPr="00C515CC"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Pr="00C515CC" w:rsidRDefault="00951F81" w:rsidP="00C515CC"/>
        </w:tc>
        <w:tc>
          <w:tcPr>
            <w:tcW w:w="1393" w:type="pct"/>
            <w:tcBorders>
              <w:top w:val="nil"/>
              <w:left w:val="single" w:sz="4" w:space="0" w:color="auto"/>
              <w:bottom w:val="single" w:sz="4" w:space="0" w:color="auto"/>
              <w:right w:val="single" w:sz="4" w:space="0" w:color="auto"/>
            </w:tcBorders>
          </w:tcPr>
          <w:p w14:paraId="6DA3CF74" w14:textId="77777777" w:rsidR="00951F81" w:rsidRPr="00C515CC" w:rsidRDefault="00951F81" w:rsidP="00C515CC">
            <w:r w:rsidRPr="00C515CC">
              <w:t>Gyakori</w:t>
            </w:r>
          </w:p>
        </w:tc>
        <w:tc>
          <w:tcPr>
            <w:tcW w:w="1952" w:type="pct"/>
            <w:tcBorders>
              <w:top w:val="nil"/>
              <w:left w:val="single" w:sz="4" w:space="0" w:color="auto"/>
              <w:bottom w:val="single" w:sz="4" w:space="0" w:color="auto"/>
              <w:right w:val="single" w:sz="4" w:space="0" w:color="auto"/>
            </w:tcBorders>
          </w:tcPr>
          <w:p w14:paraId="405A8D07" w14:textId="77777777" w:rsidR="00951F81" w:rsidRPr="00C515CC" w:rsidRDefault="00951F81" w:rsidP="00C515CC">
            <w:r w:rsidRPr="00C515CC">
              <w:t>Hasi discomfort</w:t>
            </w:r>
          </w:p>
        </w:tc>
      </w:tr>
      <w:tr w:rsidR="00951F81" w:rsidRPr="00C515CC"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C515CC" w:rsidRDefault="00951F81" w:rsidP="00C515CC">
            <w:pPr>
              <w:keepNext/>
            </w:pPr>
            <w:r w:rsidRPr="00C515CC">
              <w:t>A bőr és a bőralatti szövet betegségei és tünetei</w:t>
            </w:r>
          </w:p>
        </w:tc>
        <w:tc>
          <w:tcPr>
            <w:tcW w:w="1393" w:type="pct"/>
            <w:tcBorders>
              <w:top w:val="single" w:sz="4" w:space="0" w:color="auto"/>
              <w:left w:val="single" w:sz="4" w:space="0" w:color="auto"/>
              <w:bottom w:val="nil"/>
              <w:right w:val="single" w:sz="4" w:space="0" w:color="auto"/>
            </w:tcBorders>
          </w:tcPr>
          <w:p w14:paraId="26101FF7" w14:textId="77777777" w:rsidR="00951F81" w:rsidRPr="00C515CC" w:rsidRDefault="00951F81" w:rsidP="00C515CC">
            <w:pPr>
              <w:keepNext/>
            </w:pPr>
            <w:r w:rsidRPr="00C515CC">
              <w:t>Gyakori</w:t>
            </w:r>
          </w:p>
        </w:tc>
        <w:tc>
          <w:tcPr>
            <w:tcW w:w="1952" w:type="pct"/>
            <w:tcBorders>
              <w:top w:val="single" w:sz="4" w:space="0" w:color="auto"/>
              <w:left w:val="single" w:sz="4" w:space="0" w:color="auto"/>
              <w:bottom w:val="nil"/>
              <w:right w:val="single" w:sz="4" w:space="0" w:color="auto"/>
            </w:tcBorders>
          </w:tcPr>
          <w:p w14:paraId="53A70153" w14:textId="77777777" w:rsidR="00951F81" w:rsidRPr="00C515CC" w:rsidRDefault="00951F81" w:rsidP="00C515CC">
            <w:pPr>
              <w:keepNext/>
            </w:pPr>
            <w:r w:rsidRPr="00C515CC">
              <w:t>Bőrkiütés</w:t>
            </w:r>
          </w:p>
        </w:tc>
      </w:tr>
      <w:tr w:rsidR="00951F81" w:rsidRPr="00C515CC"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C515CC" w:rsidRDefault="00951F81" w:rsidP="00C515CC">
            <w:pPr>
              <w:keepNext/>
            </w:pPr>
          </w:p>
        </w:tc>
        <w:tc>
          <w:tcPr>
            <w:tcW w:w="1393" w:type="pct"/>
            <w:tcBorders>
              <w:top w:val="nil"/>
              <w:left w:val="single" w:sz="4" w:space="0" w:color="auto"/>
              <w:bottom w:val="nil"/>
              <w:right w:val="single" w:sz="4" w:space="0" w:color="auto"/>
            </w:tcBorders>
          </w:tcPr>
          <w:p w14:paraId="5AEA49E6" w14:textId="77777777" w:rsidR="00951F81" w:rsidRPr="00C515CC" w:rsidRDefault="00951F81" w:rsidP="00C515CC">
            <w:pPr>
              <w:keepNext/>
            </w:pPr>
            <w:r w:rsidRPr="00C515CC">
              <w:t>Gyakori</w:t>
            </w:r>
          </w:p>
        </w:tc>
        <w:tc>
          <w:tcPr>
            <w:tcW w:w="1952" w:type="pct"/>
            <w:tcBorders>
              <w:top w:val="nil"/>
              <w:left w:val="single" w:sz="4" w:space="0" w:color="auto"/>
              <w:bottom w:val="nil"/>
              <w:right w:val="single" w:sz="4" w:space="0" w:color="auto"/>
            </w:tcBorders>
          </w:tcPr>
          <w:p w14:paraId="6921D318" w14:textId="7EE8D1AA" w:rsidR="00951F81" w:rsidRPr="00C515CC" w:rsidRDefault="00951F81" w:rsidP="00C515CC">
            <w:pPr>
              <w:keepNext/>
            </w:pPr>
            <w:r w:rsidRPr="00C515CC">
              <w:t>E</w:t>
            </w:r>
            <w:r w:rsidR="003D35FA">
              <w:t>k</w:t>
            </w:r>
            <w:r w:rsidRPr="00C515CC">
              <w:t>zema</w:t>
            </w:r>
          </w:p>
        </w:tc>
      </w:tr>
      <w:tr w:rsidR="00951F81" w:rsidRPr="00C515CC"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C515CC" w:rsidRDefault="00951F81" w:rsidP="00C515CC">
            <w:pPr>
              <w:keepNext/>
            </w:pPr>
          </w:p>
        </w:tc>
        <w:tc>
          <w:tcPr>
            <w:tcW w:w="1393" w:type="pct"/>
            <w:tcBorders>
              <w:top w:val="nil"/>
              <w:left w:val="single" w:sz="4" w:space="0" w:color="auto"/>
              <w:bottom w:val="nil"/>
              <w:right w:val="single" w:sz="4" w:space="0" w:color="auto"/>
            </w:tcBorders>
          </w:tcPr>
          <w:p w14:paraId="33768AA7" w14:textId="77777777" w:rsidR="00951F81" w:rsidRPr="00C515CC" w:rsidRDefault="00951F81" w:rsidP="00C515CC">
            <w:pPr>
              <w:keepNext/>
            </w:pPr>
            <w:r w:rsidRPr="00C515CC">
              <w:t>Gyakori</w:t>
            </w:r>
          </w:p>
        </w:tc>
        <w:tc>
          <w:tcPr>
            <w:tcW w:w="1952" w:type="pct"/>
            <w:tcBorders>
              <w:top w:val="nil"/>
              <w:left w:val="single" w:sz="4" w:space="0" w:color="auto"/>
              <w:bottom w:val="nil"/>
              <w:right w:val="single" w:sz="4" w:space="0" w:color="auto"/>
            </w:tcBorders>
          </w:tcPr>
          <w:p w14:paraId="65B1F5EB" w14:textId="77777777" w:rsidR="00951F81" w:rsidRPr="00C515CC" w:rsidRDefault="00951F81" w:rsidP="00C515CC">
            <w:pPr>
              <w:keepNext/>
            </w:pPr>
            <w:r w:rsidRPr="00C515CC">
              <w:t>Alopecia</w:t>
            </w:r>
          </w:p>
        </w:tc>
      </w:tr>
      <w:tr w:rsidR="00951F81" w:rsidRPr="00C515CC"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C515CC" w:rsidRDefault="00951F81" w:rsidP="00C515CC">
            <w:pPr>
              <w:keepNext/>
            </w:pPr>
          </w:p>
        </w:tc>
        <w:tc>
          <w:tcPr>
            <w:tcW w:w="1393" w:type="pct"/>
            <w:tcBorders>
              <w:top w:val="nil"/>
              <w:left w:val="single" w:sz="4" w:space="0" w:color="auto"/>
              <w:bottom w:val="nil"/>
              <w:right w:val="single" w:sz="4" w:space="0" w:color="auto"/>
            </w:tcBorders>
          </w:tcPr>
          <w:p w14:paraId="63AE3626" w14:textId="77777777" w:rsidR="00951F81" w:rsidRPr="00C515CC" w:rsidRDefault="00951F81" w:rsidP="00C515CC">
            <w:pPr>
              <w:keepNext/>
            </w:pPr>
            <w:r w:rsidRPr="00C515CC">
              <w:t>Nem gyakori</w:t>
            </w:r>
          </w:p>
        </w:tc>
        <w:tc>
          <w:tcPr>
            <w:tcW w:w="1952" w:type="pct"/>
            <w:tcBorders>
              <w:top w:val="nil"/>
              <w:left w:val="single" w:sz="4" w:space="0" w:color="auto"/>
              <w:bottom w:val="nil"/>
              <w:right w:val="single" w:sz="4" w:space="0" w:color="auto"/>
            </w:tcBorders>
          </w:tcPr>
          <w:p w14:paraId="2D6032B6" w14:textId="77777777" w:rsidR="00951F81" w:rsidRPr="00C515CC" w:rsidRDefault="00951F81" w:rsidP="00C515CC">
            <w:pPr>
              <w:keepNext/>
            </w:pPr>
            <w:r w:rsidRPr="00C515CC">
              <w:t>Lichenoid gyógyszerkiütések</w:t>
            </w:r>
            <w:r w:rsidRPr="00C515CC">
              <w:rPr>
                <w:vertAlign w:val="superscript"/>
              </w:rPr>
              <w:t>1</w:t>
            </w:r>
          </w:p>
        </w:tc>
      </w:tr>
      <w:tr w:rsidR="00951F81" w:rsidRPr="00C515CC"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C515CC" w:rsidRDefault="00951F81" w:rsidP="00C515CC">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C515CC" w:rsidRDefault="00951F81" w:rsidP="00C515CC">
            <w:pPr>
              <w:keepNext/>
            </w:pPr>
            <w:r w:rsidRPr="00C515CC">
              <w:t>Nagyon ritka</w:t>
            </w:r>
          </w:p>
        </w:tc>
        <w:tc>
          <w:tcPr>
            <w:tcW w:w="1952" w:type="pct"/>
            <w:tcBorders>
              <w:top w:val="nil"/>
              <w:left w:val="single" w:sz="4" w:space="0" w:color="auto"/>
              <w:bottom w:val="single" w:sz="4" w:space="0" w:color="auto"/>
              <w:right w:val="single" w:sz="4" w:space="0" w:color="auto"/>
            </w:tcBorders>
          </w:tcPr>
          <w:p w14:paraId="7DBD7D0D" w14:textId="77777777" w:rsidR="00951F81" w:rsidRPr="00C515CC" w:rsidRDefault="00951F81" w:rsidP="00C515CC">
            <w:pPr>
              <w:keepNext/>
            </w:pPr>
            <w:r w:rsidRPr="00C515CC">
              <w:t>Túlérzékenységi vasculitis</w:t>
            </w:r>
          </w:p>
        </w:tc>
      </w:tr>
      <w:tr w:rsidR="00951F81" w:rsidRPr="00C515CC"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77777777" w:rsidR="00951F81" w:rsidRPr="00C515CC" w:rsidRDefault="00951F81" w:rsidP="00C515CC">
            <w:pPr>
              <w:keepNext/>
            </w:pPr>
            <w:r w:rsidRPr="00C515CC">
              <w:t>A csont</w:t>
            </w:r>
            <w:r w:rsidRPr="00C515CC">
              <w:noBreakHyphen/>
              <w:t xml:space="preserve"> és izomrendszer, valamint a kötőszövet betegségei és tünetei</w:t>
            </w:r>
          </w:p>
        </w:tc>
        <w:tc>
          <w:tcPr>
            <w:tcW w:w="1393" w:type="pct"/>
            <w:tcBorders>
              <w:top w:val="single" w:sz="4" w:space="0" w:color="auto"/>
              <w:left w:val="single" w:sz="4" w:space="0" w:color="auto"/>
              <w:bottom w:val="nil"/>
              <w:right w:val="single" w:sz="4" w:space="0" w:color="auto"/>
            </w:tcBorders>
          </w:tcPr>
          <w:p w14:paraId="79991E81" w14:textId="77777777" w:rsidR="00951F81" w:rsidRPr="00C515CC" w:rsidRDefault="00951F81" w:rsidP="00C515CC">
            <w:pPr>
              <w:keepNext/>
            </w:pPr>
            <w:r w:rsidRPr="00C515CC">
              <w:t>Nagyon gyakori</w:t>
            </w:r>
          </w:p>
        </w:tc>
        <w:tc>
          <w:tcPr>
            <w:tcW w:w="1952" w:type="pct"/>
            <w:tcBorders>
              <w:top w:val="single" w:sz="4" w:space="0" w:color="auto"/>
              <w:left w:val="single" w:sz="4" w:space="0" w:color="auto"/>
              <w:bottom w:val="nil"/>
              <w:right w:val="single" w:sz="4" w:space="0" w:color="auto"/>
            </w:tcBorders>
          </w:tcPr>
          <w:p w14:paraId="023434A0" w14:textId="77777777" w:rsidR="00951F81" w:rsidRPr="00C515CC" w:rsidRDefault="00951F81" w:rsidP="00C515CC">
            <w:pPr>
              <w:keepNext/>
            </w:pPr>
            <w:r w:rsidRPr="00C515CC">
              <w:t>Végtagfájdalom</w:t>
            </w:r>
          </w:p>
        </w:tc>
      </w:tr>
      <w:tr w:rsidR="00951F81" w:rsidRPr="00C515CC"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C515CC" w:rsidRDefault="00951F81" w:rsidP="00C515CC">
            <w:pPr>
              <w:keepNext/>
            </w:pPr>
          </w:p>
        </w:tc>
        <w:tc>
          <w:tcPr>
            <w:tcW w:w="1393" w:type="pct"/>
            <w:tcBorders>
              <w:top w:val="nil"/>
              <w:left w:val="single" w:sz="4" w:space="0" w:color="auto"/>
              <w:bottom w:val="nil"/>
              <w:right w:val="single" w:sz="4" w:space="0" w:color="auto"/>
            </w:tcBorders>
          </w:tcPr>
          <w:p w14:paraId="7CFE3A62" w14:textId="77777777" w:rsidR="00951F81" w:rsidRPr="00C515CC" w:rsidRDefault="00951F81" w:rsidP="00C515CC">
            <w:pPr>
              <w:keepNext/>
            </w:pPr>
            <w:r w:rsidRPr="00C515CC">
              <w:t>Nagyon gyakori</w:t>
            </w:r>
          </w:p>
        </w:tc>
        <w:tc>
          <w:tcPr>
            <w:tcW w:w="1952" w:type="pct"/>
            <w:tcBorders>
              <w:top w:val="nil"/>
              <w:left w:val="single" w:sz="4" w:space="0" w:color="auto"/>
              <w:bottom w:val="nil"/>
              <w:right w:val="single" w:sz="4" w:space="0" w:color="auto"/>
            </w:tcBorders>
          </w:tcPr>
          <w:p w14:paraId="4012CD7E" w14:textId="77777777" w:rsidR="00951F81" w:rsidRPr="00C515CC" w:rsidRDefault="00951F81" w:rsidP="00C515CC">
            <w:pPr>
              <w:keepNext/>
            </w:pPr>
            <w:r w:rsidRPr="00C515CC">
              <w:t>Csont</w:t>
            </w:r>
            <w:r w:rsidRPr="00C515CC">
              <w:noBreakHyphen/>
              <w:t xml:space="preserve"> és izomrendszeri fájdalom</w:t>
            </w:r>
            <w:r w:rsidRPr="00C515CC">
              <w:rPr>
                <w:vertAlign w:val="superscript"/>
              </w:rPr>
              <w:t>1</w:t>
            </w:r>
          </w:p>
        </w:tc>
      </w:tr>
      <w:tr w:rsidR="00951F81" w:rsidRPr="00C515CC"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C515CC" w:rsidRDefault="00951F81" w:rsidP="00C515CC">
            <w:pPr>
              <w:keepNext/>
            </w:pPr>
          </w:p>
        </w:tc>
        <w:tc>
          <w:tcPr>
            <w:tcW w:w="1393" w:type="pct"/>
            <w:tcBorders>
              <w:top w:val="nil"/>
              <w:left w:val="single" w:sz="4" w:space="0" w:color="auto"/>
              <w:bottom w:val="nil"/>
              <w:right w:val="single" w:sz="4" w:space="0" w:color="auto"/>
            </w:tcBorders>
          </w:tcPr>
          <w:p w14:paraId="13853E26" w14:textId="77777777" w:rsidR="00951F81" w:rsidRPr="00C515CC" w:rsidRDefault="00951F81" w:rsidP="00C515CC">
            <w:pPr>
              <w:keepNext/>
            </w:pPr>
            <w:r w:rsidRPr="00C515CC">
              <w:t>Ritka</w:t>
            </w:r>
          </w:p>
        </w:tc>
        <w:tc>
          <w:tcPr>
            <w:tcW w:w="1952" w:type="pct"/>
            <w:tcBorders>
              <w:top w:val="nil"/>
              <w:left w:val="single" w:sz="4" w:space="0" w:color="auto"/>
              <w:bottom w:val="nil"/>
              <w:right w:val="single" w:sz="4" w:space="0" w:color="auto"/>
            </w:tcBorders>
          </w:tcPr>
          <w:p w14:paraId="79ADF7A4" w14:textId="77777777" w:rsidR="00951F81" w:rsidRPr="00C515CC" w:rsidRDefault="00951F81" w:rsidP="00C515CC">
            <w:pPr>
              <w:keepNext/>
            </w:pPr>
            <w:r w:rsidRPr="00C515CC">
              <w:t>Állcsont osteonecrosis</w:t>
            </w:r>
            <w:r w:rsidRPr="00C515CC">
              <w:rPr>
                <w:vertAlign w:val="superscript"/>
              </w:rPr>
              <w:t>1</w:t>
            </w:r>
          </w:p>
        </w:tc>
      </w:tr>
      <w:tr w:rsidR="00951F81" w:rsidRPr="00C515CC"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C515CC" w:rsidRDefault="00951F81" w:rsidP="00C515CC">
            <w:pPr>
              <w:keepNext/>
            </w:pPr>
          </w:p>
        </w:tc>
        <w:tc>
          <w:tcPr>
            <w:tcW w:w="1393" w:type="pct"/>
            <w:tcBorders>
              <w:top w:val="nil"/>
              <w:left w:val="single" w:sz="4" w:space="0" w:color="auto"/>
              <w:bottom w:val="nil"/>
              <w:right w:val="single" w:sz="4" w:space="0" w:color="auto"/>
            </w:tcBorders>
          </w:tcPr>
          <w:p w14:paraId="02EDA556" w14:textId="77777777" w:rsidR="00951F81" w:rsidRPr="00C515CC" w:rsidRDefault="00951F81" w:rsidP="00C515CC">
            <w:pPr>
              <w:keepNext/>
            </w:pPr>
            <w:r w:rsidRPr="00C515CC">
              <w:t>Ritka</w:t>
            </w:r>
          </w:p>
        </w:tc>
        <w:tc>
          <w:tcPr>
            <w:tcW w:w="1952" w:type="pct"/>
            <w:tcBorders>
              <w:top w:val="nil"/>
              <w:left w:val="single" w:sz="4" w:space="0" w:color="auto"/>
              <w:bottom w:val="nil"/>
              <w:right w:val="single" w:sz="4" w:space="0" w:color="auto"/>
            </w:tcBorders>
          </w:tcPr>
          <w:p w14:paraId="71EC9640" w14:textId="77777777" w:rsidR="00951F81" w:rsidRPr="00C515CC" w:rsidRDefault="00951F81" w:rsidP="00C515CC">
            <w:pPr>
              <w:keepNext/>
            </w:pPr>
            <w:r w:rsidRPr="00C515CC">
              <w:t>Atípusos femur</w:t>
            </w:r>
            <w:r w:rsidRPr="00C515CC">
              <w:noBreakHyphen/>
              <w:t>törés</w:t>
            </w:r>
            <w:r w:rsidRPr="00C515CC">
              <w:rPr>
                <w:vertAlign w:val="superscript"/>
              </w:rPr>
              <w:t>1</w:t>
            </w:r>
          </w:p>
        </w:tc>
      </w:tr>
      <w:tr w:rsidR="00951F81" w:rsidRPr="00C515CC"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C515CC" w:rsidRDefault="00951F81" w:rsidP="00C515CC">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C515CC" w:rsidRDefault="00951F81" w:rsidP="00C515CC">
            <w:pPr>
              <w:keepNext/>
            </w:pPr>
            <w:r w:rsidRPr="00C515CC">
              <w:t>Nem ismert</w:t>
            </w:r>
          </w:p>
        </w:tc>
        <w:tc>
          <w:tcPr>
            <w:tcW w:w="1952" w:type="pct"/>
            <w:tcBorders>
              <w:top w:val="nil"/>
              <w:left w:val="single" w:sz="4" w:space="0" w:color="auto"/>
              <w:bottom w:val="single" w:sz="4" w:space="0" w:color="auto"/>
              <w:right w:val="single" w:sz="4" w:space="0" w:color="auto"/>
            </w:tcBorders>
          </w:tcPr>
          <w:p w14:paraId="12A4BFD4" w14:textId="77777777" w:rsidR="00951F81" w:rsidRPr="00C515CC" w:rsidRDefault="00951F81" w:rsidP="00C515CC">
            <w:pPr>
              <w:keepNext/>
            </w:pPr>
            <w:r w:rsidRPr="00C515CC">
              <w:t>A külső hallójárat osteonecrosisa</w:t>
            </w:r>
            <w:r w:rsidRPr="00C515CC">
              <w:rPr>
                <w:vertAlign w:val="superscript"/>
              </w:rPr>
              <w:t>2</w:t>
            </w:r>
          </w:p>
        </w:tc>
      </w:tr>
    </w:tbl>
    <w:p w14:paraId="5C0684D4" w14:textId="44C05A86" w:rsidR="00951F81" w:rsidRPr="00C515CC" w:rsidRDefault="00951F81" w:rsidP="00C515CC">
      <w:pPr>
        <w:keepNext/>
        <w:rPr>
          <w:szCs w:val="20"/>
        </w:rPr>
      </w:pPr>
      <w:r w:rsidRPr="00C515CC">
        <w:rPr>
          <w:vertAlign w:val="superscript"/>
        </w:rPr>
        <w:t>1</w:t>
      </w:r>
      <w:r w:rsidRPr="00C515CC">
        <w:t xml:space="preserve"> Lásd </w:t>
      </w:r>
      <w:r w:rsidR="003D35FA">
        <w:t xml:space="preserve">alább: </w:t>
      </w:r>
      <w:r w:rsidRPr="00C515CC">
        <w:t>Egyes mellékhatások leírása.</w:t>
      </w:r>
    </w:p>
    <w:p w14:paraId="0122A1C5" w14:textId="77777777" w:rsidR="00951F81" w:rsidRPr="00C515CC" w:rsidRDefault="00951F81" w:rsidP="00C515CC">
      <w:pPr>
        <w:rPr>
          <w:szCs w:val="20"/>
        </w:rPr>
      </w:pPr>
      <w:r w:rsidRPr="00C515CC">
        <w:rPr>
          <w:vertAlign w:val="superscript"/>
        </w:rPr>
        <w:t>2</w:t>
      </w:r>
      <w:r w:rsidRPr="00C515CC">
        <w:t xml:space="preserve"> Lásd 4.4 pont.</w:t>
      </w:r>
    </w:p>
    <w:p w14:paraId="28A4B37F" w14:textId="77777777" w:rsidR="00951F81" w:rsidRPr="00C515CC" w:rsidRDefault="00951F81" w:rsidP="00C515CC">
      <w:pPr>
        <w:pStyle w:val="CommentText"/>
        <w:rPr>
          <w:sz w:val="22"/>
        </w:rPr>
      </w:pPr>
    </w:p>
    <w:p w14:paraId="5186DA11" w14:textId="77777777" w:rsidR="00951F81" w:rsidRPr="00C515CC" w:rsidRDefault="00951F81" w:rsidP="00C515CC">
      <w:r w:rsidRPr="00C515CC">
        <w:t>Az összes placebokontrollos II. és III. fázisú vizsgálat összesített analízise alapján az influenzaszerű betegség nyers incidencia</w:t>
      </w:r>
      <w:r w:rsidRPr="00C515CC">
        <w:noBreakHyphen/>
        <w:t>aránya a denoszumab esetében 1,2%, a placebo esetében pedig 0,7% volt. Bár ez az eltérés egy összesített analízisben megfigyelhető volt, egy rétegezett analízisben nem jelent meg.</w:t>
      </w:r>
    </w:p>
    <w:p w14:paraId="3D6895BB" w14:textId="77777777" w:rsidR="00951F81" w:rsidRPr="00C515CC" w:rsidRDefault="00951F81" w:rsidP="00C515CC"/>
    <w:p w14:paraId="7044F71B" w14:textId="77777777" w:rsidR="00951F81" w:rsidRPr="00C515CC" w:rsidRDefault="00951F81" w:rsidP="00C515CC">
      <w:pPr>
        <w:keepNext/>
        <w:rPr>
          <w:u w:val="single"/>
        </w:rPr>
      </w:pPr>
      <w:r w:rsidRPr="00C515CC">
        <w:rPr>
          <w:u w:val="single"/>
        </w:rPr>
        <w:t>Egyes mellékhatások leírása</w:t>
      </w:r>
    </w:p>
    <w:p w14:paraId="20C8AE49" w14:textId="77777777" w:rsidR="00951F81" w:rsidRPr="00C515CC" w:rsidRDefault="00951F81" w:rsidP="00C515CC">
      <w:pPr>
        <w:keepNext/>
      </w:pPr>
    </w:p>
    <w:p w14:paraId="4DD2FA83" w14:textId="77777777" w:rsidR="00951F81" w:rsidRPr="00C515CC" w:rsidRDefault="00951F81" w:rsidP="00C515CC">
      <w:pPr>
        <w:keepNext/>
        <w:tabs>
          <w:tab w:val="clear" w:pos="567"/>
        </w:tabs>
        <w:rPr>
          <w:i/>
          <w:iCs/>
        </w:rPr>
      </w:pPr>
      <w:r w:rsidRPr="00C515CC">
        <w:rPr>
          <w:i/>
        </w:rPr>
        <w:t>Hypocalcaemia</w:t>
      </w:r>
    </w:p>
    <w:p w14:paraId="31E1652F" w14:textId="225D9296" w:rsidR="00951F81" w:rsidRPr="00C515CC" w:rsidRDefault="00951F81" w:rsidP="00C515CC">
      <w:r w:rsidRPr="00C515CC">
        <w:t>Postmenopausalis osteoporosisban szenvedő nők</w:t>
      </w:r>
      <w:r w:rsidR="003D35FA">
        <w:t xml:space="preserve"> körében</w:t>
      </w:r>
      <w:r w:rsidRPr="00C515CC">
        <w:t xml:space="preserve"> elvégzett két III. fázisú, placebokontrollos klinikai vizsgálatban a betegek kb. 0,05%</w:t>
      </w:r>
      <w:r w:rsidRPr="00C515CC">
        <w:noBreakHyphen/>
        <w:t>ának (a 4050 beteg közül 2</w:t>
      </w:r>
      <w:r w:rsidRPr="00C515CC">
        <w:noBreakHyphen/>
        <w:t>nek) csökkent a szérum</w:t>
      </w:r>
      <w:r w:rsidRPr="00C515CC">
        <w:noBreakHyphen/>
        <w:t xml:space="preserve">kalciumszintje (&lt; 1,88 mmol/l) a </w:t>
      </w:r>
      <w:r w:rsidR="00DF7168" w:rsidRPr="00C515CC">
        <w:t>denoszumab</w:t>
      </w:r>
      <w:r w:rsidRPr="00C515CC">
        <w:t xml:space="preserve"> alkalmazása után. Sem a hormonablációban részesülő betegeken elvégzett két III. fázisú, placebokontrollos vizsgálatban, sem az osteoporosisban szenvedő férfiak bevonásával végzett III. fázisú, placebokontrollos vizsgálatban nem számoltak be alacsony szérum kalciumszintről (&lt; 1,88 mmol/l).</w:t>
      </w:r>
    </w:p>
    <w:p w14:paraId="2FB6F939" w14:textId="77777777" w:rsidR="006079AB" w:rsidRPr="00C515CC" w:rsidRDefault="006079AB" w:rsidP="00C515CC"/>
    <w:p w14:paraId="4E27AD95" w14:textId="522017DF" w:rsidR="00951F81" w:rsidRPr="00C515CC" w:rsidRDefault="00951F81" w:rsidP="00C515CC">
      <w:r w:rsidRPr="00C515CC">
        <w:t>A forgalomba hozatalt követő alkalmazás során a súlyos tünetekkel járó hypocalcaemia ritka eseteit, köztük kórházi ellátást igénylő, életveszélyes és a halálos eseteket jelentettek, túlnyomórészt a denoszumabot kapó, a hypocalcaemia által fokozottan veszélyeztetett betegeknél, ezen esetek többsége a kezelés megkezdését követő első hetekben alakult ki. A súlyos, tünetekkel járó hypocalcaemia klinikai megjelenései között előfordult például a QT</w:t>
      </w:r>
      <w:r w:rsidRPr="00C515CC">
        <w:noBreakHyphen/>
        <w:t>szakasz megnyúlása, tetania, epilepsziás roham és a mentalis státusz megváltozása (lásd 4.4 pont). A denoszumabbal végzett klinikai vizsgálatokban jelentett hypocalcaemiás tünetek között előfordultak paraesthesiák vagy izommerevség, izomrángások, izomspasmusok, izomgörcsök.</w:t>
      </w:r>
    </w:p>
    <w:p w14:paraId="633AFF06" w14:textId="77777777" w:rsidR="00951F81" w:rsidRPr="00C515CC" w:rsidRDefault="00951F81" w:rsidP="00C515CC"/>
    <w:p w14:paraId="6494E8F3" w14:textId="77777777" w:rsidR="00951F81" w:rsidRPr="00C515CC" w:rsidRDefault="00951F81" w:rsidP="00C515CC">
      <w:pPr>
        <w:keepNext/>
        <w:tabs>
          <w:tab w:val="clear" w:pos="567"/>
        </w:tabs>
        <w:rPr>
          <w:i/>
          <w:iCs/>
        </w:rPr>
      </w:pPr>
      <w:r w:rsidRPr="00C515CC">
        <w:rPr>
          <w:i/>
        </w:rPr>
        <w:t>Bőrfertőzések</w:t>
      </w:r>
    </w:p>
    <w:p w14:paraId="3FB99A0E" w14:textId="13A3F62E" w:rsidR="00951F81" w:rsidRPr="00C515CC" w:rsidRDefault="00951F81" w:rsidP="00C515CC">
      <w:r w:rsidRPr="00C515CC">
        <w:t xml:space="preserve">A III. fázisú, placebokontrollos klinikai vizsgálatokban a bőrfertőzések teljes gyakorisága hasonló volt a placebóval, illetve denoszumabbal kezelt csoportokban: postmenopausalis osteoporosisban szenvedő nőknél (placebo [1,2%, 4041 beteg közül 50] versus </w:t>
      </w:r>
      <w:r w:rsidR="00DF7168" w:rsidRPr="00C515CC">
        <w:t>denoszumab</w:t>
      </w:r>
      <w:r w:rsidRPr="00C515CC">
        <w:t xml:space="preserve"> [1,5%, 4050 beteg közül 59]); osteoporosisban szenvedő férfiaknál (placebo [0,8%, 120 beteg közül 1] versus </w:t>
      </w:r>
      <w:r w:rsidR="00DF7168" w:rsidRPr="00C515CC">
        <w:t>denoszumab</w:t>
      </w:r>
      <w:r w:rsidRPr="00C515CC">
        <w:t xml:space="preserve"> [0%, 120 beteg közül 0]); a hormonablációban részesülő emlő</w:t>
      </w:r>
      <w:r w:rsidRPr="00C515CC">
        <w:noBreakHyphen/>
        <w:t xml:space="preserve"> vagy prostatacarcinomás betegeknél (placebo [1,7%, 845 beteg közül 14] versus </w:t>
      </w:r>
      <w:r w:rsidR="00DF7168" w:rsidRPr="00C515CC">
        <w:t>denoszumab</w:t>
      </w:r>
      <w:r w:rsidRPr="00C515CC">
        <w:t xml:space="preserve"> [1,4%, 860 beteg közül 12]). Kórházi kezeléshez vezető bőrfertőzéseket a postmenopausalis osteoporosisban szenvedő nők közül a placebót kapók 0,1%</w:t>
      </w:r>
      <w:r w:rsidRPr="00C515CC">
        <w:noBreakHyphen/>
        <w:t xml:space="preserve">ánál (4041 beteg közül 3), míg a </w:t>
      </w:r>
      <w:r w:rsidR="00DF7168" w:rsidRPr="00C515CC">
        <w:t>denoszumabo</w:t>
      </w:r>
      <w:r w:rsidRPr="00C515CC">
        <w:t>t kapók 0,4%</w:t>
      </w:r>
      <w:r w:rsidRPr="00C515CC">
        <w:noBreakHyphen/>
        <w:t>ánál (4050 beteg közül 16) jelentettek. Ezeknek az eseteknek a többsége cellulitis volt. A súlyos mellékhatásként jelentett bőrfertőzések gyakorisága hasonló volt az emlő</w:t>
      </w:r>
      <w:r w:rsidRPr="00C515CC">
        <w:noBreakHyphen/>
        <w:t>, illetve prostatacarcinomás betegeken elvégzett vizsgálatok placebo</w:t>
      </w:r>
      <w:r w:rsidRPr="00C515CC">
        <w:noBreakHyphen/>
        <w:t xml:space="preserve"> és </w:t>
      </w:r>
      <w:r w:rsidR="00DF7168" w:rsidRPr="00C515CC">
        <w:t>denoszumab</w:t>
      </w:r>
      <w:r w:rsidRPr="00C515CC">
        <w:noBreakHyphen/>
        <w:t>csoportjaiban (0,6%, 845 beteg közül 5, versus 0,6%, 860 beteg közül 5).</w:t>
      </w:r>
    </w:p>
    <w:p w14:paraId="4E57D484" w14:textId="77777777" w:rsidR="00951F81" w:rsidRPr="00C515CC" w:rsidRDefault="00951F81" w:rsidP="00C515CC"/>
    <w:p w14:paraId="1A80A618" w14:textId="77777777" w:rsidR="00951F81" w:rsidRPr="00C515CC" w:rsidRDefault="00951F81" w:rsidP="00C515CC">
      <w:pPr>
        <w:keepNext/>
        <w:tabs>
          <w:tab w:val="clear" w:pos="567"/>
        </w:tabs>
        <w:rPr>
          <w:i/>
          <w:iCs/>
        </w:rPr>
      </w:pPr>
      <w:r w:rsidRPr="00C515CC">
        <w:rPr>
          <w:i/>
        </w:rPr>
        <w:t>Az állcsont osteonecrosisa</w:t>
      </w:r>
    </w:p>
    <w:p w14:paraId="5470ADE6" w14:textId="2DEBD6A3" w:rsidR="00951F81" w:rsidRPr="00C515CC" w:rsidRDefault="00951F81" w:rsidP="00C515CC">
      <w:r w:rsidRPr="00C515CC">
        <w:t>ONJ</w:t>
      </w:r>
      <w:r w:rsidRPr="00C515CC">
        <w:noBreakHyphen/>
        <w:t>t ritkán, 16 betegnél jelentettek klinikai vizsgálatok során, melyekben összesen 23 148, csontritkulásos és emlő</w:t>
      </w:r>
      <w:r w:rsidRPr="00C515CC">
        <w:noBreakHyphen/>
        <w:t xml:space="preserve"> vagy prostatacarcinomás, hormonablációs kezelésben részesülő beteg vett részt (lásd 4.4 pont). Ezek közül az ONJ esetek közül tizenhárom</w:t>
      </w:r>
      <w:r w:rsidR="003D35FA" w:rsidRPr="003D35FA">
        <w:t xml:space="preserve"> </w:t>
      </w:r>
      <w:r w:rsidR="003D35FA" w:rsidRPr="00C515CC">
        <w:t>következett be</w:t>
      </w:r>
      <w:r w:rsidRPr="00C515CC">
        <w:t xml:space="preserve"> postmenopausalis osteoporosisban szenvedő nőknél a III. fázisú klinikai vizsgálat kiterjesztése alatt, a denoszumabbal legfeljebb10 évig történő kezelést követően. Az ONJ előfordulása 0,04% volt a 3. év végén, 0,06% az 5. év végén és 0,44% volt a 10. év végén a denoszumab</w:t>
      </w:r>
      <w:r w:rsidRPr="00C515CC">
        <w:noBreakHyphen/>
        <w:t>kezelés során. A denoszumab</w:t>
      </w:r>
      <w:r w:rsidRPr="00C515CC">
        <w:noBreakHyphen/>
        <w:t>kezelés időtartamának növekedésével az ONJ kockázata emelkedett.</w:t>
      </w:r>
    </w:p>
    <w:p w14:paraId="5770F1E8" w14:textId="77777777" w:rsidR="00D67D34" w:rsidRPr="00C515CC" w:rsidRDefault="00D67D34" w:rsidP="00C515CC"/>
    <w:p w14:paraId="01C71654" w14:textId="54A04384" w:rsidR="004D1912" w:rsidRPr="00C515CC" w:rsidRDefault="004D1912" w:rsidP="00C515CC">
      <w:pPr>
        <w:rPr>
          <w:rFonts w:cs="Verdana"/>
          <w:i/>
          <w:iCs/>
          <w:color w:val="000000"/>
        </w:rPr>
      </w:pPr>
      <w:r w:rsidRPr="00C515CC">
        <w:t>Az ONJ kockázatát egy 76</w:t>
      </w:r>
      <w:r w:rsidR="00BF54D8" w:rsidRPr="00C515CC">
        <w:t> </w:t>
      </w:r>
      <w:r w:rsidRPr="00C515CC">
        <w:t>192</w:t>
      </w:r>
      <w:r w:rsidR="00BF54D8" w:rsidRPr="00C515CC">
        <w:t>,</w:t>
      </w:r>
      <w:r w:rsidRPr="00C515CC">
        <w:t xml:space="preserve"> postmenopausában lévő, </w:t>
      </w:r>
      <w:r w:rsidR="00DF7168" w:rsidRPr="00C515CC">
        <w:t>denoszumab</w:t>
      </w:r>
      <w:r w:rsidR="00DF7168" w:rsidRPr="00C515CC">
        <w:noBreakHyphen/>
      </w:r>
      <w:r w:rsidRPr="00C515CC">
        <w:t>kezelést újonnan megkezdett nő</w:t>
      </w:r>
      <w:r w:rsidR="00AA48CF" w:rsidRPr="00C515CC">
        <w:t>beteg</w:t>
      </w:r>
      <w:r w:rsidRPr="00C515CC">
        <w:t xml:space="preserve"> körében végzett, retrospektív kohorszvizsgálatban is értékelték. Az ONJ előfordulása 0,32% volt (95%</w:t>
      </w:r>
      <w:r w:rsidRPr="00C515CC">
        <w:noBreakHyphen/>
        <w:t>os konfidenciaintervallum [CI]: 0,26; 0,39) a denoszumabot legfeljebb 3</w:t>
      </w:r>
      <w:r w:rsidR="002B1BE3">
        <w:t> </w:t>
      </w:r>
      <w:r w:rsidRPr="00C515CC">
        <w:t xml:space="preserve">éve alkalmazó betegeknél és 0,51% </w:t>
      </w:r>
      <w:r w:rsidR="00AA48CF" w:rsidRPr="00C515CC">
        <w:t xml:space="preserve">volt </w:t>
      </w:r>
      <w:r w:rsidRPr="00C515CC">
        <w:t>(95%-os CI: 0,39; 0,65) a denoszumabot legfeljebb 5</w:t>
      </w:r>
      <w:r w:rsidR="002B1BE3">
        <w:t> </w:t>
      </w:r>
      <w:r w:rsidRPr="00C515CC">
        <w:t>éve alkalmazó utánkövetéses betegeknél.</w:t>
      </w:r>
    </w:p>
    <w:p w14:paraId="01CC3FD4" w14:textId="77777777" w:rsidR="00951F81" w:rsidRPr="00C515CC" w:rsidRDefault="00951F81" w:rsidP="00C515CC"/>
    <w:p w14:paraId="13B95161" w14:textId="77777777" w:rsidR="00951F81" w:rsidRPr="00C515CC" w:rsidRDefault="00951F81" w:rsidP="00C515CC">
      <w:pPr>
        <w:keepNext/>
        <w:tabs>
          <w:tab w:val="clear" w:pos="567"/>
        </w:tabs>
        <w:rPr>
          <w:i/>
          <w:iCs/>
        </w:rPr>
      </w:pPr>
      <w:r w:rsidRPr="00C515CC">
        <w:rPr>
          <w:i/>
        </w:rPr>
        <w:t>A combcsont atípusos törései</w:t>
      </w:r>
    </w:p>
    <w:p w14:paraId="4773B3E8" w14:textId="0DCAC086" w:rsidR="00951F81" w:rsidRPr="00C515CC" w:rsidRDefault="00951F81" w:rsidP="00C515CC">
      <w:r w:rsidRPr="00C515CC">
        <w:t>Az osteoporosis klinikai vizsgálati programban denoszumabbal kezelt betegeknél ritkán atípusos femur</w:t>
      </w:r>
      <w:r w:rsidRPr="00C515CC">
        <w:noBreakHyphen/>
        <w:t>töréseket jelentettek (lásd 4.4 pont).</w:t>
      </w:r>
    </w:p>
    <w:p w14:paraId="3CC9A891" w14:textId="77777777" w:rsidR="00951F81" w:rsidRPr="00C515CC" w:rsidRDefault="00951F81" w:rsidP="00C515CC"/>
    <w:p w14:paraId="1F54A1FD" w14:textId="77777777" w:rsidR="00951F81" w:rsidRPr="00C515CC" w:rsidRDefault="00951F81" w:rsidP="00C515CC">
      <w:pPr>
        <w:keepNext/>
        <w:tabs>
          <w:tab w:val="clear" w:pos="567"/>
        </w:tabs>
        <w:rPr>
          <w:i/>
          <w:iCs/>
        </w:rPr>
      </w:pPr>
      <w:r w:rsidRPr="00C515CC">
        <w:rPr>
          <w:i/>
        </w:rPr>
        <w:t>Diverticulitis</w:t>
      </w:r>
    </w:p>
    <w:p w14:paraId="0CD71C30" w14:textId="234B096E" w:rsidR="00951F81" w:rsidRPr="00C515CC" w:rsidRDefault="00951F81" w:rsidP="00C515CC">
      <w:r w:rsidRPr="00C515CC">
        <w:t>Egy III. fázisú, placebokontrollos, androgéndeprivációs terápiában (ADT) részesülő prostatacarcinomás betegek</w:t>
      </w:r>
      <w:r w:rsidR="003D35FA">
        <w:t>kel</w:t>
      </w:r>
      <w:r w:rsidRPr="00C515CC">
        <w:t xml:space="preserve"> végzett klinikai vizsgálatban a diverticulitis nemkívánatos esemény előfordulása nem volt egyforma (1,2% denoszumab, 0% placebo). A diverticulitis gyakorisága összehasonlítható volt a kezelést kapó csoportok között postmenopausalis osteoporosisban szenvedő nőknél vagy osteoporosisban szenvedő férfiaknál és nem</w:t>
      </w:r>
      <w:r w:rsidRPr="00C515CC">
        <w:noBreakHyphen/>
        <w:t>metasztatizáló emlő</w:t>
      </w:r>
      <w:r w:rsidRPr="00C515CC">
        <w:noBreakHyphen/>
        <w:t>carcinoma kezelésére aromatáz</w:t>
      </w:r>
      <w:r w:rsidRPr="00C515CC">
        <w:noBreakHyphen/>
        <w:t>gátló kezelést kapó nőknél.</w:t>
      </w:r>
    </w:p>
    <w:p w14:paraId="33611689" w14:textId="77777777" w:rsidR="00951F81" w:rsidRPr="00C515CC" w:rsidRDefault="00951F81" w:rsidP="00C515CC"/>
    <w:p w14:paraId="2EAA48FB" w14:textId="77777777" w:rsidR="00951F81" w:rsidRPr="00C515CC" w:rsidRDefault="00951F81" w:rsidP="00C515CC">
      <w:pPr>
        <w:keepNext/>
        <w:tabs>
          <w:tab w:val="clear" w:pos="567"/>
        </w:tabs>
        <w:rPr>
          <w:i/>
          <w:iCs/>
        </w:rPr>
      </w:pPr>
      <w:r w:rsidRPr="00C515CC">
        <w:rPr>
          <w:i/>
        </w:rPr>
        <w:t>Gyógyszerrel kapcsolatos túlérzékenységi reakciók</w:t>
      </w:r>
    </w:p>
    <w:p w14:paraId="55BE9C66" w14:textId="33C5834B" w:rsidR="00951F81" w:rsidRPr="00C515CC" w:rsidRDefault="00951F81" w:rsidP="00C515CC">
      <w:r w:rsidRPr="00C515CC">
        <w:t xml:space="preserve">A posztmarketing alkalmazás során gyógyszerrel kapcsolatos túlérzékenység ritka eseteit, azon belül bőrkiütést, urticariát, arcduzzanatot, erythemát és anaphylaxiás reakciókat jelentettek a </w:t>
      </w:r>
      <w:r w:rsidR="00325472" w:rsidRPr="00C515CC">
        <w:t>denoszumabo</w:t>
      </w:r>
      <w:r w:rsidRPr="00C515CC">
        <w:t>t kapó betegeknél.</w:t>
      </w:r>
    </w:p>
    <w:p w14:paraId="0C82DF62" w14:textId="77777777" w:rsidR="00951F81" w:rsidRPr="00C515CC" w:rsidRDefault="00951F81" w:rsidP="00C515CC"/>
    <w:p w14:paraId="13C05C6A" w14:textId="77777777" w:rsidR="00951F81" w:rsidRPr="00C515CC" w:rsidRDefault="00951F81" w:rsidP="00C515CC">
      <w:pPr>
        <w:keepNext/>
        <w:tabs>
          <w:tab w:val="clear" w:pos="567"/>
        </w:tabs>
        <w:rPr>
          <w:i/>
          <w:iCs/>
        </w:rPr>
      </w:pPr>
      <w:r w:rsidRPr="00C515CC">
        <w:rPr>
          <w:i/>
        </w:rPr>
        <w:t>Csont</w:t>
      </w:r>
      <w:r w:rsidRPr="00C515CC">
        <w:rPr>
          <w:i/>
        </w:rPr>
        <w:noBreakHyphen/>
        <w:t xml:space="preserve"> és izomrendszeri fájdalom</w:t>
      </w:r>
    </w:p>
    <w:p w14:paraId="55A60F9F" w14:textId="65FBF1FA" w:rsidR="00951F81" w:rsidRPr="00C515CC" w:rsidRDefault="00951F81" w:rsidP="00C515CC">
      <w:r w:rsidRPr="00C515CC">
        <w:t xml:space="preserve">A forgalomba hozatalt követő alkalmazás során a </w:t>
      </w:r>
      <w:r w:rsidR="00325472" w:rsidRPr="00C515CC">
        <w:t>denoszumabba</w:t>
      </w:r>
      <w:r w:rsidRPr="00C515CC">
        <w:t>l kezelt betegeknél csont</w:t>
      </w:r>
      <w:r w:rsidRPr="00C515CC">
        <w:noBreakHyphen/>
        <w:t xml:space="preserve"> és izomrendszeri fájdalomról számoltak be, köztük súlyos esetekről is. A klinikai vizsgálatokban a musculoskeletalis fájdalom igen gyakori volt mind a denoszumab</w:t>
      </w:r>
      <w:r w:rsidRPr="00C515CC">
        <w:noBreakHyphen/>
        <w:t>, mind a placebocsoportokban. A vizsgálati kezelés megszakításához vezető musculoskeletalis fájdalom azonban nem gyakran fordult elő.</w:t>
      </w:r>
    </w:p>
    <w:p w14:paraId="5EB21AAE" w14:textId="77777777" w:rsidR="00951F81" w:rsidRPr="00C515CC" w:rsidRDefault="00951F81" w:rsidP="00C515CC"/>
    <w:p w14:paraId="71B66FD5" w14:textId="77777777" w:rsidR="00951F81" w:rsidRPr="00C515CC" w:rsidRDefault="00951F81" w:rsidP="00C515CC">
      <w:pPr>
        <w:keepNext/>
        <w:tabs>
          <w:tab w:val="clear" w:pos="567"/>
        </w:tabs>
        <w:rPr>
          <w:i/>
          <w:iCs/>
        </w:rPr>
      </w:pPr>
      <w:r w:rsidRPr="00C515CC">
        <w:rPr>
          <w:i/>
        </w:rPr>
        <w:t>Lichenoid gyógyszerkiütések</w:t>
      </w:r>
    </w:p>
    <w:p w14:paraId="7EED2A6C" w14:textId="15F4E045" w:rsidR="00951F81" w:rsidRPr="00C515CC" w:rsidRDefault="00951F81" w:rsidP="00C515CC">
      <w:r w:rsidRPr="00C515CC">
        <w:t>Lichenoid gyógyszerkiütéseket (pl. lichen planus</w:t>
      </w:r>
      <w:r w:rsidRPr="00C515CC">
        <w:noBreakHyphen/>
        <w:t>szerű bőrreakciókat) jelentettek betegeknél</w:t>
      </w:r>
      <w:r w:rsidR="001046DF">
        <w:t>,</w:t>
      </w:r>
      <w:r w:rsidRPr="00C515CC">
        <w:t xml:space="preserve"> a forgalomba hozatalt követő alkalmazás során.</w:t>
      </w:r>
    </w:p>
    <w:p w14:paraId="6B816EBD" w14:textId="77777777" w:rsidR="00951F81" w:rsidRPr="00C515CC" w:rsidRDefault="00951F81" w:rsidP="00C515CC"/>
    <w:p w14:paraId="5F822C17" w14:textId="77777777" w:rsidR="00951F81" w:rsidRPr="00C515CC" w:rsidRDefault="00951F81" w:rsidP="00C515CC">
      <w:pPr>
        <w:keepNext/>
        <w:rPr>
          <w:u w:val="single"/>
        </w:rPr>
      </w:pPr>
      <w:r w:rsidRPr="00C515CC">
        <w:rPr>
          <w:u w:val="single"/>
        </w:rPr>
        <w:t>Egyéb különleges betegcsoportok</w:t>
      </w:r>
    </w:p>
    <w:p w14:paraId="1FE249B2" w14:textId="77777777" w:rsidR="00951F81" w:rsidRPr="00C515CC" w:rsidRDefault="00951F81" w:rsidP="00C515CC">
      <w:pPr>
        <w:keepNext/>
      </w:pPr>
    </w:p>
    <w:p w14:paraId="4731F540" w14:textId="77777777" w:rsidR="00951F81" w:rsidRPr="00C515CC" w:rsidRDefault="00951F81" w:rsidP="00C515CC">
      <w:pPr>
        <w:keepNext/>
        <w:rPr>
          <w:i/>
          <w:iCs/>
        </w:rPr>
      </w:pPr>
      <w:r w:rsidRPr="00C515CC">
        <w:rPr>
          <w:i/>
        </w:rPr>
        <w:t>Gyermekek és serdülők</w:t>
      </w:r>
    </w:p>
    <w:p w14:paraId="629A6BF1" w14:textId="10B578B6" w:rsidR="00951F81" w:rsidRPr="00C515CC" w:rsidRDefault="00951F81" w:rsidP="00C515CC">
      <w:r w:rsidRPr="00C515CC">
        <w:t xml:space="preserve">A </w:t>
      </w:r>
      <w:r w:rsidR="00A96EB8" w:rsidRPr="00C515CC">
        <w:t>Kefdensis</w:t>
      </w:r>
      <w:r w:rsidRPr="00C515CC">
        <w:noBreakHyphen/>
        <w:t xml:space="preserve">t nem szabad gyermek és serdülő korú (18 évesnél fiatalabb) betegeknél alkalmazni. Súlyos hypercalcaemiáról számoltak be (lásd 5.1 pont). Egyes klinikai vizsgálati esetekben </w:t>
      </w:r>
      <w:r w:rsidR="003D35FA">
        <w:t xml:space="preserve">akut </w:t>
      </w:r>
      <w:r w:rsidRPr="00C515CC">
        <w:t>vesekárosodás alakult ki.</w:t>
      </w:r>
    </w:p>
    <w:p w14:paraId="592BF8A1" w14:textId="77777777" w:rsidR="00951F81" w:rsidRPr="00C515CC" w:rsidRDefault="00951F81" w:rsidP="00C515CC">
      <w:pPr>
        <w:keepNext/>
      </w:pPr>
    </w:p>
    <w:p w14:paraId="06EE30E7" w14:textId="77777777" w:rsidR="00951F81" w:rsidRPr="00C515CC" w:rsidRDefault="00951F81" w:rsidP="00C515CC">
      <w:pPr>
        <w:keepNext/>
        <w:tabs>
          <w:tab w:val="clear" w:pos="567"/>
        </w:tabs>
        <w:rPr>
          <w:i/>
          <w:iCs/>
        </w:rPr>
      </w:pPr>
      <w:r w:rsidRPr="00C515CC">
        <w:rPr>
          <w:i/>
        </w:rPr>
        <w:t>Vesekárosodás</w:t>
      </w:r>
    </w:p>
    <w:p w14:paraId="7AD6BD6B" w14:textId="1CE496FD" w:rsidR="00951F81" w:rsidRPr="00C515CC" w:rsidRDefault="00951F81" w:rsidP="00C515CC">
      <w:r w:rsidRPr="00C515CC">
        <w:t>A klinikai vizsgálatokban a súlyos vesekárosodásban (kreatinin</w:t>
      </w:r>
      <w:r w:rsidRPr="00C515CC">
        <w:noBreakHyphen/>
        <w:t>clearance &lt; 30 ml/perc) szenvedő, illetve dialíziskezelésben részesülő betegeknél kalciumpótlás hiányában nagyobb volt a hypocalcaemia kialakulásának kockázata. A megfelelő kalcium</w:t>
      </w:r>
      <w:r w:rsidRPr="00C515CC">
        <w:noBreakHyphen/>
        <w:t xml:space="preserve"> és D</w:t>
      </w:r>
      <w:r w:rsidRPr="00C515CC">
        <w:noBreakHyphen/>
        <w:t>vitamin</w:t>
      </w:r>
      <w:r w:rsidRPr="00C515CC">
        <w:noBreakHyphen/>
        <w:t xml:space="preserve">bevitel fontos a </w:t>
      </w:r>
      <w:r w:rsidR="003D35FA">
        <w:t>súlyos vesekárosodásban szenvedő</w:t>
      </w:r>
      <w:r w:rsidRPr="00C515CC">
        <w:t xml:space="preserve"> vagy dialíziskezelésben részesülő betegeknél (lásd 4.4 pont).</w:t>
      </w:r>
    </w:p>
    <w:p w14:paraId="1B2DB838" w14:textId="77777777" w:rsidR="00951F81" w:rsidRPr="00C515CC" w:rsidRDefault="00951F81" w:rsidP="00C515CC"/>
    <w:p w14:paraId="44010A0B" w14:textId="77777777" w:rsidR="00951F81" w:rsidRPr="00C515CC" w:rsidRDefault="00951F81" w:rsidP="00C515CC">
      <w:pPr>
        <w:keepNext/>
        <w:rPr>
          <w:u w:val="single"/>
        </w:rPr>
      </w:pPr>
      <w:r w:rsidRPr="00C515CC">
        <w:rPr>
          <w:u w:val="single"/>
        </w:rPr>
        <w:t>Feltételezett mellékhatások bejelentése</w:t>
      </w:r>
    </w:p>
    <w:p w14:paraId="76EB2FB2" w14:textId="77777777" w:rsidR="00951F81" w:rsidRPr="00C515CC" w:rsidRDefault="00951F81" w:rsidP="00C515CC">
      <w:pPr>
        <w:keepNext/>
        <w:tabs>
          <w:tab w:val="clear" w:pos="567"/>
        </w:tabs>
        <w:autoSpaceDE w:val="0"/>
        <w:autoSpaceDN w:val="0"/>
        <w:adjustRightInd w:val="0"/>
        <w:rPr>
          <w:u w:val="single"/>
          <w:lang w:eastAsia="en-GB"/>
        </w:rPr>
      </w:pPr>
    </w:p>
    <w:p w14:paraId="3791A87D" w14:textId="42A9F76D" w:rsidR="00951F81" w:rsidRPr="00C515CC" w:rsidRDefault="00951F81" w:rsidP="00C515CC">
      <w:r w:rsidRPr="00C515CC">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4" w:history="1">
        <w:r w:rsidRPr="00C515CC">
          <w:rPr>
            <w:rStyle w:val="Hyperlink"/>
            <w:highlight w:val="lightGray"/>
          </w:rPr>
          <w:t>V. függelékben</w:t>
        </w:r>
      </w:hyperlink>
      <w:r w:rsidRPr="00C515CC">
        <w:rPr>
          <w:highlight w:val="lightGray"/>
        </w:rPr>
        <w:t xml:space="preserve"> található elérhetőségek valamelyikén keresztül</w:t>
      </w:r>
      <w:r w:rsidRPr="00C515CC">
        <w:t>.</w:t>
      </w:r>
    </w:p>
    <w:p w14:paraId="69F9A1BE" w14:textId="77777777" w:rsidR="00951F81" w:rsidRPr="00C515CC" w:rsidRDefault="00951F81" w:rsidP="00C515CC"/>
    <w:p w14:paraId="28BEEA2A" w14:textId="77777777" w:rsidR="00951F81" w:rsidRPr="00C515CC" w:rsidRDefault="00951F81" w:rsidP="00C515CC">
      <w:pPr>
        <w:keepNext/>
        <w:ind w:left="567" w:hanging="567"/>
        <w:rPr>
          <w:b/>
        </w:rPr>
      </w:pPr>
      <w:r w:rsidRPr="00C515CC">
        <w:rPr>
          <w:b/>
        </w:rPr>
        <w:t>4.9</w:t>
      </w:r>
      <w:r w:rsidRPr="00C515CC">
        <w:rPr>
          <w:b/>
        </w:rPr>
        <w:tab/>
        <w:t>Túladagolás</w:t>
      </w:r>
    </w:p>
    <w:p w14:paraId="3F2A1590" w14:textId="77777777" w:rsidR="00951F81" w:rsidRPr="00C515CC" w:rsidRDefault="00951F81" w:rsidP="00C515CC">
      <w:pPr>
        <w:keepNext/>
      </w:pPr>
    </w:p>
    <w:p w14:paraId="4C8A1A04" w14:textId="0D76C715" w:rsidR="00951F81" w:rsidRPr="00C515CC" w:rsidRDefault="00951F81" w:rsidP="00C515CC">
      <w:r w:rsidRPr="00C515CC">
        <w:t>A túladagolásra vonatkozóan a klinikai vizsgálatokból nincs tapasztalat. A denoszumabot a klinikai vizsgálatok során legfeljebb 180 mg</w:t>
      </w:r>
      <w:r w:rsidRPr="00C515CC">
        <w:noBreakHyphen/>
        <w:t>ig terjedő dózisokban, 4 hetente alkalmazták (6 hónap alatt a kumulatív dózis legfeljebb 1080 mg volt) és nem figyeltek meg további mellékhatásokat.</w:t>
      </w:r>
    </w:p>
    <w:p w14:paraId="6914EA16" w14:textId="77777777" w:rsidR="00951F81" w:rsidRPr="00C515CC" w:rsidRDefault="00951F81" w:rsidP="00C515CC"/>
    <w:p w14:paraId="626537A4" w14:textId="77777777" w:rsidR="00951F81" w:rsidRPr="00C515CC" w:rsidRDefault="00951F81" w:rsidP="00C515CC"/>
    <w:p w14:paraId="60146CC3" w14:textId="77777777" w:rsidR="00951F81" w:rsidRPr="00C515CC" w:rsidRDefault="00951F81" w:rsidP="00C515CC">
      <w:pPr>
        <w:keepNext/>
        <w:ind w:left="567" w:hanging="567"/>
        <w:rPr>
          <w:b/>
        </w:rPr>
      </w:pPr>
      <w:r w:rsidRPr="00C515CC">
        <w:rPr>
          <w:b/>
        </w:rPr>
        <w:t>5.</w:t>
      </w:r>
      <w:r w:rsidRPr="00C515CC">
        <w:rPr>
          <w:b/>
        </w:rPr>
        <w:tab/>
        <w:t>FARMAKOLÓGIAI TULAJDONSÁGOK</w:t>
      </w:r>
    </w:p>
    <w:p w14:paraId="0A9D5B0C" w14:textId="77777777" w:rsidR="00951F81" w:rsidRPr="00C515CC" w:rsidRDefault="00951F81" w:rsidP="00C515CC">
      <w:pPr>
        <w:keepNext/>
      </w:pPr>
    </w:p>
    <w:p w14:paraId="51BA858B" w14:textId="77777777" w:rsidR="00951F81" w:rsidRPr="00C515CC" w:rsidRDefault="00951F81" w:rsidP="00C515CC">
      <w:pPr>
        <w:keepNext/>
        <w:ind w:left="567" w:hanging="567"/>
        <w:rPr>
          <w:b/>
        </w:rPr>
      </w:pPr>
      <w:r w:rsidRPr="00C515CC">
        <w:rPr>
          <w:b/>
        </w:rPr>
        <w:t>5.1</w:t>
      </w:r>
      <w:r w:rsidRPr="00C515CC">
        <w:rPr>
          <w:b/>
        </w:rPr>
        <w:tab/>
        <w:t>Farmakodinámiás tulajdonságok</w:t>
      </w:r>
    </w:p>
    <w:p w14:paraId="7BA20972" w14:textId="77777777" w:rsidR="00951F81" w:rsidRPr="00C515CC" w:rsidRDefault="00951F81" w:rsidP="00C515CC">
      <w:pPr>
        <w:keepNext/>
      </w:pPr>
    </w:p>
    <w:p w14:paraId="12516675" w14:textId="77777777" w:rsidR="00951F81" w:rsidRPr="00C515CC" w:rsidRDefault="00951F81" w:rsidP="00C515CC">
      <w:r w:rsidRPr="00C515CC">
        <w:t>Farmakoterápiás csoport: Csontbetegségek kezelésének gyógyszerei – Csont szerkezetére és mineralizációjára ható egyéb gyógyszerek, ATC-kód: M05BX04</w:t>
      </w:r>
    </w:p>
    <w:p w14:paraId="57D45CB6" w14:textId="77777777" w:rsidR="00951F81" w:rsidRPr="00C515CC" w:rsidRDefault="00951F81" w:rsidP="00C515CC"/>
    <w:p w14:paraId="693903A1" w14:textId="13BD1E98" w:rsidR="00325472" w:rsidRPr="00C515CC" w:rsidRDefault="00325472" w:rsidP="00C515CC">
      <w:pPr>
        <w:rPr>
          <w:rFonts w:eastAsia="Times New Roman"/>
        </w:rPr>
      </w:pPr>
      <w:r w:rsidRPr="00C515CC">
        <w:rPr>
          <w:rFonts w:eastAsia="Times New Roman"/>
        </w:rPr>
        <w:t>A Kefdensis egy biohasonló gyógyszer. Részletes információ az Európai Gyógyszerügynökség honlapján (</w:t>
      </w:r>
      <w:hyperlink r:id="rId15" w:history="1">
        <w:r w:rsidRPr="00C515CC">
          <w:rPr>
            <w:rFonts w:eastAsia="Times New Roman"/>
            <w:color w:val="0000FF"/>
            <w:u w:val="single"/>
          </w:rPr>
          <w:t>https://www.ema.europa.eu</w:t>
        </w:r>
      </w:hyperlink>
      <w:r w:rsidRPr="00C515CC">
        <w:rPr>
          <w:rFonts w:eastAsia="Times New Roman"/>
        </w:rPr>
        <w:t>) érhető el.</w:t>
      </w:r>
    </w:p>
    <w:p w14:paraId="51D43C4F" w14:textId="77777777" w:rsidR="00325472" w:rsidRPr="00C515CC" w:rsidRDefault="00325472" w:rsidP="00C515CC"/>
    <w:p w14:paraId="08F59387" w14:textId="77777777" w:rsidR="00951F81" w:rsidRPr="00C515CC" w:rsidRDefault="00951F81" w:rsidP="00C515CC">
      <w:pPr>
        <w:keepNext/>
        <w:rPr>
          <w:u w:val="single"/>
        </w:rPr>
      </w:pPr>
      <w:r w:rsidRPr="00C515CC">
        <w:rPr>
          <w:u w:val="single"/>
        </w:rPr>
        <w:t>Hatásmechanizmus</w:t>
      </w:r>
    </w:p>
    <w:p w14:paraId="50295A9D" w14:textId="77777777" w:rsidR="00951F81" w:rsidRPr="00C515CC" w:rsidRDefault="00951F81" w:rsidP="00C515CC">
      <w:pPr>
        <w:keepNext/>
        <w:rPr>
          <w:u w:val="single"/>
        </w:rPr>
      </w:pPr>
    </w:p>
    <w:p w14:paraId="5D861831" w14:textId="08813C95" w:rsidR="00951F81" w:rsidRPr="00C515CC" w:rsidRDefault="00951F81" w:rsidP="00C515CC">
      <w:r w:rsidRPr="00C515CC">
        <w:t>A denoszumab humán monoklonális antitest (IgG2), am</w:t>
      </w:r>
      <w:r w:rsidR="003D35FA">
        <w:t>ely</w:t>
      </w:r>
      <w:r w:rsidRPr="00C515CC">
        <w:t xml:space="preserve"> nagy affinitással és szelektivitással kötődik a RANKL</w:t>
      </w:r>
      <w:r w:rsidRPr="00C515CC">
        <w:noBreakHyphen/>
        <w:t>hoz, és megakadályozza az osteoclast prekurzorok és kifejlett osteoclastok felszínén található receptorának (RANK) aktiválódását. A RANKL/RANK kölcsönhatás megakadályozása gátolja az osteoclastok képződését, működését és túlélését, ezáltal csökkenti a csontreszorpciót a csont corticalisában és trabecularis állományában.</w:t>
      </w:r>
    </w:p>
    <w:p w14:paraId="7C5B03DD" w14:textId="77777777" w:rsidR="00951F81" w:rsidRPr="00C515CC" w:rsidRDefault="00951F81" w:rsidP="00C515CC"/>
    <w:p w14:paraId="4AB01CFC" w14:textId="77777777" w:rsidR="00951F81" w:rsidRPr="00C515CC" w:rsidRDefault="00951F81" w:rsidP="00C515CC">
      <w:pPr>
        <w:keepNext/>
        <w:rPr>
          <w:u w:val="single"/>
        </w:rPr>
      </w:pPr>
      <w:r w:rsidRPr="00C515CC">
        <w:rPr>
          <w:u w:val="single"/>
        </w:rPr>
        <w:t>Farmakodinámiás hatások</w:t>
      </w:r>
    </w:p>
    <w:p w14:paraId="6154D85F" w14:textId="77777777" w:rsidR="00951F81" w:rsidRPr="00C515CC" w:rsidRDefault="00951F81" w:rsidP="00C515CC">
      <w:pPr>
        <w:keepNext/>
      </w:pPr>
    </w:p>
    <w:p w14:paraId="0EFD92C6" w14:textId="4F7195AC" w:rsidR="00951F81" w:rsidRPr="00C515CC" w:rsidRDefault="00951F81" w:rsidP="00C515CC">
      <w:r w:rsidRPr="00C515CC">
        <w:t xml:space="preserve">A </w:t>
      </w:r>
      <w:r w:rsidR="005071E2" w:rsidRPr="00C515CC">
        <w:t>denoszumab</w:t>
      </w:r>
      <w:r w:rsidRPr="00C515CC">
        <w:noBreakHyphen/>
        <w:t>kezelés gyorsan csökkentette a csontanyagcsere ütemét, az 1</w:t>
      </w:r>
      <w:r w:rsidRPr="00C515CC">
        <w:noBreakHyphen/>
        <w:t>es típusú C</w:t>
      </w:r>
      <w:r w:rsidRPr="00C515CC">
        <w:noBreakHyphen/>
        <w:t>telopeptid (CTX) csontreszorpciós marker szérumszintje 3 nap alatt érte el mélypontját (85%</w:t>
      </w:r>
      <w:r w:rsidRPr="00C515CC">
        <w:noBreakHyphen/>
        <w:t>os csökkenés), a CTX csökkenése fennmaradt az adagolások közötti szünetben. Az egyes adagolások közötti szünetek végén a CTX csökkenése részben, a ≥ 87%</w:t>
      </w:r>
      <w:r w:rsidRPr="00C515CC">
        <w:noBreakHyphen/>
        <w:t>os maximumhoz képest kb. ≥ 45%</w:t>
      </w:r>
      <w:r w:rsidRPr="00C515CC">
        <w:noBreakHyphen/>
        <w:t>ig (45–80%</w:t>
      </w:r>
      <w:r w:rsidRPr="00C515CC">
        <w:noBreakHyphen/>
        <w:t xml:space="preserve">ig) mérséklődött, ami azt tükrözi, hogy a </w:t>
      </w:r>
      <w:r w:rsidR="005071E2" w:rsidRPr="00C515CC">
        <w:t>denoszumab</w:t>
      </w:r>
      <w:r w:rsidRPr="00C515CC">
        <w:t xml:space="preserve"> csontátépülésre kifejtett hatása reverzíbilis, amint a szérumszintje lecsökken. Ezek a hatások a kezelés folytatása során fennmaradtak. A csontanyagcsere markerei általában az utolsó dózist követő 9 hónapon belül visszatértek a kezelés előtti szintre. A kezelés újrakezdésekor a CTX denoszumab által okozott csökkenésének mértéke hasonló volt a primer denoszumab</w:t>
      </w:r>
      <w:r w:rsidRPr="00C515CC">
        <w:noBreakHyphen/>
        <w:t>kezelést elkezdő betegeknél megfigyelthez.</w:t>
      </w:r>
    </w:p>
    <w:p w14:paraId="30F47CBD" w14:textId="77777777" w:rsidR="00951F81" w:rsidRPr="00C515CC" w:rsidRDefault="00951F81" w:rsidP="00C515CC"/>
    <w:p w14:paraId="2E622B17" w14:textId="77777777" w:rsidR="00951F81" w:rsidRPr="00C515CC" w:rsidRDefault="00951F81" w:rsidP="00C515CC">
      <w:pPr>
        <w:keepNext/>
        <w:rPr>
          <w:u w:val="single"/>
        </w:rPr>
      </w:pPr>
      <w:r w:rsidRPr="00C515CC">
        <w:rPr>
          <w:u w:val="single"/>
        </w:rPr>
        <w:t>Immunogenitás</w:t>
      </w:r>
    </w:p>
    <w:p w14:paraId="071BCF53" w14:textId="77777777" w:rsidR="00951F81" w:rsidRPr="00C515CC" w:rsidRDefault="00951F81" w:rsidP="00C515CC">
      <w:pPr>
        <w:keepNext/>
      </w:pPr>
    </w:p>
    <w:p w14:paraId="50ED5EF2" w14:textId="5387B6C2" w:rsidR="00951F81" w:rsidRPr="00C515CC" w:rsidRDefault="00951F81" w:rsidP="00C515CC">
      <w:r w:rsidRPr="00C515CC">
        <w:t xml:space="preserve">A </w:t>
      </w:r>
      <w:r w:rsidR="005071E2" w:rsidRPr="00C515CC">
        <w:t>denoszumab</w:t>
      </w:r>
      <w:r w:rsidR="005071E2" w:rsidRPr="00C515CC">
        <w:noBreakHyphen/>
        <w:t>kezelés során kialakulhatnak denoszumab elleni antitestek. Nem figyeltek meg nyilvánvaló összefüggést az antitestek kialakulása és a farmakokinetika, a klinikai válasz vagy a mellékhatás</w:t>
      </w:r>
      <w:r w:rsidR="006F42B1" w:rsidRPr="00C515CC">
        <w:t>ok</w:t>
      </w:r>
      <w:r w:rsidR="005071E2" w:rsidRPr="00C515CC">
        <w:t xml:space="preserve"> között</w:t>
      </w:r>
      <w:r w:rsidRPr="00C515CC">
        <w:t>.</w:t>
      </w:r>
    </w:p>
    <w:p w14:paraId="3D6041CE" w14:textId="77777777" w:rsidR="00951F81" w:rsidRPr="00C515CC" w:rsidRDefault="00951F81" w:rsidP="00C515CC"/>
    <w:p w14:paraId="30C95826" w14:textId="77777777" w:rsidR="00951F81" w:rsidRPr="00C515CC" w:rsidRDefault="00951F81" w:rsidP="00C515CC">
      <w:pPr>
        <w:keepNext/>
        <w:rPr>
          <w:u w:val="single"/>
        </w:rPr>
      </w:pPr>
      <w:r w:rsidRPr="00C515CC">
        <w:rPr>
          <w:u w:val="single"/>
        </w:rPr>
        <w:t>Klinikai hatásosság és biztonságosság osteoporosisban szenvedő, postmenopausában lévő nőknél</w:t>
      </w:r>
    </w:p>
    <w:p w14:paraId="37477B41" w14:textId="77777777" w:rsidR="00951F81" w:rsidRPr="00C515CC" w:rsidRDefault="00951F81" w:rsidP="00C515CC">
      <w:pPr>
        <w:keepNext/>
      </w:pPr>
    </w:p>
    <w:p w14:paraId="4C503119" w14:textId="2B424023" w:rsidR="00951F81" w:rsidRPr="00C515CC" w:rsidRDefault="00951F81" w:rsidP="00C515CC">
      <w:r w:rsidRPr="00C515CC">
        <w:t>A 3 éven át, 6 havonta egyszer adagolt denoszumab hatásosságát és biztonságosságát postmenopausában lévő nőkön (7808, 60–91 éves nő, akik közül 23,6%</w:t>
      </w:r>
      <w:r w:rsidRPr="00C515CC">
        <w:noBreakHyphen/>
        <w:t>nak volt korábbi csigolyatörése) vizsgálták, akiknek a kezelés előtti, T</w:t>
      </w:r>
      <w:r w:rsidRPr="00C515CC">
        <w:noBreakHyphen/>
        <w:t>pontszámban kifejezett csont</w:t>
      </w:r>
      <w:r w:rsidR="00E94328">
        <w:t>ásványianyag-</w:t>
      </w:r>
      <w:r w:rsidRPr="00C515CC">
        <w:t xml:space="preserve">sűrűsége (BMD) a lumbális gerincen, illetve a teljes csípőn </w:t>
      </w:r>
      <w:r w:rsidR="000D6409" w:rsidRPr="00C515CC">
        <w:noBreakHyphen/>
      </w:r>
      <w:r w:rsidRPr="00C515CC">
        <w:t>2,5 és </w:t>
      </w:r>
      <w:r w:rsidR="000D6409" w:rsidRPr="00C515CC">
        <w:noBreakHyphen/>
      </w:r>
      <w:r w:rsidRPr="00C515CC">
        <w:t>4,0 között volt, és a jelentős osteoporoticus csonttörés abszolút, 10 évre vetített valószínűsége átlagosan 18,60% (decilisek: 7,9–32,4%), a csípőtáji törésé 7,22% (decilisek: 1,4–14,9%) volt. Ebből a vizsgálatból kizárták a csontozatot potenciálisan befolyásoló, egyéb betegségben szenvedő, vagy a csontra irányuló kezelésben részesülő nőket. A nők naponta (legalább 1000 mg) kalciumot és (legalább 400 NE) D</w:t>
      </w:r>
      <w:r w:rsidRPr="00C515CC">
        <w:noBreakHyphen/>
        <w:t>vitamint kaptak.</w:t>
      </w:r>
    </w:p>
    <w:p w14:paraId="3B7866AC" w14:textId="77777777" w:rsidR="00951F81" w:rsidRPr="00C515CC" w:rsidRDefault="00951F81" w:rsidP="00C515CC"/>
    <w:p w14:paraId="15079F1E" w14:textId="77777777" w:rsidR="00951F81" w:rsidRPr="00C515CC" w:rsidRDefault="00951F81" w:rsidP="00C515CC">
      <w:pPr>
        <w:keepNext/>
        <w:tabs>
          <w:tab w:val="clear" w:pos="567"/>
        </w:tabs>
        <w:rPr>
          <w:i/>
          <w:iCs/>
        </w:rPr>
      </w:pPr>
      <w:r w:rsidRPr="00C515CC">
        <w:rPr>
          <w:i/>
        </w:rPr>
        <w:t>A csigolyatörésekre kifejtett hatás</w:t>
      </w:r>
    </w:p>
    <w:p w14:paraId="606FF213" w14:textId="444A4B75" w:rsidR="00951F81" w:rsidRPr="00C515CC" w:rsidRDefault="00951F81" w:rsidP="00C515CC">
      <w:r w:rsidRPr="00C515CC">
        <w:t xml:space="preserve">A </w:t>
      </w:r>
      <w:r w:rsidR="006F42B1" w:rsidRPr="00C515CC">
        <w:t>denoszumab</w:t>
      </w:r>
      <w:r w:rsidRPr="00C515CC">
        <w:t xml:space="preserve"> 1, </w:t>
      </w:r>
      <w:r w:rsidR="006F42B1" w:rsidRPr="00C515CC">
        <w:t>2 </w:t>
      </w:r>
      <w:r w:rsidRPr="00C515CC">
        <w:t>és 3 éves kezelés után szignifikánsan (p &lt; 0,0001) csökkentette az újabb csigolyatörés kockázatát (lásd 2. táblázat).</w:t>
      </w:r>
    </w:p>
    <w:p w14:paraId="41A6BB3D" w14:textId="77777777" w:rsidR="00951F81" w:rsidRPr="00C515CC" w:rsidRDefault="00951F81" w:rsidP="00C515CC"/>
    <w:p w14:paraId="3469E210" w14:textId="60FDDD58" w:rsidR="00951F81" w:rsidRPr="00C515CC" w:rsidRDefault="00951F81" w:rsidP="00C515CC">
      <w:pPr>
        <w:keepNext/>
        <w:rPr>
          <w:b/>
          <w:bCs/>
        </w:rPr>
      </w:pPr>
      <w:r w:rsidRPr="00C515CC">
        <w:rPr>
          <w:b/>
        </w:rPr>
        <w:t xml:space="preserve">2. táblázat – A </w:t>
      </w:r>
      <w:r w:rsidR="002A140E" w:rsidRPr="00C515CC">
        <w:rPr>
          <w:b/>
        </w:rPr>
        <w:t>denoszumab</w:t>
      </w:r>
      <w:r w:rsidRPr="00C515CC">
        <w:rPr>
          <w:b/>
        </w:rPr>
        <w:t xml:space="preserve"> </w:t>
      </w:r>
      <w:r w:rsidR="00E94328" w:rsidRPr="00C515CC">
        <w:rPr>
          <w:b/>
        </w:rPr>
        <w:t xml:space="preserve">hatása </w:t>
      </w:r>
      <w:r w:rsidR="00E94328">
        <w:rPr>
          <w:b/>
        </w:rPr>
        <w:t xml:space="preserve">az </w:t>
      </w:r>
      <w:r w:rsidRPr="00C515CC">
        <w:rPr>
          <w:b/>
        </w:rPr>
        <w:t>új csigolyatörések kockázatára</w:t>
      </w:r>
    </w:p>
    <w:p w14:paraId="5D123D8D" w14:textId="77777777" w:rsidR="00951F81" w:rsidRPr="00C515CC" w:rsidRDefault="00951F81" w:rsidP="00C515CC">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951F81" w:rsidRPr="00C515CC" w14:paraId="44A8A2D0" w14:textId="77777777" w:rsidTr="006172AE">
        <w:trPr>
          <w:cantSplit/>
          <w:trHeight w:val="57"/>
          <w:tblHeader/>
        </w:trPr>
        <w:tc>
          <w:tcPr>
            <w:tcW w:w="694" w:type="pct"/>
            <w:vMerge w:val="restart"/>
          </w:tcPr>
          <w:p w14:paraId="1FD03DD7" w14:textId="77777777" w:rsidR="00951F81" w:rsidRPr="00C515CC" w:rsidRDefault="00951F81" w:rsidP="00C515CC">
            <w:pPr>
              <w:keepNext/>
            </w:pPr>
          </w:p>
        </w:tc>
        <w:tc>
          <w:tcPr>
            <w:tcW w:w="2202" w:type="pct"/>
            <w:gridSpan w:val="2"/>
          </w:tcPr>
          <w:p w14:paraId="12E11F00" w14:textId="77777777" w:rsidR="00951F81" w:rsidRPr="00C515CC" w:rsidRDefault="00951F81" w:rsidP="00C515CC">
            <w:pPr>
              <w:keepNext/>
              <w:jc w:val="center"/>
            </w:pPr>
            <w:r w:rsidRPr="00C515CC">
              <w:t>A csonttörést elszenvedett nők aránya (%)</w:t>
            </w:r>
          </w:p>
        </w:tc>
        <w:tc>
          <w:tcPr>
            <w:tcW w:w="1052" w:type="pct"/>
            <w:vMerge w:val="restart"/>
          </w:tcPr>
          <w:p w14:paraId="616EF7D3" w14:textId="77777777" w:rsidR="00951F81" w:rsidRPr="00C515CC" w:rsidRDefault="00951F81" w:rsidP="00C515CC">
            <w:pPr>
              <w:keepNext/>
            </w:pPr>
            <w:r w:rsidRPr="00C515CC">
              <w:t>Abszolút kockázatcsökkenés (%)</w:t>
            </w:r>
          </w:p>
          <w:p w14:paraId="792635A9" w14:textId="0621622C" w:rsidR="00951F81" w:rsidRPr="00C515CC" w:rsidRDefault="00951F81" w:rsidP="00C515CC">
            <w:pPr>
              <w:keepNext/>
            </w:pPr>
            <w:r w:rsidRPr="00C515CC">
              <w:t>(95%</w:t>
            </w:r>
            <w:r w:rsidR="002B1BE3">
              <w:noBreakHyphen/>
            </w:r>
            <w:r w:rsidRPr="00C515CC">
              <w:t>os CI)</w:t>
            </w:r>
          </w:p>
        </w:tc>
        <w:tc>
          <w:tcPr>
            <w:tcW w:w="1052" w:type="pct"/>
            <w:vMerge w:val="restart"/>
          </w:tcPr>
          <w:p w14:paraId="49E596B2" w14:textId="77777777" w:rsidR="00951F81" w:rsidRPr="00C515CC" w:rsidRDefault="00951F81" w:rsidP="00C515CC">
            <w:pPr>
              <w:keepNext/>
            </w:pPr>
            <w:r w:rsidRPr="00C515CC">
              <w:t>Relatív kockázatcsökkenés (%)</w:t>
            </w:r>
          </w:p>
          <w:p w14:paraId="07D2FFB6" w14:textId="49BFE65C" w:rsidR="00951F81" w:rsidRPr="00C515CC" w:rsidRDefault="00951F81" w:rsidP="00C515CC">
            <w:pPr>
              <w:keepNext/>
            </w:pPr>
            <w:r w:rsidRPr="00C515CC">
              <w:t>(95%</w:t>
            </w:r>
            <w:r w:rsidR="002B1BE3">
              <w:noBreakHyphen/>
            </w:r>
            <w:r w:rsidRPr="00C515CC">
              <w:t>os CI)</w:t>
            </w:r>
          </w:p>
        </w:tc>
      </w:tr>
      <w:tr w:rsidR="00951F81" w:rsidRPr="00C515CC" w14:paraId="1F2C013D" w14:textId="77777777" w:rsidTr="006172AE">
        <w:trPr>
          <w:cantSplit/>
          <w:trHeight w:val="57"/>
          <w:tblHeader/>
        </w:trPr>
        <w:tc>
          <w:tcPr>
            <w:tcW w:w="694" w:type="pct"/>
            <w:vMerge/>
          </w:tcPr>
          <w:p w14:paraId="147ADA29" w14:textId="77777777" w:rsidR="00951F81" w:rsidRPr="00C515CC" w:rsidRDefault="00951F81" w:rsidP="00C515CC">
            <w:pPr>
              <w:keepNext/>
            </w:pPr>
          </w:p>
        </w:tc>
        <w:tc>
          <w:tcPr>
            <w:tcW w:w="1101" w:type="pct"/>
          </w:tcPr>
          <w:p w14:paraId="48100D24" w14:textId="77777777" w:rsidR="00951F81" w:rsidRPr="00C515CC" w:rsidRDefault="00951F81" w:rsidP="00C515CC">
            <w:pPr>
              <w:keepNext/>
              <w:jc w:val="center"/>
            </w:pPr>
            <w:r w:rsidRPr="00C515CC">
              <w:t>Placebo</w:t>
            </w:r>
          </w:p>
          <w:p w14:paraId="2AD50B66" w14:textId="760641D9" w:rsidR="00951F81" w:rsidRPr="00C515CC" w:rsidRDefault="00951F81" w:rsidP="00C515CC">
            <w:pPr>
              <w:keepNext/>
              <w:jc w:val="center"/>
            </w:pPr>
            <w:r w:rsidRPr="00C515CC">
              <w:t>n = 3906</w:t>
            </w:r>
          </w:p>
        </w:tc>
        <w:tc>
          <w:tcPr>
            <w:tcW w:w="1101" w:type="pct"/>
          </w:tcPr>
          <w:p w14:paraId="4A23226B" w14:textId="663AE96E" w:rsidR="00951F81" w:rsidRPr="00C515CC" w:rsidRDefault="002A140E" w:rsidP="00C515CC">
            <w:pPr>
              <w:keepNext/>
              <w:jc w:val="center"/>
            </w:pPr>
            <w:r w:rsidRPr="00C515CC">
              <w:t>Denoszumab</w:t>
            </w:r>
          </w:p>
          <w:p w14:paraId="40EC3EF5" w14:textId="078A4942" w:rsidR="00951F81" w:rsidRPr="00C515CC" w:rsidRDefault="00951F81" w:rsidP="00C515CC">
            <w:pPr>
              <w:keepNext/>
              <w:jc w:val="center"/>
            </w:pPr>
            <w:r w:rsidRPr="00C515CC">
              <w:t>n = 3902</w:t>
            </w:r>
          </w:p>
        </w:tc>
        <w:tc>
          <w:tcPr>
            <w:tcW w:w="1052" w:type="pct"/>
            <w:vMerge/>
          </w:tcPr>
          <w:p w14:paraId="42381FE9" w14:textId="77777777" w:rsidR="00951F81" w:rsidRPr="00C515CC" w:rsidRDefault="00951F81" w:rsidP="00C515CC">
            <w:pPr>
              <w:keepNext/>
            </w:pPr>
          </w:p>
        </w:tc>
        <w:tc>
          <w:tcPr>
            <w:tcW w:w="1052" w:type="pct"/>
            <w:vMerge/>
          </w:tcPr>
          <w:p w14:paraId="7E2CFE7D" w14:textId="77777777" w:rsidR="00951F81" w:rsidRPr="00C515CC" w:rsidRDefault="00951F81" w:rsidP="00C515CC">
            <w:pPr>
              <w:keepNext/>
            </w:pPr>
          </w:p>
        </w:tc>
      </w:tr>
      <w:tr w:rsidR="00951F81" w:rsidRPr="00C515CC" w14:paraId="1AFD2607" w14:textId="77777777" w:rsidTr="006172AE">
        <w:trPr>
          <w:cantSplit/>
          <w:trHeight w:val="57"/>
        </w:trPr>
        <w:tc>
          <w:tcPr>
            <w:tcW w:w="694" w:type="pct"/>
          </w:tcPr>
          <w:p w14:paraId="76385680" w14:textId="77777777" w:rsidR="00951F81" w:rsidRPr="00C515CC" w:rsidRDefault="00951F81" w:rsidP="00C515CC">
            <w:r w:rsidRPr="00C515CC">
              <w:t>0–1 év</w:t>
            </w:r>
          </w:p>
        </w:tc>
        <w:tc>
          <w:tcPr>
            <w:tcW w:w="1101" w:type="pct"/>
          </w:tcPr>
          <w:p w14:paraId="6A5B686E" w14:textId="77777777" w:rsidR="00951F81" w:rsidRPr="00C515CC" w:rsidRDefault="00951F81" w:rsidP="00C515CC">
            <w:pPr>
              <w:jc w:val="center"/>
            </w:pPr>
            <w:r w:rsidRPr="00C515CC">
              <w:t>2,2</w:t>
            </w:r>
          </w:p>
        </w:tc>
        <w:tc>
          <w:tcPr>
            <w:tcW w:w="1101" w:type="pct"/>
          </w:tcPr>
          <w:p w14:paraId="4FC22E95" w14:textId="77777777" w:rsidR="00951F81" w:rsidRPr="00C515CC" w:rsidRDefault="00951F81" w:rsidP="00C515CC">
            <w:pPr>
              <w:jc w:val="center"/>
            </w:pPr>
            <w:r w:rsidRPr="00C515CC">
              <w:t>0,9</w:t>
            </w:r>
          </w:p>
        </w:tc>
        <w:tc>
          <w:tcPr>
            <w:tcW w:w="1052" w:type="pct"/>
          </w:tcPr>
          <w:p w14:paraId="6781F62C" w14:textId="77777777" w:rsidR="00951F81" w:rsidRPr="00C515CC" w:rsidRDefault="00951F81" w:rsidP="00C515CC">
            <w:r w:rsidRPr="00C515CC">
              <w:t>1,4 (0,8; 1,9)</w:t>
            </w:r>
          </w:p>
        </w:tc>
        <w:tc>
          <w:tcPr>
            <w:tcW w:w="1052" w:type="pct"/>
          </w:tcPr>
          <w:p w14:paraId="7FCDF356" w14:textId="77777777" w:rsidR="00951F81" w:rsidRPr="00C515CC" w:rsidRDefault="00951F81" w:rsidP="00C515CC">
            <w:r w:rsidRPr="00C515CC">
              <w:t>61 (42; 74)**</w:t>
            </w:r>
          </w:p>
        </w:tc>
      </w:tr>
      <w:tr w:rsidR="00951F81" w:rsidRPr="00C515CC" w14:paraId="0F1324AD" w14:textId="77777777" w:rsidTr="006172AE">
        <w:trPr>
          <w:cantSplit/>
          <w:trHeight w:val="57"/>
        </w:trPr>
        <w:tc>
          <w:tcPr>
            <w:tcW w:w="694" w:type="pct"/>
          </w:tcPr>
          <w:p w14:paraId="7CA890B6" w14:textId="77777777" w:rsidR="00951F81" w:rsidRPr="00C515CC" w:rsidRDefault="00951F81" w:rsidP="00C515CC">
            <w:r w:rsidRPr="00C515CC">
              <w:t>0–2 év</w:t>
            </w:r>
          </w:p>
        </w:tc>
        <w:tc>
          <w:tcPr>
            <w:tcW w:w="1101" w:type="pct"/>
          </w:tcPr>
          <w:p w14:paraId="69C4A2D5" w14:textId="77777777" w:rsidR="00951F81" w:rsidRPr="00C515CC" w:rsidRDefault="00951F81" w:rsidP="00C515CC">
            <w:pPr>
              <w:jc w:val="center"/>
            </w:pPr>
            <w:r w:rsidRPr="00C515CC">
              <w:t>5,0</w:t>
            </w:r>
          </w:p>
        </w:tc>
        <w:tc>
          <w:tcPr>
            <w:tcW w:w="1101" w:type="pct"/>
          </w:tcPr>
          <w:p w14:paraId="37A7A404" w14:textId="77777777" w:rsidR="00951F81" w:rsidRPr="00C515CC" w:rsidRDefault="00951F81" w:rsidP="00C515CC">
            <w:pPr>
              <w:jc w:val="center"/>
            </w:pPr>
            <w:r w:rsidRPr="00C515CC">
              <w:t>1,4</w:t>
            </w:r>
          </w:p>
        </w:tc>
        <w:tc>
          <w:tcPr>
            <w:tcW w:w="1052" w:type="pct"/>
          </w:tcPr>
          <w:p w14:paraId="354BF0BD" w14:textId="77777777" w:rsidR="00951F81" w:rsidRPr="00C515CC" w:rsidRDefault="00951F81" w:rsidP="00C515CC">
            <w:r w:rsidRPr="00C515CC">
              <w:t>3,5 (2,7; 4,3)</w:t>
            </w:r>
          </w:p>
        </w:tc>
        <w:tc>
          <w:tcPr>
            <w:tcW w:w="1052" w:type="pct"/>
          </w:tcPr>
          <w:p w14:paraId="3D5F60D8" w14:textId="77777777" w:rsidR="00951F81" w:rsidRPr="00C515CC" w:rsidRDefault="00951F81" w:rsidP="00C515CC">
            <w:r w:rsidRPr="00C515CC">
              <w:t>71 (61; 79)**</w:t>
            </w:r>
          </w:p>
        </w:tc>
      </w:tr>
      <w:tr w:rsidR="00951F81" w:rsidRPr="00C515CC" w14:paraId="187411EE" w14:textId="77777777" w:rsidTr="006172AE">
        <w:trPr>
          <w:cantSplit/>
          <w:trHeight w:val="57"/>
        </w:trPr>
        <w:tc>
          <w:tcPr>
            <w:tcW w:w="694" w:type="pct"/>
          </w:tcPr>
          <w:p w14:paraId="6C72AB08" w14:textId="77777777" w:rsidR="00951F81" w:rsidRPr="00C515CC" w:rsidRDefault="00951F81" w:rsidP="00C515CC">
            <w:pPr>
              <w:keepNext/>
            </w:pPr>
            <w:r w:rsidRPr="00C515CC">
              <w:t>0–3 év</w:t>
            </w:r>
          </w:p>
        </w:tc>
        <w:tc>
          <w:tcPr>
            <w:tcW w:w="1101" w:type="pct"/>
          </w:tcPr>
          <w:p w14:paraId="061835DD" w14:textId="77777777" w:rsidR="00951F81" w:rsidRPr="00C515CC" w:rsidRDefault="00951F81" w:rsidP="00C515CC">
            <w:pPr>
              <w:keepNext/>
              <w:jc w:val="center"/>
            </w:pPr>
            <w:r w:rsidRPr="00C515CC">
              <w:t>7,2</w:t>
            </w:r>
          </w:p>
        </w:tc>
        <w:tc>
          <w:tcPr>
            <w:tcW w:w="1101" w:type="pct"/>
          </w:tcPr>
          <w:p w14:paraId="69D71EBF" w14:textId="77777777" w:rsidR="00951F81" w:rsidRPr="00C515CC" w:rsidRDefault="00951F81" w:rsidP="00C515CC">
            <w:pPr>
              <w:keepNext/>
              <w:jc w:val="center"/>
            </w:pPr>
            <w:r w:rsidRPr="00C515CC">
              <w:t>2,3</w:t>
            </w:r>
          </w:p>
        </w:tc>
        <w:tc>
          <w:tcPr>
            <w:tcW w:w="1052" w:type="pct"/>
          </w:tcPr>
          <w:p w14:paraId="7CC37FD1" w14:textId="77777777" w:rsidR="00951F81" w:rsidRPr="00C515CC" w:rsidRDefault="00951F81" w:rsidP="00C515CC">
            <w:pPr>
              <w:keepNext/>
            </w:pPr>
            <w:r w:rsidRPr="00C515CC">
              <w:t>4,8 (3,9; 5,8)</w:t>
            </w:r>
          </w:p>
        </w:tc>
        <w:tc>
          <w:tcPr>
            <w:tcW w:w="1052" w:type="pct"/>
          </w:tcPr>
          <w:p w14:paraId="730B6D7C" w14:textId="77777777" w:rsidR="00951F81" w:rsidRPr="00C515CC" w:rsidRDefault="00951F81" w:rsidP="00C515CC">
            <w:pPr>
              <w:keepNext/>
            </w:pPr>
            <w:r w:rsidRPr="00C515CC">
              <w:t>68 (59; 74)*</w:t>
            </w:r>
          </w:p>
        </w:tc>
      </w:tr>
    </w:tbl>
    <w:p w14:paraId="37E08FE2" w14:textId="77777777" w:rsidR="00951F81" w:rsidRPr="00C515CC" w:rsidRDefault="00951F81" w:rsidP="00C515CC">
      <w:pPr>
        <w:rPr>
          <w:szCs w:val="20"/>
        </w:rPr>
      </w:pPr>
      <w:r w:rsidRPr="00C515CC">
        <w:t>*p &lt; 0,0001, **p &lt; 0,0001 – feltáró elemzés</w:t>
      </w:r>
    </w:p>
    <w:p w14:paraId="3CFCA253" w14:textId="77777777" w:rsidR="00951F81" w:rsidRPr="00C515CC" w:rsidRDefault="00951F81" w:rsidP="00C515CC"/>
    <w:p w14:paraId="42EC2018" w14:textId="77777777" w:rsidR="00951F81" w:rsidRPr="00C515CC" w:rsidRDefault="00951F81" w:rsidP="00C515CC">
      <w:pPr>
        <w:keepNext/>
        <w:tabs>
          <w:tab w:val="clear" w:pos="567"/>
        </w:tabs>
        <w:rPr>
          <w:i/>
          <w:iCs/>
        </w:rPr>
      </w:pPr>
      <w:r w:rsidRPr="00C515CC">
        <w:rPr>
          <w:i/>
        </w:rPr>
        <w:t>A csípőtáji törésekre kifejtett hatás</w:t>
      </w:r>
    </w:p>
    <w:p w14:paraId="77981FAB" w14:textId="087EE920" w:rsidR="00951F81" w:rsidRPr="00C515CC" w:rsidRDefault="00951F81" w:rsidP="00C515CC">
      <w:r w:rsidRPr="00C515CC">
        <w:t xml:space="preserve">A </w:t>
      </w:r>
      <w:bookmarkStart w:id="0" w:name="_Hlk201151852"/>
      <w:r w:rsidR="00920631" w:rsidRPr="00C515CC">
        <w:t>denoszumab</w:t>
      </w:r>
      <w:bookmarkEnd w:id="0"/>
      <w:r w:rsidRPr="00C515CC">
        <w:t xml:space="preserve"> 3 év alatt 40%</w:t>
      </w:r>
      <w:r w:rsidRPr="00C515CC">
        <w:noBreakHyphen/>
        <w:t>kal csökkentette a csípőtáji törés relatív kockázatát (0,5%</w:t>
      </w:r>
      <w:r w:rsidRPr="00C515CC">
        <w:noBreakHyphen/>
        <w:t xml:space="preserve">os abszolút kockázatcsökkenés) (p &lt; 0,05). A csípőtáji törés gyakorisága a harmadik év végén a placebocsoportban 1,2%, míg a </w:t>
      </w:r>
      <w:r w:rsidR="00920631" w:rsidRPr="00C515CC">
        <w:t>denoszumab</w:t>
      </w:r>
      <w:r w:rsidRPr="00C515CC">
        <w:noBreakHyphen/>
        <w:t>csoportban 0,7% volt.</w:t>
      </w:r>
    </w:p>
    <w:p w14:paraId="2203D2FE" w14:textId="77777777" w:rsidR="00951F81" w:rsidRPr="00C515CC" w:rsidRDefault="00951F81" w:rsidP="00C515CC"/>
    <w:p w14:paraId="07C21519" w14:textId="61F52FFC" w:rsidR="00951F81" w:rsidRPr="00C515CC" w:rsidRDefault="00951F81" w:rsidP="00C515CC">
      <w:r w:rsidRPr="00C515CC">
        <w:t>Egy 75 évesnél idősebb nők</w:t>
      </w:r>
      <w:r w:rsidR="00E94328">
        <w:t xml:space="preserve"> körében</w:t>
      </w:r>
      <w:r w:rsidRPr="00C515CC">
        <w:t xml:space="preserve"> elvégzett post hoc elemzés során 62%</w:t>
      </w:r>
      <w:r w:rsidRPr="00C515CC">
        <w:noBreakHyphen/>
        <w:t xml:space="preserve">os relatív kockázatcsökkenést észleltek a </w:t>
      </w:r>
      <w:r w:rsidR="00920631" w:rsidRPr="00C515CC">
        <w:t>denoszumab</w:t>
      </w:r>
      <w:r w:rsidRPr="00C515CC">
        <w:t xml:space="preserve"> alkalmazása során (az abszolút kockázatcsökkenés 1,4% volt, p &lt; 0,01).</w:t>
      </w:r>
    </w:p>
    <w:p w14:paraId="3BB003C0" w14:textId="77777777" w:rsidR="00951F81" w:rsidRPr="00C515CC" w:rsidRDefault="00951F81" w:rsidP="00C515CC"/>
    <w:p w14:paraId="6A8CA1E8" w14:textId="77777777" w:rsidR="00951F81" w:rsidRPr="00C515CC" w:rsidRDefault="00951F81" w:rsidP="00C515CC">
      <w:pPr>
        <w:keepNext/>
        <w:tabs>
          <w:tab w:val="clear" w:pos="567"/>
        </w:tabs>
        <w:rPr>
          <w:i/>
          <w:iCs/>
        </w:rPr>
      </w:pPr>
      <w:r w:rsidRPr="00C515CC">
        <w:rPr>
          <w:i/>
        </w:rPr>
        <w:t>Az összes, klinikai tüneteket okozó csonttörésre kifejtett hatás</w:t>
      </w:r>
    </w:p>
    <w:p w14:paraId="302C3439" w14:textId="402611A4" w:rsidR="00951F81" w:rsidRPr="00C515CC" w:rsidRDefault="00951F81" w:rsidP="00C515CC">
      <w:r w:rsidRPr="00C515CC">
        <w:t xml:space="preserve">A </w:t>
      </w:r>
      <w:r w:rsidR="00920631" w:rsidRPr="00C515CC">
        <w:t>denoszumab</w:t>
      </w:r>
      <w:r w:rsidRPr="00C515CC">
        <w:t xml:space="preserve"> szignifikánsan csökkentette a csonttöréseket a csonttörések minden típusában/csoportjában (lásd 3. táblázat).</w:t>
      </w:r>
    </w:p>
    <w:p w14:paraId="2ADC3A9C" w14:textId="77777777" w:rsidR="00951F81" w:rsidRPr="00C515CC" w:rsidRDefault="00951F81" w:rsidP="00C515CC"/>
    <w:p w14:paraId="5DC14C96" w14:textId="0F7F93C0" w:rsidR="00951F81" w:rsidRPr="00C515CC" w:rsidRDefault="00951F81" w:rsidP="00BF395F">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sidRPr="00C515CC">
        <w:rPr>
          <w:rFonts w:ascii="Times New Roman" w:hAnsi="Times New Roman"/>
          <w:b/>
          <w:color w:val="auto"/>
          <w:sz w:val="22"/>
        </w:rPr>
        <w:t xml:space="preserve">3. táblázat – A </w:t>
      </w:r>
      <w:r w:rsidR="00920631" w:rsidRPr="00C515CC">
        <w:rPr>
          <w:rFonts w:ascii="Times New Roman" w:hAnsi="Times New Roman"/>
          <w:b/>
          <w:color w:val="auto"/>
          <w:sz w:val="22"/>
        </w:rPr>
        <w:t>denoszumab</w:t>
      </w:r>
      <w:r w:rsidRPr="00C515CC">
        <w:rPr>
          <w:rFonts w:ascii="Times New Roman" w:hAnsi="Times New Roman"/>
          <w:b/>
          <w:color w:val="auto"/>
          <w:sz w:val="22"/>
        </w:rPr>
        <w:t xml:space="preserve"> klinikai tünetekkel járó csonttörésekre 3 év alatt kifejtett hatása</w:t>
      </w:r>
    </w:p>
    <w:p w14:paraId="5BA3EF22" w14:textId="77777777" w:rsidR="00951F81" w:rsidRPr="00C515CC" w:rsidRDefault="00951F81" w:rsidP="00C515CC">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1"/>
        <w:gridCol w:w="1106"/>
        <w:gridCol w:w="1245"/>
        <w:gridCol w:w="1938"/>
        <w:gridCol w:w="1903"/>
      </w:tblGrid>
      <w:tr w:rsidR="00951F81" w:rsidRPr="00C515CC" w14:paraId="0C12509D" w14:textId="77777777" w:rsidTr="00AF455B">
        <w:trPr>
          <w:cantSplit/>
          <w:trHeight w:val="57"/>
          <w:tblHeader/>
        </w:trPr>
        <w:tc>
          <w:tcPr>
            <w:tcW w:w="1584" w:type="pct"/>
            <w:vMerge w:val="restart"/>
            <w:tcBorders>
              <w:top w:val="single" w:sz="4" w:space="0" w:color="auto"/>
              <w:left w:val="single" w:sz="4" w:space="0" w:color="auto"/>
              <w:right w:val="single" w:sz="4" w:space="0" w:color="auto"/>
            </w:tcBorders>
          </w:tcPr>
          <w:p w14:paraId="3B19C09F" w14:textId="77777777" w:rsidR="00951F81" w:rsidRPr="00C515CC" w:rsidRDefault="00951F81" w:rsidP="00C515CC">
            <w:pPr>
              <w:pStyle w:val="lbltxt"/>
              <w:keepNext/>
              <w:rPr>
                <w:noProof w:val="0"/>
              </w:rPr>
            </w:pPr>
          </w:p>
        </w:tc>
        <w:tc>
          <w:tcPr>
            <w:tcW w:w="1297"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C515CC" w:rsidRDefault="00951F81" w:rsidP="00C515CC">
            <w:pPr>
              <w:jc w:val="center"/>
            </w:pPr>
            <w:r w:rsidRPr="00C515CC">
              <w:t>Csonttörést elszenvedett nők aránya (%)</w:t>
            </w:r>
            <w:r w:rsidRPr="00C515CC">
              <w:rPr>
                <w:vertAlign w:val="superscript"/>
              </w:rPr>
              <w:t>+</w:t>
            </w:r>
          </w:p>
        </w:tc>
        <w:tc>
          <w:tcPr>
            <w:tcW w:w="1069" w:type="pct"/>
            <w:vMerge w:val="restart"/>
            <w:tcBorders>
              <w:top w:val="single" w:sz="4" w:space="0" w:color="auto"/>
              <w:left w:val="single" w:sz="4" w:space="0" w:color="auto"/>
              <w:bottom w:val="single" w:sz="4" w:space="0" w:color="auto"/>
              <w:right w:val="single" w:sz="4" w:space="0" w:color="auto"/>
            </w:tcBorders>
          </w:tcPr>
          <w:p w14:paraId="29F04131" w14:textId="2C5FF99E" w:rsidR="00951F81" w:rsidRPr="00C515CC" w:rsidRDefault="00951F81" w:rsidP="00C515CC">
            <w:r w:rsidRPr="00C515CC">
              <w:t>Abszolút kockázatcsökkenés (%)</w:t>
            </w:r>
            <w:r w:rsidR="001B7319" w:rsidRPr="00C515CC">
              <w:t xml:space="preserve"> </w:t>
            </w:r>
            <w:r w:rsidRPr="00C515CC">
              <w:t>(95%</w:t>
            </w:r>
            <w:r w:rsidR="00DD1B84" w:rsidRPr="00C515CC">
              <w:noBreakHyphen/>
            </w:r>
            <w:r w:rsidRPr="00C515CC">
              <w:t>os CI)</w:t>
            </w:r>
          </w:p>
        </w:tc>
        <w:tc>
          <w:tcPr>
            <w:tcW w:w="1050" w:type="pct"/>
            <w:vMerge w:val="restart"/>
            <w:tcBorders>
              <w:top w:val="single" w:sz="4" w:space="0" w:color="auto"/>
              <w:left w:val="single" w:sz="4" w:space="0" w:color="auto"/>
              <w:bottom w:val="single" w:sz="4" w:space="0" w:color="auto"/>
              <w:right w:val="single" w:sz="4" w:space="0" w:color="auto"/>
            </w:tcBorders>
          </w:tcPr>
          <w:p w14:paraId="38F78E13" w14:textId="5B978D36" w:rsidR="00951F81" w:rsidRPr="00C515CC" w:rsidRDefault="00951F81" w:rsidP="00C515CC">
            <w:r w:rsidRPr="00C515CC">
              <w:t>Relatív kockázatcsökkenés (%)</w:t>
            </w:r>
            <w:r w:rsidR="001B7319" w:rsidRPr="00C515CC">
              <w:t xml:space="preserve"> </w:t>
            </w:r>
            <w:r w:rsidRPr="00C515CC">
              <w:t>(95%</w:t>
            </w:r>
            <w:r w:rsidR="00DD1B84" w:rsidRPr="00C515CC">
              <w:noBreakHyphen/>
            </w:r>
            <w:r w:rsidRPr="00C515CC">
              <w:t>os CI)</w:t>
            </w:r>
          </w:p>
        </w:tc>
      </w:tr>
      <w:tr w:rsidR="00951F81" w:rsidRPr="00C515CC" w14:paraId="1CBDBE21" w14:textId="77777777" w:rsidTr="00AF455B">
        <w:trPr>
          <w:cantSplit/>
          <w:trHeight w:val="57"/>
          <w:tblHeader/>
        </w:trPr>
        <w:tc>
          <w:tcPr>
            <w:tcW w:w="1584" w:type="pct"/>
            <w:vMerge/>
            <w:tcBorders>
              <w:left w:val="single" w:sz="4" w:space="0" w:color="auto"/>
              <w:bottom w:val="single" w:sz="4" w:space="0" w:color="auto"/>
              <w:right w:val="single" w:sz="4" w:space="0" w:color="auto"/>
            </w:tcBorders>
          </w:tcPr>
          <w:p w14:paraId="35AB5095" w14:textId="77777777" w:rsidR="00951F81" w:rsidRPr="00C515CC" w:rsidRDefault="00951F81" w:rsidP="00C515CC">
            <w:pPr>
              <w:keepNext/>
            </w:pPr>
          </w:p>
        </w:tc>
        <w:tc>
          <w:tcPr>
            <w:tcW w:w="610" w:type="pct"/>
            <w:tcBorders>
              <w:top w:val="single" w:sz="4" w:space="0" w:color="auto"/>
              <w:left w:val="single" w:sz="4" w:space="0" w:color="auto"/>
              <w:bottom w:val="single" w:sz="4" w:space="0" w:color="auto"/>
              <w:right w:val="single" w:sz="4" w:space="0" w:color="auto"/>
            </w:tcBorders>
          </w:tcPr>
          <w:p w14:paraId="083F2ACA" w14:textId="77777777" w:rsidR="00951F81" w:rsidRPr="00C515CC" w:rsidRDefault="00951F81" w:rsidP="00C515CC">
            <w:pPr>
              <w:jc w:val="center"/>
            </w:pPr>
            <w:r w:rsidRPr="00C515CC">
              <w:t>Placebo</w:t>
            </w:r>
          </w:p>
          <w:p w14:paraId="7A5945DF" w14:textId="1DB15D70" w:rsidR="00951F81" w:rsidRPr="00C515CC" w:rsidRDefault="00951F81" w:rsidP="00C515CC">
            <w:pPr>
              <w:jc w:val="center"/>
            </w:pPr>
            <w:r w:rsidRPr="00C515CC">
              <w:t>n = 3906</w:t>
            </w:r>
          </w:p>
        </w:tc>
        <w:tc>
          <w:tcPr>
            <w:tcW w:w="687" w:type="pct"/>
            <w:tcBorders>
              <w:top w:val="single" w:sz="4" w:space="0" w:color="auto"/>
              <w:left w:val="single" w:sz="4" w:space="0" w:color="auto"/>
              <w:bottom w:val="single" w:sz="4" w:space="0" w:color="auto"/>
              <w:right w:val="single" w:sz="4" w:space="0" w:color="auto"/>
            </w:tcBorders>
          </w:tcPr>
          <w:p w14:paraId="4DDA6895" w14:textId="60113B8A" w:rsidR="00951F81" w:rsidRPr="00C515CC" w:rsidRDefault="00920631" w:rsidP="00633DB8">
            <w:pPr>
              <w:ind w:left="-120" w:right="-130"/>
              <w:jc w:val="center"/>
            </w:pPr>
            <w:r w:rsidRPr="00C515CC">
              <w:t>Denoszumab</w:t>
            </w:r>
          </w:p>
          <w:p w14:paraId="4EEAFD9C" w14:textId="33F957B8" w:rsidR="00951F81" w:rsidRPr="00C515CC" w:rsidRDefault="00951F81" w:rsidP="00C515CC">
            <w:pPr>
              <w:jc w:val="center"/>
            </w:pPr>
            <w:r w:rsidRPr="00C515CC">
              <w:t>n = 3902</w:t>
            </w:r>
          </w:p>
        </w:tc>
        <w:tc>
          <w:tcPr>
            <w:tcW w:w="1069"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C515CC" w:rsidRDefault="00951F81" w:rsidP="00C515CC"/>
        </w:tc>
        <w:tc>
          <w:tcPr>
            <w:tcW w:w="1050"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C515CC" w:rsidRDefault="00951F81" w:rsidP="00C515CC"/>
        </w:tc>
      </w:tr>
      <w:tr w:rsidR="00951F81" w:rsidRPr="00C515CC" w14:paraId="3465914E" w14:textId="77777777" w:rsidTr="00AF455B">
        <w:trPr>
          <w:cantSplit/>
          <w:trHeight w:val="57"/>
        </w:trPr>
        <w:tc>
          <w:tcPr>
            <w:tcW w:w="1584" w:type="pct"/>
            <w:tcBorders>
              <w:top w:val="single" w:sz="4" w:space="0" w:color="auto"/>
              <w:left w:val="single" w:sz="4" w:space="0" w:color="auto"/>
              <w:bottom w:val="single" w:sz="4" w:space="0" w:color="auto"/>
              <w:right w:val="single" w:sz="4" w:space="0" w:color="auto"/>
            </w:tcBorders>
          </w:tcPr>
          <w:p w14:paraId="3633B5CE" w14:textId="77777777" w:rsidR="00951F81" w:rsidRPr="00C515CC" w:rsidRDefault="00951F81" w:rsidP="00C515CC">
            <w:r w:rsidRPr="00C515CC">
              <w:t>Klinikai tünetekkel járó bármilyen csonttörés</w:t>
            </w:r>
            <w:r w:rsidRPr="00C515CC">
              <w:rPr>
                <w:vertAlign w:val="superscript"/>
              </w:rPr>
              <w:t>1</w:t>
            </w:r>
          </w:p>
        </w:tc>
        <w:tc>
          <w:tcPr>
            <w:tcW w:w="610" w:type="pct"/>
            <w:tcBorders>
              <w:top w:val="single" w:sz="4" w:space="0" w:color="auto"/>
              <w:left w:val="single" w:sz="4" w:space="0" w:color="auto"/>
              <w:bottom w:val="single" w:sz="4" w:space="0" w:color="auto"/>
              <w:right w:val="single" w:sz="4" w:space="0" w:color="auto"/>
            </w:tcBorders>
          </w:tcPr>
          <w:p w14:paraId="78D2740D" w14:textId="77777777" w:rsidR="00951F81" w:rsidRPr="00C515CC" w:rsidRDefault="00951F81" w:rsidP="00C515CC">
            <w:pPr>
              <w:jc w:val="center"/>
            </w:pPr>
            <w:r w:rsidRPr="00C515CC">
              <w:t>10,2</w:t>
            </w:r>
          </w:p>
        </w:tc>
        <w:tc>
          <w:tcPr>
            <w:tcW w:w="687" w:type="pct"/>
            <w:tcBorders>
              <w:top w:val="single" w:sz="4" w:space="0" w:color="auto"/>
              <w:left w:val="single" w:sz="4" w:space="0" w:color="auto"/>
              <w:bottom w:val="single" w:sz="4" w:space="0" w:color="auto"/>
              <w:right w:val="single" w:sz="4" w:space="0" w:color="auto"/>
            </w:tcBorders>
          </w:tcPr>
          <w:p w14:paraId="3CBB1D38" w14:textId="77777777" w:rsidR="00951F81" w:rsidRPr="00C515CC" w:rsidRDefault="00951F81" w:rsidP="00C515CC">
            <w:pPr>
              <w:jc w:val="center"/>
            </w:pPr>
            <w:r w:rsidRPr="00C515CC">
              <w:t>7,2</w:t>
            </w:r>
          </w:p>
        </w:tc>
        <w:tc>
          <w:tcPr>
            <w:tcW w:w="1069" w:type="pct"/>
            <w:tcBorders>
              <w:top w:val="single" w:sz="4" w:space="0" w:color="auto"/>
              <w:left w:val="single" w:sz="4" w:space="0" w:color="auto"/>
              <w:bottom w:val="single" w:sz="4" w:space="0" w:color="auto"/>
              <w:right w:val="single" w:sz="4" w:space="0" w:color="auto"/>
            </w:tcBorders>
          </w:tcPr>
          <w:p w14:paraId="715CC8FA" w14:textId="77777777" w:rsidR="00951F81" w:rsidRPr="00C515CC" w:rsidRDefault="00951F81" w:rsidP="00C515CC">
            <w:r w:rsidRPr="00C515CC">
              <w:t>2,9 (1,6; 4,2)</w:t>
            </w:r>
          </w:p>
        </w:tc>
        <w:tc>
          <w:tcPr>
            <w:tcW w:w="1050" w:type="pct"/>
            <w:tcBorders>
              <w:top w:val="single" w:sz="4" w:space="0" w:color="auto"/>
              <w:left w:val="single" w:sz="4" w:space="0" w:color="auto"/>
              <w:bottom w:val="single" w:sz="4" w:space="0" w:color="auto"/>
              <w:right w:val="single" w:sz="4" w:space="0" w:color="auto"/>
            </w:tcBorders>
          </w:tcPr>
          <w:p w14:paraId="0F9724A5" w14:textId="77777777" w:rsidR="00951F81" w:rsidRPr="00C515CC" w:rsidRDefault="00951F81" w:rsidP="00C515CC">
            <w:r w:rsidRPr="00C515CC">
              <w:t>30 (19; 41)***</w:t>
            </w:r>
          </w:p>
        </w:tc>
      </w:tr>
      <w:tr w:rsidR="00951F81" w:rsidRPr="00C515CC" w14:paraId="30A9BC71" w14:textId="77777777" w:rsidTr="00AF455B">
        <w:trPr>
          <w:cantSplit/>
          <w:trHeight w:val="57"/>
        </w:trPr>
        <w:tc>
          <w:tcPr>
            <w:tcW w:w="1584" w:type="pct"/>
            <w:tcBorders>
              <w:top w:val="single" w:sz="4" w:space="0" w:color="auto"/>
              <w:left w:val="single" w:sz="4" w:space="0" w:color="auto"/>
              <w:bottom w:val="single" w:sz="4" w:space="0" w:color="auto"/>
              <w:right w:val="single" w:sz="4" w:space="0" w:color="auto"/>
            </w:tcBorders>
          </w:tcPr>
          <w:p w14:paraId="37841C20" w14:textId="77777777" w:rsidR="00951F81" w:rsidRPr="00C515CC" w:rsidRDefault="00951F81" w:rsidP="00C515CC">
            <w:r w:rsidRPr="00C515CC">
              <w:t>Klinikai tünetekkel járó csigolyatörés</w:t>
            </w:r>
          </w:p>
        </w:tc>
        <w:tc>
          <w:tcPr>
            <w:tcW w:w="610" w:type="pct"/>
            <w:tcBorders>
              <w:top w:val="single" w:sz="4" w:space="0" w:color="auto"/>
              <w:left w:val="single" w:sz="4" w:space="0" w:color="auto"/>
              <w:bottom w:val="single" w:sz="4" w:space="0" w:color="auto"/>
              <w:right w:val="single" w:sz="4" w:space="0" w:color="auto"/>
            </w:tcBorders>
          </w:tcPr>
          <w:p w14:paraId="6237D9B4" w14:textId="77777777" w:rsidR="00951F81" w:rsidRPr="00C515CC" w:rsidRDefault="00951F81" w:rsidP="00C515CC">
            <w:pPr>
              <w:jc w:val="center"/>
            </w:pPr>
            <w:r w:rsidRPr="00C515CC">
              <w:t>2,6</w:t>
            </w:r>
          </w:p>
        </w:tc>
        <w:tc>
          <w:tcPr>
            <w:tcW w:w="687" w:type="pct"/>
            <w:tcBorders>
              <w:top w:val="single" w:sz="4" w:space="0" w:color="auto"/>
              <w:left w:val="single" w:sz="4" w:space="0" w:color="auto"/>
              <w:bottom w:val="single" w:sz="4" w:space="0" w:color="auto"/>
              <w:right w:val="single" w:sz="4" w:space="0" w:color="auto"/>
            </w:tcBorders>
          </w:tcPr>
          <w:p w14:paraId="13A7C5AE" w14:textId="77777777" w:rsidR="00951F81" w:rsidRPr="00C515CC" w:rsidRDefault="00951F81" w:rsidP="00C515CC">
            <w:pPr>
              <w:jc w:val="center"/>
            </w:pPr>
            <w:r w:rsidRPr="00C515CC">
              <w:t>0,8</w:t>
            </w:r>
          </w:p>
        </w:tc>
        <w:tc>
          <w:tcPr>
            <w:tcW w:w="1069" w:type="pct"/>
            <w:tcBorders>
              <w:top w:val="single" w:sz="4" w:space="0" w:color="auto"/>
              <w:left w:val="single" w:sz="4" w:space="0" w:color="auto"/>
              <w:bottom w:val="single" w:sz="4" w:space="0" w:color="auto"/>
              <w:right w:val="single" w:sz="4" w:space="0" w:color="auto"/>
            </w:tcBorders>
          </w:tcPr>
          <w:p w14:paraId="26575E48" w14:textId="77777777" w:rsidR="00951F81" w:rsidRPr="00C515CC" w:rsidRDefault="00951F81" w:rsidP="00C515CC">
            <w:r w:rsidRPr="00C515CC">
              <w:t>1,8 (1,2; 2,4)</w:t>
            </w:r>
          </w:p>
        </w:tc>
        <w:tc>
          <w:tcPr>
            <w:tcW w:w="1050" w:type="pct"/>
            <w:tcBorders>
              <w:top w:val="single" w:sz="4" w:space="0" w:color="auto"/>
              <w:left w:val="single" w:sz="4" w:space="0" w:color="auto"/>
              <w:bottom w:val="single" w:sz="4" w:space="0" w:color="auto"/>
              <w:right w:val="single" w:sz="4" w:space="0" w:color="auto"/>
            </w:tcBorders>
          </w:tcPr>
          <w:p w14:paraId="00C8C13C" w14:textId="77777777" w:rsidR="00951F81" w:rsidRPr="00C515CC" w:rsidRDefault="00951F81" w:rsidP="00C515CC">
            <w:r w:rsidRPr="00C515CC">
              <w:t>69 (53; 80)***</w:t>
            </w:r>
          </w:p>
        </w:tc>
      </w:tr>
      <w:tr w:rsidR="00951F81" w:rsidRPr="00C515CC" w14:paraId="277803C4" w14:textId="77777777" w:rsidTr="00AF455B">
        <w:trPr>
          <w:cantSplit/>
          <w:trHeight w:val="57"/>
        </w:trPr>
        <w:tc>
          <w:tcPr>
            <w:tcW w:w="1584" w:type="pct"/>
            <w:tcBorders>
              <w:top w:val="single" w:sz="4" w:space="0" w:color="auto"/>
              <w:left w:val="single" w:sz="4" w:space="0" w:color="auto"/>
              <w:bottom w:val="single" w:sz="4" w:space="0" w:color="auto"/>
              <w:right w:val="single" w:sz="4" w:space="0" w:color="auto"/>
            </w:tcBorders>
          </w:tcPr>
          <w:p w14:paraId="7AAF03E1" w14:textId="77777777" w:rsidR="00951F81" w:rsidRPr="00C515CC" w:rsidRDefault="00951F81" w:rsidP="00C515CC">
            <w:r w:rsidRPr="00C515CC">
              <w:t>Non</w:t>
            </w:r>
            <w:r w:rsidRPr="00C515CC">
              <w:noBreakHyphen/>
              <w:t>vertebralis törés</w:t>
            </w:r>
            <w:r w:rsidRPr="00C515CC">
              <w:rPr>
                <w:vertAlign w:val="superscript"/>
              </w:rPr>
              <w:t>2</w:t>
            </w:r>
          </w:p>
        </w:tc>
        <w:tc>
          <w:tcPr>
            <w:tcW w:w="610" w:type="pct"/>
            <w:tcBorders>
              <w:top w:val="single" w:sz="4" w:space="0" w:color="auto"/>
              <w:left w:val="single" w:sz="4" w:space="0" w:color="auto"/>
              <w:bottom w:val="single" w:sz="4" w:space="0" w:color="auto"/>
              <w:right w:val="single" w:sz="4" w:space="0" w:color="auto"/>
            </w:tcBorders>
          </w:tcPr>
          <w:p w14:paraId="2734C95C" w14:textId="77777777" w:rsidR="00951F81" w:rsidRPr="00C515CC" w:rsidRDefault="00951F81" w:rsidP="00C515CC">
            <w:pPr>
              <w:jc w:val="center"/>
            </w:pPr>
            <w:r w:rsidRPr="00C515CC">
              <w:t>8,0</w:t>
            </w:r>
          </w:p>
        </w:tc>
        <w:tc>
          <w:tcPr>
            <w:tcW w:w="687" w:type="pct"/>
            <w:tcBorders>
              <w:top w:val="single" w:sz="4" w:space="0" w:color="auto"/>
              <w:left w:val="single" w:sz="4" w:space="0" w:color="auto"/>
              <w:bottom w:val="single" w:sz="4" w:space="0" w:color="auto"/>
              <w:right w:val="single" w:sz="4" w:space="0" w:color="auto"/>
            </w:tcBorders>
          </w:tcPr>
          <w:p w14:paraId="2F1D9EF9" w14:textId="77777777" w:rsidR="00951F81" w:rsidRPr="00C515CC" w:rsidRDefault="00951F81" w:rsidP="00C515CC">
            <w:pPr>
              <w:jc w:val="center"/>
            </w:pPr>
            <w:r w:rsidRPr="00C515CC">
              <w:t>6,5</w:t>
            </w:r>
          </w:p>
        </w:tc>
        <w:tc>
          <w:tcPr>
            <w:tcW w:w="1069" w:type="pct"/>
            <w:tcBorders>
              <w:top w:val="single" w:sz="4" w:space="0" w:color="auto"/>
              <w:left w:val="single" w:sz="4" w:space="0" w:color="auto"/>
              <w:bottom w:val="single" w:sz="4" w:space="0" w:color="auto"/>
              <w:right w:val="single" w:sz="4" w:space="0" w:color="auto"/>
            </w:tcBorders>
          </w:tcPr>
          <w:p w14:paraId="1E68740D" w14:textId="77777777" w:rsidR="00951F81" w:rsidRPr="00C515CC" w:rsidRDefault="00951F81" w:rsidP="00C515CC">
            <w:r w:rsidRPr="00C515CC">
              <w:t>1,5 (0,3; 2,7)</w:t>
            </w:r>
          </w:p>
        </w:tc>
        <w:tc>
          <w:tcPr>
            <w:tcW w:w="1050" w:type="pct"/>
            <w:tcBorders>
              <w:top w:val="single" w:sz="4" w:space="0" w:color="auto"/>
              <w:left w:val="single" w:sz="4" w:space="0" w:color="auto"/>
              <w:bottom w:val="single" w:sz="4" w:space="0" w:color="auto"/>
              <w:right w:val="single" w:sz="4" w:space="0" w:color="auto"/>
            </w:tcBorders>
          </w:tcPr>
          <w:p w14:paraId="2838D60A" w14:textId="77777777" w:rsidR="00951F81" w:rsidRPr="00C515CC" w:rsidRDefault="00951F81" w:rsidP="00C515CC">
            <w:r w:rsidRPr="00C515CC">
              <w:t>20 (5; 33)**</w:t>
            </w:r>
          </w:p>
        </w:tc>
      </w:tr>
      <w:tr w:rsidR="00951F81" w:rsidRPr="00C515CC" w14:paraId="452B3A71" w14:textId="77777777" w:rsidTr="00AF455B">
        <w:trPr>
          <w:cantSplit/>
          <w:trHeight w:val="57"/>
        </w:trPr>
        <w:tc>
          <w:tcPr>
            <w:tcW w:w="1584" w:type="pct"/>
            <w:tcBorders>
              <w:top w:val="single" w:sz="4" w:space="0" w:color="auto"/>
              <w:left w:val="single" w:sz="4" w:space="0" w:color="auto"/>
              <w:bottom w:val="single" w:sz="4" w:space="0" w:color="auto"/>
              <w:right w:val="single" w:sz="4" w:space="0" w:color="auto"/>
            </w:tcBorders>
          </w:tcPr>
          <w:p w14:paraId="423550A4" w14:textId="77777777" w:rsidR="00951F81" w:rsidRPr="00C515CC" w:rsidRDefault="00951F81" w:rsidP="00C515CC">
            <w:pPr>
              <w:keepNext/>
            </w:pPr>
            <w:r w:rsidRPr="00C515CC">
              <w:t>Jelentős non</w:t>
            </w:r>
            <w:r w:rsidRPr="00C515CC">
              <w:noBreakHyphen/>
              <w:t>vertebralis törés</w:t>
            </w:r>
            <w:r w:rsidRPr="00C515CC">
              <w:rPr>
                <w:vertAlign w:val="superscript"/>
              </w:rPr>
              <w:t>3</w:t>
            </w:r>
          </w:p>
        </w:tc>
        <w:tc>
          <w:tcPr>
            <w:tcW w:w="610" w:type="pct"/>
            <w:tcBorders>
              <w:top w:val="single" w:sz="4" w:space="0" w:color="auto"/>
              <w:left w:val="single" w:sz="4" w:space="0" w:color="auto"/>
              <w:bottom w:val="single" w:sz="4" w:space="0" w:color="auto"/>
              <w:right w:val="single" w:sz="4" w:space="0" w:color="auto"/>
            </w:tcBorders>
          </w:tcPr>
          <w:p w14:paraId="126386A3" w14:textId="77777777" w:rsidR="00951F81" w:rsidRPr="00C515CC" w:rsidRDefault="00951F81" w:rsidP="00C515CC">
            <w:pPr>
              <w:jc w:val="center"/>
            </w:pPr>
            <w:r w:rsidRPr="00C515CC">
              <w:t>6,4</w:t>
            </w:r>
          </w:p>
        </w:tc>
        <w:tc>
          <w:tcPr>
            <w:tcW w:w="687" w:type="pct"/>
            <w:tcBorders>
              <w:top w:val="single" w:sz="4" w:space="0" w:color="auto"/>
              <w:left w:val="single" w:sz="4" w:space="0" w:color="auto"/>
              <w:bottom w:val="single" w:sz="4" w:space="0" w:color="auto"/>
              <w:right w:val="single" w:sz="4" w:space="0" w:color="auto"/>
            </w:tcBorders>
          </w:tcPr>
          <w:p w14:paraId="0F30D3A4" w14:textId="77777777" w:rsidR="00951F81" w:rsidRPr="00C515CC" w:rsidRDefault="00951F81" w:rsidP="00C515CC">
            <w:pPr>
              <w:jc w:val="center"/>
            </w:pPr>
            <w:r w:rsidRPr="00C515CC">
              <w:t>5,2</w:t>
            </w:r>
          </w:p>
        </w:tc>
        <w:tc>
          <w:tcPr>
            <w:tcW w:w="1069" w:type="pct"/>
            <w:tcBorders>
              <w:top w:val="single" w:sz="4" w:space="0" w:color="auto"/>
              <w:left w:val="single" w:sz="4" w:space="0" w:color="auto"/>
              <w:bottom w:val="single" w:sz="4" w:space="0" w:color="auto"/>
              <w:right w:val="single" w:sz="4" w:space="0" w:color="auto"/>
            </w:tcBorders>
          </w:tcPr>
          <w:p w14:paraId="5F33E56F" w14:textId="77777777" w:rsidR="00951F81" w:rsidRPr="00C515CC" w:rsidRDefault="00951F81" w:rsidP="00C515CC">
            <w:r w:rsidRPr="00C515CC">
              <w:t>1,2 (0,1; 2,2)</w:t>
            </w:r>
          </w:p>
        </w:tc>
        <w:tc>
          <w:tcPr>
            <w:tcW w:w="1050" w:type="pct"/>
            <w:tcBorders>
              <w:top w:val="single" w:sz="4" w:space="0" w:color="auto"/>
              <w:left w:val="single" w:sz="4" w:space="0" w:color="auto"/>
              <w:bottom w:val="single" w:sz="4" w:space="0" w:color="auto"/>
              <w:right w:val="single" w:sz="4" w:space="0" w:color="auto"/>
            </w:tcBorders>
          </w:tcPr>
          <w:p w14:paraId="64F5CFA1" w14:textId="77777777" w:rsidR="00951F81" w:rsidRPr="00C515CC" w:rsidRDefault="00951F81" w:rsidP="00C515CC">
            <w:r w:rsidRPr="00C515CC">
              <w:t>20 (3; 34)*</w:t>
            </w:r>
          </w:p>
        </w:tc>
      </w:tr>
      <w:tr w:rsidR="00951F81" w:rsidRPr="00C515CC" w14:paraId="21B7D039" w14:textId="77777777" w:rsidTr="00AF455B">
        <w:trPr>
          <w:cantSplit/>
          <w:trHeight w:val="57"/>
        </w:trPr>
        <w:tc>
          <w:tcPr>
            <w:tcW w:w="1584" w:type="pct"/>
            <w:tcBorders>
              <w:top w:val="single" w:sz="4" w:space="0" w:color="auto"/>
              <w:left w:val="single" w:sz="4" w:space="0" w:color="auto"/>
              <w:bottom w:val="single" w:sz="4" w:space="0" w:color="auto"/>
              <w:right w:val="single" w:sz="4" w:space="0" w:color="auto"/>
            </w:tcBorders>
          </w:tcPr>
          <w:p w14:paraId="266DCA8F" w14:textId="77777777" w:rsidR="00951F81" w:rsidRPr="00C515CC" w:rsidRDefault="00951F81" w:rsidP="00C515CC">
            <w:r w:rsidRPr="00C515CC">
              <w:t>Jelentős osteoporosisos törés</w:t>
            </w:r>
            <w:r w:rsidRPr="00C515CC">
              <w:rPr>
                <w:vertAlign w:val="superscript"/>
              </w:rPr>
              <w:t>4</w:t>
            </w:r>
          </w:p>
        </w:tc>
        <w:tc>
          <w:tcPr>
            <w:tcW w:w="610" w:type="pct"/>
            <w:tcBorders>
              <w:top w:val="single" w:sz="4" w:space="0" w:color="auto"/>
              <w:left w:val="single" w:sz="4" w:space="0" w:color="auto"/>
              <w:bottom w:val="single" w:sz="4" w:space="0" w:color="auto"/>
              <w:right w:val="single" w:sz="4" w:space="0" w:color="auto"/>
            </w:tcBorders>
          </w:tcPr>
          <w:p w14:paraId="5D008AB1" w14:textId="77777777" w:rsidR="00951F81" w:rsidRPr="00C515CC" w:rsidRDefault="00951F81" w:rsidP="00C515CC">
            <w:pPr>
              <w:jc w:val="center"/>
            </w:pPr>
            <w:r w:rsidRPr="00C515CC">
              <w:t>8,0</w:t>
            </w:r>
          </w:p>
        </w:tc>
        <w:tc>
          <w:tcPr>
            <w:tcW w:w="687" w:type="pct"/>
            <w:tcBorders>
              <w:top w:val="single" w:sz="4" w:space="0" w:color="auto"/>
              <w:left w:val="single" w:sz="4" w:space="0" w:color="auto"/>
              <w:bottom w:val="single" w:sz="4" w:space="0" w:color="auto"/>
              <w:right w:val="single" w:sz="4" w:space="0" w:color="auto"/>
            </w:tcBorders>
          </w:tcPr>
          <w:p w14:paraId="78D591B9" w14:textId="77777777" w:rsidR="00951F81" w:rsidRPr="00C515CC" w:rsidRDefault="00951F81" w:rsidP="00C515CC">
            <w:pPr>
              <w:jc w:val="center"/>
            </w:pPr>
            <w:r w:rsidRPr="00C515CC">
              <w:t>5,3</w:t>
            </w:r>
          </w:p>
        </w:tc>
        <w:tc>
          <w:tcPr>
            <w:tcW w:w="1069" w:type="pct"/>
            <w:tcBorders>
              <w:top w:val="single" w:sz="4" w:space="0" w:color="auto"/>
              <w:left w:val="single" w:sz="4" w:space="0" w:color="auto"/>
              <w:bottom w:val="single" w:sz="4" w:space="0" w:color="auto"/>
              <w:right w:val="single" w:sz="4" w:space="0" w:color="auto"/>
            </w:tcBorders>
          </w:tcPr>
          <w:p w14:paraId="344455DA" w14:textId="77777777" w:rsidR="00951F81" w:rsidRPr="00C515CC" w:rsidRDefault="00951F81" w:rsidP="00C515CC">
            <w:r w:rsidRPr="00C515CC">
              <w:t>2,7 (1,6; 3,9)</w:t>
            </w:r>
          </w:p>
        </w:tc>
        <w:tc>
          <w:tcPr>
            <w:tcW w:w="1050" w:type="pct"/>
            <w:tcBorders>
              <w:top w:val="single" w:sz="4" w:space="0" w:color="auto"/>
              <w:left w:val="single" w:sz="4" w:space="0" w:color="auto"/>
              <w:bottom w:val="single" w:sz="4" w:space="0" w:color="auto"/>
              <w:right w:val="single" w:sz="4" w:space="0" w:color="auto"/>
            </w:tcBorders>
          </w:tcPr>
          <w:p w14:paraId="3C9E588C" w14:textId="77777777" w:rsidR="00951F81" w:rsidRPr="00C515CC" w:rsidRDefault="00951F81" w:rsidP="00C515CC">
            <w:r w:rsidRPr="00C515CC">
              <w:t>35 (22; 45)***</w:t>
            </w:r>
          </w:p>
        </w:tc>
      </w:tr>
    </w:tbl>
    <w:p w14:paraId="23BBDA9F" w14:textId="77777777" w:rsidR="00951F81" w:rsidRPr="00C515CC" w:rsidRDefault="00951F81" w:rsidP="00C515CC">
      <w:pPr>
        <w:keepNext/>
        <w:rPr>
          <w:szCs w:val="20"/>
        </w:rPr>
      </w:pPr>
      <w:r w:rsidRPr="00C515CC">
        <w:t xml:space="preserve">*p ≤ 0,05, **p = 0,0106 </w:t>
      </w:r>
      <w:r w:rsidRPr="00C515CC">
        <w:rPr>
          <w:i/>
        </w:rPr>
        <w:t>(a multiplicitás</w:t>
      </w:r>
      <w:r w:rsidRPr="00C515CC">
        <w:rPr>
          <w:i/>
        </w:rPr>
        <w:noBreakHyphen/>
        <w:t>korrekció során a másodlagos végpont is figyelembe lett véve),</w:t>
      </w:r>
      <w:r w:rsidRPr="00C515CC">
        <w:t xml:space="preserve"> ***p ≤ 0,0001</w:t>
      </w:r>
    </w:p>
    <w:p w14:paraId="78BEDD46" w14:textId="77777777" w:rsidR="00951F81" w:rsidRPr="00C515CC" w:rsidRDefault="00951F81" w:rsidP="00C515CC">
      <w:pPr>
        <w:keepNext/>
        <w:rPr>
          <w:szCs w:val="20"/>
        </w:rPr>
      </w:pPr>
      <w:r w:rsidRPr="00C515CC">
        <w:rPr>
          <w:vertAlign w:val="superscript"/>
        </w:rPr>
        <w:t>+</w:t>
      </w:r>
      <w:r w:rsidRPr="00C515CC">
        <w:t xml:space="preserve"> Az eseménygyakoriságok a 3. év végén végzett Kaplan–Meier</w:t>
      </w:r>
      <w:r w:rsidRPr="00C515CC">
        <w:noBreakHyphen/>
        <w:t>féle becsléseken alapulnak.</w:t>
      </w:r>
    </w:p>
    <w:p w14:paraId="4D3BCCA0" w14:textId="77777777" w:rsidR="00951F81" w:rsidRPr="00C515CC" w:rsidRDefault="00951F81" w:rsidP="00C515CC">
      <w:pPr>
        <w:keepNext/>
        <w:rPr>
          <w:szCs w:val="20"/>
        </w:rPr>
      </w:pPr>
      <w:r w:rsidRPr="00C515CC">
        <w:rPr>
          <w:vertAlign w:val="superscript"/>
        </w:rPr>
        <w:t>1</w:t>
      </w:r>
      <w:r w:rsidRPr="00C515CC">
        <w:t xml:space="preserve"> Tartalmazza a klinikai tünetekkel járó vertebralis és non</w:t>
      </w:r>
      <w:r w:rsidRPr="00C515CC">
        <w:noBreakHyphen/>
        <w:t>vertebralis töréseket.</w:t>
      </w:r>
    </w:p>
    <w:p w14:paraId="0A25FC42" w14:textId="77777777" w:rsidR="00951F81" w:rsidRPr="00C515CC" w:rsidRDefault="00951F81" w:rsidP="00C515CC">
      <w:pPr>
        <w:keepNext/>
        <w:rPr>
          <w:szCs w:val="20"/>
        </w:rPr>
      </w:pPr>
      <w:r w:rsidRPr="00C515CC">
        <w:rPr>
          <w:vertAlign w:val="superscript"/>
        </w:rPr>
        <w:t>2</w:t>
      </w:r>
      <w:r w:rsidRPr="00C515CC">
        <w:t xml:space="preserve"> A csigolyák, a koponya, az arckoponya, az állkapocs, a kézközépcsontok, továbbá a kéz</w:t>
      </w:r>
      <w:r w:rsidRPr="00C515CC">
        <w:noBreakHyphen/>
        <w:t xml:space="preserve"> és a lábujjpercek töréseinek kivételével.</w:t>
      </w:r>
    </w:p>
    <w:p w14:paraId="6E4B1331" w14:textId="77777777" w:rsidR="00951F81" w:rsidRPr="00C515CC" w:rsidRDefault="00951F81" w:rsidP="00C515CC">
      <w:pPr>
        <w:keepNext/>
        <w:rPr>
          <w:szCs w:val="20"/>
        </w:rPr>
      </w:pPr>
      <w:r w:rsidRPr="00C515CC">
        <w:rPr>
          <w:vertAlign w:val="superscript"/>
        </w:rPr>
        <w:t>3</w:t>
      </w:r>
      <w:r w:rsidRPr="00C515CC">
        <w:t xml:space="preserve"> Tartalmazza a medence</w:t>
      </w:r>
      <w:r w:rsidRPr="00C515CC">
        <w:noBreakHyphen/>
        <w:t>, a distalis femur</w:t>
      </w:r>
      <w:r w:rsidRPr="00C515CC">
        <w:noBreakHyphen/>
        <w:t>, a proximalis tibia</w:t>
      </w:r>
      <w:r w:rsidRPr="00C515CC">
        <w:noBreakHyphen/>
        <w:t>, a borda</w:t>
      </w:r>
      <w:r w:rsidRPr="00C515CC">
        <w:noBreakHyphen/>
        <w:t>, a proximalis humerus</w:t>
      </w:r>
      <w:r w:rsidRPr="00C515CC">
        <w:noBreakHyphen/>
        <w:t>, az alkar</w:t>
      </w:r>
      <w:r w:rsidRPr="00C515CC">
        <w:noBreakHyphen/>
        <w:t xml:space="preserve"> és a csípőtáji töréseket.</w:t>
      </w:r>
    </w:p>
    <w:p w14:paraId="512C26E0" w14:textId="77777777" w:rsidR="00951F81" w:rsidRPr="00C515CC" w:rsidRDefault="00951F81" w:rsidP="00C515CC">
      <w:pPr>
        <w:rPr>
          <w:szCs w:val="20"/>
        </w:rPr>
      </w:pPr>
      <w:r w:rsidRPr="00C515CC">
        <w:rPr>
          <w:vertAlign w:val="superscript"/>
        </w:rPr>
        <w:t>4</w:t>
      </w:r>
      <w:r w:rsidRPr="00C515CC">
        <w:t xml:space="preserve"> Tartalmazza a WHO meghatározása szerinti klinikai csigolya</w:t>
      </w:r>
      <w:r w:rsidRPr="00C515CC">
        <w:noBreakHyphen/>
        <w:t>, csípőtáji, alkar</w:t>
      </w:r>
      <w:r w:rsidRPr="00C515CC">
        <w:noBreakHyphen/>
        <w:t xml:space="preserve"> és felkartöréseket.</w:t>
      </w:r>
    </w:p>
    <w:p w14:paraId="25DC44C1" w14:textId="77777777" w:rsidR="00951F81" w:rsidRPr="00C515CC" w:rsidRDefault="00951F81" w:rsidP="00C515CC"/>
    <w:p w14:paraId="0E4670BD" w14:textId="1025FEB1" w:rsidR="00951F81" w:rsidRPr="00C515CC" w:rsidRDefault="00951F81" w:rsidP="00C515CC">
      <w:r w:rsidRPr="00C515CC">
        <w:t>Azoknál a nőknél, akiknél a combnyak kezelés előtti BMD</w:t>
      </w:r>
      <w:r w:rsidRPr="00C515CC">
        <w:noBreakHyphen/>
        <w:t xml:space="preserve">je ≤ –2,5 volt, a </w:t>
      </w:r>
      <w:r w:rsidR="00DD1B84" w:rsidRPr="00C515CC">
        <w:t>denoszumab</w:t>
      </w:r>
      <w:r w:rsidRPr="00C515CC">
        <w:t xml:space="preserve"> csökkentette a non</w:t>
      </w:r>
      <w:r w:rsidRPr="00C515CC">
        <w:noBreakHyphen/>
        <w:t>vertebralis törés kockázatát (relatív kockázatcsökkenés 35%, abszolút kockázatcsökkenés 4,1%, p &lt; 0,001, feltáró elemzés).</w:t>
      </w:r>
    </w:p>
    <w:p w14:paraId="3F5FC738" w14:textId="77777777" w:rsidR="00951F81" w:rsidRPr="00C515CC" w:rsidRDefault="00951F81" w:rsidP="00C515CC"/>
    <w:p w14:paraId="586A90E6" w14:textId="1CA892D0" w:rsidR="00951F81" w:rsidRPr="00C515CC" w:rsidRDefault="00951F81" w:rsidP="00C515CC">
      <w:r w:rsidRPr="00C515CC">
        <w:t>Az új csigolya</w:t>
      </w:r>
      <w:r w:rsidRPr="00C515CC">
        <w:noBreakHyphen/>
        <w:t>, csípőtáji és non</w:t>
      </w:r>
      <w:r w:rsidRPr="00C515CC">
        <w:noBreakHyphen/>
        <w:t xml:space="preserve">vertebralis törések gyakoriságában a </w:t>
      </w:r>
      <w:r w:rsidR="00DD1B84" w:rsidRPr="00C515CC">
        <w:t>denoszumab</w:t>
      </w:r>
      <w:r w:rsidRPr="00C515CC">
        <w:t xml:space="preserve"> alkalmazásával 3 év alatt elért csökkenés a 10 évre vetített, a vizsgálat megkezdésekor számított töréskockázattól függetlenül következetes volt.</w:t>
      </w:r>
    </w:p>
    <w:p w14:paraId="0B45B46E" w14:textId="77777777" w:rsidR="00951F81" w:rsidRPr="00C515CC" w:rsidRDefault="00951F81" w:rsidP="00C515CC"/>
    <w:p w14:paraId="0C279085" w14:textId="77777777" w:rsidR="00951F81" w:rsidRPr="00633DB8" w:rsidRDefault="00951F81" w:rsidP="00C515CC">
      <w:pPr>
        <w:keepNext/>
        <w:tabs>
          <w:tab w:val="clear" w:pos="567"/>
        </w:tabs>
        <w:rPr>
          <w:iCs/>
          <w:u w:val="single"/>
        </w:rPr>
      </w:pPr>
      <w:r w:rsidRPr="00633DB8">
        <w:rPr>
          <w:iCs/>
          <w:u w:val="single"/>
        </w:rPr>
        <w:t>A csont ásványianyag</w:t>
      </w:r>
      <w:r w:rsidRPr="00633DB8">
        <w:rPr>
          <w:iCs/>
          <w:u w:val="single"/>
        </w:rPr>
        <w:noBreakHyphen/>
        <w:t>sűrűségére kifejtett hatás</w:t>
      </w:r>
    </w:p>
    <w:p w14:paraId="37DF72FD" w14:textId="5ECCDB59" w:rsidR="00FF1C16" w:rsidRPr="00C515CC" w:rsidRDefault="00951F81" w:rsidP="00C515CC">
      <w:r w:rsidRPr="00C515CC">
        <w:t xml:space="preserve">A placebóval összehasonlítva a </w:t>
      </w:r>
      <w:r w:rsidR="00DD1B84" w:rsidRPr="00C515CC">
        <w:t>denoszumab</w:t>
      </w:r>
      <w:r w:rsidRPr="00C515CC">
        <w:t xml:space="preserve"> az első, a második és a harmadik év végén az összes klinikai mérési helyen szignifikánsan növelte a BMD</w:t>
      </w:r>
      <w:r w:rsidRPr="00C515CC">
        <w:noBreakHyphen/>
        <w:t>értéket.</w:t>
      </w:r>
    </w:p>
    <w:p w14:paraId="64DFE667" w14:textId="5363540E" w:rsidR="00951F81" w:rsidRPr="00C515CC" w:rsidRDefault="00951F81" w:rsidP="00C515CC">
      <w:r w:rsidRPr="00C515CC">
        <w:t xml:space="preserve">A </w:t>
      </w:r>
      <w:r w:rsidR="00FF1C16" w:rsidRPr="00C515CC">
        <w:t>denoszumab</w:t>
      </w:r>
      <w:r w:rsidRPr="00C515CC">
        <w:t xml:space="preserve"> hatására a lumbális gerinc csont</w:t>
      </w:r>
      <w:r w:rsidR="00E94328">
        <w:t>ásványianyag-</w:t>
      </w:r>
      <w:r w:rsidRPr="00C515CC">
        <w:t>sűrűsége 9,2%</w:t>
      </w:r>
      <w:r w:rsidRPr="00C515CC">
        <w:noBreakHyphen/>
        <w:t>kal, a teljes csípőé 6,0%</w:t>
      </w:r>
      <w:r w:rsidRPr="00C515CC">
        <w:noBreakHyphen/>
        <w:t>kal, a combnyaké 4,8%</w:t>
      </w:r>
      <w:r w:rsidRPr="00C515CC">
        <w:noBreakHyphen/>
        <w:t>kal, a trochanter majoré 7,9%</w:t>
      </w:r>
      <w:r w:rsidRPr="00C515CC">
        <w:noBreakHyphen/>
        <w:t>kal, a radius distalis harmadáé 3,5%</w:t>
      </w:r>
      <w:r w:rsidRPr="00C515CC">
        <w:noBreakHyphen/>
        <w:t>kal, a teljes testé 4,1%</w:t>
      </w:r>
      <w:r w:rsidRPr="00C515CC">
        <w:noBreakHyphen/>
        <w:t>kal növekedett 3 év alatt (mindegyik esetében p &lt; 0,0001).</w:t>
      </w:r>
    </w:p>
    <w:p w14:paraId="7C96DE12" w14:textId="77777777" w:rsidR="00951F81" w:rsidRPr="00C515CC" w:rsidRDefault="00951F81" w:rsidP="00C515CC"/>
    <w:p w14:paraId="42D264E1" w14:textId="547A5980" w:rsidR="00951F81" w:rsidRPr="00C515CC" w:rsidRDefault="00951F81" w:rsidP="00C515CC">
      <w:r w:rsidRPr="00C515CC">
        <w:t xml:space="preserve">A </w:t>
      </w:r>
      <w:r w:rsidR="00FF1C16" w:rsidRPr="00C515CC">
        <w:t>denoszumab</w:t>
      </w:r>
      <w:r w:rsidRPr="00C515CC">
        <w:t xml:space="preserve"> abbahagyásának hatásait tanulmányozó klinikai vizsgálatokban a BMD az utolsó dózist követő 18 hónapon belül hozzávetőleg a kezelés előtti szintre tért vissza, azonban a placebokezeléssel elért szint felett maradt. Ezek az adatok azt jelzik, hogy a gyógyszerhatás fenntartásához folyamatos </w:t>
      </w:r>
      <w:r w:rsidR="00FF1C16" w:rsidRPr="00C515CC">
        <w:t>denoszumab</w:t>
      </w:r>
      <w:r w:rsidRPr="00C515CC">
        <w:noBreakHyphen/>
        <w:t xml:space="preserve">kezelés szükséges. A </w:t>
      </w:r>
      <w:r w:rsidR="00FF1C16" w:rsidRPr="00C515CC">
        <w:t>denoszumab</w:t>
      </w:r>
      <w:r w:rsidRPr="00C515CC">
        <w:noBreakHyphen/>
        <w:t xml:space="preserve">kezelés újrakezdése a BMD hasonló mértékű növekedését eredményezte, mint amikor első ízben adták a </w:t>
      </w:r>
      <w:r w:rsidR="00FF1C16" w:rsidRPr="00C515CC">
        <w:t>denoszumabo</w:t>
      </w:r>
      <w:r w:rsidRPr="00C515CC">
        <w:t>t.</w:t>
      </w:r>
    </w:p>
    <w:p w14:paraId="1C74EDD2" w14:textId="77777777" w:rsidR="00951F81" w:rsidRPr="00C515CC" w:rsidRDefault="00951F81" w:rsidP="00C515CC"/>
    <w:p w14:paraId="4CD46236" w14:textId="74810A1D" w:rsidR="00951F81" w:rsidRPr="00633DB8" w:rsidRDefault="00951F81" w:rsidP="00C515CC">
      <w:pPr>
        <w:keepNext/>
        <w:tabs>
          <w:tab w:val="clear" w:pos="567"/>
        </w:tabs>
        <w:rPr>
          <w:iCs/>
          <w:u w:val="single"/>
        </w:rPr>
      </w:pPr>
      <w:r w:rsidRPr="00633DB8">
        <w:rPr>
          <w:iCs/>
          <w:u w:val="single"/>
        </w:rPr>
        <w:t>Nyílt</w:t>
      </w:r>
      <w:r w:rsidR="00E94328">
        <w:rPr>
          <w:iCs/>
          <w:u w:val="single"/>
        </w:rPr>
        <w:t xml:space="preserve"> elrendezésű</w:t>
      </w:r>
      <w:r w:rsidRPr="00633DB8">
        <w:rPr>
          <w:iCs/>
          <w:u w:val="single"/>
        </w:rPr>
        <w:t>, kiterjesztett vizsgálat postmenopausalis osteoporosis kezelésében</w:t>
      </w:r>
    </w:p>
    <w:p w14:paraId="0AC8920E" w14:textId="4D4769A0" w:rsidR="00951F81" w:rsidRPr="00C515CC" w:rsidRDefault="00951F81" w:rsidP="00C515CC">
      <w:r w:rsidRPr="00C515CC">
        <w:t>Összesen 4550 olyan nőt (</w:t>
      </w:r>
      <w:r w:rsidR="00E94328">
        <w:t xml:space="preserve">közülük </w:t>
      </w:r>
      <w:r w:rsidRPr="00C515CC">
        <w:t>2343 </w:t>
      </w:r>
      <w:r w:rsidR="00FF1C16" w:rsidRPr="00C515CC">
        <w:t>denoszumabo</w:t>
      </w:r>
      <w:r w:rsidRPr="00C515CC">
        <w:t>t és 2207 placebót kap</w:t>
      </w:r>
      <w:r w:rsidR="00E94328">
        <w:t>ott</w:t>
      </w:r>
      <w:r w:rsidRPr="00C515CC">
        <w:t xml:space="preserve">) </w:t>
      </w:r>
      <w:r w:rsidR="00E94328" w:rsidRPr="00C515CC">
        <w:t>választottak be egy, a denoszumab hosszú távú biztonságosságát és hatásosságát értékelő, 7 évig tartó, nemzetközi, többcentrumos, nyílt</w:t>
      </w:r>
      <w:r w:rsidR="00E94328">
        <w:t xml:space="preserve"> elrendezésű</w:t>
      </w:r>
      <w:r w:rsidR="00E94328" w:rsidRPr="00C515CC">
        <w:t>, egy karú kiterjesztett vizsgálatba</w:t>
      </w:r>
      <w:r w:rsidR="00E94328">
        <w:t>,</w:t>
      </w:r>
      <w:r w:rsidR="00E94328" w:rsidRPr="00C515CC">
        <w:t xml:space="preserve"> </w:t>
      </w:r>
      <w:r w:rsidRPr="00C515CC">
        <w:t xml:space="preserve">akik a fent leírt kulcsfontosságú vizsgálatban nem hagyták ki a vizsgálati készítmény egynél több adagját, a vizsgálat 36. hónapjában tartott viziten megjelentek, és abba beleegyezésüket adták. A kiterjesztett vizsgálatban résztvevő minden nő 6 havonta egyszer 60 mg </w:t>
      </w:r>
      <w:r w:rsidR="00FF1C16" w:rsidRPr="00C515CC">
        <w:t>denoszumabo</w:t>
      </w:r>
      <w:r w:rsidRPr="00C515CC">
        <w:t>t, és naponta (legalább 1 g) kalciumot és (legalább 400 NE) D</w:t>
      </w:r>
      <w:r w:rsidRPr="00C515CC">
        <w:noBreakHyphen/>
        <w:t>vitamint kapott. Összesen 2626 beteg (a kiterjesztett vizsgálatban részt</w:t>
      </w:r>
      <w:r w:rsidR="000D6409" w:rsidRPr="00C515CC">
        <w:t xml:space="preserve"> </w:t>
      </w:r>
      <w:r w:rsidRPr="00C515CC">
        <w:t>vevő nők 58%</w:t>
      </w:r>
      <w:r w:rsidRPr="00C515CC">
        <w:noBreakHyphen/>
        <w:t>a, azaz a kulcsfontosságú vizsgálatban résztvevő nők 34%</w:t>
      </w:r>
      <w:r w:rsidRPr="00C515CC">
        <w:noBreakHyphen/>
        <w:t>a) fejezte be a kiterjesztett vizsgálatot.</w:t>
      </w:r>
    </w:p>
    <w:p w14:paraId="4B97CDCB" w14:textId="77777777" w:rsidR="00951F81" w:rsidRPr="00C515CC" w:rsidRDefault="00951F81" w:rsidP="00C515CC"/>
    <w:p w14:paraId="19BED31E" w14:textId="418CEF3B" w:rsidR="00951F81" w:rsidRPr="00C515CC" w:rsidRDefault="00951F81" w:rsidP="00C515CC">
      <w:r w:rsidRPr="00C515CC">
        <w:t xml:space="preserve">A </w:t>
      </w:r>
      <w:r w:rsidR="00FF1C16" w:rsidRPr="00C515CC">
        <w:t>denoszumabba</w:t>
      </w:r>
      <w:r w:rsidRPr="00C515CC">
        <w:t>l legfeljebb 10 évig kezelt betegeknél, a kulcsfontosságú vizsgálat kiindulási értékeihez képest a BMD 21,7%</w:t>
      </w:r>
      <w:r w:rsidRPr="00C515CC">
        <w:noBreakHyphen/>
        <w:t>kal nőtt a lumbális gerincnél, 9,2%</w:t>
      </w:r>
      <w:r w:rsidRPr="00C515CC">
        <w:noBreakHyphen/>
        <w:t>kal a teljes csípőnél, 9,0%</w:t>
      </w:r>
      <w:r w:rsidRPr="00C515CC">
        <w:noBreakHyphen/>
        <w:t>kal a combnyaknál, 13,0%</w:t>
      </w:r>
      <w:r w:rsidRPr="00C515CC">
        <w:noBreakHyphen/>
        <w:t>kal a trochanternél és 2,8%</w:t>
      </w:r>
      <w:r w:rsidRPr="00C515CC">
        <w:noBreakHyphen/>
        <w:t>kal a radius distalis harmadánál. A 10 évig kezelt betegeknél az átlagos BMD T</w:t>
      </w:r>
      <w:r w:rsidRPr="00C515CC">
        <w:noBreakHyphen/>
        <w:t>érték a lumbális gerincen −1,3 volt a vizsgálat befejezésekor.</w:t>
      </w:r>
    </w:p>
    <w:p w14:paraId="48B5EEBB" w14:textId="77777777" w:rsidR="00951F81" w:rsidRPr="00C515CC" w:rsidRDefault="00951F81" w:rsidP="00C515CC"/>
    <w:p w14:paraId="069444B1" w14:textId="47ABFD76" w:rsidR="00951F81" w:rsidRPr="00C515CC" w:rsidRDefault="00951F81" w:rsidP="00C515CC">
      <w:r w:rsidRPr="00C515CC">
        <w:t>A törés előfordulási gyakoriságát biztonságossági végpontként értékelték, de a törések megelőzésében a hatásosságot a kezelés magas számú megszakítása és a nyílt vizsgálati elrendezés miatt nem lehet megbecsülni. Az új csigolyatörések és nem vertebralis törések kumulatív előfordulása sorrendben körülbelül 6,8% és 13,1% volt azoknál a betegeknél, akik 10 éven át denoszumab</w:t>
      </w:r>
      <w:r w:rsidRPr="00C515CC">
        <w:noBreakHyphen/>
        <w:t xml:space="preserve">kezelésen maradtak (n = 1278). Azoknál a betegeknél, akik bármilyen okból nem fejezték be a vizsgálatot, </w:t>
      </w:r>
      <w:r w:rsidR="00E94328">
        <w:t>nagyobb</w:t>
      </w:r>
      <w:r w:rsidR="00E94328" w:rsidRPr="00C515CC">
        <w:t xml:space="preserve"> </w:t>
      </w:r>
      <w:r w:rsidRPr="00C515CC">
        <w:t>volt a kezelés alatt fellépő törések aránya.</w:t>
      </w:r>
    </w:p>
    <w:p w14:paraId="011BFC18" w14:textId="77777777" w:rsidR="00951F81" w:rsidRPr="00C515CC" w:rsidRDefault="00951F81" w:rsidP="00C515CC"/>
    <w:p w14:paraId="29A2C444" w14:textId="77777777" w:rsidR="00951F81" w:rsidRPr="00C515CC" w:rsidRDefault="00951F81" w:rsidP="00C515CC">
      <w:r w:rsidRPr="00C515CC">
        <w:t>A kiterjesztett vizsgálat során tizenhárom állcsont osteonecrosisos (ONJ) és két atípusos combcsonttöréses eset fordult elő.</w:t>
      </w:r>
    </w:p>
    <w:p w14:paraId="64502A3C" w14:textId="77777777" w:rsidR="00951F81" w:rsidRPr="00C515CC" w:rsidRDefault="00951F81" w:rsidP="00C515CC"/>
    <w:p w14:paraId="72713AB7" w14:textId="77777777" w:rsidR="00951F81" w:rsidRPr="00C515CC" w:rsidRDefault="00951F81" w:rsidP="00C515CC">
      <w:pPr>
        <w:keepNext/>
        <w:rPr>
          <w:u w:val="single"/>
        </w:rPr>
      </w:pPr>
      <w:r w:rsidRPr="00C515CC">
        <w:rPr>
          <w:u w:val="single"/>
        </w:rPr>
        <w:t>Klinikai hatásosság és biztonságosság osteoporosisban szenvedő férfiaknál</w:t>
      </w:r>
    </w:p>
    <w:p w14:paraId="7CE66AD3" w14:textId="77777777" w:rsidR="00951F81" w:rsidRPr="00C515CC" w:rsidRDefault="00951F81" w:rsidP="00C515CC">
      <w:pPr>
        <w:keepNext/>
      </w:pPr>
    </w:p>
    <w:p w14:paraId="2E9D13AB" w14:textId="56C28865" w:rsidR="00951F81" w:rsidRPr="00C515CC" w:rsidRDefault="00951F81" w:rsidP="00C515CC">
      <w:r w:rsidRPr="00C515CC">
        <w:t xml:space="preserve">Az 1 éven keresztül, 6 havonta egyszer alkalmazott </w:t>
      </w:r>
      <w:r w:rsidR="00FF1C16" w:rsidRPr="00C515CC">
        <w:t>denoszumab</w:t>
      </w:r>
      <w:r w:rsidRPr="00C515CC">
        <w:t xml:space="preserve"> hatásosságát és biztonságosságát vizsgálták 242, 31–84 éves férfinél. A vizsgálatból kizárták az olyan betegeket, akiknél az eGFR &lt; 30 ml/perc/1,73 m</w:t>
      </w:r>
      <w:r w:rsidRPr="00C515CC">
        <w:rPr>
          <w:vertAlign w:val="superscript"/>
        </w:rPr>
        <w:t>2</w:t>
      </w:r>
      <w:r w:rsidRPr="00C515CC">
        <w:t xml:space="preserve"> volt. Minden férfi naponta (legalább 1000 mg) kalcium</w:t>
      </w:r>
      <w:r w:rsidRPr="00C515CC">
        <w:noBreakHyphen/>
        <w:t xml:space="preserve"> és (legalább 800 NE) D</w:t>
      </w:r>
      <w:r w:rsidRPr="00C515CC">
        <w:noBreakHyphen/>
        <w:t>vitamin</w:t>
      </w:r>
      <w:r w:rsidRPr="00C515CC">
        <w:noBreakHyphen/>
        <w:t>pótlásban részesült.</w:t>
      </w:r>
    </w:p>
    <w:p w14:paraId="5B085A11" w14:textId="77777777" w:rsidR="00951F81" w:rsidRPr="00C515CC" w:rsidRDefault="00951F81" w:rsidP="00C515CC"/>
    <w:p w14:paraId="6A741AEF" w14:textId="2C2765A5" w:rsidR="00951F81" w:rsidRPr="00C515CC" w:rsidRDefault="00951F81" w:rsidP="00C515CC">
      <w:r w:rsidRPr="00C515CC">
        <w:t>Az elsődleges hatásossági mutató a lumbalis gerinc csont</w:t>
      </w:r>
      <w:r w:rsidR="00E94328">
        <w:t>ásványianyag-</w:t>
      </w:r>
      <w:r w:rsidRPr="00C515CC">
        <w:t xml:space="preserve">sűrűségének százalékos változása volt; a törésekre vonatkozó hatásosságot nem értékelték. A </w:t>
      </w:r>
      <w:r w:rsidR="00FF1C16" w:rsidRPr="00C515CC">
        <w:t>denoszumab</w:t>
      </w:r>
      <w:r w:rsidRPr="00C515CC">
        <w:t xml:space="preserve"> a 12. hónapra a placebóhoz képest szignifikánsan növelte </w:t>
      </w:r>
      <w:r w:rsidR="00E94328" w:rsidRPr="00C515CC">
        <w:t>a BMD</w:t>
      </w:r>
      <w:r w:rsidR="00E94328" w:rsidRPr="00C515CC">
        <w:noBreakHyphen/>
        <w:t xml:space="preserve">értéket </w:t>
      </w:r>
      <w:r w:rsidRPr="00C515CC">
        <w:t>az összes klinikai mérési helyen: a lumbalis gerincen 4,8%</w:t>
      </w:r>
      <w:r w:rsidRPr="00C515CC">
        <w:noBreakHyphen/>
        <w:t>kal, a teljes csípőtáji régióban 2,0%</w:t>
      </w:r>
      <w:r w:rsidRPr="00C515CC">
        <w:noBreakHyphen/>
        <w:t>kal, a combnyakon 2,2%</w:t>
      </w:r>
      <w:r w:rsidRPr="00C515CC">
        <w:noBreakHyphen/>
        <w:t>kal, a trochanter majoron 2,3%</w:t>
      </w:r>
      <w:r w:rsidRPr="00C515CC">
        <w:noBreakHyphen/>
        <w:t>kal, valamint a radius distalis harmadánál 0,9%</w:t>
      </w:r>
      <w:r w:rsidRPr="00C515CC">
        <w:noBreakHyphen/>
        <w:t xml:space="preserve">kal (mindegyik esetében p &lt; 0,05). A </w:t>
      </w:r>
      <w:r w:rsidR="00606261" w:rsidRPr="00C515CC">
        <w:t>denoszumab</w:t>
      </w:r>
      <w:r w:rsidRPr="00C515CC">
        <w:t xml:space="preserve"> 1 év után a férfiak 94,7%</w:t>
      </w:r>
      <w:r w:rsidRPr="00C515CC">
        <w:noBreakHyphen/>
        <w:t>ánál növelte a lumbalis gerincszakaszon mért BMD</w:t>
      </w:r>
      <w:r w:rsidRPr="00C515CC">
        <w:noBreakHyphen/>
        <w:t>t a kiinduláshoz viszonyítva. A BMD jelentős növekedését figyelték meg 6 hónap után a lumbalis gerincszakaszon, a teljes csípőn, a combnyakon, valamint a trochanter majoron (p &lt; 0,0001).</w:t>
      </w:r>
    </w:p>
    <w:p w14:paraId="033A3E16" w14:textId="77777777" w:rsidR="00951F81" w:rsidRPr="00C515CC" w:rsidRDefault="00951F81" w:rsidP="00C515CC"/>
    <w:p w14:paraId="6C6C7DBF" w14:textId="7E73333E" w:rsidR="00951F81" w:rsidRPr="00C515CC" w:rsidRDefault="00951F81" w:rsidP="00C515CC">
      <w:pPr>
        <w:keepNext/>
        <w:rPr>
          <w:u w:val="single"/>
        </w:rPr>
      </w:pPr>
      <w:r w:rsidRPr="00C515CC">
        <w:rPr>
          <w:u w:val="single"/>
        </w:rPr>
        <w:t>A csont szövettana osteoporosisban szenvedő, postmenopausában lévő nőknél</w:t>
      </w:r>
      <w:r w:rsidR="00E94328">
        <w:rPr>
          <w:u w:val="single"/>
        </w:rPr>
        <w:t>, valamint f</w:t>
      </w:r>
      <w:r w:rsidRPr="00C515CC">
        <w:rPr>
          <w:u w:val="single"/>
        </w:rPr>
        <w:t>érfiaknál</w:t>
      </w:r>
    </w:p>
    <w:p w14:paraId="19210B97" w14:textId="77777777" w:rsidR="00951F81" w:rsidRPr="00C515CC" w:rsidRDefault="00951F81" w:rsidP="00C515CC">
      <w:pPr>
        <w:keepNext/>
      </w:pPr>
    </w:p>
    <w:p w14:paraId="23C66C5C" w14:textId="2481DC98" w:rsidR="00951F81" w:rsidRPr="00C515CC" w:rsidRDefault="00951F81" w:rsidP="00C515CC">
      <w:r w:rsidRPr="00C515CC">
        <w:t>A csont szövettani jellemzőit 62 olyan, osteoporoticus, vagy alacsony csonttömegű postmenopausában lévő nőnél értékelték 1</w:t>
      </w:r>
      <w:r w:rsidRPr="00C515CC">
        <w:noBreakHyphen/>
        <w:t xml:space="preserve">3 év kezelés után, akik még nem kaptak osteoporosisterápiát, vagy akiket a korábbi alenderonátterápiáról </w:t>
      </w:r>
      <w:r w:rsidR="00606261" w:rsidRPr="00C515CC">
        <w:t>denoszumab</w:t>
      </w:r>
      <w:r w:rsidRPr="00C515CC">
        <w:noBreakHyphen/>
        <w:t xml:space="preserve">kezelésre állítottak át. Ötvenkilenc nő vett részt a csontbiopsziás alvizsgálatban, a postmenopausalis osteoporosisban lévő nőknél végzett kiterjesztett vizsgálat 24. (n = 41) és/vagy 84. (n = 22) hónapjában. 17 férfinél is értékelték a csont szövettani jellemzőit 1 év </w:t>
      </w:r>
      <w:r w:rsidR="00606261" w:rsidRPr="00C515CC">
        <w:t>denoszumab</w:t>
      </w:r>
      <w:r w:rsidRPr="00C515CC">
        <w:noBreakHyphen/>
        <w:t xml:space="preserve">kezelés után. A csontbiopsziás leletek élettani csontszerkezetet és </w:t>
      </w:r>
      <w:r w:rsidRPr="00C515CC">
        <w:noBreakHyphen/>
        <w:t>minőséget igazoltak, mineralizációs defektusok, fonatoscsont</w:t>
      </w:r>
      <w:r w:rsidR="00BD0A91">
        <w:t>-</w:t>
      </w:r>
      <w:r w:rsidRPr="00C515CC">
        <w:t>képződés, vagy csontvelő</w:t>
      </w:r>
      <w:r w:rsidRPr="00C515CC">
        <w:noBreakHyphen/>
        <w:t xml:space="preserve">fibrózis jelei nélkül. A postmenopausalis osteoporosisban lévő nőknél végzett kiterjesztett vizsgálatban a histomorphometriai leletek azt mutatták, hogy a </w:t>
      </w:r>
      <w:r w:rsidR="00606261" w:rsidRPr="00C515CC">
        <w:t>denoszumab</w:t>
      </w:r>
      <w:r w:rsidRPr="00C515CC">
        <w:t xml:space="preserve"> antireszorptív hatása, az aktiválás gyakoriságával és a csontképződési rátával mérve, az idő múlásával megmaradt.</w:t>
      </w:r>
    </w:p>
    <w:p w14:paraId="0E37CA5C" w14:textId="77777777" w:rsidR="00951F81" w:rsidRPr="00C515CC" w:rsidRDefault="00951F81" w:rsidP="00C515CC"/>
    <w:p w14:paraId="0D5AE319" w14:textId="77777777" w:rsidR="00951F81" w:rsidRPr="00C515CC" w:rsidRDefault="00951F81" w:rsidP="00C515CC">
      <w:pPr>
        <w:keepNext/>
        <w:rPr>
          <w:u w:val="single"/>
        </w:rPr>
      </w:pPr>
      <w:r w:rsidRPr="00C515CC">
        <w:rPr>
          <w:u w:val="single"/>
        </w:rPr>
        <w:t>Klinikai hatásosság és biztonságosság androgén</w:t>
      </w:r>
      <w:r w:rsidRPr="00C515CC">
        <w:rPr>
          <w:u w:val="single"/>
        </w:rPr>
        <w:noBreakHyphen/>
        <w:t>depriváció (ADT) következtében fellépő csontvesztés kezelésében</w:t>
      </w:r>
    </w:p>
    <w:p w14:paraId="72C6E7FB" w14:textId="77777777" w:rsidR="00951F81" w:rsidRPr="00C515CC" w:rsidRDefault="00951F81" w:rsidP="00C515CC">
      <w:pPr>
        <w:keepNext/>
      </w:pPr>
    </w:p>
    <w:p w14:paraId="53BE8756" w14:textId="6940840F" w:rsidR="00951F81" w:rsidRPr="00C515CC" w:rsidRDefault="00951F81" w:rsidP="00C515CC">
      <w:r w:rsidRPr="00C515CC">
        <w:t>A 3 éven át</w:t>
      </w:r>
      <w:r w:rsidR="0066367F">
        <w:t>,</w:t>
      </w:r>
      <w:r w:rsidRPr="00C515CC">
        <w:t xml:space="preserve"> 6 havonta egyszer alkalmazott </w:t>
      </w:r>
      <w:r w:rsidR="00606261" w:rsidRPr="00C515CC">
        <w:t>denoszumab</w:t>
      </w:r>
      <w:r w:rsidRPr="00C515CC">
        <w:t xml:space="preserve"> hatásosságát és biztonságosságát (1468, 48</w:t>
      </w:r>
      <w:r w:rsidRPr="00C515CC">
        <w:noBreakHyphen/>
        <w:t>97 éves) szövettanilag igazolt, nem metasztatizáló prostatacarcinomában szenvedő, androgén</w:t>
      </w:r>
      <w:r w:rsidRPr="00C515CC">
        <w:noBreakHyphen/>
        <w:t xml:space="preserve">deprivációs kezelést kapó, a csonttörések szempontjából fokozott </w:t>
      </w:r>
      <w:r w:rsidR="00BD0A91">
        <w:t>kockázatnak</w:t>
      </w:r>
      <w:r w:rsidR="00BD0A91" w:rsidRPr="00C515CC">
        <w:t xml:space="preserve"> </w:t>
      </w:r>
      <w:r w:rsidRPr="00C515CC">
        <w:t xml:space="preserve">kitett férfi betegnél vizsgálták (ahol a fokozott </w:t>
      </w:r>
      <w:r w:rsidR="00BD0A91">
        <w:t>kockázat</w:t>
      </w:r>
      <w:r w:rsidR="00BD0A91" w:rsidRPr="00C515CC">
        <w:t xml:space="preserve"> </w:t>
      </w:r>
      <w:r w:rsidRPr="00C515CC">
        <w:t>definíciója: 70 év feletti életkor, vagy 70 év alatti életkor és az ágyéki gerincen, a teljes csípőn vagy a combnyakon mért </w:t>
      </w:r>
      <w:r w:rsidRPr="00C515CC">
        <w:noBreakHyphen/>
        <w:t>1,0</w:t>
      </w:r>
      <w:r w:rsidRPr="00C515CC">
        <w:noBreakHyphen/>
        <w:t>nél alacsonyabb BMD T</w:t>
      </w:r>
      <w:r w:rsidRPr="00C515CC">
        <w:noBreakHyphen/>
        <w:t>érték, vagy osteoporosis miatti csonttörés a kórelőzményben). Minden férfi naponta (legalább 1000 mg) kalcium</w:t>
      </w:r>
      <w:r w:rsidRPr="00C515CC">
        <w:noBreakHyphen/>
        <w:t xml:space="preserve"> és (legalább 400 NE) D</w:t>
      </w:r>
      <w:r w:rsidRPr="00C515CC">
        <w:noBreakHyphen/>
        <w:t>vitamin</w:t>
      </w:r>
      <w:r w:rsidRPr="00C515CC">
        <w:noBreakHyphen/>
        <w:t>pótlásban részesült.</w:t>
      </w:r>
    </w:p>
    <w:p w14:paraId="4F5AD186" w14:textId="77777777" w:rsidR="00951F81" w:rsidRPr="00C515CC" w:rsidRDefault="00951F81" w:rsidP="00C515CC"/>
    <w:p w14:paraId="6A24CF01" w14:textId="24E89503" w:rsidR="00951F81" w:rsidRPr="00C515CC" w:rsidRDefault="00951F81" w:rsidP="00C515CC">
      <w:r w:rsidRPr="00C515CC">
        <w:t xml:space="preserve">A </w:t>
      </w:r>
      <w:r w:rsidR="00606261" w:rsidRPr="00C515CC">
        <w:t>denoszumab</w:t>
      </w:r>
      <w:r w:rsidRPr="00C515CC">
        <w:t xml:space="preserve"> a 3. év végére a placebokezeléshez képest szignifikánsan növelte az összes klinikai mérési helyen a BMD</w:t>
      </w:r>
      <w:r w:rsidRPr="00C515CC">
        <w:noBreakHyphen/>
        <w:t>értéket: a lumbális gerincen 7,9%</w:t>
      </w:r>
      <w:r w:rsidRPr="00C515CC">
        <w:noBreakHyphen/>
        <w:t>kal, a teljes csípőtáji régióban 5,7%</w:t>
      </w:r>
      <w:r w:rsidRPr="00C515CC">
        <w:noBreakHyphen/>
        <w:t>kal, a combnyakon 4,9%</w:t>
      </w:r>
      <w:r w:rsidRPr="00C515CC">
        <w:noBreakHyphen/>
        <w:t>kal, a trochanter majoron 6,9%</w:t>
      </w:r>
      <w:r w:rsidRPr="00C515CC">
        <w:noBreakHyphen/>
        <w:t>kal, a radius distalis harmadánál 6,9%</w:t>
      </w:r>
      <w:r w:rsidRPr="00C515CC">
        <w:noBreakHyphen/>
        <w:t>kal, a teljes testen 4,7%</w:t>
      </w:r>
      <w:r w:rsidRPr="00C515CC">
        <w:noBreakHyphen/>
        <w:t>kal (mindegyik esetében p &lt; 0,0001). Egy prospektíven tervezett feltáró elemzés során egy hónappal az első dózis után a lumbális gerinc, a teljes csípő, a combnyak és a trochanter major csont</w:t>
      </w:r>
      <w:r w:rsidR="00BD0A91">
        <w:t>ásványianyag-</w:t>
      </w:r>
      <w:r w:rsidRPr="00C515CC">
        <w:t>sűrűségének szignifikáns növekedését figyelték meg.</w:t>
      </w:r>
    </w:p>
    <w:p w14:paraId="21264496" w14:textId="77777777" w:rsidR="00951F81" w:rsidRPr="00C515CC" w:rsidRDefault="00951F81" w:rsidP="00C515CC"/>
    <w:p w14:paraId="5422058F" w14:textId="0EB75FC4" w:rsidR="00951F81" w:rsidRPr="00C515CC" w:rsidRDefault="00951F81" w:rsidP="00C515CC">
      <w:r w:rsidRPr="00C515CC">
        <w:t xml:space="preserve">A </w:t>
      </w:r>
      <w:r w:rsidR="00606261" w:rsidRPr="00C515CC">
        <w:t>denoszumab</w:t>
      </w:r>
      <w:r w:rsidRPr="00C515CC">
        <w:t xml:space="preserve"> szignifikánsan csökkentette az új csigolyatörések relatív kockázatát: 85%</w:t>
      </w:r>
      <w:r w:rsidRPr="00C515CC">
        <w:noBreakHyphen/>
        <w:t>kal (1,6% abszolút kockázatcsökkenés) az első év végén; 69%</w:t>
      </w:r>
      <w:r w:rsidRPr="00C515CC">
        <w:noBreakHyphen/>
        <w:t>kal (2,2% abszolút kockázatcsökkenés) a második év végén, és 62%</w:t>
      </w:r>
      <w:r w:rsidRPr="00C515CC">
        <w:noBreakHyphen/>
        <w:t>kal (2,4% abszolút kockázatcsökkenés) a harmadik év végén (mindegyik esetben p &lt; 0,01).</w:t>
      </w:r>
    </w:p>
    <w:p w14:paraId="383C1B56" w14:textId="77777777" w:rsidR="00951F81" w:rsidRPr="00C515CC" w:rsidRDefault="00951F81" w:rsidP="00C515CC"/>
    <w:p w14:paraId="74F18AA8" w14:textId="77777777" w:rsidR="00951F81" w:rsidRPr="00C515CC" w:rsidRDefault="00951F81" w:rsidP="00C515CC">
      <w:pPr>
        <w:keepNext/>
        <w:rPr>
          <w:u w:val="single"/>
        </w:rPr>
      </w:pPr>
      <w:r w:rsidRPr="00C515CC">
        <w:rPr>
          <w:u w:val="single"/>
        </w:rPr>
        <w:t>Klinikai hatásosság és biztonságosság adjuváns aromatázgátló kezeléssel járó csontvesztés kezelésben részesülő betegeknél</w:t>
      </w:r>
    </w:p>
    <w:p w14:paraId="716135C1" w14:textId="77777777" w:rsidR="00951F81" w:rsidRPr="00C515CC" w:rsidRDefault="00951F81" w:rsidP="00C515CC">
      <w:pPr>
        <w:keepNext/>
      </w:pPr>
    </w:p>
    <w:p w14:paraId="39582E84" w14:textId="65059EC8" w:rsidR="00951F81" w:rsidRPr="00C515CC" w:rsidRDefault="00951F81" w:rsidP="00C515CC">
      <w:r w:rsidRPr="00C515CC">
        <w:t>A 2 éven át</w:t>
      </w:r>
      <w:r w:rsidR="0066367F">
        <w:t>,</w:t>
      </w:r>
      <w:r w:rsidRPr="00C515CC">
        <w:t xml:space="preserve"> 6 havonta egyszer alkalmazott </w:t>
      </w:r>
      <w:r w:rsidR="00606261" w:rsidRPr="00C515CC">
        <w:t>denoszumab</w:t>
      </w:r>
      <w:r w:rsidRPr="00C515CC">
        <w:t xml:space="preserve"> hatásosságát és biztonságosságát nem metasztatizáló emlő</w:t>
      </w:r>
      <w:r w:rsidRPr="00C515CC">
        <w:noBreakHyphen/>
        <w:t>carcinomás nőbetegeknél vizsgálták (252, 35–84 éves nőbeteg), akiknél a kiindulási BMD T</w:t>
      </w:r>
      <w:r w:rsidRPr="00C515CC">
        <w:noBreakHyphen/>
        <w:t>érték a lumbális gerincen, a teljes csípőn vagy a combnyakon mérve –1,0 és –2,5 között volt. Mindegyik nőbeteg (legalább 1000 mg) kalcium</w:t>
      </w:r>
      <w:r w:rsidRPr="00C515CC">
        <w:noBreakHyphen/>
        <w:t xml:space="preserve"> és (legalább 400 NE) D</w:t>
      </w:r>
      <w:r w:rsidRPr="00C515CC">
        <w:noBreakHyphen/>
        <w:t>vitamin</w:t>
      </w:r>
      <w:r w:rsidRPr="00C515CC">
        <w:noBreakHyphen/>
        <w:t>pótlást is kapott naponta.</w:t>
      </w:r>
    </w:p>
    <w:p w14:paraId="06FD4C1B" w14:textId="77777777" w:rsidR="00951F81" w:rsidRPr="00C515CC" w:rsidRDefault="00951F81" w:rsidP="00C515CC"/>
    <w:p w14:paraId="3E5D6C98" w14:textId="0877430B" w:rsidR="00951F81" w:rsidRPr="00C515CC" w:rsidRDefault="00951F81" w:rsidP="00C515CC">
      <w:r w:rsidRPr="00C515CC">
        <w:t xml:space="preserve">A kezelés hatásosságának elsődleges mutatója a lumbális gerinc csontsűrűségének százalékos változása volt, a törésekre vonatkozó hatásosságot nem értékelték. A </w:t>
      </w:r>
      <w:r w:rsidR="00606261" w:rsidRPr="00C515CC">
        <w:t>denoszumab</w:t>
      </w:r>
      <w:r w:rsidRPr="00C515CC">
        <w:t xml:space="preserve"> a placebóhoz képest 2 év alatt az összes értékelt klinikai régióban szignifikánsan növelte a BMD</w:t>
      </w:r>
      <w:r w:rsidRPr="00C515CC">
        <w:noBreakHyphen/>
        <w:t>t: a lumbális gerincen 7,6%</w:t>
      </w:r>
      <w:r w:rsidRPr="00C515CC">
        <w:noBreakHyphen/>
        <w:t>kal, a teljes csípőn 4,7%</w:t>
      </w:r>
      <w:r w:rsidRPr="00C515CC">
        <w:noBreakHyphen/>
        <w:t>kal, a combnyakon 3,6%</w:t>
      </w:r>
      <w:r w:rsidRPr="00C515CC">
        <w:noBreakHyphen/>
        <w:t>kal, a trochanter majoron 5,9%</w:t>
      </w:r>
      <w:r w:rsidRPr="00C515CC">
        <w:noBreakHyphen/>
        <w:t>kal, a radius distalis harmadán 6,1%</w:t>
      </w:r>
      <w:r w:rsidRPr="00C515CC">
        <w:noBreakHyphen/>
        <w:t>kal, a teljes csontvázon 4,2%</w:t>
      </w:r>
      <w:r w:rsidRPr="00C515CC">
        <w:noBreakHyphen/>
        <w:t>kal (mindegyik esetben p &lt; 0,0001).</w:t>
      </w:r>
    </w:p>
    <w:p w14:paraId="211BD352" w14:textId="77777777" w:rsidR="00951F81" w:rsidRPr="00C515CC" w:rsidRDefault="00951F81" w:rsidP="00C515CC"/>
    <w:p w14:paraId="4386AAEF" w14:textId="77777777" w:rsidR="00951F81" w:rsidRPr="00C515CC" w:rsidRDefault="00951F81" w:rsidP="00C515CC">
      <w:pPr>
        <w:keepNext/>
        <w:rPr>
          <w:u w:val="single"/>
        </w:rPr>
      </w:pPr>
      <w:r w:rsidRPr="00C515CC">
        <w:rPr>
          <w:u w:val="single"/>
        </w:rPr>
        <w:t>Glükokortikoid</w:t>
      </w:r>
      <w:r w:rsidRPr="00C515CC">
        <w:rPr>
          <w:u w:val="single"/>
        </w:rPr>
        <w:noBreakHyphen/>
        <w:t>terápiával összefüggő csontvesztés kezelése</w:t>
      </w:r>
    </w:p>
    <w:p w14:paraId="20586ADE" w14:textId="77777777" w:rsidR="00951F81" w:rsidRPr="00C515CC" w:rsidRDefault="00951F81" w:rsidP="00C515CC">
      <w:pPr>
        <w:keepNext/>
      </w:pPr>
    </w:p>
    <w:p w14:paraId="7B088A88" w14:textId="6B1711A2" w:rsidR="00951F81" w:rsidRPr="00C515CC" w:rsidRDefault="00951F81" w:rsidP="00C515CC">
      <w:r w:rsidRPr="00C515CC">
        <w:t xml:space="preserve">A </w:t>
      </w:r>
      <w:r w:rsidR="00606261" w:rsidRPr="00C515CC">
        <w:t>denoszumab</w:t>
      </w:r>
      <w:r w:rsidRPr="00C515CC">
        <w:t xml:space="preserve"> hatásosságát és biztonságosságát 795 betegnél vizsgálták (70% nő és 30% férfi), akik 20 és 94 év közöttiek és napi ≥ 7,5 mg prednizont (vagy ekvivalens</w:t>
      </w:r>
      <w:r w:rsidR="00BD0A91">
        <w:t xml:space="preserve"> gyógyszert</w:t>
      </w:r>
      <w:r w:rsidRPr="00C515CC">
        <w:t>) kaptak szájon át.</w:t>
      </w:r>
    </w:p>
    <w:p w14:paraId="11B772FA" w14:textId="77777777" w:rsidR="00951F81" w:rsidRPr="00C515CC" w:rsidRDefault="00951F81" w:rsidP="00C515CC"/>
    <w:p w14:paraId="45C2A621" w14:textId="0E2BD829" w:rsidR="00951F81" w:rsidRPr="00C515CC" w:rsidRDefault="00951F81" w:rsidP="00C515CC">
      <w:r w:rsidRPr="00C515CC">
        <w:t>Két alcsoportot vizsgáltak: glükokortikoid</w:t>
      </w:r>
      <w:r w:rsidRPr="00C515CC">
        <w:noBreakHyphen/>
        <w:t xml:space="preserve">kezelést folytató </w:t>
      </w:r>
      <w:r w:rsidR="00BD0A91">
        <w:t xml:space="preserve">betegek </w:t>
      </w:r>
      <w:r w:rsidRPr="00C515CC">
        <w:t>(napi ≥ 7,5 mg prednizon vagy ekvivalense, ≥ 3 hónapig a vizsgálatba történő bevonás előtt; n = 505) és glükokortikoid</w:t>
      </w:r>
      <w:r w:rsidRPr="00C515CC">
        <w:noBreakHyphen/>
        <w:t xml:space="preserve">kezelést kezdő </w:t>
      </w:r>
      <w:r w:rsidR="00BD0A91">
        <w:t xml:space="preserve">betegek </w:t>
      </w:r>
      <w:r w:rsidRPr="00C515CC">
        <w:t xml:space="preserve">(napi ≥ 7,5 mg prednizon vagy ekvivalense, &lt; 3 hónapig a vizsgálatba történő bevonás előtt; n = 290). A betegek random besorolás (1:1) alapján kaptak vagy 6 havonta egyszer 60 mg </w:t>
      </w:r>
      <w:r w:rsidR="00606261" w:rsidRPr="00C515CC">
        <w:t>denoszumabo</w:t>
      </w:r>
      <w:r w:rsidRPr="00C515CC">
        <w:t>t szubkután, vagy naponta egyszer 5 mg rizedronátot szájon át (aktív kontroll) 2 évig. A betegek naponta (legalább 1000 mg) kalciumot és (legalább 800 NE) D</w:t>
      </w:r>
      <w:r w:rsidRPr="00C515CC">
        <w:noBreakHyphen/>
        <w:t>vitamint kaptak.</w:t>
      </w:r>
    </w:p>
    <w:p w14:paraId="576C1A80" w14:textId="77777777" w:rsidR="00951F81" w:rsidRPr="00C515CC" w:rsidRDefault="00951F81" w:rsidP="00C515CC"/>
    <w:p w14:paraId="69418A85" w14:textId="77777777" w:rsidR="00951F81" w:rsidRPr="00C515CC" w:rsidRDefault="00951F81" w:rsidP="00C515CC">
      <w:pPr>
        <w:keepNext/>
        <w:tabs>
          <w:tab w:val="clear" w:pos="567"/>
        </w:tabs>
        <w:rPr>
          <w:i/>
          <w:iCs/>
        </w:rPr>
      </w:pPr>
      <w:r w:rsidRPr="00C515CC">
        <w:rPr>
          <w:i/>
        </w:rPr>
        <w:t>A csont ásványianyag</w:t>
      </w:r>
      <w:r w:rsidRPr="00C515CC">
        <w:rPr>
          <w:i/>
        </w:rPr>
        <w:noBreakHyphen/>
        <w:t>sűrűségére kifejtett hatás</w:t>
      </w:r>
    </w:p>
    <w:p w14:paraId="126C1159" w14:textId="1CF77F57" w:rsidR="00951F81" w:rsidRPr="00C515CC" w:rsidRDefault="00951F81" w:rsidP="00C515CC">
      <w:r w:rsidRPr="00C515CC">
        <w:t>A glükokortikoid</w:t>
      </w:r>
      <w:r w:rsidRPr="00C515CC">
        <w:noBreakHyphen/>
        <w:t xml:space="preserve">kezelést folytató alcsoportban </w:t>
      </w:r>
      <w:r w:rsidR="00606261" w:rsidRPr="00C515CC">
        <w:t>denoszumab</w:t>
      </w:r>
      <w:r w:rsidRPr="00C515CC">
        <w:t xml:space="preserve"> esetében a lumbális gerinc csont ásványianyag</w:t>
      </w:r>
      <w:r w:rsidRPr="00C515CC">
        <w:noBreakHyphen/>
        <w:t>sűrűsége nagyobb növekedést mutatott, mint rizedronát esetében 1 év (</w:t>
      </w:r>
      <w:r w:rsidR="00606261" w:rsidRPr="00C515CC">
        <w:t>denoszumab</w:t>
      </w:r>
      <w:r w:rsidRPr="00C515CC">
        <w:t xml:space="preserve"> 3,6%, rizedronát 2,0%; p &lt; 0,001) és 2 év (</w:t>
      </w:r>
      <w:r w:rsidR="00606261" w:rsidRPr="00C515CC">
        <w:t>denoszumab</w:t>
      </w:r>
      <w:r w:rsidRPr="00C515CC">
        <w:t xml:space="preserve"> 4,5%, rizedronát 2,2%; p &lt; 0,001) után. A glükokortikoid</w:t>
      </w:r>
      <w:r w:rsidRPr="00C515CC">
        <w:noBreakHyphen/>
        <w:t xml:space="preserve">kezelést kezdő alcsoportban </w:t>
      </w:r>
      <w:r w:rsidR="00606261" w:rsidRPr="00C515CC">
        <w:t>denoszumab</w:t>
      </w:r>
      <w:r w:rsidRPr="00C515CC">
        <w:t xml:space="preserve"> esetében a lumbális gerinc csont ásványianyag</w:t>
      </w:r>
      <w:r w:rsidRPr="00C515CC">
        <w:noBreakHyphen/>
        <w:t>sűrűsége nagyobb növekedést mutatott, mint a rizedronát esetében 1 év (</w:t>
      </w:r>
      <w:r w:rsidR="00606261" w:rsidRPr="00C515CC">
        <w:t>denoszumab</w:t>
      </w:r>
      <w:r w:rsidRPr="00C515CC">
        <w:t xml:space="preserve"> 3,1%, rizedronát 0,8%; p &lt; 0,001) és 2 év (</w:t>
      </w:r>
      <w:r w:rsidR="00606261" w:rsidRPr="00C515CC">
        <w:t>denoszumab</w:t>
      </w:r>
      <w:r w:rsidRPr="00C515CC">
        <w:t xml:space="preserve"> 4,6%, rizedronát 1,5%; p &lt; 0,001) után.</w:t>
      </w:r>
    </w:p>
    <w:p w14:paraId="56E22E91" w14:textId="77777777" w:rsidR="00951F81" w:rsidRPr="00C515CC" w:rsidRDefault="00951F81" w:rsidP="00C515CC"/>
    <w:p w14:paraId="3E214319" w14:textId="5DDCFC7A" w:rsidR="00951F81" w:rsidRPr="00C515CC" w:rsidRDefault="00951F81" w:rsidP="00C515CC">
      <w:r w:rsidRPr="00C515CC">
        <w:t xml:space="preserve">Ezenkívül, </w:t>
      </w:r>
      <w:r w:rsidR="00A95B56" w:rsidRPr="00C515CC">
        <w:t>a denoszumab</w:t>
      </w:r>
      <w:r w:rsidRPr="00C515CC">
        <w:t xml:space="preserve"> esetében a csont ásványianyag</w:t>
      </w:r>
      <w:r w:rsidRPr="00C515CC">
        <w:noBreakHyphen/>
        <w:t>sűrűségének százalékban kifejezett átlagos növekedése jelentősen nagyobb volt a kiindulási értékhez képest a rizedronáttal összehasonlítva a teljes csípőn, a combnyakon és a trochanter majoron.</w:t>
      </w:r>
    </w:p>
    <w:p w14:paraId="1D17E86E" w14:textId="77777777" w:rsidR="00951F81" w:rsidRPr="00C515CC" w:rsidRDefault="00951F81" w:rsidP="00C515CC"/>
    <w:p w14:paraId="393C8F57" w14:textId="77777777" w:rsidR="00951F81" w:rsidRPr="00C515CC" w:rsidRDefault="00951F81" w:rsidP="00C515CC">
      <w:r w:rsidRPr="00C515CC">
        <w:t>A vizsgálat statisztikai ereje nem volt elegendő a törések különbségeinek bemutatására. 1 évnél az alanyoknál az új radiológiai csigolyatörések előfordulása 2,7% (denoszumab) és 3,2% (rizedronát) volt. Az alanyoknál a non</w:t>
      </w:r>
      <w:r w:rsidRPr="00C515CC">
        <w:noBreakHyphen/>
        <w:t>vertebralis törések előfordulása 4,3% (denoszumab) és 2,5% (rizedronát) volt. 2 évnél ezek a számok 4,1% és 5,8% az új, radiológia módszerrel kimutatott csigolyatörések esetében, és 5,3% és 3,8% a non</w:t>
      </w:r>
      <w:r w:rsidRPr="00C515CC">
        <w:noBreakHyphen/>
        <w:t>vertebralis törések esetében. A legtöbb csonttörés a GC</w:t>
      </w:r>
      <w:r w:rsidRPr="00C515CC">
        <w:noBreakHyphen/>
        <w:t>C alcsoportban fordult elő.</w:t>
      </w:r>
    </w:p>
    <w:p w14:paraId="6353CC1A" w14:textId="77777777" w:rsidR="00951F81" w:rsidRPr="00C515CC" w:rsidRDefault="00951F81" w:rsidP="00C515CC"/>
    <w:p w14:paraId="20C9F6EF" w14:textId="77777777" w:rsidR="00951F81" w:rsidRPr="00C515CC" w:rsidRDefault="00951F81" w:rsidP="00C515CC">
      <w:pPr>
        <w:keepNext/>
        <w:rPr>
          <w:u w:val="single"/>
        </w:rPr>
      </w:pPr>
      <w:r w:rsidRPr="00C515CC">
        <w:rPr>
          <w:u w:val="single"/>
        </w:rPr>
        <w:t>Gyermekek és serdülők</w:t>
      </w:r>
    </w:p>
    <w:p w14:paraId="7F130177" w14:textId="77777777" w:rsidR="00951F81" w:rsidRPr="00C515CC" w:rsidRDefault="00951F81" w:rsidP="00C515CC">
      <w:pPr>
        <w:keepNext/>
      </w:pPr>
    </w:p>
    <w:p w14:paraId="172C3FD9" w14:textId="1F41AB9E" w:rsidR="00951F81" w:rsidRPr="00C515CC" w:rsidRDefault="00951F81" w:rsidP="00C515CC">
      <w:r w:rsidRPr="00C515CC">
        <w:t xml:space="preserve">Egy egykarú, III. fázisú vizsgálatban értékelték a hatásosságot, a biztonságosságot és a farmakokinetikát, osteogenesis imperfectában szenvedő, 2–17 éves gyermekek </w:t>
      </w:r>
      <w:r w:rsidR="00BD0A91">
        <w:t xml:space="preserve">és serdülők </w:t>
      </w:r>
      <w:r w:rsidRPr="00C515CC">
        <w:t>esetében, akiknek 52,3%-a fiú, 88,2%-a fehér bőrű volt. Összesen 153 alany kapott kezdetben 1 mg/ttkg, de legfeljebb 60 mg denoszumabot szubkután (sc.) módon, 6 havonta 36 hónapon keresztül. Hatvan beteget állítottak át 3 havonta történő adagolásra.</w:t>
      </w:r>
    </w:p>
    <w:p w14:paraId="179A2700" w14:textId="77777777" w:rsidR="00951F81" w:rsidRPr="00C515CC" w:rsidRDefault="00951F81" w:rsidP="00C515CC"/>
    <w:p w14:paraId="0FD6E333" w14:textId="37EE5E47" w:rsidR="00951F81" w:rsidRPr="00C515CC" w:rsidRDefault="00951F81" w:rsidP="00C515CC">
      <w:r w:rsidRPr="00C515CC">
        <w:t>A 3 havonta egyszeri adagolás 12. hónapjában a legkisebb négyzetek átlagának (standard hiba) változása a kiindulási értékhez képest a lumbális gerinc BMD Z-pontszámában 1,01 (0,12) volt.</w:t>
      </w:r>
    </w:p>
    <w:p w14:paraId="41D6D7D8" w14:textId="77777777" w:rsidR="00951F81" w:rsidRPr="00C515CC" w:rsidRDefault="00951F81" w:rsidP="00C515CC"/>
    <w:p w14:paraId="6A235BC6" w14:textId="6F0C5A0D" w:rsidR="00951F81" w:rsidRPr="00C515CC" w:rsidRDefault="00951F81" w:rsidP="00C515CC">
      <w:r w:rsidRPr="00C515CC">
        <w:t xml:space="preserve">A 6 havonta egyszeri adagolás során jelentett leggyakoribb nemkívánatos események az arthralgia (45,8%), a végtagfájdalom (37,9%), a hátfájás (32,7%) és a hypercalciuria (32,0%) voltak. Hypercalcaemiát jelentettek a 6 havonta egyszeri (19%) és a 3 havonta egyszeri (36,7%) adagolás során. A 3 havonta egyszeri adagolás során </w:t>
      </w:r>
      <w:r w:rsidR="00BD0A91" w:rsidRPr="00C515CC">
        <w:t xml:space="preserve">súlyos </w:t>
      </w:r>
      <w:r w:rsidRPr="00C515CC">
        <w:t>nemkívánatos eseményként hypercalcaemiáról (13,3%) számoltak be.</w:t>
      </w:r>
    </w:p>
    <w:p w14:paraId="6984A0C1" w14:textId="77777777" w:rsidR="00951F81" w:rsidRPr="00C515CC" w:rsidRDefault="00951F81" w:rsidP="00C515CC"/>
    <w:p w14:paraId="2018068C" w14:textId="1D718FBD" w:rsidR="00951F81" w:rsidRPr="00C515CC" w:rsidRDefault="00951F81" w:rsidP="00C515CC">
      <w:r w:rsidRPr="00C515CC">
        <w:t>Egy kiterjesztett vizsgálatban (N = 75) a 3 havonta egyszeri adagolás során nemkívánatos eseményként súlyos hypercalcaemiát (18,5%) figyeltek meg.</w:t>
      </w:r>
    </w:p>
    <w:p w14:paraId="54BFFB0E" w14:textId="77777777" w:rsidR="00951F81" w:rsidRPr="00C515CC" w:rsidRDefault="00951F81" w:rsidP="00C515CC"/>
    <w:p w14:paraId="640F2BE3" w14:textId="79802284" w:rsidR="00951F81" w:rsidRPr="00C515CC" w:rsidRDefault="00951F81" w:rsidP="00C515CC">
      <w:r w:rsidRPr="00C515CC">
        <w:t>A vizsgálatokat idő előtt leállították a hypercalcaemia kapcsán előforduló életveszélyes események és kórházi kezelések miatt (lásd 4.2 pont).</w:t>
      </w:r>
    </w:p>
    <w:p w14:paraId="3513A192" w14:textId="77777777" w:rsidR="00951F81" w:rsidRPr="00C515CC" w:rsidRDefault="00951F81" w:rsidP="00C515CC"/>
    <w:p w14:paraId="074D99F6" w14:textId="47E79BA2" w:rsidR="00326529" w:rsidRDefault="00326529" w:rsidP="00C515CC">
      <w:r w:rsidRPr="00326529">
        <w:t>Egy multicentrikus, randomizált, kettős vak, placebokontrollos, párhuzamos csoportos vizsgálatban, amelyet 24, glükokortikoid okozta osteoporosisban szenvedő, 5 és 17</w:t>
      </w:r>
      <w:r w:rsidR="002B1BE3">
        <w:t> </w:t>
      </w:r>
      <w:r w:rsidRPr="00326529">
        <w:t xml:space="preserve">év közötti gyermek- és serdülőkorú beteggel végeztek, és amely a lumbalis gerinc BMD Z-pontszámában a kiindulási értékhez képest bekövetkezett változást értékelte, a biztonságosság és a hatásosság nem volt egyértelműen megállapítható, ezért a </w:t>
      </w:r>
      <w:r w:rsidRPr="00C515CC">
        <w:t>denoszumab</w:t>
      </w:r>
      <w:r w:rsidRPr="00326529">
        <w:t xml:space="preserve"> ebben a javallatban nem alkalmazható.</w:t>
      </w:r>
    </w:p>
    <w:p w14:paraId="04AA1E8F" w14:textId="77777777" w:rsidR="00326529" w:rsidRDefault="00326529" w:rsidP="00C515CC"/>
    <w:p w14:paraId="4D2A2C6A" w14:textId="1B4A79E2" w:rsidR="00951F81" w:rsidRPr="00C515CC" w:rsidRDefault="00951F81" w:rsidP="00C515CC">
      <w:r w:rsidRPr="00C515CC">
        <w:t xml:space="preserve">Az Európai Gyógyszerügynökség a gyermekek esetén minden korosztálynál eltekint a </w:t>
      </w:r>
      <w:r w:rsidR="00A95B56" w:rsidRPr="00C515CC">
        <w:t>denoszumab</w:t>
      </w:r>
      <w:r w:rsidR="00233AD2">
        <w:t>-</w:t>
      </w:r>
      <w:r w:rsidR="00A95B56" w:rsidRPr="00C515CC">
        <w:t xml:space="preserve">tartalmú referenciakészítmény </w:t>
      </w:r>
      <w:r w:rsidRPr="00C515CC">
        <w:t>vizsgálati eredményeinek benyújtási kötelezettségétől a nemihormon</w:t>
      </w:r>
      <w:r w:rsidRPr="00C515CC">
        <w:noBreakHyphen/>
        <w:t>ablatív terápiával összefüggő csontvesztés kezelése és a 2 évesnél fiatalabb gyermekek osteoporosisának kezelése esetén. Lásd 4.2 pont, gyermekgyógyászati alkalmazásra vonatkozó információk.</w:t>
      </w:r>
    </w:p>
    <w:p w14:paraId="65F6B832" w14:textId="77777777" w:rsidR="00951F81" w:rsidRPr="00C515CC" w:rsidRDefault="00951F81" w:rsidP="00C515CC"/>
    <w:p w14:paraId="45054043" w14:textId="77777777" w:rsidR="00951F81" w:rsidRPr="00C515CC" w:rsidRDefault="00951F81" w:rsidP="00C515CC">
      <w:pPr>
        <w:keepNext/>
        <w:ind w:left="567" w:hanging="567"/>
        <w:rPr>
          <w:b/>
        </w:rPr>
      </w:pPr>
      <w:r w:rsidRPr="00C515CC">
        <w:rPr>
          <w:b/>
        </w:rPr>
        <w:t>5.2</w:t>
      </w:r>
      <w:r w:rsidRPr="00C515CC">
        <w:rPr>
          <w:b/>
        </w:rPr>
        <w:tab/>
        <w:t>Farmakokinetikai tulajdonságok</w:t>
      </w:r>
    </w:p>
    <w:p w14:paraId="757F2BF8" w14:textId="77777777" w:rsidR="00951F81" w:rsidRPr="00C515CC" w:rsidRDefault="00951F81" w:rsidP="00C515CC">
      <w:pPr>
        <w:keepNext/>
      </w:pPr>
    </w:p>
    <w:p w14:paraId="2AC6BCEF" w14:textId="77777777" w:rsidR="00951F81" w:rsidRPr="00C515CC" w:rsidRDefault="00951F81" w:rsidP="00C515CC">
      <w:pPr>
        <w:keepNext/>
        <w:rPr>
          <w:u w:val="single"/>
        </w:rPr>
      </w:pPr>
      <w:r w:rsidRPr="00C515CC">
        <w:rPr>
          <w:u w:val="single"/>
        </w:rPr>
        <w:t>Felszívódás</w:t>
      </w:r>
    </w:p>
    <w:p w14:paraId="254AEFC6" w14:textId="77777777" w:rsidR="00951F81" w:rsidRPr="00C515CC" w:rsidRDefault="00951F81" w:rsidP="00C515CC">
      <w:pPr>
        <w:keepNext/>
      </w:pPr>
    </w:p>
    <w:p w14:paraId="46DD3554" w14:textId="75A3E93C" w:rsidR="00951F81" w:rsidRPr="00C515CC" w:rsidRDefault="00951F81" w:rsidP="00C515CC">
      <w:r w:rsidRPr="00C515CC">
        <w:t>Az engedélyezett 60 mg</w:t>
      </w:r>
      <w:r w:rsidRPr="00C515CC">
        <w:noBreakHyphen/>
        <w:t>os adaghoz közelítő, 1,0 mg/ttkg</w:t>
      </w:r>
      <w:r w:rsidRPr="00C515CC">
        <w:noBreakHyphen/>
        <w:t>os dózis subcutan alkalmazása után a szisztémás expozíció</w:t>
      </w:r>
      <w:r w:rsidR="00233AD2">
        <w:t>,</w:t>
      </w:r>
      <w:r w:rsidRPr="00C515CC">
        <w:t xml:space="preserve"> az AUC alapján</w:t>
      </w:r>
      <w:r w:rsidR="00233AD2">
        <w:t>,</w:t>
      </w:r>
      <w:r w:rsidRPr="00C515CC">
        <w:t xml:space="preserve"> 78%</w:t>
      </w:r>
      <w:r w:rsidRPr="00C515CC">
        <w:noBreakHyphen/>
        <w:t>os volt az azonos dózisú, intravénás alkalmazás utánihoz képest. A 60 mg</w:t>
      </w:r>
      <w:r w:rsidRPr="00C515CC">
        <w:noBreakHyphen/>
        <w:t>os subcutan dózis beadása után a denoszumab 6 mikrogramm/ml</w:t>
      </w:r>
      <w:r w:rsidRPr="00C515CC">
        <w:noBreakHyphen/>
        <w:t>es (tartomány: 1</w:t>
      </w:r>
      <w:r w:rsidR="009B2AE2" w:rsidRPr="00C515CC">
        <w:noBreakHyphen/>
      </w:r>
      <w:r w:rsidRPr="00C515CC">
        <w:t>17 mikrogramm/ml) maximális szérumkoncentrációja (C</w:t>
      </w:r>
      <w:r w:rsidRPr="00C515CC">
        <w:rPr>
          <w:vertAlign w:val="subscript"/>
        </w:rPr>
        <w:t>max</w:t>
      </w:r>
      <w:r w:rsidRPr="00C515CC">
        <w:t>) 10 napon belül (tartomány: 2–28 nap) alakult ki.</w:t>
      </w:r>
    </w:p>
    <w:p w14:paraId="2F53AC69" w14:textId="77777777" w:rsidR="00951F81" w:rsidRPr="00C515CC" w:rsidRDefault="00951F81" w:rsidP="00C515CC"/>
    <w:p w14:paraId="380A0A44" w14:textId="77777777" w:rsidR="00951F81" w:rsidRPr="00C515CC" w:rsidRDefault="00951F81" w:rsidP="00C515CC">
      <w:pPr>
        <w:keepNext/>
        <w:rPr>
          <w:u w:val="single"/>
        </w:rPr>
      </w:pPr>
      <w:r w:rsidRPr="00C515CC">
        <w:rPr>
          <w:u w:val="single"/>
        </w:rPr>
        <w:t>Biotranszformáció</w:t>
      </w:r>
    </w:p>
    <w:p w14:paraId="7438AF89" w14:textId="77777777" w:rsidR="00951F81" w:rsidRPr="00C515CC" w:rsidRDefault="00951F81" w:rsidP="00C515CC">
      <w:pPr>
        <w:keepNext/>
      </w:pPr>
    </w:p>
    <w:p w14:paraId="3DB31CFF" w14:textId="77777777" w:rsidR="00951F81" w:rsidRPr="00C515CC" w:rsidRDefault="00951F81" w:rsidP="00C515CC">
      <w:r w:rsidRPr="00C515CC">
        <w:t>A denoszumab mint natív immunglobulin kizárólag aminosavakból és szénhidrátokból áll, és a májban zajló metabolizmus mechanizmusain keresztüli eliminációja nem valószínű. Metabolizmusa és eliminációja várhatóan az immunglobulinok kiürülési útvonalait követi, ami kisméretű peptidekre, majd különálló aminosavakra történő lebomlást eredményez.</w:t>
      </w:r>
    </w:p>
    <w:p w14:paraId="1B6C30CA" w14:textId="77777777" w:rsidR="00951F81" w:rsidRPr="00C515CC" w:rsidRDefault="00951F81" w:rsidP="00C515CC"/>
    <w:p w14:paraId="20987A2B" w14:textId="77777777" w:rsidR="00951F81" w:rsidRPr="00C515CC" w:rsidRDefault="00951F81" w:rsidP="00C515CC">
      <w:pPr>
        <w:keepNext/>
        <w:rPr>
          <w:u w:val="single"/>
        </w:rPr>
      </w:pPr>
      <w:r w:rsidRPr="00C515CC">
        <w:rPr>
          <w:u w:val="single"/>
        </w:rPr>
        <w:t>Elimináció</w:t>
      </w:r>
    </w:p>
    <w:p w14:paraId="149393B9" w14:textId="77777777" w:rsidR="00951F81" w:rsidRPr="00C515CC" w:rsidRDefault="00951F81" w:rsidP="00C515CC">
      <w:pPr>
        <w:keepNext/>
      </w:pPr>
    </w:p>
    <w:p w14:paraId="7C96DA59" w14:textId="13329963" w:rsidR="00951F81" w:rsidRPr="00C515CC" w:rsidRDefault="00951F81" w:rsidP="00C515CC">
      <w:r w:rsidRPr="00C515CC">
        <w:t>A C</w:t>
      </w:r>
      <w:r w:rsidRPr="00C515CC">
        <w:rPr>
          <w:vertAlign w:val="subscript"/>
        </w:rPr>
        <w:t>max</w:t>
      </w:r>
      <w:r w:rsidRPr="00C515CC">
        <w:t xml:space="preserve"> elérése után 3 hónap alatt (tartomány: 1,5–4,5 hónap) 26 napos (tartomány: 6–52 nap) felezési idővel csökkent a szérumszint. A betegek 53%</w:t>
      </w:r>
      <w:r w:rsidRPr="00C515CC">
        <w:noBreakHyphen/>
        <w:t>á</w:t>
      </w:r>
      <w:r w:rsidR="00233AD2">
        <w:t>nál</w:t>
      </w:r>
      <w:r w:rsidRPr="00C515CC">
        <w:t xml:space="preserve"> 6 hónappal a gyógyszer adása után nem mutattak ki mérhető mennyiségű denoszumabot.</w:t>
      </w:r>
    </w:p>
    <w:p w14:paraId="424386BC" w14:textId="77777777" w:rsidR="00951F81" w:rsidRPr="00C515CC" w:rsidRDefault="00951F81" w:rsidP="00C515CC"/>
    <w:p w14:paraId="3394C49F" w14:textId="77777777" w:rsidR="00951F81" w:rsidRPr="00C515CC" w:rsidRDefault="00951F81" w:rsidP="00C515CC">
      <w:r w:rsidRPr="00C515CC">
        <w:t>A 60 mg</w:t>
      </w:r>
      <w:r w:rsidRPr="00C515CC">
        <w:noBreakHyphen/>
        <w:t>os dózis ismételt, 6 havonta egyszeri, subcutan alkalmazását követően nem észleltek akkumulációt vagy a denoszumab farmakokinetikájának időfüggő változását. A denoszumab farmakokinetikáját nem befolyásolta a denoszumabhoz kötődő antitestek képződése, és a farmakokinetika férfiaknál és nőknél hasonló volt. Úgy tűnik, az életkor (28–87 év), a rassz és a betegség státusza (alacsony csonttömeg, illetve osteoporosis, prostata</w:t>
      </w:r>
      <w:r w:rsidRPr="00C515CC">
        <w:noBreakHyphen/>
        <w:t xml:space="preserve"> vagy emlőcarcinoma) nem befolyásolja számottevően a denoszumab farmakokinetikáját.</w:t>
      </w:r>
    </w:p>
    <w:p w14:paraId="6D47D7EF" w14:textId="77777777" w:rsidR="00951F81" w:rsidRPr="00C515CC" w:rsidRDefault="00951F81" w:rsidP="00C515CC"/>
    <w:p w14:paraId="7833D34C" w14:textId="17332CFB" w:rsidR="00951F81" w:rsidRPr="00C515CC" w:rsidRDefault="00951F81" w:rsidP="00C515CC">
      <w:r w:rsidRPr="00C515CC">
        <w:t>A nagyobb test</w:t>
      </w:r>
      <w:r w:rsidR="00233AD2">
        <w:t>tömeg</w:t>
      </w:r>
      <w:r w:rsidRPr="00C515CC">
        <w:t xml:space="preserve"> és az alacsonyabb expozíció között tendenciát figyeltek meg az AUC és a C</w:t>
      </w:r>
      <w:r w:rsidRPr="00C515CC">
        <w:rPr>
          <w:vertAlign w:val="subscript"/>
        </w:rPr>
        <w:t>max</w:t>
      </w:r>
      <w:r w:rsidRPr="00C515CC">
        <w:t xml:space="preserve"> alapján. Ez a tendencia nem tekinthető klinikai szempontból fontosnak, hiszen a csontanyagcsere</w:t>
      </w:r>
      <w:r w:rsidRPr="00C515CC">
        <w:noBreakHyphen/>
        <w:t>markerek és a BMD</w:t>
      </w:r>
      <w:r w:rsidRPr="00C515CC">
        <w:noBreakHyphen/>
        <w:t>növekedés alapján kimutatott farmakodinamikai hatások széles testsúly</w:t>
      </w:r>
      <w:r w:rsidRPr="00C515CC">
        <w:noBreakHyphen/>
        <w:t>tartományban egyformán érvényesültek.</w:t>
      </w:r>
    </w:p>
    <w:p w14:paraId="773E04F7" w14:textId="77777777" w:rsidR="00951F81" w:rsidRPr="00C515CC" w:rsidRDefault="00951F81" w:rsidP="00C515CC"/>
    <w:p w14:paraId="21516966" w14:textId="7499C2EC" w:rsidR="00951F81" w:rsidRPr="00C515CC" w:rsidRDefault="00951F81" w:rsidP="00C515CC">
      <w:pPr>
        <w:keepNext/>
        <w:rPr>
          <w:u w:val="single"/>
        </w:rPr>
      </w:pPr>
      <w:r w:rsidRPr="00C515CC">
        <w:rPr>
          <w:u w:val="single"/>
        </w:rPr>
        <w:t>Linearitás/n</w:t>
      </w:r>
      <w:r w:rsidR="0094110B" w:rsidRPr="00C515CC">
        <w:rPr>
          <w:u w:val="single"/>
        </w:rPr>
        <w:t>on</w:t>
      </w:r>
      <w:r w:rsidRPr="00C515CC">
        <w:rPr>
          <w:u w:val="single"/>
        </w:rPr>
        <w:t>linearitás</w:t>
      </w:r>
    </w:p>
    <w:p w14:paraId="4B4536A9" w14:textId="77777777" w:rsidR="00951F81" w:rsidRPr="00C515CC" w:rsidRDefault="00951F81" w:rsidP="00C515CC">
      <w:pPr>
        <w:keepNext/>
      </w:pPr>
    </w:p>
    <w:p w14:paraId="394ECB9C" w14:textId="77777777" w:rsidR="00951F81" w:rsidRPr="00C515CC" w:rsidRDefault="00951F81" w:rsidP="00C515CC">
      <w:r w:rsidRPr="00C515CC">
        <w:t>A dózis</w:t>
      </w:r>
      <w:r w:rsidRPr="00C515CC">
        <w:noBreakHyphen/>
        <w:t>meghatározó vizsgálatok során a denoszumab farmakokinetikája nem</w:t>
      </w:r>
      <w:r w:rsidRPr="00C515CC">
        <w:noBreakHyphen/>
        <w:t>lineárisnak és dózisfüggőnek bizonyult, nagyobb dózis, illetve koncentráció esetén alacsonyabb clearance</w:t>
      </w:r>
      <w:r w:rsidRPr="00C515CC">
        <w:noBreakHyphen/>
        <w:t>szel, azonban 60 mg</w:t>
      </w:r>
      <w:r w:rsidRPr="00C515CC">
        <w:noBreakHyphen/>
        <w:t>os vagy nagyobb dózisok esetén az expozíció növekedése hozzávetőlegesen arányos volt az adaggal.</w:t>
      </w:r>
    </w:p>
    <w:p w14:paraId="1EE5EDD3" w14:textId="77777777" w:rsidR="00951F81" w:rsidRPr="00C515CC" w:rsidRDefault="00951F81" w:rsidP="00C515CC"/>
    <w:p w14:paraId="75E17C6F" w14:textId="77777777" w:rsidR="00951F81" w:rsidRPr="00C515CC" w:rsidRDefault="00951F81" w:rsidP="00C515CC">
      <w:pPr>
        <w:keepNext/>
        <w:rPr>
          <w:u w:val="single"/>
        </w:rPr>
      </w:pPr>
      <w:r w:rsidRPr="00C515CC">
        <w:rPr>
          <w:u w:val="single"/>
        </w:rPr>
        <w:t>Vesekárosodás</w:t>
      </w:r>
    </w:p>
    <w:p w14:paraId="666FA4C9" w14:textId="77777777" w:rsidR="00951F81" w:rsidRPr="00C515CC" w:rsidRDefault="00951F81" w:rsidP="00C515CC">
      <w:pPr>
        <w:keepNext/>
      </w:pPr>
    </w:p>
    <w:p w14:paraId="6411939A" w14:textId="21514DA3" w:rsidR="00951F81" w:rsidRPr="00C515CC" w:rsidRDefault="00951F81" w:rsidP="00C515CC">
      <w:r w:rsidRPr="00C515CC">
        <w:t>Egy különböző mértékben megtartott veseműködésű, dialíziskezelésben részesülő betegeket is magában foglaló, 55 beteg</w:t>
      </w:r>
      <w:r w:rsidR="00233AD2">
        <w:t>gel</w:t>
      </w:r>
      <w:r w:rsidRPr="00C515CC">
        <w:t xml:space="preserve"> elvégzett vizsgálatban a vesekárosodás foka nem befolyásolta a denoszumab farmakokinetikáját.</w:t>
      </w:r>
    </w:p>
    <w:p w14:paraId="115859F5" w14:textId="77777777" w:rsidR="00951F81" w:rsidRPr="00C515CC" w:rsidRDefault="00951F81" w:rsidP="00C515CC"/>
    <w:p w14:paraId="057FCBC6" w14:textId="77777777" w:rsidR="00951F81" w:rsidRPr="00C515CC" w:rsidRDefault="00951F81" w:rsidP="00C515CC">
      <w:pPr>
        <w:keepNext/>
        <w:rPr>
          <w:u w:val="single"/>
        </w:rPr>
      </w:pPr>
      <w:r w:rsidRPr="00C515CC">
        <w:rPr>
          <w:u w:val="single"/>
        </w:rPr>
        <w:t>Májkárosodás</w:t>
      </w:r>
    </w:p>
    <w:p w14:paraId="12B90E26" w14:textId="77777777" w:rsidR="00951F81" w:rsidRPr="00C515CC" w:rsidRDefault="00951F81" w:rsidP="00C515CC">
      <w:pPr>
        <w:keepNext/>
      </w:pPr>
    </w:p>
    <w:p w14:paraId="60608984" w14:textId="77777777" w:rsidR="00951F81" w:rsidRPr="00C515CC" w:rsidRDefault="00951F81" w:rsidP="00C515CC">
      <w:r w:rsidRPr="00C515CC">
        <w:t>Májkárosodásban szenvedő betegeknél nem végeztek specifikus vizsgálatot. Általánosságban véve a monoklonális antitestek nem a májban zajló metabolizmus mechanizmusain keresztül eliminálódnak. A denoszumab farmakokinetikáját várhatóan nem befolyásolja a májkárosodás.</w:t>
      </w:r>
    </w:p>
    <w:p w14:paraId="72887241" w14:textId="77777777" w:rsidR="00951F81" w:rsidRPr="00C515CC" w:rsidRDefault="00951F81" w:rsidP="00C515CC"/>
    <w:p w14:paraId="779417A1" w14:textId="77777777" w:rsidR="00951F81" w:rsidRPr="00C515CC" w:rsidRDefault="00951F81" w:rsidP="00C515CC">
      <w:pPr>
        <w:keepNext/>
        <w:rPr>
          <w:u w:val="single"/>
        </w:rPr>
      </w:pPr>
      <w:r w:rsidRPr="00C515CC">
        <w:rPr>
          <w:u w:val="single"/>
        </w:rPr>
        <w:t>Gyermekek és serdülők</w:t>
      </w:r>
    </w:p>
    <w:p w14:paraId="075B6A9C" w14:textId="77777777" w:rsidR="00951F81" w:rsidRPr="00C515CC" w:rsidRDefault="00951F81" w:rsidP="00C515CC"/>
    <w:p w14:paraId="5915A488" w14:textId="750EA2B1" w:rsidR="00951F81" w:rsidRPr="00C515CC" w:rsidRDefault="00951F81" w:rsidP="00C515CC">
      <w:r w:rsidRPr="00C515CC">
        <w:t xml:space="preserve">A </w:t>
      </w:r>
      <w:r w:rsidR="00A96EB8" w:rsidRPr="00C515CC">
        <w:t>Kefdensis</w:t>
      </w:r>
      <w:r w:rsidR="00A95B56" w:rsidRPr="00C515CC">
        <w:noBreakHyphen/>
      </w:r>
      <w:r w:rsidRPr="00C515CC">
        <w:t>t nem szabad gyermekek és serdülők esetében alkalmazni (lásd 4.2 és 5.1 pont).</w:t>
      </w:r>
    </w:p>
    <w:p w14:paraId="2E55E8A6" w14:textId="77777777" w:rsidR="00951F81" w:rsidRPr="00C515CC" w:rsidRDefault="00951F81" w:rsidP="00C515CC"/>
    <w:p w14:paraId="30CAE9B8" w14:textId="1CECE325" w:rsidR="00951F81" w:rsidRPr="00C515CC" w:rsidRDefault="00951F81" w:rsidP="00C515CC">
      <w:r w:rsidRPr="00C515CC">
        <w:t>Osteogenesis imperfectában szenvedő gyermekek</w:t>
      </w:r>
      <w:r w:rsidR="00233AD2">
        <w:t>kel</w:t>
      </w:r>
      <w:r w:rsidRPr="00C515CC">
        <w:t xml:space="preserve"> és serdülők</w:t>
      </w:r>
      <w:r w:rsidR="00233AD2">
        <w:t>kel</w:t>
      </w:r>
      <w:r w:rsidRPr="00C515CC">
        <w:t xml:space="preserve"> végzett III. fázisú vizsgálatban (N = 153) minden korcsoportban a denoszumab maximális szérumkoncentrációját figyelték meg a 10. napon. A 3 és 6 havonta egyszeri adagolás esetében a denoszumab mélyponti szérumkoncentrációjának átlaga a 11–17 éves gyermekeknél és serdülőknél volt magasabb, míg a 2</w:t>
      </w:r>
      <w:r w:rsidR="0007045F" w:rsidRPr="00C515CC">
        <w:noBreakHyphen/>
      </w:r>
      <w:r w:rsidRPr="00C515CC">
        <w:t>6 éves gyermekek esetében volt a legalacsonyabb a mélyponti szérumkoncentráció átlaga.</w:t>
      </w:r>
    </w:p>
    <w:p w14:paraId="73750145" w14:textId="77777777" w:rsidR="00951F81" w:rsidRPr="00C515CC" w:rsidRDefault="00951F81" w:rsidP="00C515CC"/>
    <w:p w14:paraId="6ABEB491" w14:textId="77777777" w:rsidR="00951F81" w:rsidRPr="00C515CC" w:rsidRDefault="00951F81" w:rsidP="00C515CC">
      <w:pPr>
        <w:keepNext/>
        <w:ind w:left="567" w:hanging="567"/>
        <w:rPr>
          <w:b/>
        </w:rPr>
      </w:pPr>
      <w:r w:rsidRPr="00C515CC">
        <w:rPr>
          <w:b/>
        </w:rPr>
        <w:t>5.3</w:t>
      </w:r>
      <w:r w:rsidRPr="00C515CC">
        <w:rPr>
          <w:b/>
        </w:rPr>
        <w:tab/>
        <w:t>A preklinikai biztonságossági vizsgálatok eredményei</w:t>
      </w:r>
    </w:p>
    <w:p w14:paraId="31220C4C" w14:textId="77777777" w:rsidR="00951F81" w:rsidRPr="00C515CC" w:rsidRDefault="00951F81" w:rsidP="00C515CC">
      <w:pPr>
        <w:keepNext/>
      </w:pPr>
    </w:p>
    <w:p w14:paraId="023E8F7D" w14:textId="46D2D589" w:rsidR="00951F81" w:rsidRPr="00C515CC" w:rsidRDefault="00951F81" w:rsidP="00C515CC">
      <w:r w:rsidRPr="00C515CC">
        <w:t>Az egyszeri és az ismételt adagok toxicitását Cynomolgus majmokon értékelő vizsgálatok során az ajánlott humán dózishoz képest 100–150</w:t>
      </w:r>
      <w:r w:rsidRPr="00C515CC">
        <w:noBreakHyphen/>
        <w:t>szer nagyobb szisztémás expozíciót eredményező denoszumab</w:t>
      </w:r>
      <w:r w:rsidRPr="00C515CC">
        <w:noBreakHyphen/>
        <w:t xml:space="preserve">adagok nem befolyásolták a szív és érrendszer </w:t>
      </w:r>
      <w:r w:rsidR="00233AD2">
        <w:t xml:space="preserve">fiziológiás </w:t>
      </w:r>
      <w:r w:rsidRPr="00C515CC">
        <w:t>működését, a hímek vagy nőstények termékenységét, és célszervspecifikus toxicitást sem idéztek elő.</w:t>
      </w:r>
    </w:p>
    <w:p w14:paraId="351353A7" w14:textId="77777777" w:rsidR="00951F81" w:rsidRPr="00C515CC" w:rsidRDefault="00951F81" w:rsidP="00C515CC"/>
    <w:p w14:paraId="417CEBB6" w14:textId="77777777" w:rsidR="00951F81" w:rsidRPr="00C515CC" w:rsidRDefault="00951F81" w:rsidP="00C515CC">
      <w:r w:rsidRPr="00C515CC">
        <w:t>A denoszumab esetleges genotoxicitását vizsgáló standard teszteket nem végeztek, mivel ezek a tesztek nem relevánsak erre a molekulára vonatkozóan. A denoszumab azonban jellegénél fogva valószínűleg nem rendelkezik genotoxikus potenciállal.</w:t>
      </w:r>
    </w:p>
    <w:p w14:paraId="706B7EE1" w14:textId="77777777" w:rsidR="00951F81" w:rsidRPr="00C515CC" w:rsidRDefault="00951F81" w:rsidP="00C515CC"/>
    <w:p w14:paraId="66EF6ECE" w14:textId="77777777" w:rsidR="00951F81" w:rsidRPr="00C515CC" w:rsidRDefault="00951F81" w:rsidP="00C515CC">
      <w:r w:rsidRPr="00C515CC">
        <w:t>A denoszumab esetleges rákkeltő hatását nem értékelték hosszú távú állatkísérletekben.</w:t>
      </w:r>
    </w:p>
    <w:p w14:paraId="0A7AB26D" w14:textId="77777777" w:rsidR="00951F81" w:rsidRPr="00C515CC" w:rsidRDefault="00951F81" w:rsidP="00C515CC"/>
    <w:p w14:paraId="201BAE0E" w14:textId="1AFB6F3F" w:rsidR="00951F81" w:rsidRPr="00C515CC" w:rsidRDefault="00951F81" w:rsidP="00C515CC">
      <w:r w:rsidRPr="00C515CC">
        <w:t>RANK</w:t>
      </w:r>
      <w:r w:rsidRPr="00C515CC">
        <w:noBreakHyphen/>
        <w:t xml:space="preserve"> vagy RANKL</w:t>
      </w:r>
      <w:r w:rsidRPr="00C515CC">
        <w:noBreakHyphen/>
        <w:t>hiányos, „génkiütött” egerek</w:t>
      </w:r>
      <w:r w:rsidR="00233AD2">
        <w:t>kel</w:t>
      </w:r>
      <w:r w:rsidRPr="00C515CC">
        <w:t xml:space="preserve"> elvégzett preklinikai vizsgálatokban a nyirokcsomó</w:t>
      </w:r>
      <w:r w:rsidRPr="00C515CC">
        <w:noBreakHyphen/>
        <w:t>képződés zavarát figyelték meg a magzatban. Az emlőmirigy érésének (a lobulo</w:t>
      </w:r>
      <w:r w:rsidRPr="00C515CC">
        <w:noBreakHyphen/>
        <w:t>alveolaris mirigyek vemhesség ideje alatt végbemenő fejlődésének) gátlása következtében a tejelválasztás hiányát is észlelték RANK</w:t>
      </w:r>
      <w:r w:rsidRPr="00C515CC">
        <w:noBreakHyphen/>
        <w:t xml:space="preserve"> vagy RANKL</w:t>
      </w:r>
      <w:r w:rsidRPr="00C515CC">
        <w:noBreakHyphen/>
        <w:t>hiányos, „génkiütött” egerek</w:t>
      </w:r>
      <w:r w:rsidR="00233AD2">
        <w:t>nél</w:t>
      </w:r>
      <w:r w:rsidRPr="00C515CC">
        <w:t>.</w:t>
      </w:r>
    </w:p>
    <w:p w14:paraId="60F11A3D" w14:textId="77777777" w:rsidR="00951F81" w:rsidRPr="00C515CC" w:rsidRDefault="00951F81" w:rsidP="00C515CC"/>
    <w:p w14:paraId="1C88771F" w14:textId="77777777" w:rsidR="00951F81" w:rsidRPr="00C515CC" w:rsidRDefault="00951F81" w:rsidP="00C515CC">
      <w:r w:rsidRPr="00C515CC">
        <w:t>Egy, a vemhesség első trimeszterének megfelelő időszakban denoszumabot kapó Cynomolgus majmokkal végzett vizsgálatban a humán dózis (60 mg 6 havonta) mellett észlelthez képest maximum 99</w:t>
      </w:r>
      <w:r w:rsidRPr="00C515CC">
        <w:noBreakHyphen/>
        <w:t>szer nagyobb AUC expozíciónál nem bizonyítottak anyai toxicitást vagy magzati károsodást. Ebben a vizsgálatban a magzati nyirokcsomókat nem vizsgálták.</w:t>
      </w:r>
    </w:p>
    <w:p w14:paraId="3A4E9563" w14:textId="77777777" w:rsidR="00951F81" w:rsidRPr="00C515CC" w:rsidRDefault="00951F81" w:rsidP="00C515CC"/>
    <w:p w14:paraId="73C5C87C" w14:textId="77777777" w:rsidR="00951F81" w:rsidRPr="00C515CC" w:rsidRDefault="00951F81" w:rsidP="00C515CC">
      <w:r w:rsidRPr="00C515CC">
        <w:t>Egy másik, a vemhesség teljes időtartama alatt denoszumabot kapó Cynomolgus majmokkal végzett vizsgálatban a humán dózis (60 mg 6 havonta) mellett észleltnél 119</w:t>
      </w:r>
      <w:r w:rsidRPr="00C515CC">
        <w:noBreakHyphen/>
        <w:t>szer nagyobb AUC expozíciónál megnövekedett a halvaszületés és a születést követő halálozás; rendellenes csontfejlődés volt tapasztalható, amely a csontok erősségének csökkenésében, csökkent vérképzésben és a fogak rendellenes sorbarendeződésében nyilvánult meg; hiányoztak a perifériás nyirokcsomók; és csökkent az újszülöttkori fejlődés. Az a dózisszint, aminél a reproduktív mellékhatások nem figyelhetők meg, nem került megállapításra. A születés utáni 6 hónapos időszakot követően a csontot érintő elváltozások megszűntek, és a fogak áttörésére nem volt hatással. Ugyanakkor a nyirokcsomókra gyakorolt hatások és a fogak rendellenes sorbarendeződése továbbra is fennállt, és egy állatnál több szövetben minimális vagy közepes fokú mineralizáció volt megfigyelhető (a kezeléssel való összefüggése bizonytalan). Az ellést megelőzően nem volt megfigyelhető anyai károsodás, az ellés alatt az anyát érintő mellékhatások nem gyakran fordultak elő. Az anyai emlőmirigyek fejlődése normális volt.</w:t>
      </w:r>
    </w:p>
    <w:p w14:paraId="05A92EDE" w14:textId="77777777" w:rsidR="00951F81" w:rsidRPr="00C515CC" w:rsidRDefault="00951F81" w:rsidP="00C515CC"/>
    <w:p w14:paraId="4677AAD4" w14:textId="618F6645" w:rsidR="00951F81" w:rsidRPr="00C515CC" w:rsidRDefault="00951F81" w:rsidP="00C515CC">
      <w:r w:rsidRPr="00C515CC">
        <w:t>A csontminőséget hosszú távú denoszumab kezelésben részesülő majmok</w:t>
      </w:r>
      <w:r w:rsidR="00233AD2">
        <w:t>nál</w:t>
      </w:r>
      <w:r w:rsidRPr="00C515CC">
        <w:t xml:space="preserve"> értékelő, preklinikai vizsgálatok során a csontanyagcsere ütemének csökkenése a csontszilárdság javulásával és ép csontszövettani képpel párosult. Ovariectomizált, denoszumabbal kezelt majmok</w:t>
      </w:r>
      <w:r w:rsidR="00233AD2">
        <w:t>nál</w:t>
      </w:r>
      <w:r w:rsidRPr="00C515CC">
        <w:t xml:space="preserve"> átmenetileg csökkent a kalciumszint, illetve emelkedett a mellékpajzsmirigyhormon</w:t>
      </w:r>
      <w:r w:rsidRPr="00C515CC">
        <w:noBreakHyphen/>
        <w:t>szint.</w:t>
      </w:r>
    </w:p>
    <w:p w14:paraId="77E158FC" w14:textId="77777777" w:rsidR="00951F81" w:rsidRPr="00C515CC" w:rsidRDefault="00951F81" w:rsidP="00C515CC"/>
    <w:p w14:paraId="1B1FB0D0" w14:textId="77777777" w:rsidR="00951F81" w:rsidRPr="00C515CC" w:rsidRDefault="00951F81" w:rsidP="00C515CC">
      <w:r w:rsidRPr="00C515CC">
        <w:t>Géntechnológiai beavatkozás eredményeként huRANKL</w:t>
      </w:r>
      <w:r w:rsidRPr="00C515CC">
        <w:noBreakHyphen/>
        <w:t>t expresszáló („knock in”) hím egerekben a kortikális rétegen áthatoló csonttörés előidézése után a denoszumab a kontrollhoz képest késleltette a porc lebontását és a callus átépülését, a biomechanikai szilárdságot azonban nem befolyásolta hátrányosan.</w:t>
      </w:r>
    </w:p>
    <w:p w14:paraId="29CED961" w14:textId="77777777" w:rsidR="00951F81" w:rsidRPr="00C515CC" w:rsidRDefault="00951F81" w:rsidP="00C515CC"/>
    <w:p w14:paraId="7F763274" w14:textId="03B3AC3D" w:rsidR="00951F81" w:rsidRPr="00C515CC" w:rsidRDefault="00951F81" w:rsidP="00C515CC">
      <w:r w:rsidRPr="00C515CC">
        <w:t>A RANK</w:t>
      </w:r>
      <w:r w:rsidRPr="00C515CC">
        <w:noBreakHyphen/>
        <w:t xml:space="preserve"> vagy RANKL</w:t>
      </w:r>
      <w:r w:rsidRPr="00C515CC">
        <w:noBreakHyphen/>
        <w:t>hiányos, „génkiütött” egerek (lásd 4.6 pont) test</w:t>
      </w:r>
      <w:r w:rsidR="00233AD2">
        <w:t>tömege</w:t>
      </w:r>
      <w:r w:rsidRPr="00C515CC">
        <w:t xml:space="preserve"> alacsonyabb volt, csökkent a csontnövekedésük, és nem következett be a fogak áttörése. Újszülött patkányokban a RANKL</w:t>
      </w:r>
      <w:r w:rsidRPr="00C515CC">
        <w:noBreakHyphen/>
        <w:t>nak (a denoszumab</w:t>
      </w:r>
      <w:r w:rsidRPr="00C515CC">
        <w:noBreakHyphen/>
        <w:t>kezelés célpontjának) nagy dózisú, az immunglobulin Fc</w:t>
      </w:r>
      <w:r w:rsidRPr="00C515CC">
        <w:noBreakHyphen/>
        <w:t>részéhez kötött oszteoprotegerin struktúra (OPG</w:t>
      </w:r>
      <w:r w:rsidRPr="00C515CC">
        <w:noBreakHyphen/>
        <w:t>Fc) adásával történő gátlása a csontnövekedés és a fogak áttörésének gátlásával járt együtt. Ezek a változások ebben a modellben, a RANKL</w:t>
      </w:r>
      <w:r w:rsidRPr="00C515CC">
        <w:noBreakHyphen/>
        <w:t>gátló adagolásának abbahagyása után részben reverzíbilisek voltak. A klinikai expozíció 27</w:t>
      </w:r>
      <w:r w:rsidRPr="00C515CC">
        <w:noBreakHyphen/>
        <w:t>szeresének, illetve 150</w:t>
      </w:r>
      <w:r w:rsidRPr="00C515CC">
        <w:noBreakHyphen/>
        <w:t>szeresének megfelelő (10, illetve 50 mg/ttkg) dózisú denoszumabbal kezelt, serdülő főemlősökben rendellenes volt a csontok növekedési zónája. Ennélfogva, gyermekek</w:t>
      </w:r>
      <w:r w:rsidR="00233AD2">
        <w:t>nél és serdülőknél</w:t>
      </w:r>
      <w:r w:rsidRPr="00C515CC">
        <w:t xml:space="preserve"> a csontok növekedési zónáinak záródása előtt végzett denoszumab</w:t>
      </w:r>
      <w:r w:rsidRPr="00C515CC">
        <w:noBreakHyphen/>
        <w:t>kezelés károsíthatja a csontok fejlődését, és meggátolhatja a fogak áttörését.</w:t>
      </w:r>
    </w:p>
    <w:p w14:paraId="747A92A2" w14:textId="77777777" w:rsidR="00951F81" w:rsidRPr="00C515CC" w:rsidRDefault="00951F81" w:rsidP="00C515CC"/>
    <w:p w14:paraId="1D5852DB" w14:textId="77777777" w:rsidR="00951F81" w:rsidRPr="00C515CC" w:rsidRDefault="00951F81" w:rsidP="00C515CC"/>
    <w:p w14:paraId="606F54BA" w14:textId="77777777" w:rsidR="00951F81" w:rsidRPr="00C515CC" w:rsidRDefault="00951F81" w:rsidP="00C515CC">
      <w:pPr>
        <w:keepNext/>
        <w:ind w:left="567" w:hanging="567"/>
        <w:rPr>
          <w:b/>
        </w:rPr>
      </w:pPr>
      <w:r w:rsidRPr="00C515CC">
        <w:rPr>
          <w:b/>
        </w:rPr>
        <w:t>6.</w:t>
      </w:r>
      <w:r w:rsidRPr="00C515CC">
        <w:rPr>
          <w:b/>
        </w:rPr>
        <w:tab/>
        <w:t>GYÓGYSZERÉSZETI JELLEMZŐK</w:t>
      </w:r>
    </w:p>
    <w:p w14:paraId="2A12541D" w14:textId="77777777" w:rsidR="00951F81" w:rsidRPr="00C515CC" w:rsidRDefault="00951F81" w:rsidP="00C515CC">
      <w:pPr>
        <w:keepNext/>
      </w:pPr>
    </w:p>
    <w:p w14:paraId="1C31AFA2" w14:textId="77777777" w:rsidR="00951F81" w:rsidRPr="00C515CC" w:rsidRDefault="00951F81" w:rsidP="00C515CC">
      <w:pPr>
        <w:keepNext/>
        <w:ind w:left="567" w:hanging="567"/>
        <w:rPr>
          <w:b/>
        </w:rPr>
      </w:pPr>
      <w:r w:rsidRPr="00C515CC">
        <w:rPr>
          <w:b/>
        </w:rPr>
        <w:t>6.1</w:t>
      </w:r>
      <w:r w:rsidRPr="00C515CC">
        <w:rPr>
          <w:b/>
        </w:rPr>
        <w:tab/>
        <w:t>Segédanyagok felsorolása</w:t>
      </w:r>
    </w:p>
    <w:p w14:paraId="392B9E30" w14:textId="77777777" w:rsidR="00951F81" w:rsidRPr="00C515CC" w:rsidRDefault="00951F81" w:rsidP="00C515CC">
      <w:pPr>
        <w:keepNext/>
      </w:pPr>
    </w:p>
    <w:p w14:paraId="63A5F277" w14:textId="2A15DCCC" w:rsidR="00F90CB2" w:rsidRPr="00C515CC" w:rsidRDefault="00F90CB2" w:rsidP="00C515CC">
      <w:pPr>
        <w:keepNext/>
      </w:pPr>
      <w:bookmarkStart w:id="1" w:name="_Hlk201157327"/>
      <w:r w:rsidRPr="00C515CC">
        <w:t>L</w:t>
      </w:r>
      <w:r w:rsidR="00037989" w:rsidRPr="00C515CC">
        <w:noBreakHyphen/>
      </w:r>
      <w:r w:rsidRPr="00C515CC">
        <w:t>hisztidin</w:t>
      </w:r>
    </w:p>
    <w:p w14:paraId="70539D90" w14:textId="2091A161" w:rsidR="00F90CB2" w:rsidRPr="00C515CC" w:rsidRDefault="00F90CB2" w:rsidP="00C515CC">
      <w:pPr>
        <w:keepNext/>
      </w:pPr>
      <w:r w:rsidRPr="00C515CC">
        <w:t>L</w:t>
      </w:r>
      <w:r w:rsidR="00037989" w:rsidRPr="00C515CC">
        <w:noBreakHyphen/>
      </w:r>
      <w:r w:rsidRPr="00C515CC">
        <w:t>hisztidin-monohidroklorid-monohidrát</w:t>
      </w:r>
    </w:p>
    <w:p w14:paraId="52D09173" w14:textId="533FB197" w:rsidR="00F90CB2" w:rsidRPr="00C515CC" w:rsidRDefault="00F90CB2" w:rsidP="00C515CC">
      <w:pPr>
        <w:keepNext/>
      </w:pPr>
      <w:r w:rsidRPr="00C515CC">
        <w:t>szacharóz</w:t>
      </w:r>
    </w:p>
    <w:p w14:paraId="5E0FC402" w14:textId="69887144" w:rsidR="00F90CB2" w:rsidRPr="00C515CC" w:rsidRDefault="00F90CB2" w:rsidP="00C515CC">
      <w:pPr>
        <w:keepNext/>
      </w:pPr>
      <w:r w:rsidRPr="00C515CC">
        <w:t>poloxamer 188</w:t>
      </w:r>
    </w:p>
    <w:p w14:paraId="4B7049B8" w14:textId="374E5732" w:rsidR="00951F81" w:rsidRPr="00C515CC" w:rsidRDefault="00F90CB2" w:rsidP="00C515CC">
      <w:pPr>
        <w:keepNext/>
      </w:pPr>
      <w:r w:rsidRPr="00C515CC">
        <w:t>i</w:t>
      </w:r>
      <w:r w:rsidR="00951F81" w:rsidRPr="00C515CC">
        <w:t>njekcióhoz való víz</w:t>
      </w:r>
    </w:p>
    <w:bookmarkEnd w:id="1"/>
    <w:p w14:paraId="11E6ACFF" w14:textId="77777777" w:rsidR="00951F81" w:rsidRPr="00C515CC" w:rsidRDefault="00951F81" w:rsidP="00C515CC"/>
    <w:p w14:paraId="59877EC3" w14:textId="77777777" w:rsidR="00951F81" w:rsidRPr="00C515CC" w:rsidRDefault="00951F81" w:rsidP="00C515CC">
      <w:pPr>
        <w:keepNext/>
        <w:ind w:left="567" w:hanging="567"/>
        <w:rPr>
          <w:b/>
        </w:rPr>
      </w:pPr>
      <w:r w:rsidRPr="00C515CC">
        <w:rPr>
          <w:b/>
        </w:rPr>
        <w:t>6.2</w:t>
      </w:r>
      <w:r w:rsidRPr="00C515CC">
        <w:rPr>
          <w:b/>
        </w:rPr>
        <w:tab/>
        <w:t>Inkompatibilitások</w:t>
      </w:r>
    </w:p>
    <w:p w14:paraId="3E16EDA9" w14:textId="77777777" w:rsidR="00951F81" w:rsidRPr="00C515CC" w:rsidRDefault="00951F81" w:rsidP="00C515CC">
      <w:pPr>
        <w:keepNext/>
      </w:pPr>
    </w:p>
    <w:p w14:paraId="10A838AD" w14:textId="77777777" w:rsidR="00951F81" w:rsidRPr="00C515CC" w:rsidRDefault="00951F81" w:rsidP="00C515CC">
      <w:r w:rsidRPr="00C515CC">
        <w:t>Kompatibilitási vizsgálatok hiányában ez a gyógyszer nem keverhető más gyógyszerekkel.</w:t>
      </w:r>
    </w:p>
    <w:p w14:paraId="2092F4E1" w14:textId="77777777" w:rsidR="00951F81" w:rsidRPr="00C515CC" w:rsidRDefault="00951F81" w:rsidP="00C515CC"/>
    <w:p w14:paraId="40C91FC6" w14:textId="77777777" w:rsidR="00951F81" w:rsidRPr="00C515CC" w:rsidRDefault="00951F81" w:rsidP="00C515CC">
      <w:pPr>
        <w:keepNext/>
        <w:ind w:left="567" w:hanging="567"/>
        <w:rPr>
          <w:b/>
        </w:rPr>
      </w:pPr>
      <w:r w:rsidRPr="00C515CC">
        <w:rPr>
          <w:b/>
        </w:rPr>
        <w:t>6.3</w:t>
      </w:r>
      <w:r w:rsidRPr="00C515CC">
        <w:rPr>
          <w:b/>
        </w:rPr>
        <w:tab/>
        <w:t>Felhasználhatósági időtartam</w:t>
      </w:r>
    </w:p>
    <w:p w14:paraId="7ED4C611" w14:textId="77777777" w:rsidR="00951F81" w:rsidRPr="00C515CC" w:rsidRDefault="00951F81" w:rsidP="00C515CC">
      <w:pPr>
        <w:keepNext/>
      </w:pPr>
    </w:p>
    <w:p w14:paraId="43BF83E5" w14:textId="6D006E91" w:rsidR="00951F81" w:rsidRPr="00C515CC" w:rsidRDefault="003023C8" w:rsidP="00C515CC">
      <w:r w:rsidRPr="00C515CC">
        <w:t>2</w:t>
      </w:r>
      <w:r w:rsidR="00951F81" w:rsidRPr="00C515CC">
        <w:t> év.</w:t>
      </w:r>
    </w:p>
    <w:p w14:paraId="2533BCA3" w14:textId="77777777" w:rsidR="00951F81" w:rsidRPr="00C515CC" w:rsidRDefault="00951F81" w:rsidP="00C515CC"/>
    <w:p w14:paraId="4CD887E4" w14:textId="449E9DD9" w:rsidR="00951F81" w:rsidRPr="00C515CC" w:rsidRDefault="00951F81" w:rsidP="00C515CC">
      <w:r w:rsidRPr="00C515CC">
        <w:t xml:space="preserve">Ha kivették a hűtőszekrényből, a </w:t>
      </w:r>
      <w:r w:rsidR="00A96EB8" w:rsidRPr="00C515CC">
        <w:t>Kefdensis</w:t>
      </w:r>
      <w:r w:rsidRPr="00C515CC">
        <w:t xml:space="preserve"> szobahőmérsékleten (legfeljebb 25 °C</w:t>
      </w:r>
      <w:r w:rsidRPr="00C515CC">
        <w:noBreakHyphen/>
        <w:t>on) legfeljebb 30 napig tárolható az eredeti dobozban. 30 napon belül fel kell használni.</w:t>
      </w:r>
    </w:p>
    <w:p w14:paraId="29E20507" w14:textId="77777777" w:rsidR="00951F81" w:rsidRPr="00C515CC" w:rsidRDefault="00951F81" w:rsidP="00C515CC"/>
    <w:p w14:paraId="5EE7B728" w14:textId="77777777" w:rsidR="00951F81" w:rsidRPr="00C515CC" w:rsidRDefault="00951F81" w:rsidP="00C515CC">
      <w:pPr>
        <w:keepNext/>
        <w:ind w:left="567" w:hanging="567"/>
        <w:rPr>
          <w:b/>
        </w:rPr>
      </w:pPr>
      <w:r w:rsidRPr="00C515CC">
        <w:rPr>
          <w:b/>
        </w:rPr>
        <w:t>6.4</w:t>
      </w:r>
      <w:r w:rsidRPr="00C515CC">
        <w:rPr>
          <w:b/>
        </w:rPr>
        <w:tab/>
        <w:t>Különleges tárolási előírások</w:t>
      </w:r>
    </w:p>
    <w:p w14:paraId="7A6A5CA8" w14:textId="77777777" w:rsidR="00951F81" w:rsidRPr="00C515CC" w:rsidRDefault="00951F81" w:rsidP="00C515CC">
      <w:pPr>
        <w:keepNext/>
      </w:pPr>
    </w:p>
    <w:p w14:paraId="5D71A525" w14:textId="77777777" w:rsidR="00951F81" w:rsidRPr="00C515CC" w:rsidRDefault="00951F81" w:rsidP="00C515CC">
      <w:r w:rsidRPr="00C515CC">
        <w:t>Hűtőszekrényben (2 °C–8 °C) tárolandó.</w:t>
      </w:r>
    </w:p>
    <w:p w14:paraId="6BD9700E" w14:textId="77777777" w:rsidR="00951F81" w:rsidRPr="00C515CC" w:rsidRDefault="00951F81" w:rsidP="00C515CC">
      <w:r w:rsidRPr="00C515CC">
        <w:t>Nem fagyasztható!</w:t>
      </w:r>
    </w:p>
    <w:p w14:paraId="0FACAD58" w14:textId="053598A8" w:rsidR="00951F81" w:rsidRPr="00C515CC" w:rsidRDefault="00951F81" w:rsidP="00C515CC">
      <w:r w:rsidRPr="00C515CC">
        <w:t>A fénytől való védelem érdekében az előretöltött fecskendőt tartsa a dobozában.</w:t>
      </w:r>
    </w:p>
    <w:p w14:paraId="6E82BDF1" w14:textId="77777777" w:rsidR="00951F81" w:rsidRPr="00C515CC" w:rsidRDefault="00951F81" w:rsidP="00C515CC"/>
    <w:p w14:paraId="28BDB080" w14:textId="77777777" w:rsidR="00951F81" w:rsidRPr="00C515CC" w:rsidRDefault="00951F81" w:rsidP="00C515CC">
      <w:pPr>
        <w:keepNext/>
        <w:ind w:left="567" w:hanging="567"/>
        <w:rPr>
          <w:b/>
        </w:rPr>
      </w:pPr>
      <w:r w:rsidRPr="00C515CC">
        <w:rPr>
          <w:b/>
        </w:rPr>
        <w:t>6.5</w:t>
      </w:r>
      <w:r w:rsidRPr="00C515CC">
        <w:rPr>
          <w:b/>
        </w:rPr>
        <w:tab/>
        <w:t>Csomagolás típusa és kiszerelése</w:t>
      </w:r>
    </w:p>
    <w:p w14:paraId="1028F259" w14:textId="77777777" w:rsidR="00951F81" w:rsidRPr="00C515CC" w:rsidRDefault="00951F81" w:rsidP="00C515CC">
      <w:pPr>
        <w:keepNext/>
      </w:pPr>
    </w:p>
    <w:p w14:paraId="0DE5FDA0" w14:textId="29BDB9E5" w:rsidR="00951F81" w:rsidRPr="00C515CC" w:rsidRDefault="00951F81" w:rsidP="00C515CC">
      <w:r w:rsidRPr="00C515CC">
        <w:t>Egy milliliter oldat</w:t>
      </w:r>
      <w:r w:rsidR="00184CA5" w:rsidRPr="00C515CC">
        <w:t xml:space="preserve"> egy</w:t>
      </w:r>
      <w:r w:rsidRPr="00C515CC">
        <w:t xml:space="preserve"> egyszer használatos, I</w:t>
      </w:r>
      <w:r w:rsidRPr="00C515CC">
        <w:noBreakHyphen/>
        <w:t xml:space="preserve">es típusú üvegből készült, </w:t>
      </w:r>
      <w:r w:rsidR="00487369" w:rsidRPr="00C515CC">
        <w:t>29 </w:t>
      </w:r>
      <w:r w:rsidRPr="00C515CC">
        <w:t>G</w:t>
      </w:r>
      <w:r w:rsidRPr="00C515CC">
        <w:noBreakHyphen/>
        <w:t xml:space="preserve">s, rozsdamentes acél injekciós tűvel, </w:t>
      </w:r>
      <w:r w:rsidR="00487369" w:rsidRPr="00C515CC">
        <w:t>meghosszabbított ujjtámasszal</w:t>
      </w:r>
      <w:r w:rsidR="00184CA5" w:rsidRPr="00C515CC">
        <w:t>,</w:t>
      </w:r>
      <w:r w:rsidR="00487369" w:rsidRPr="00C515CC">
        <w:t xml:space="preserve"> </w:t>
      </w:r>
      <w:r w:rsidR="00184CA5" w:rsidRPr="00C515CC">
        <w:t xml:space="preserve">tűvédővel és (brómbutil gumi) dugattyúval ellátott </w:t>
      </w:r>
      <w:r w:rsidRPr="00C515CC">
        <w:t>előretöltött fecskendőben.</w:t>
      </w:r>
    </w:p>
    <w:p w14:paraId="4B3FACEE" w14:textId="77777777" w:rsidR="00951F81" w:rsidRPr="00C515CC" w:rsidRDefault="00951F81" w:rsidP="00C515CC"/>
    <w:p w14:paraId="64D9FD13" w14:textId="3F26A6C7" w:rsidR="00951F81" w:rsidRPr="00C515CC" w:rsidRDefault="00C41F95" w:rsidP="00C515CC">
      <w:r w:rsidRPr="00C515CC">
        <w:t>Kiszerelés: e</w:t>
      </w:r>
      <w:r w:rsidR="00951F81" w:rsidRPr="00C515CC">
        <w:t>gy darab előretöltött fecskendő buborékcsomagolásban.</w:t>
      </w:r>
    </w:p>
    <w:p w14:paraId="6C50EC62" w14:textId="77777777" w:rsidR="00951F81" w:rsidRPr="00C515CC" w:rsidRDefault="00951F81" w:rsidP="00C515CC"/>
    <w:p w14:paraId="77895BB1" w14:textId="77777777" w:rsidR="00951F81" w:rsidRPr="00C515CC" w:rsidRDefault="00951F81" w:rsidP="00C515CC">
      <w:pPr>
        <w:keepNext/>
        <w:ind w:left="567" w:hanging="567"/>
        <w:rPr>
          <w:b/>
        </w:rPr>
      </w:pPr>
      <w:r w:rsidRPr="00C515CC">
        <w:rPr>
          <w:b/>
        </w:rPr>
        <w:t>6.6</w:t>
      </w:r>
      <w:r w:rsidRPr="00C515CC">
        <w:rPr>
          <w:b/>
        </w:rPr>
        <w:tab/>
        <w:t>A megsemmisítésre vonatkozó különleges óvintézkedések és egyéb, a készítmény kezelésével kapcsolatos információk</w:t>
      </w:r>
    </w:p>
    <w:p w14:paraId="6B8F8B4F" w14:textId="77777777" w:rsidR="00951F81" w:rsidRPr="00C515CC" w:rsidRDefault="00951F81" w:rsidP="00C515CC">
      <w:pPr>
        <w:keepNext/>
      </w:pPr>
    </w:p>
    <w:p w14:paraId="7CE05932" w14:textId="7E0494A2" w:rsidR="00951F81" w:rsidRPr="00C515CC" w:rsidRDefault="00951F81" w:rsidP="00C515CC">
      <w:pPr>
        <w:numPr>
          <w:ilvl w:val="0"/>
          <w:numId w:val="54"/>
        </w:numPr>
        <w:tabs>
          <w:tab w:val="clear" w:pos="567"/>
        </w:tabs>
        <w:ind w:left="567" w:hanging="567"/>
      </w:pPr>
      <w:r w:rsidRPr="00C515CC">
        <w:t xml:space="preserve">Alkalmazás előtt ellenőrizni kell az oldatot. </w:t>
      </w:r>
      <w:r w:rsidR="00F90CB2" w:rsidRPr="00C515CC">
        <w:t xml:space="preserve">Az oldat nyomokban tartalmazhat áttetsző vagy fehér színű fehérjeszerű részecskéket. </w:t>
      </w:r>
      <w:r w:rsidRPr="00C515CC">
        <w:t xml:space="preserve">Nem szabad beadni az oldatot, ha az </w:t>
      </w:r>
      <w:r w:rsidR="00233AD2">
        <w:t xml:space="preserve">látható </w:t>
      </w:r>
      <w:r w:rsidRPr="00C515CC">
        <w:t>részecskéket tartalmaz, zavaros vagy elszíneződött.</w:t>
      </w:r>
    </w:p>
    <w:p w14:paraId="45CACAF9" w14:textId="77777777" w:rsidR="00951F81" w:rsidRPr="00C515CC" w:rsidRDefault="00951F81" w:rsidP="00C515CC">
      <w:pPr>
        <w:numPr>
          <w:ilvl w:val="0"/>
          <w:numId w:val="54"/>
        </w:numPr>
        <w:tabs>
          <w:tab w:val="clear" w:pos="567"/>
        </w:tabs>
        <w:ind w:left="567" w:hanging="567"/>
      </w:pPr>
      <w:r w:rsidRPr="00C515CC">
        <w:t>Nem szabad felrázni.</w:t>
      </w:r>
    </w:p>
    <w:p w14:paraId="0FD99D62" w14:textId="77777777" w:rsidR="00951F81" w:rsidRPr="00C515CC" w:rsidRDefault="00951F81" w:rsidP="00C515CC">
      <w:pPr>
        <w:numPr>
          <w:ilvl w:val="0"/>
          <w:numId w:val="54"/>
        </w:numPr>
        <w:tabs>
          <w:tab w:val="clear" w:pos="567"/>
        </w:tabs>
        <w:ind w:left="567" w:hanging="567"/>
      </w:pPr>
      <w:r w:rsidRPr="00C515CC">
        <w:t>Az injekció beadásának helyén jelentkező panaszok elkerülése érdekében meg kell várni, amíg az előretöltött fecskendő injekciózás előtt eléri a szobahőmérsékletet (legfeljebb 25 °C), és az injekciót lassan kell beadni.</w:t>
      </w:r>
    </w:p>
    <w:p w14:paraId="2A7773CC" w14:textId="77777777" w:rsidR="00951F81" w:rsidRPr="00C515CC" w:rsidRDefault="00951F81" w:rsidP="00C515CC">
      <w:pPr>
        <w:numPr>
          <w:ilvl w:val="0"/>
          <w:numId w:val="54"/>
        </w:numPr>
        <w:tabs>
          <w:tab w:val="clear" w:pos="567"/>
        </w:tabs>
        <w:ind w:left="567" w:hanging="567"/>
      </w:pPr>
      <w:r w:rsidRPr="00C515CC">
        <w:t>Az előretöltött fecskendő teljes tartalmát be kell adni.</w:t>
      </w:r>
    </w:p>
    <w:p w14:paraId="43A21F9E" w14:textId="77777777" w:rsidR="00951F81" w:rsidRPr="00C515CC" w:rsidRDefault="00951F81" w:rsidP="00C515CC"/>
    <w:p w14:paraId="3DA3C751" w14:textId="77777777" w:rsidR="00951F81" w:rsidRPr="00C515CC" w:rsidRDefault="00951F81" w:rsidP="00C515CC">
      <w:r w:rsidRPr="00C515CC">
        <w:t>Bármilyen fel nem használt gyógyszer, illetve hulladékanyag megsemmisítését a gyógyszerekre vonatkozó előírások szerint kell végrehajtani.</w:t>
      </w:r>
    </w:p>
    <w:p w14:paraId="4F223CE0" w14:textId="77777777" w:rsidR="00951F81" w:rsidRPr="00C515CC" w:rsidRDefault="00951F81" w:rsidP="00C515CC"/>
    <w:p w14:paraId="6F863E08" w14:textId="77777777" w:rsidR="00951F81" w:rsidRPr="00C515CC" w:rsidRDefault="00951F81" w:rsidP="00C515CC"/>
    <w:p w14:paraId="0C069EE3" w14:textId="77777777" w:rsidR="00951F81" w:rsidRPr="00C515CC" w:rsidRDefault="00951F81" w:rsidP="00C515CC">
      <w:pPr>
        <w:keepNext/>
        <w:ind w:left="567" w:hanging="567"/>
        <w:rPr>
          <w:b/>
        </w:rPr>
      </w:pPr>
      <w:r w:rsidRPr="00C515CC">
        <w:rPr>
          <w:b/>
        </w:rPr>
        <w:t>7.</w:t>
      </w:r>
      <w:r w:rsidRPr="00C515CC">
        <w:rPr>
          <w:b/>
        </w:rPr>
        <w:tab/>
        <w:t>A FORGALOMBA HOZATALI ENGEDÉLY JOGOSULTJA</w:t>
      </w:r>
    </w:p>
    <w:p w14:paraId="750A262E" w14:textId="77777777" w:rsidR="00951F81" w:rsidRPr="00C515CC" w:rsidRDefault="00951F81" w:rsidP="00C515CC">
      <w:pPr>
        <w:keepNext/>
      </w:pPr>
    </w:p>
    <w:p w14:paraId="2E0CE9F0" w14:textId="77777777" w:rsidR="00F90CB2" w:rsidRPr="00C515CC" w:rsidRDefault="00F90CB2" w:rsidP="00C515CC">
      <w:pPr>
        <w:keepNext/>
      </w:pPr>
      <w:r w:rsidRPr="00C515CC">
        <w:t>STADA Arzneimittel AG</w:t>
      </w:r>
    </w:p>
    <w:p w14:paraId="4077653E" w14:textId="77777777" w:rsidR="00F90CB2" w:rsidRPr="00C515CC" w:rsidRDefault="00F90CB2" w:rsidP="00C515CC">
      <w:pPr>
        <w:keepNext/>
      </w:pPr>
      <w:r w:rsidRPr="00C515CC">
        <w:t>Stadastrasse 2-18</w:t>
      </w:r>
    </w:p>
    <w:p w14:paraId="3F73D92F" w14:textId="48A46924" w:rsidR="00F90CB2" w:rsidRPr="00C515CC" w:rsidRDefault="00F90CB2" w:rsidP="00C515CC">
      <w:pPr>
        <w:keepNext/>
      </w:pPr>
      <w:r w:rsidRPr="00C515CC">
        <w:t>61118 Bad Vilbel</w:t>
      </w:r>
    </w:p>
    <w:p w14:paraId="5A5FBBDC" w14:textId="77777777" w:rsidR="00F90CB2" w:rsidRPr="00C515CC" w:rsidRDefault="00F90CB2" w:rsidP="00C515CC">
      <w:pPr>
        <w:keepNext/>
      </w:pPr>
      <w:r w:rsidRPr="00C515CC">
        <w:t>Németország</w:t>
      </w:r>
    </w:p>
    <w:p w14:paraId="4C7568E7" w14:textId="77777777" w:rsidR="00951F81" w:rsidRPr="00C515CC" w:rsidRDefault="00951F81" w:rsidP="00C515CC"/>
    <w:p w14:paraId="4F4635A4" w14:textId="77777777" w:rsidR="00951F81" w:rsidRPr="00C515CC" w:rsidRDefault="00951F81" w:rsidP="00C515CC"/>
    <w:p w14:paraId="5384B89B" w14:textId="77777777" w:rsidR="00951F81" w:rsidRPr="00C515CC" w:rsidRDefault="00951F81" w:rsidP="00C515CC">
      <w:pPr>
        <w:keepNext/>
        <w:ind w:left="567" w:hanging="567"/>
        <w:rPr>
          <w:b/>
        </w:rPr>
      </w:pPr>
      <w:r w:rsidRPr="00C515CC">
        <w:rPr>
          <w:b/>
        </w:rPr>
        <w:t>8.</w:t>
      </w:r>
      <w:r w:rsidRPr="00C515CC">
        <w:rPr>
          <w:b/>
        </w:rPr>
        <w:tab/>
        <w:t>A FORGALOMBA HOZATALI ENGEDÉLY SZÁMA(I)</w:t>
      </w:r>
    </w:p>
    <w:p w14:paraId="25AAFEF5" w14:textId="77777777" w:rsidR="00951F81" w:rsidRPr="00C515CC" w:rsidRDefault="00951F81" w:rsidP="00C515CC">
      <w:pPr>
        <w:keepNext/>
      </w:pPr>
    </w:p>
    <w:p w14:paraId="6A3C7AFD" w14:textId="77777777" w:rsidR="005B20A3" w:rsidRDefault="005B20A3" w:rsidP="005B20A3">
      <w:r>
        <w:t>EU/</w:t>
      </w:r>
      <w:r w:rsidRPr="004644DF">
        <w:t>1/25/1980/001</w:t>
      </w:r>
    </w:p>
    <w:p w14:paraId="4D558D57" w14:textId="77777777" w:rsidR="00951F81" w:rsidRPr="00C515CC" w:rsidRDefault="00951F81" w:rsidP="00C515CC">
      <w:pPr>
        <w:tabs>
          <w:tab w:val="clear" w:pos="567"/>
        </w:tabs>
      </w:pPr>
    </w:p>
    <w:p w14:paraId="661C15B3" w14:textId="77777777" w:rsidR="00951F81" w:rsidRPr="00C515CC" w:rsidRDefault="00951F81" w:rsidP="00C515CC">
      <w:pPr>
        <w:tabs>
          <w:tab w:val="clear" w:pos="567"/>
        </w:tabs>
      </w:pPr>
    </w:p>
    <w:p w14:paraId="5E795EB9" w14:textId="77777777" w:rsidR="00951F81" w:rsidRPr="00C515CC" w:rsidRDefault="00951F81" w:rsidP="00C515CC">
      <w:pPr>
        <w:keepNext/>
        <w:ind w:left="567" w:hanging="567"/>
        <w:rPr>
          <w:b/>
        </w:rPr>
      </w:pPr>
      <w:r w:rsidRPr="00C515CC">
        <w:rPr>
          <w:b/>
        </w:rPr>
        <w:t>9.</w:t>
      </w:r>
      <w:r w:rsidRPr="00C515CC">
        <w:rPr>
          <w:b/>
        </w:rPr>
        <w:tab/>
        <w:t>A FORGALOMBA HOZATALI ENGEDÉLY ELSŐ KIADÁSÁNAK/ MEGÚJÍTÁSÁNAK DÁTUMA</w:t>
      </w:r>
    </w:p>
    <w:p w14:paraId="7133D238" w14:textId="77777777" w:rsidR="00951F81" w:rsidRPr="00C515CC" w:rsidRDefault="00951F81" w:rsidP="00C515CC">
      <w:pPr>
        <w:keepNext/>
      </w:pPr>
    </w:p>
    <w:p w14:paraId="6C14A793" w14:textId="5F2A0F08" w:rsidR="00951F81" w:rsidRPr="00C515CC" w:rsidRDefault="00951F81" w:rsidP="00C515CC">
      <w:pPr>
        <w:keepNext/>
        <w:tabs>
          <w:tab w:val="clear" w:pos="567"/>
        </w:tabs>
      </w:pPr>
      <w:r w:rsidRPr="00C515CC">
        <w:t>A forgalomba hozatali engedély első kiadásának dátuma:</w:t>
      </w:r>
      <w:ins w:id="2" w:author="Author" w:date="2026-02-17T11:11:00Z" w16du:dateUtc="2026-02-17T10:11:00Z">
        <w:r w:rsidR="001445B0">
          <w:t xml:space="preserve"> </w:t>
        </w:r>
      </w:ins>
      <w:ins w:id="3" w:author="Author" w:date="2026-02-17T11:12:00Z" w16du:dateUtc="2026-02-17T10:12:00Z">
        <w:r w:rsidR="001445B0" w:rsidRPr="006859DB">
          <w:t>2025. november 17.</w:t>
        </w:r>
      </w:ins>
    </w:p>
    <w:p w14:paraId="5DD43CC7" w14:textId="77777777" w:rsidR="00951F81" w:rsidRPr="00C515CC" w:rsidRDefault="00951F81" w:rsidP="00C515CC">
      <w:pPr>
        <w:tabs>
          <w:tab w:val="clear" w:pos="567"/>
        </w:tabs>
      </w:pPr>
    </w:p>
    <w:p w14:paraId="322C9535" w14:textId="77777777" w:rsidR="00951F81" w:rsidRPr="00C515CC" w:rsidRDefault="00951F81" w:rsidP="00C515CC">
      <w:pPr>
        <w:tabs>
          <w:tab w:val="clear" w:pos="567"/>
        </w:tabs>
      </w:pPr>
    </w:p>
    <w:p w14:paraId="7364CFD8" w14:textId="77777777" w:rsidR="00951F81" w:rsidRPr="00C515CC" w:rsidRDefault="00951F81" w:rsidP="00C515CC">
      <w:pPr>
        <w:keepNext/>
        <w:ind w:left="567" w:hanging="567"/>
        <w:rPr>
          <w:b/>
        </w:rPr>
      </w:pPr>
      <w:r w:rsidRPr="00C515CC">
        <w:rPr>
          <w:b/>
        </w:rPr>
        <w:t>10.</w:t>
      </w:r>
      <w:r w:rsidRPr="00C515CC">
        <w:rPr>
          <w:b/>
        </w:rPr>
        <w:tab/>
        <w:t>A SZÖVEG ELLENŐRZÉSÉNEK DÁTUMA</w:t>
      </w:r>
    </w:p>
    <w:p w14:paraId="7D867725" w14:textId="77777777" w:rsidR="00951F81" w:rsidRPr="00C515CC" w:rsidRDefault="00951F81" w:rsidP="00C515CC">
      <w:pPr>
        <w:keepNext/>
      </w:pPr>
    </w:p>
    <w:p w14:paraId="2A95B304" w14:textId="77777777" w:rsidR="00951F81" w:rsidRPr="00C515CC" w:rsidRDefault="00951F81" w:rsidP="00C515CC">
      <w:pPr>
        <w:keepNext/>
        <w:tabs>
          <w:tab w:val="clear" w:pos="567"/>
        </w:tabs>
      </w:pPr>
    </w:p>
    <w:p w14:paraId="4C015B92" w14:textId="77777777" w:rsidR="00951F81" w:rsidRPr="00C515CC" w:rsidRDefault="00951F81" w:rsidP="00C515CC">
      <w:pPr>
        <w:keepNext/>
        <w:tabs>
          <w:tab w:val="clear" w:pos="567"/>
        </w:tabs>
      </w:pPr>
    </w:p>
    <w:p w14:paraId="6B22D5F0" w14:textId="3BA69419" w:rsidR="00951F81" w:rsidRPr="00C515CC" w:rsidRDefault="00951F81" w:rsidP="00C515CC">
      <w:pPr>
        <w:keepNext/>
        <w:tabs>
          <w:tab w:val="clear" w:pos="567"/>
        </w:tabs>
      </w:pPr>
      <w:r w:rsidRPr="00C515CC">
        <w:t>A gyógyszerről részletes információ az Európai Gyógyszerügynökség internetes honlapján (</w:t>
      </w:r>
      <w:hyperlink r:id="rId16" w:history="1">
        <w:r w:rsidR="004308B6" w:rsidRPr="00C515CC">
          <w:rPr>
            <w:rStyle w:val="Hyperlink"/>
          </w:rPr>
          <w:t>https://www.ema.europa.eu</w:t>
        </w:r>
      </w:hyperlink>
      <w:r w:rsidRPr="00C515CC">
        <w:t>) található.</w:t>
      </w:r>
    </w:p>
    <w:p w14:paraId="32765997" w14:textId="77777777" w:rsidR="00951F81" w:rsidRPr="00C515CC" w:rsidRDefault="00951F81" w:rsidP="00C515CC">
      <w:pPr>
        <w:tabs>
          <w:tab w:val="clear" w:pos="567"/>
        </w:tabs>
      </w:pPr>
    </w:p>
    <w:p w14:paraId="0157C403" w14:textId="77777777" w:rsidR="00951F81" w:rsidRPr="00C515CC" w:rsidRDefault="00951F81" w:rsidP="00C515CC">
      <w:pPr>
        <w:jc w:val="center"/>
      </w:pPr>
      <w:r w:rsidRPr="00C515CC">
        <w:br w:type="page"/>
      </w:r>
    </w:p>
    <w:p w14:paraId="1F074583" w14:textId="77777777" w:rsidR="00951F81" w:rsidRPr="00C515CC" w:rsidRDefault="00951F81" w:rsidP="00C515CC">
      <w:pPr>
        <w:jc w:val="center"/>
      </w:pPr>
    </w:p>
    <w:p w14:paraId="750282B0" w14:textId="77777777" w:rsidR="00951F81" w:rsidRPr="00C515CC" w:rsidRDefault="00951F81" w:rsidP="00C515CC">
      <w:pPr>
        <w:jc w:val="center"/>
      </w:pPr>
    </w:p>
    <w:p w14:paraId="7C5C85F1" w14:textId="77777777" w:rsidR="00951F81" w:rsidRPr="00C515CC" w:rsidRDefault="00951F81" w:rsidP="00C515CC">
      <w:pPr>
        <w:jc w:val="center"/>
      </w:pPr>
    </w:p>
    <w:p w14:paraId="048B7BA5" w14:textId="77777777" w:rsidR="00951F81" w:rsidRPr="00C515CC" w:rsidRDefault="00951F81" w:rsidP="00C515CC">
      <w:pPr>
        <w:jc w:val="center"/>
      </w:pPr>
    </w:p>
    <w:p w14:paraId="76131D9D" w14:textId="77777777" w:rsidR="00951F81" w:rsidRPr="00C515CC" w:rsidRDefault="00951F81" w:rsidP="00C515CC">
      <w:pPr>
        <w:jc w:val="center"/>
      </w:pPr>
    </w:p>
    <w:p w14:paraId="56640479" w14:textId="77777777" w:rsidR="00951F81" w:rsidRPr="00C515CC" w:rsidRDefault="00951F81" w:rsidP="00C515CC">
      <w:pPr>
        <w:jc w:val="center"/>
      </w:pPr>
    </w:p>
    <w:p w14:paraId="560C7A49" w14:textId="77777777" w:rsidR="00951F81" w:rsidRPr="00C515CC" w:rsidRDefault="00951F81" w:rsidP="00C515CC">
      <w:pPr>
        <w:jc w:val="center"/>
      </w:pPr>
    </w:p>
    <w:p w14:paraId="37BC24AD" w14:textId="77777777" w:rsidR="00951F81" w:rsidRPr="00C515CC" w:rsidRDefault="00951F81" w:rsidP="00C515CC">
      <w:pPr>
        <w:jc w:val="center"/>
      </w:pPr>
    </w:p>
    <w:p w14:paraId="47D7D8BD" w14:textId="77777777" w:rsidR="00951F81" w:rsidRPr="00C515CC" w:rsidRDefault="00951F81" w:rsidP="00C515CC">
      <w:pPr>
        <w:jc w:val="center"/>
      </w:pPr>
    </w:p>
    <w:p w14:paraId="3EA2A6F9" w14:textId="77777777" w:rsidR="00951F81" w:rsidRPr="00C515CC" w:rsidRDefault="00951F81" w:rsidP="00C515CC">
      <w:pPr>
        <w:jc w:val="center"/>
      </w:pPr>
    </w:p>
    <w:p w14:paraId="00EC6FE9" w14:textId="77777777" w:rsidR="00951F81" w:rsidRPr="00C515CC" w:rsidRDefault="00951F81" w:rsidP="00C515CC">
      <w:pPr>
        <w:jc w:val="center"/>
      </w:pPr>
    </w:p>
    <w:p w14:paraId="098DDBC5" w14:textId="77777777" w:rsidR="00951F81" w:rsidRPr="00C515CC" w:rsidRDefault="00951F81" w:rsidP="00C515CC">
      <w:pPr>
        <w:jc w:val="center"/>
      </w:pPr>
    </w:p>
    <w:p w14:paraId="2234C8CB" w14:textId="77777777" w:rsidR="00951F81" w:rsidRPr="00C515CC" w:rsidRDefault="00951F81" w:rsidP="00C515CC">
      <w:pPr>
        <w:jc w:val="center"/>
      </w:pPr>
    </w:p>
    <w:p w14:paraId="5E07E9E0" w14:textId="77777777" w:rsidR="00951F81" w:rsidRPr="00C515CC" w:rsidRDefault="00951F81" w:rsidP="00C515CC">
      <w:pPr>
        <w:jc w:val="center"/>
      </w:pPr>
    </w:p>
    <w:p w14:paraId="70A41B90" w14:textId="77777777" w:rsidR="00951F81" w:rsidRPr="00C515CC" w:rsidRDefault="00951F81" w:rsidP="00C515CC">
      <w:pPr>
        <w:jc w:val="center"/>
      </w:pPr>
    </w:p>
    <w:p w14:paraId="62C25C18" w14:textId="77777777" w:rsidR="00951F81" w:rsidRPr="00C515CC" w:rsidRDefault="00951F81" w:rsidP="00C515CC">
      <w:pPr>
        <w:jc w:val="center"/>
      </w:pPr>
    </w:p>
    <w:p w14:paraId="5553FD6D" w14:textId="77777777" w:rsidR="00951F81" w:rsidRPr="00C515CC" w:rsidRDefault="00951F81" w:rsidP="00C515CC">
      <w:pPr>
        <w:jc w:val="center"/>
      </w:pPr>
    </w:p>
    <w:p w14:paraId="122E3058" w14:textId="77777777" w:rsidR="00951F81" w:rsidRPr="00C515CC" w:rsidRDefault="00951F81" w:rsidP="00C515CC">
      <w:pPr>
        <w:jc w:val="center"/>
      </w:pPr>
    </w:p>
    <w:p w14:paraId="1101491C" w14:textId="77777777" w:rsidR="00951F81" w:rsidRPr="00C515CC" w:rsidRDefault="00951F81" w:rsidP="00C515CC">
      <w:pPr>
        <w:jc w:val="center"/>
      </w:pPr>
    </w:p>
    <w:p w14:paraId="795E5FEE" w14:textId="77777777" w:rsidR="00951F81" w:rsidRPr="00C515CC" w:rsidRDefault="00951F81" w:rsidP="00C515CC">
      <w:pPr>
        <w:jc w:val="center"/>
      </w:pPr>
    </w:p>
    <w:p w14:paraId="34932679" w14:textId="77777777" w:rsidR="00951F81" w:rsidRPr="00C515CC" w:rsidRDefault="00951F81" w:rsidP="00C515CC">
      <w:pPr>
        <w:jc w:val="center"/>
      </w:pPr>
    </w:p>
    <w:p w14:paraId="0C37B0EC" w14:textId="77777777" w:rsidR="00951F81" w:rsidRPr="00C515CC" w:rsidRDefault="00951F81" w:rsidP="00C515CC">
      <w:pPr>
        <w:jc w:val="center"/>
      </w:pPr>
    </w:p>
    <w:p w14:paraId="4F8B13B7" w14:textId="77777777" w:rsidR="00951F81" w:rsidRPr="00C515CC" w:rsidRDefault="00951F81" w:rsidP="00C515CC">
      <w:pPr>
        <w:jc w:val="center"/>
        <w:rPr>
          <w:b/>
          <w:bCs/>
        </w:rPr>
      </w:pPr>
      <w:r w:rsidRPr="00C515CC">
        <w:rPr>
          <w:b/>
        </w:rPr>
        <w:t>II. MELLÉKLET</w:t>
      </w:r>
    </w:p>
    <w:p w14:paraId="25804659" w14:textId="77777777" w:rsidR="00951F81" w:rsidRPr="00C515CC" w:rsidRDefault="00951F81" w:rsidP="00C515CC">
      <w:pPr>
        <w:jc w:val="center"/>
      </w:pPr>
    </w:p>
    <w:p w14:paraId="45178944" w14:textId="6F4D0B9B" w:rsidR="00951F81" w:rsidRPr="00C515CC" w:rsidRDefault="00951F81" w:rsidP="00C515CC">
      <w:pPr>
        <w:ind w:left="1701" w:right="1418" w:hanging="709"/>
        <w:rPr>
          <w:b/>
        </w:rPr>
      </w:pPr>
      <w:r w:rsidRPr="00C515CC">
        <w:rPr>
          <w:b/>
        </w:rPr>
        <w:t>A.</w:t>
      </w:r>
      <w:r w:rsidRPr="00C515CC">
        <w:rPr>
          <w:b/>
        </w:rPr>
        <w:tab/>
        <w:t>A BIOLÓGIAI EREDETŰ HATÓANYAG GYÁRTÓ</w:t>
      </w:r>
      <w:r w:rsidR="00D15FBC" w:rsidRPr="00C515CC">
        <w:rPr>
          <w:b/>
        </w:rPr>
        <w:t>JA</w:t>
      </w:r>
      <w:r w:rsidRPr="00C515CC">
        <w:rPr>
          <w:b/>
        </w:rPr>
        <w:t xml:space="preserve"> ÉS A GYÁRTÁSI TÉTELEK VÉGFELSZABADÍTÁSÁÉRT FELELŐS GYÁRTÓ</w:t>
      </w:r>
    </w:p>
    <w:p w14:paraId="32F9D3BD" w14:textId="77777777" w:rsidR="00951F81" w:rsidRPr="00C515CC" w:rsidRDefault="00951F81" w:rsidP="00C515CC">
      <w:pPr>
        <w:jc w:val="center"/>
      </w:pPr>
    </w:p>
    <w:p w14:paraId="353CD1ED" w14:textId="79C32F05" w:rsidR="00951F81" w:rsidRPr="00C515CC" w:rsidRDefault="00951F81" w:rsidP="00C515CC">
      <w:pPr>
        <w:ind w:left="1701" w:right="1418" w:hanging="709"/>
        <w:rPr>
          <w:b/>
        </w:rPr>
      </w:pPr>
      <w:r w:rsidRPr="00C515CC">
        <w:rPr>
          <w:b/>
        </w:rPr>
        <w:t>B.</w:t>
      </w:r>
      <w:r w:rsidRPr="00C515CC">
        <w:rPr>
          <w:b/>
        </w:rPr>
        <w:tab/>
      </w:r>
      <w:r w:rsidR="002B1BE3" w:rsidRPr="00071EBC">
        <w:rPr>
          <w:b/>
          <w:bCs/>
        </w:rPr>
        <w:t>A KIADÁSRA ÉS A FELHASZNÁLÁSRA VONATKOZÓ FELTÉTELEK VAGY KORLÁTOZÁSOK</w:t>
      </w:r>
    </w:p>
    <w:p w14:paraId="794E49E2" w14:textId="77777777" w:rsidR="00951F81" w:rsidRPr="00C515CC" w:rsidRDefault="00951F81" w:rsidP="00C515CC">
      <w:pPr>
        <w:jc w:val="center"/>
      </w:pPr>
    </w:p>
    <w:p w14:paraId="4B756CAB" w14:textId="3AD062FC" w:rsidR="00951F81" w:rsidRPr="00C515CC" w:rsidRDefault="00951F81" w:rsidP="00C515CC">
      <w:pPr>
        <w:ind w:left="1701" w:right="1418" w:hanging="709"/>
        <w:rPr>
          <w:b/>
        </w:rPr>
      </w:pPr>
      <w:r w:rsidRPr="00C515CC">
        <w:rPr>
          <w:b/>
        </w:rPr>
        <w:t>C.</w:t>
      </w:r>
      <w:r w:rsidRPr="00C515CC">
        <w:rPr>
          <w:b/>
        </w:rPr>
        <w:tab/>
        <w:t>A FORGALOMBA HOZATALI ENGEDÉLY</w:t>
      </w:r>
      <w:r w:rsidR="002B1BE3">
        <w:rPr>
          <w:b/>
        </w:rPr>
        <w:t>BEN</w:t>
      </w:r>
      <w:r w:rsidRPr="00C515CC">
        <w:rPr>
          <w:b/>
        </w:rPr>
        <w:t xml:space="preserve"> </w:t>
      </w:r>
      <w:r w:rsidR="002B1BE3">
        <w:rPr>
          <w:b/>
        </w:rPr>
        <w:t xml:space="preserve">FOGLALT </w:t>
      </w:r>
      <w:r w:rsidRPr="00C515CC">
        <w:rPr>
          <w:b/>
        </w:rPr>
        <w:t>EGYÉB FELTÉTELE</w:t>
      </w:r>
      <w:r w:rsidR="002B1BE3">
        <w:rPr>
          <w:b/>
        </w:rPr>
        <w:t>K</w:t>
      </w:r>
      <w:r w:rsidRPr="00C515CC">
        <w:rPr>
          <w:b/>
        </w:rPr>
        <w:t xml:space="preserve"> ÉS KÖVETELMÉNYE</w:t>
      </w:r>
      <w:r w:rsidR="002B1BE3">
        <w:rPr>
          <w:b/>
        </w:rPr>
        <w:t>K</w:t>
      </w:r>
    </w:p>
    <w:p w14:paraId="72D6C8D7" w14:textId="77777777" w:rsidR="00951F81" w:rsidRPr="00C515CC" w:rsidRDefault="00951F81" w:rsidP="00C515CC">
      <w:pPr>
        <w:jc w:val="center"/>
      </w:pPr>
    </w:p>
    <w:p w14:paraId="34E3CF73" w14:textId="2056EA15" w:rsidR="00951F81" w:rsidRPr="00C515CC" w:rsidRDefault="00951F81" w:rsidP="00C515CC">
      <w:pPr>
        <w:ind w:left="1701" w:right="1418" w:hanging="709"/>
        <w:rPr>
          <w:b/>
        </w:rPr>
      </w:pPr>
      <w:r w:rsidRPr="00C515CC">
        <w:rPr>
          <w:b/>
        </w:rPr>
        <w:t>D.</w:t>
      </w:r>
      <w:r w:rsidRPr="00C515CC">
        <w:rPr>
          <w:b/>
        </w:rPr>
        <w:tab/>
        <w:t>A GYÓGYSZER BIZTONSÁGOS ÉS HATÉKONY ALKALMAZÁSÁRA VONATKOZÓ</w:t>
      </w:r>
      <w:r w:rsidR="002B1BE3">
        <w:rPr>
          <w:b/>
        </w:rPr>
        <w:t xml:space="preserve"> </w:t>
      </w:r>
      <w:r w:rsidR="002B1BE3" w:rsidRPr="00071EBC">
        <w:rPr>
          <w:b/>
          <w:bCs/>
        </w:rPr>
        <w:t>FELTÉTELEK VAGY KORLÁTOZÁSOK</w:t>
      </w:r>
    </w:p>
    <w:p w14:paraId="229A459F" w14:textId="77777777" w:rsidR="00951F81" w:rsidRPr="00C515CC" w:rsidRDefault="00951F81" w:rsidP="00C515CC">
      <w:pPr>
        <w:jc w:val="center"/>
      </w:pPr>
    </w:p>
    <w:p w14:paraId="136DAC3F" w14:textId="77777777" w:rsidR="00951F81" w:rsidRPr="00C515CC" w:rsidRDefault="00951F81" w:rsidP="00C515CC">
      <w:pPr>
        <w:jc w:val="center"/>
      </w:pPr>
    </w:p>
    <w:p w14:paraId="7175AB4D" w14:textId="093A3959" w:rsidR="00951F81" w:rsidRPr="00C515CC" w:rsidRDefault="00951F81" w:rsidP="00390D1C">
      <w:pPr>
        <w:pStyle w:val="TitleB"/>
        <w:outlineLvl w:val="0"/>
      </w:pPr>
      <w:r w:rsidRPr="00C515CC">
        <w:br w:type="page"/>
        <w:t>A.</w:t>
      </w:r>
      <w:r w:rsidRPr="00C515CC">
        <w:tab/>
        <w:t>A BIOLÓGIAI EREDETŰ HATÓANYAG GYÁRTÓ</w:t>
      </w:r>
      <w:r w:rsidR="00D15FBC" w:rsidRPr="00C515CC">
        <w:t>JA</w:t>
      </w:r>
      <w:r w:rsidRPr="00C515CC">
        <w:t xml:space="preserve"> ÉS A GYÁRTÁSI TÉTELEK VÉGFELSZABADÍTÁSÁÉRT FELELŐS GYÁRTÓ</w:t>
      </w:r>
    </w:p>
    <w:p w14:paraId="4A398E93" w14:textId="77777777" w:rsidR="00951F81" w:rsidRPr="00C515CC" w:rsidRDefault="00951F81" w:rsidP="00C515CC">
      <w:pPr>
        <w:keepNext/>
      </w:pPr>
    </w:p>
    <w:p w14:paraId="1D1F82EF" w14:textId="19B6B18C" w:rsidR="00951F81" w:rsidRPr="00C515CC" w:rsidRDefault="00951F81" w:rsidP="00C515CC">
      <w:pPr>
        <w:keepNext/>
        <w:rPr>
          <w:u w:val="single"/>
        </w:rPr>
      </w:pPr>
      <w:r w:rsidRPr="00C515CC">
        <w:rPr>
          <w:u w:val="single"/>
        </w:rPr>
        <w:t xml:space="preserve">A biológiai eredetű hatóanyag </w:t>
      </w:r>
      <w:r w:rsidR="00D15FBC" w:rsidRPr="00C515CC">
        <w:rPr>
          <w:u w:val="single"/>
        </w:rPr>
        <w:t xml:space="preserve">gyártójának </w:t>
      </w:r>
      <w:r w:rsidRPr="00C515CC">
        <w:rPr>
          <w:u w:val="single"/>
        </w:rPr>
        <w:t>neve és címe</w:t>
      </w:r>
    </w:p>
    <w:p w14:paraId="5CEEC305" w14:textId="77777777" w:rsidR="00951F81" w:rsidRPr="00C515CC" w:rsidRDefault="00951F81" w:rsidP="00C515CC">
      <w:pPr>
        <w:keepNext/>
      </w:pPr>
    </w:p>
    <w:p w14:paraId="37FECD4F" w14:textId="77777777" w:rsidR="00D15FBC" w:rsidRPr="00633DB8" w:rsidRDefault="00D15FBC" w:rsidP="00C515CC">
      <w:pPr>
        <w:tabs>
          <w:tab w:val="clear" w:pos="567"/>
        </w:tabs>
        <w:rPr>
          <w:rFonts w:eastAsia="Calibri" w:cs="Arial"/>
        </w:rPr>
      </w:pPr>
      <w:r w:rsidRPr="00633DB8">
        <w:rPr>
          <w:rFonts w:eastAsia="Calibri" w:cs="Arial"/>
        </w:rPr>
        <w:t>Alvotech hf</w:t>
      </w:r>
    </w:p>
    <w:p w14:paraId="45171EAC" w14:textId="77777777" w:rsidR="00D15FBC" w:rsidRPr="00633DB8" w:rsidRDefault="00D15FBC" w:rsidP="00C515CC">
      <w:pPr>
        <w:tabs>
          <w:tab w:val="clear" w:pos="567"/>
        </w:tabs>
        <w:rPr>
          <w:rFonts w:eastAsia="Calibri" w:cs="Arial"/>
        </w:rPr>
      </w:pPr>
      <w:r w:rsidRPr="00633DB8">
        <w:rPr>
          <w:rFonts w:eastAsia="Calibri" w:cs="Arial"/>
        </w:rPr>
        <w:t>Sæmundargata 15-19</w:t>
      </w:r>
    </w:p>
    <w:p w14:paraId="2300978F" w14:textId="77777777" w:rsidR="00D15FBC" w:rsidRPr="00633DB8" w:rsidRDefault="00D15FBC" w:rsidP="00C515CC">
      <w:pPr>
        <w:tabs>
          <w:tab w:val="clear" w:pos="567"/>
        </w:tabs>
        <w:rPr>
          <w:rFonts w:eastAsia="Calibri" w:cs="Arial"/>
        </w:rPr>
      </w:pPr>
      <w:r w:rsidRPr="00633DB8">
        <w:rPr>
          <w:rFonts w:eastAsia="Calibri" w:cs="Arial"/>
        </w:rPr>
        <w:t>102 Reykjavik</w:t>
      </w:r>
    </w:p>
    <w:p w14:paraId="68C31214" w14:textId="44174792" w:rsidR="00D15FBC" w:rsidRPr="00633DB8" w:rsidRDefault="00D15FBC" w:rsidP="00C515CC">
      <w:pPr>
        <w:tabs>
          <w:tab w:val="clear" w:pos="567"/>
        </w:tabs>
        <w:rPr>
          <w:rFonts w:eastAsia="Calibri" w:cs="Arial"/>
        </w:rPr>
      </w:pPr>
      <w:r w:rsidRPr="00633DB8">
        <w:rPr>
          <w:rFonts w:eastAsia="Calibri" w:cs="Arial"/>
        </w:rPr>
        <w:t>Izland</w:t>
      </w:r>
    </w:p>
    <w:p w14:paraId="5EF83CC4" w14:textId="77777777" w:rsidR="00951F81" w:rsidRPr="00C515CC" w:rsidRDefault="00951F81" w:rsidP="00C515CC">
      <w:pPr>
        <w:tabs>
          <w:tab w:val="clear" w:pos="567"/>
        </w:tabs>
      </w:pPr>
    </w:p>
    <w:p w14:paraId="7440014B" w14:textId="4CAA39C1" w:rsidR="00951F81" w:rsidRPr="00C515CC" w:rsidRDefault="00951F81" w:rsidP="00C515CC">
      <w:pPr>
        <w:keepNext/>
        <w:rPr>
          <w:u w:val="single"/>
        </w:rPr>
      </w:pPr>
      <w:r w:rsidRPr="00C515CC">
        <w:rPr>
          <w:u w:val="single"/>
        </w:rPr>
        <w:t>A gyártási tételek végfelszabadításáért felelős gyártó neve és címe</w:t>
      </w:r>
    </w:p>
    <w:p w14:paraId="567E8F22" w14:textId="77777777" w:rsidR="00951F81" w:rsidRPr="00C515CC" w:rsidRDefault="00951F81" w:rsidP="00C515CC">
      <w:pPr>
        <w:keepNext/>
      </w:pPr>
    </w:p>
    <w:p w14:paraId="691A3DEC" w14:textId="77777777" w:rsidR="00D15FBC" w:rsidRPr="00C515CC" w:rsidRDefault="00D15FBC" w:rsidP="00C515CC">
      <w:pPr>
        <w:tabs>
          <w:tab w:val="clear" w:pos="567"/>
        </w:tabs>
        <w:rPr>
          <w:rFonts w:eastAsia="Calibri" w:cs="Arial"/>
        </w:rPr>
      </w:pPr>
      <w:r w:rsidRPr="00C515CC">
        <w:rPr>
          <w:rFonts w:eastAsia="Calibri" w:cs="Arial"/>
        </w:rPr>
        <w:t>Alvotech hf</w:t>
      </w:r>
    </w:p>
    <w:p w14:paraId="2EC66A9D" w14:textId="77777777" w:rsidR="00D15FBC" w:rsidRPr="00C515CC" w:rsidRDefault="00D15FBC" w:rsidP="00C515CC">
      <w:pPr>
        <w:tabs>
          <w:tab w:val="clear" w:pos="567"/>
        </w:tabs>
        <w:rPr>
          <w:rFonts w:eastAsia="Calibri" w:cs="Arial"/>
        </w:rPr>
      </w:pPr>
      <w:r w:rsidRPr="00C515CC">
        <w:rPr>
          <w:rFonts w:eastAsia="Calibri" w:cs="Arial"/>
        </w:rPr>
        <w:t>Sæmundargata 15-19</w:t>
      </w:r>
    </w:p>
    <w:p w14:paraId="0CF4E7BF" w14:textId="77777777" w:rsidR="00D15FBC" w:rsidRPr="00C515CC" w:rsidRDefault="00D15FBC" w:rsidP="00C515CC">
      <w:pPr>
        <w:tabs>
          <w:tab w:val="clear" w:pos="567"/>
        </w:tabs>
        <w:rPr>
          <w:rFonts w:eastAsia="Calibri" w:cs="Arial"/>
        </w:rPr>
      </w:pPr>
      <w:r w:rsidRPr="00C515CC">
        <w:rPr>
          <w:rFonts w:eastAsia="Calibri" w:cs="Arial"/>
        </w:rPr>
        <w:t>102 Reykjavik</w:t>
      </w:r>
    </w:p>
    <w:p w14:paraId="2A6B54A4" w14:textId="77777777" w:rsidR="00D15FBC" w:rsidRPr="00C515CC" w:rsidRDefault="00D15FBC" w:rsidP="00C515CC">
      <w:pPr>
        <w:tabs>
          <w:tab w:val="clear" w:pos="567"/>
        </w:tabs>
        <w:rPr>
          <w:rFonts w:eastAsia="Calibri" w:cs="Arial"/>
        </w:rPr>
      </w:pPr>
      <w:r w:rsidRPr="00C515CC">
        <w:rPr>
          <w:rFonts w:eastAsia="Calibri" w:cs="Arial"/>
        </w:rPr>
        <w:t>Izland</w:t>
      </w:r>
    </w:p>
    <w:p w14:paraId="732ADD05" w14:textId="77777777" w:rsidR="00951F81" w:rsidRPr="00C515CC" w:rsidRDefault="00951F81" w:rsidP="00C515CC">
      <w:pPr>
        <w:tabs>
          <w:tab w:val="clear" w:pos="567"/>
        </w:tabs>
      </w:pPr>
    </w:p>
    <w:p w14:paraId="7A06A72E" w14:textId="77777777" w:rsidR="001445B0" w:rsidRPr="00983595" w:rsidRDefault="001445B0" w:rsidP="001445B0">
      <w:pPr>
        <w:ind w:left="567" w:hanging="567"/>
        <w:jc w:val="both"/>
        <w:rPr>
          <w:ins w:id="4" w:author="Author" w:date="2026-02-17T11:12:00Z" w16du:dateUtc="2026-02-17T10:12:00Z"/>
          <w:rFonts w:eastAsia="Times New Roman"/>
        </w:rPr>
      </w:pPr>
      <w:ins w:id="5" w:author="Author" w:date="2026-02-17T11:12:00Z" w16du:dateUtc="2026-02-17T10:12:00Z">
        <w:r w:rsidRPr="00983595">
          <w:rPr>
            <w:rFonts w:eastAsia="Times New Roman"/>
          </w:rPr>
          <w:t>STADA Arzneimittel AG</w:t>
        </w:r>
      </w:ins>
    </w:p>
    <w:p w14:paraId="6C4888F1" w14:textId="77777777" w:rsidR="001445B0" w:rsidRPr="00983595" w:rsidRDefault="001445B0" w:rsidP="001445B0">
      <w:pPr>
        <w:ind w:left="567" w:hanging="567"/>
        <w:jc w:val="both"/>
        <w:rPr>
          <w:ins w:id="6" w:author="Author" w:date="2026-02-17T11:12:00Z" w16du:dateUtc="2026-02-17T10:12:00Z"/>
          <w:rFonts w:eastAsia="Times New Roman"/>
        </w:rPr>
      </w:pPr>
      <w:ins w:id="7" w:author="Author" w:date="2026-02-17T11:12:00Z" w16du:dateUtc="2026-02-17T10:12:00Z">
        <w:r w:rsidRPr="00983595">
          <w:rPr>
            <w:rFonts w:eastAsia="Times New Roman"/>
          </w:rPr>
          <w:t>Stadastrasse 2-18</w:t>
        </w:r>
      </w:ins>
    </w:p>
    <w:p w14:paraId="35BA81DC" w14:textId="77777777" w:rsidR="001445B0" w:rsidRPr="00983595" w:rsidRDefault="001445B0" w:rsidP="001445B0">
      <w:pPr>
        <w:ind w:left="567" w:hanging="567"/>
        <w:jc w:val="both"/>
        <w:rPr>
          <w:ins w:id="8" w:author="Author" w:date="2026-02-17T11:12:00Z" w16du:dateUtc="2026-02-17T10:12:00Z"/>
          <w:rFonts w:eastAsia="Times New Roman"/>
        </w:rPr>
      </w:pPr>
      <w:ins w:id="9" w:author="Author" w:date="2026-02-17T11:12:00Z" w16du:dateUtc="2026-02-17T10:12:00Z">
        <w:r w:rsidRPr="00983595">
          <w:rPr>
            <w:rFonts w:eastAsia="Times New Roman"/>
          </w:rPr>
          <w:t>61118 Bad Vilbel</w:t>
        </w:r>
      </w:ins>
    </w:p>
    <w:p w14:paraId="4F149596" w14:textId="77777777" w:rsidR="001445B0" w:rsidRPr="00983595" w:rsidRDefault="001445B0" w:rsidP="001445B0">
      <w:pPr>
        <w:ind w:left="567" w:hanging="567"/>
        <w:jc w:val="both"/>
        <w:rPr>
          <w:ins w:id="10" w:author="Author" w:date="2026-02-17T11:12:00Z" w16du:dateUtc="2026-02-17T10:12:00Z"/>
          <w:rFonts w:eastAsia="Times New Roman"/>
        </w:rPr>
      </w:pPr>
      <w:ins w:id="11" w:author="Author" w:date="2026-02-17T11:12:00Z" w16du:dateUtc="2026-02-17T10:12:00Z">
        <w:r w:rsidRPr="00983595">
          <w:rPr>
            <w:rFonts w:eastAsia="Times New Roman"/>
          </w:rPr>
          <w:t>Németország</w:t>
        </w:r>
      </w:ins>
    </w:p>
    <w:p w14:paraId="63BB6BF7" w14:textId="77777777" w:rsidR="001445B0" w:rsidRDefault="001445B0" w:rsidP="001445B0">
      <w:pPr>
        <w:pStyle w:val="NormalAgency"/>
        <w:rPr>
          <w:ins w:id="12" w:author="Author" w:date="2026-02-17T11:12:00Z" w16du:dateUtc="2026-02-17T10:12:00Z"/>
          <w:rFonts w:ascii="Times New Roman" w:hAnsi="Times New Roman" w:cs="Times New Roman"/>
          <w:sz w:val="22"/>
          <w:szCs w:val="22"/>
          <w:lang w:val="nl-NL"/>
        </w:rPr>
      </w:pPr>
    </w:p>
    <w:p w14:paraId="2829BFB8" w14:textId="77777777" w:rsidR="001445B0" w:rsidRPr="00A955E0" w:rsidRDefault="001445B0" w:rsidP="001445B0">
      <w:pPr>
        <w:rPr>
          <w:ins w:id="13" w:author="Author" w:date="2026-02-17T11:12:00Z" w16du:dateUtc="2026-02-17T10:12:00Z"/>
        </w:rPr>
      </w:pPr>
      <w:ins w:id="14" w:author="Author" w:date="2026-02-17T11:12:00Z" w16du:dateUtc="2026-02-17T10:12:00Z">
        <w:r w:rsidRPr="00A955E0">
          <w:t xml:space="preserve">Az érintett gyártási tétel végfelszabadításáért felelős gyártó nevét és címét a gyógyszer betegtájékoztatójának tartalmaznia kell. </w:t>
        </w:r>
      </w:ins>
    </w:p>
    <w:p w14:paraId="2A3765EA" w14:textId="77777777" w:rsidR="00951F81" w:rsidRPr="00C515CC" w:rsidRDefault="00951F81" w:rsidP="00C515CC">
      <w:pPr>
        <w:tabs>
          <w:tab w:val="clear" w:pos="567"/>
        </w:tabs>
      </w:pPr>
    </w:p>
    <w:p w14:paraId="2A4D970E" w14:textId="39767662" w:rsidR="00951F81" w:rsidRPr="00C515CC" w:rsidRDefault="00951F81" w:rsidP="00390D1C">
      <w:pPr>
        <w:pStyle w:val="TitleB"/>
        <w:outlineLvl w:val="0"/>
      </w:pPr>
      <w:r w:rsidRPr="00C515CC">
        <w:t>B.</w:t>
      </w:r>
      <w:r w:rsidRPr="00C515CC">
        <w:tab/>
      </w:r>
      <w:r w:rsidR="00E0591C" w:rsidRPr="00071EBC">
        <w:t>A KIADÁSRA ÉS A FELHASZNÁLÁSRA VONATKOZÓ FELTÉTELEK VAGY KORLÁTOZÁSOK</w:t>
      </w:r>
    </w:p>
    <w:p w14:paraId="7DA8ADC7" w14:textId="77777777" w:rsidR="00951F81" w:rsidRPr="00C515CC" w:rsidRDefault="00951F81" w:rsidP="00C515CC">
      <w:pPr>
        <w:keepNext/>
      </w:pPr>
    </w:p>
    <w:p w14:paraId="4B1FA640" w14:textId="77777777" w:rsidR="00951F81" w:rsidRPr="00C515CC" w:rsidRDefault="00951F81" w:rsidP="00C515CC">
      <w:pPr>
        <w:tabs>
          <w:tab w:val="clear" w:pos="567"/>
        </w:tabs>
      </w:pPr>
      <w:r w:rsidRPr="00C515CC">
        <w:t>Orvosi rendelvényhez kötött gyógyszer.</w:t>
      </w:r>
    </w:p>
    <w:p w14:paraId="1839C1F0" w14:textId="77777777" w:rsidR="00951F81" w:rsidRPr="00C515CC" w:rsidRDefault="00951F81" w:rsidP="00C515CC">
      <w:pPr>
        <w:tabs>
          <w:tab w:val="clear" w:pos="567"/>
        </w:tabs>
      </w:pPr>
    </w:p>
    <w:p w14:paraId="7AD1E21C" w14:textId="77777777" w:rsidR="00951F81" w:rsidRPr="00C515CC" w:rsidRDefault="00951F81" w:rsidP="00C515CC">
      <w:pPr>
        <w:tabs>
          <w:tab w:val="clear" w:pos="567"/>
        </w:tabs>
      </w:pPr>
    </w:p>
    <w:p w14:paraId="60DC48C7" w14:textId="25E5FF20" w:rsidR="00951F81" w:rsidRPr="00C515CC" w:rsidRDefault="00951F81" w:rsidP="00390D1C">
      <w:pPr>
        <w:pStyle w:val="TitleB"/>
        <w:outlineLvl w:val="0"/>
      </w:pPr>
      <w:r w:rsidRPr="00C515CC">
        <w:t>C.</w:t>
      </w:r>
      <w:r w:rsidRPr="00C515CC">
        <w:tab/>
        <w:t>A FORGALOMBA HOZATALI ENGEDÉLY</w:t>
      </w:r>
      <w:r w:rsidR="00E0591C">
        <w:t>BEN FOGLALT</w:t>
      </w:r>
      <w:r w:rsidRPr="00C515CC">
        <w:t xml:space="preserve"> EGYÉB FELTÉTELE</w:t>
      </w:r>
      <w:r w:rsidR="00E0591C">
        <w:t>K</w:t>
      </w:r>
      <w:r w:rsidRPr="00C515CC">
        <w:t xml:space="preserve"> ÉS KÖVETELMÉNYE</w:t>
      </w:r>
      <w:r w:rsidR="00E0591C">
        <w:t>K</w:t>
      </w:r>
    </w:p>
    <w:p w14:paraId="7DE0D6D3" w14:textId="77777777" w:rsidR="00951F81" w:rsidRPr="00C515CC" w:rsidRDefault="00951F81" w:rsidP="00C515CC">
      <w:pPr>
        <w:keepNext/>
      </w:pPr>
    </w:p>
    <w:p w14:paraId="359E695E" w14:textId="77777777" w:rsidR="00951F81" w:rsidRPr="00C515CC" w:rsidRDefault="00951F81" w:rsidP="00C515CC">
      <w:pPr>
        <w:keepNext/>
        <w:numPr>
          <w:ilvl w:val="0"/>
          <w:numId w:val="55"/>
        </w:numPr>
        <w:ind w:left="567" w:hanging="567"/>
        <w:rPr>
          <w:b/>
          <w:bCs/>
        </w:rPr>
      </w:pPr>
      <w:r w:rsidRPr="00C515CC">
        <w:rPr>
          <w:b/>
        </w:rPr>
        <w:t>Időszakos gyógyszerbiztonsági jelentések (Periodic safety update report, PSUR)</w:t>
      </w:r>
    </w:p>
    <w:p w14:paraId="193D19C9" w14:textId="77777777" w:rsidR="00951F81" w:rsidRPr="00C515CC" w:rsidRDefault="00951F81" w:rsidP="00C515CC">
      <w:pPr>
        <w:keepNext/>
      </w:pPr>
    </w:p>
    <w:p w14:paraId="5812F74E" w14:textId="03792600" w:rsidR="00951F81" w:rsidRPr="00C515CC" w:rsidRDefault="00951F81" w:rsidP="00C515CC">
      <w:pPr>
        <w:tabs>
          <w:tab w:val="clear" w:pos="567"/>
        </w:tabs>
      </w:pPr>
      <w:r w:rsidRPr="00C515CC">
        <w:t>Erre a készítményre a PSUR</w:t>
      </w:r>
      <w:r w:rsidR="00E0591C">
        <w:noBreakHyphen/>
      </w:r>
      <w:r w:rsidRPr="00C515CC">
        <w:t>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6AA64985" w14:textId="77777777" w:rsidR="00951F81" w:rsidRPr="00C515CC" w:rsidRDefault="00951F81" w:rsidP="00C515CC">
      <w:pPr>
        <w:tabs>
          <w:tab w:val="clear" w:pos="567"/>
        </w:tabs>
      </w:pPr>
    </w:p>
    <w:p w14:paraId="085F5986" w14:textId="77777777" w:rsidR="00951F81" w:rsidRPr="00C515CC" w:rsidRDefault="00951F81" w:rsidP="00C515CC">
      <w:pPr>
        <w:tabs>
          <w:tab w:val="clear" w:pos="567"/>
        </w:tabs>
      </w:pPr>
    </w:p>
    <w:p w14:paraId="4CFA13DD" w14:textId="57D1079A" w:rsidR="00951F81" w:rsidRPr="00C515CC" w:rsidRDefault="00951F81" w:rsidP="00390D1C">
      <w:pPr>
        <w:pStyle w:val="TitleB"/>
        <w:outlineLvl w:val="0"/>
      </w:pPr>
      <w:r w:rsidRPr="00C515CC">
        <w:t>D.</w:t>
      </w:r>
      <w:r w:rsidRPr="00C515CC">
        <w:tab/>
        <w:t>A GYÓGYSZER BIZTONSÁGOS ÉS HATÉKONY ALKALMAZÁSÁRA VONATKOZÓ</w:t>
      </w:r>
      <w:r w:rsidR="00E0591C" w:rsidRPr="00E0591C">
        <w:t xml:space="preserve"> </w:t>
      </w:r>
      <w:r w:rsidR="00E0591C" w:rsidRPr="00C515CC">
        <w:t>FELTÉTELEK VAGY KORLÁTOZÁSOK</w:t>
      </w:r>
    </w:p>
    <w:p w14:paraId="30D8E93E" w14:textId="77777777" w:rsidR="00951F81" w:rsidRPr="00C515CC" w:rsidRDefault="00951F81" w:rsidP="00C515CC">
      <w:pPr>
        <w:keepNext/>
      </w:pPr>
    </w:p>
    <w:p w14:paraId="0C78AED7" w14:textId="77777777" w:rsidR="00951F81" w:rsidRPr="00C515CC" w:rsidRDefault="00951F81" w:rsidP="00C515CC">
      <w:pPr>
        <w:keepNext/>
        <w:numPr>
          <w:ilvl w:val="0"/>
          <w:numId w:val="55"/>
        </w:numPr>
        <w:ind w:left="567" w:hanging="567"/>
        <w:rPr>
          <w:b/>
          <w:bCs/>
        </w:rPr>
      </w:pPr>
      <w:r w:rsidRPr="00C515CC">
        <w:rPr>
          <w:b/>
        </w:rPr>
        <w:t>Kockázatkezelési terv</w:t>
      </w:r>
    </w:p>
    <w:p w14:paraId="0CD8343E" w14:textId="77777777" w:rsidR="00951F81" w:rsidRPr="00C515CC" w:rsidRDefault="00951F81" w:rsidP="00C515CC">
      <w:pPr>
        <w:keepNext/>
      </w:pPr>
    </w:p>
    <w:p w14:paraId="5D58E299" w14:textId="091D80A8" w:rsidR="00951F81" w:rsidRPr="00C515CC" w:rsidRDefault="00951F81" w:rsidP="00C515CC">
      <w:pPr>
        <w:tabs>
          <w:tab w:val="clear" w:pos="567"/>
        </w:tabs>
      </w:pPr>
      <w:r w:rsidRPr="00C515CC">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35F9EAA3" w14:textId="77777777" w:rsidR="00951F81" w:rsidRPr="00C515CC" w:rsidRDefault="00951F81" w:rsidP="00C515CC">
      <w:pPr>
        <w:tabs>
          <w:tab w:val="clear" w:pos="567"/>
        </w:tabs>
      </w:pPr>
    </w:p>
    <w:p w14:paraId="4FAB4E00" w14:textId="77777777" w:rsidR="00951F81" w:rsidRPr="00C515CC" w:rsidRDefault="00951F81" w:rsidP="00C515CC">
      <w:pPr>
        <w:keepNext/>
        <w:tabs>
          <w:tab w:val="clear" w:pos="567"/>
        </w:tabs>
      </w:pPr>
      <w:r w:rsidRPr="00C515CC">
        <w:t>A frissített kockázatkezelési terv benyújtandó a következő esetekben:</w:t>
      </w:r>
    </w:p>
    <w:p w14:paraId="79DC2738" w14:textId="77777777" w:rsidR="00951F81" w:rsidRPr="00C515CC" w:rsidRDefault="00951F81" w:rsidP="00C515CC">
      <w:pPr>
        <w:keepNext/>
        <w:numPr>
          <w:ilvl w:val="0"/>
          <w:numId w:val="54"/>
        </w:numPr>
        <w:tabs>
          <w:tab w:val="clear" w:pos="567"/>
        </w:tabs>
        <w:ind w:left="567" w:hanging="567"/>
      </w:pPr>
      <w:r w:rsidRPr="00C515CC">
        <w:t>ha az Európai Gyógyszerügynökség ezt indítványozza;</w:t>
      </w:r>
    </w:p>
    <w:p w14:paraId="0DD98BA7" w14:textId="77777777" w:rsidR="00951F81" w:rsidRPr="00C515CC" w:rsidRDefault="00951F81" w:rsidP="00C515CC">
      <w:pPr>
        <w:numPr>
          <w:ilvl w:val="0"/>
          <w:numId w:val="54"/>
        </w:numPr>
        <w:tabs>
          <w:tab w:val="clear" w:pos="567"/>
        </w:tabs>
        <w:ind w:left="567" w:hanging="567"/>
      </w:pPr>
      <w:r w:rsidRPr="00C515CC">
        <w:t>ha a kockázatkezelési rendszerben változás történik, főként azt követően, hogy olyan új információ érkezik, amely az előny/kockázat profil jelentős változásához vezethet, illetve (a biztonságos gyógyszeralkalmazásra vagy kockázat</w:t>
      </w:r>
      <w:r w:rsidRPr="00C515CC">
        <w:noBreakHyphen/>
        <w:t>minimalizálásra irányuló) újabb, meghatározó eredmények születnek.</w:t>
      </w:r>
    </w:p>
    <w:p w14:paraId="6DCF4654" w14:textId="77777777" w:rsidR="00951F81" w:rsidRPr="00C515CC" w:rsidRDefault="00951F81" w:rsidP="00C515CC">
      <w:pPr>
        <w:pStyle w:val="Default"/>
        <w:rPr>
          <w:iCs/>
          <w:color w:val="auto"/>
          <w:sz w:val="22"/>
          <w:szCs w:val="22"/>
        </w:rPr>
      </w:pPr>
    </w:p>
    <w:p w14:paraId="43C9FB5A" w14:textId="77777777" w:rsidR="00951F81" w:rsidRPr="00C515CC" w:rsidRDefault="00951F81" w:rsidP="00C515CC">
      <w:pPr>
        <w:keepNext/>
        <w:numPr>
          <w:ilvl w:val="0"/>
          <w:numId w:val="55"/>
        </w:numPr>
        <w:ind w:left="567" w:hanging="567"/>
        <w:rPr>
          <w:b/>
          <w:bCs/>
        </w:rPr>
      </w:pPr>
      <w:r w:rsidRPr="00C515CC">
        <w:rPr>
          <w:b/>
        </w:rPr>
        <w:t>Kockázat</w:t>
      </w:r>
      <w:r w:rsidRPr="00C515CC">
        <w:rPr>
          <w:b/>
        </w:rPr>
        <w:noBreakHyphen/>
        <w:t>minimalizálásra irányuló további intézkedések</w:t>
      </w:r>
    </w:p>
    <w:p w14:paraId="36BC88D5" w14:textId="77777777" w:rsidR="00951F81" w:rsidRPr="00C515CC" w:rsidRDefault="00951F81" w:rsidP="00C515CC">
      <w:pPr>
        <w:keepNext/>
      </w:pPr>
    </w:p>
    <w:p w14:paraId="6B372849" w14:textId="77777777" w:rsidR="00D15FBC" w:rsidRPr="00C515CC" w:rsidRDefault="00D15FBC" w:rsidP="00C515CC">
      <w:pPr>
        <w:keepNext/>
      </w:pPr>
      <w:r w:rsidRPr="00C515CC">
        <w:t>További kockázatminimalizálási intézkedések vannak érvényben a következő biztonságossági aggályok miatt:</w:t>
      </w:r>
    </w:p>
    <w:p w14:paraId="79DA24BF" w14:textId="2CA8FCD8" w:rsidR="00951F81" w:rsidRPr="00C515CC" w:rsidRDefault="00D15FBC" w:rsidP="00C515CC">
      <w:pPr>
        <w:tabs>
          <w:tab w:val="clear" w:pos="567"/>
        </w:tabs>
      </w:pPr>
      <w:r w:rsidRPr="00C515CC">
        <w:rPr>
          <w:rFonts w:ascii="Cambria Math" w:hAnsi="Cambria Math" w:cs="Cambria Math"/>
        </w:rPr>
        <w:t>⦁</w:t>
      </w:r>
      <w:r w:rsidR="008450AE" w:rsidRPr="00C515CC">
        <w:tab/>
      </w:r>
      <w:r w:rsidRPr="00C515CC">
        <w:t>Az állcsont osteonecrosisa</w:t>
      </w:r>
    </w:p>
    <w:p w14:paraId="5C68D3D2" w14:textId="4BDD5B1D" w:rsidR="00C33C96" w:rsidRDefault="007D1A60">
      <w:pPr>
        <w:tabs>
          <w:tab w:val="clear" w:pos="567"/>
        </w:tabs>
        <w:rPr>
          <w:b/>
          <w:bCs/>
        </w:rPr>
      </w:pPr>
      <w:r>
        <w:rPr>
          <w:b/>
          <w:bCs/>
        </w:rPr>
        <w:t>Beteg</w:t>
      </w:r>
      <w:r w:rsidR="00D15FBC" w:rsidRPr="00C515CC">
        <w:rPr>
          <w:b/>
          <w:bCs/>
        </w:rPr>
        <w:t>kártya</w:t>
      </w:r>
      <w:r w:rsidR="00C33C96">
        <w:rPr>
          <w:b/>
          <w:bCs/>
        </w:rPr>
        <w:br w:type="page"/>
      </w:r>
    </w:p>
    <w:p w14:paraId="40C0BDA1" w14:textId="005C570A" w:rsidR="00951F81" w:rsidRPr="00C515CC" w:rsidRDefault="00951F81" w:rsidP="00C515CC">
      <w:pPr>
        <w:jc w:val="center"/>
      </w:pPr>
    </w:p>
    <w:p w14:paraId="3D37A846" w14:textId="77777777" w:rsidR="00951F81" w:rsidRPr="00C515CC" w:rsidRDefault="00951F81" w:rsidP="00C515CC">
      <w:pPr>
        <w:jc w:val="center"/>
      </w:pPr>
    </w:p>
    <w:p w14:paraId="1B3F56A8" w14:textId="77777777" w:rsidR="00951F81" w:rsidRPr="00C515CC" w:rsidRDefault="00951F81" w:rsidP="00C515CC">
      <w:pPr>
        <w:jc w:val="center"/>
      </w:pPr>
    </w:p>
    <w:p w14:paraId="67EC1A9C" w14:textId="77777777" w:rsidR="00951F81" w:rsidRPr="00C515CC" w:rsidRDefault="00951F81" w:rsidP="00C515CC">
      <w:pPr>
        <w:jc w:val="center"/>
      </w:pPr>
    </w:p>
    <w:p w14:paraId="67C5B99F" w14:textId="77777777" w:rsidR="00951F81" w:rsidRPr="00C515CC" w:rsidRDefault="00951F81" w:rsidP="00C515CC">
      <w:pPr>
        <w:jc w:val="center"/>
      </w:pPr>
    </w:p>
    <w:p w14:paraId="276EF8A2" w14:textId="77777777" w:rsidR="00951F81" w:rsidRPr="00C515CC" w:rsidRDefault="00951F81" w:rsidP="00C515CC">
      <w:pPr>
        <w:jc w:val="center"/>
      </w:pPr>
    </w:p>
    <w:p w14:paraId="67451998" w14:textId="77777777" w:rsidR="00951F81" w:rsidRPr="00C515CC" w:rsidRDefault="00951F81" w:rsidP="00C515CC">
      <w:pPr>
        <w:jc w:val="center"/>
      </w:pPr>
    </w:p>
    <w:p w14:paraId="60F3C5A4" w14:textId="77777777" w:rsidR="00951F81" w:rsidRPr="00C515CC" w:rsidRDefault="00951F81" w:rsidP="00C515CC">
      <w:pPr>
        <w:jc w:val="center"/>
      </w:pPr>
    </w:p>
    <w:p w14:paraId="02F2143A" w14:textId="77777777" w:rsidR="00951F81" w:rsidRPr="00C515CC" w:rsidRDefault="00951F81" w:rsidP="00C515CC">
      <w:pPr>
        <w:jc w:val="center"/>
      </w:pPr>
    </w:p>
    <w:p w14:paraId="1BFE9AE9" w14:textId="77777777" w:rsidR="00951F81" w:rsidRPr="00C515CC" w:rsidRDefault="00951F81" w:rsidP="00C515CC">
      <w:pPr>
        <w:jc w:val="center"/>
      </w:pPr>
    </w:p>
    <w:p w14:paraId="1189AC13" w14:textId="77777777" w:rsidR="00951F81" w:rsidRPr="00C515CC" w:rsidRDefault="00951F81" w:rsidP="00C515CC">
      <w:pPr>
        <w:jc w:val="center"/>
      </w:pPr>
    </w:p>
    <w:p w14:paraId="699B0DB2" w14:textId="77777777" w:rsidR="00951F81" w:rsidRPr="00C515CC" w:rsidRDefault="00951F81" w:rsidP="00C515CC">
      <w:pPr>
        <w:jc w:val="center"/>
      </w:pPr>
    </w:p>
    <w:p w14:paraId="7C6959BA" w14:textId="77777777" w:rsidR="00951F81" w:rsidRPr="00C515CC" w:rsidRDefault="00951F81" w:rsidP="00C515CC">
      <w:pPr>
        <w:jc w:val="center"/>
      </w:pPr>
    </w:p>
    <w:p w14:paraId="70A41C45" w14:textId="77777777" w:rsidR="00951F81" w:rsidRPr="00C515CC" w:rsidRDefault="00951F81" w:rsidP="00C515CC">
      <w:pPr>
        <w:jc w:val="center"/>
      </w:pPr>
    </w:p>
    <w:p w14:paraId="62DD6BE4" w14:textId="77777777" w:rsidR="00951F81" w:rsidRPr="00C515CC" w:rsidRDefault="00951F81" w:rsidP="00C515CC">
      <w:pPr>
        <w:jc w:val="center"/>
      </w:pPr>
    </w:p>
    <w:p w14:paraId="6380E829" w14:textId="77777777" w:rsidR="00951F81" w:rsidRPr="00C515CC" w:rsidRDefault="00951F81" w:rsidP="00C515CC">
      <w:pPr>
        <w:jc w:val="center"/>
      </w:pPr>
    </w:p>
    <w:p w14:paraId="63576108" w14:textId="77777777" w:rsidR="00951F81" w:rsidRPr="00C515CC" w:rsidRDefault="00951F81" w:rsidP="00C515CC">
      <w:pPr>
        <w:jc w:val="center"/>
      </w:pPr>
    </w:p>
    <w:p w14:paraId="2A325E94" w14:textId="77777777" w:rsidR="00951F81" w:rsidRPr="00C515CC" w:rsidRDefault="00951F81" w:rsidP="00C515CC">
      <w:pPr>
        <w:jc w:val="center"/>
      </w:pPr>
    </w:p>
    <w:p w14:paraId="6963121B" w14:textId="77777777" w:rsidR="00951F81" w:rsidRPr="00C515CC" w:rsidRDefault="00951F81" w:rsidP="00C515CC">
      <w:pPr>
        <w:jc w:val="center"/>
      </w:pPr>
    </w:p>
    <w:p w14:paraId="18BA7472" w14:textId="77777777" w:rsidR="00951F81" w:rsidRPr="00C515CC" w:rsidRDefault="00951F81" w:rsidP="00C515CC">
      <w:pPr>
        <w:jc w:val="center"/>
      </w:pPr>
    </w:p>
    <w:p w14:paraId="4411FCB3" w14:textId="77777777" w:rsidR="00951F81" w:rsidRPr="00C515CC" w:rsidRDefault="00951F81" w:rsidP="00C515CC">
      <w:pPr>
        <w:jc w:val="center"/>
      </w:pPr>
    </w:p>
    <w:p w14:paraId="01183D37" w14:textId="77777777" w:rsidR="00951F81" w:rsidRPr="00C515CC" w:rsidRDefault="00951F81" w:rsidP="00C515CC">
      <w:pPr>
        <w:jc w:val="center"/>
      </w:pPr>
    </w:p>
    <w:p w14:paraId="19F126D2" w14:textId="77777777" w:rsidR="00951F81" w:rsidRPr="00C515CC" w:rsidRDefault="00951F81" w:rsidP="00C515CC">
      <w:pPr>
        <w:jc w:val="center"/>
      </w:pPr>
    </w:p>
    <w:p w14:paraId="536B16D6" w14:textId="77777777" w:rsidR="00951F81" w:rsidRPr="00C515CC" w:rsidRDefault="00951F81" w:rsidP="00C515CC">
      <w:pPr>
        <w:jc w:val="center"/>
        <w:rPr>
          <w:b/>
          <w:bCs/>
        </w:rPr>
      </w:pPr>
      <w:r w:rsidRPr="00C515CC">
        <w:rPr>
          <w:b/>
        </w:rPr>
        <w:t>III. MELLÉKLET</w:t>
      </w:r>
    </w:p>
    <w:p w14:paraId="4E57FF33" w14:textId="77777777" w:rsidR="00951F81" w:rsidRPr="00C515CC" w:rsidRDefault="00951F81" w:rsidP="00C515CC">
      <w:pPr>
        <w:jc w:val="center"/>
      </w:pPr>
    </w:p>
    <w:p w14:paraId="20E61574" w14:textId="77777777" w:rsidR="00951F81" w:rsidRPr="00C515CC" w:rsidRDefault="00951F81" w:rsidP="00C515CC">
      <w:pPr>
        <w:jc w:val="center"/>
        <w:rPr>
          <w:b/>
          <w:bCs/>
        </w:rPr>
      </w:pPr>
      <w:r w:rsidRPr="00C515CC">
        <w:rPr>
          <w:b/>
        </w:rPr>
        <w:t>CÍMKESZÖVEG ÉS BETEGTÁJÉKOZTATÓ</w:t>
      </w:r>
    </w:p>
    <w:p w14:paraId="35D1D962" w14:textId="77777777" w:rsidR="00951F81" w:rsidRPr="00C515CC" w:rsidRDefault="00951F81" w:rsidP="00C515CC">
      <w:pPr>
        <w:jc w:val="center"/>
      </w:pPr>
      <w:r w:rsidRPr="00C515CC">
        <w:br w:type="page"/>
      </w:r>
    </w:p>
    <w:p w14:paraId="4E8D6110" w14:textId="77777777" w:rsidR="00951F81" w:rsidRPr="00C515CC" w:rsidRDefault="00951F81" w:rsidP="00C515CC">
      <w:pPr>
        <w:jc w:val="center"/>
      </w:pPr>
    </w:p>
    <w:p w14:paraId="20D18233" w14:textId="77777777" w:rsidR="00951F81" w:rsidRPr="00C515CC" w:rsidRDefault="00951F81" w:rsidP="00C515CC">
      <w:pPr>
        <w:jc w:val="center"/>
      </w:pPr>
    </w:p>
    <w:p w14:paraId="207C9AC6" w14:textId="77777777" w:rsidR="00951F81" w:rsidRPr="00C515CC" w:rsidRDefault="00951F81" w:rsidP="00C515CC">
      <w:pPr>
        <w:jc w:val="center"/>
      </w:pPr>
    </w:p>
    <w:p w14:paraId="674A52E7" w14:textId="77777777" w:rsidR="00951F81" w:rsidRPr="00C515CC" w:rsidRDefault="00951F81" w:rsidP="00C515CC">
      <w:pPr>
        <w:jc w:val="center"/>
      </w:pPr>
    </w:p>
    <w:p w14:paraId="295B51DE" w14:textId="77777777" w:rsidR="00951F81" w:rsidRPr="00C515CC" w:rsidRDefault="00951F81" w:rsidP="00C515CC">
      <w:pPr>
        <w:jc w:val="center"/>
      </w:pPr>
    </w:p>
    <w:p w14:paraId="2F608558" w14:textId="77777777" w:rsidR="00951F81" w:rsidRPr="00C515CC" w:rsidRDefault="00951F81" w:rsidP="00C515CC">
      <w:pPr>
        <w:jc w:val="center"/>
      </w:pPr>
    </w:p>
    <w:p w14:paraId="24E856B0" w14:textId="77777777" w:rsidR="00951F81" w:rsidRPr="00C515CC" w:rsidRDefault="00951F81" w:rsidP="00C515CC">
      <w:pPr>
        <w:jc w:val="center"/>
      </w:pPr>
    </w:p>
    <w:p w14:paraId="00526FFD" w14:textId="77777777" w:rsidR="00951F81" w:rsidRPr="00C515CC" w:rsidRDefault="00951F81" w:rsidP="00C515CC">
      <w:pPr>
        <w:jc w:val="center"/>
      </w:pPr>
    </w:p>
    <w:p w14:paraId="759EEC69" w14:textId="77777777" w:rsidR="00951F81" w:rsidRPr="00C515CC" w:rsidRDefault="00951F81" w:rsidP="00C515CC">
      <w:pPr>
        <w:jc w:val="center"/>
      </w:pPr>
    </w:p>
    <w:p w14:paraId="6CE07E7D" w14:textId="77777777" w:rsidR="00951F81" w:rsidRPr="00C515CC" w:rsidRDefault="00951F81" w:rsidP="00C515CC">
      <w:pPr>
        <w:jc w:val="center"/>
      </w:pPr>
    </w:p>
    <w:p w14:paraId="7B6183DB" w14:textId="77777777" w:rsidR="00951F81" w:rsidRPr="00C515CC" w:rsidRDefault="00951F81" w:rsidP="00C515CC">
      <w:pPr>
        <w:jc w:val="center"/>
      </w:pPr>
    </w:p>
    <w:p w14:paraId="670C71E6" w14:textId="77777777" w:rsidR="00951F81" w:rsidRPr="00C515CC" w:rsidRDefault="00951F81" w:rsidP="00C515CC">
      <w:pPr>
        <w:jc w:val="center"/>
      </w:pPr>
    </w:p>
    <w:p w14:paraId="637A82CF" w14:textId="77777777" w:rsidR="00951F81" w:rsidRPr="00C515CC" w:rsidRDefault="00951F81" w:rsidP="00C515CC">
      <w:pPr>
        <w:jc w:val="center"/>
      </w:pPr>
    </w:p>
    <w:p w14:paraId="6DF91B82" w14:textId="77777777" w:rsidR="00951F81" w:rsidRPr="00C515CC" w:rsidRDefault="00951F81" w:rsidP="00C515CC">
      <w:pPr>
        <w:jc w:val="center"/>
      </w:pPr>
    </w:p>
    <w:p w14:paraId="08A1420A" w14:textId="77777777" w:rsidR="00951F81" w:rsidRPr="00C515CC" w:rsidRDefault="00951F81" w:rsidP="00C515CC">
      <w:pPr>
        <w:jc w:val="center"/>
      </w:pPr>
    </w:p>
    <w:p w14:paraId="2D6F3E32" w14:textId="77777777" w:rsidR="00951F81" w:rsidRPr="00C515CC" w:rsidRDefault="00951F81" w:rsidP="00C515CC">
      <w:pPr>
        <w:jc w:val="center"/>
      </w:pPr>
    </w:p>
    <w:p w14:paraId="1FB1BF5C" w14:textId="77777777" w:rsidR="00951F81" w:rsidRPr="00C515CC" w:rsidRDefault="00951F81" w:rsidP="00C515CC">
      <w:pPr>
        <w:jc w:val="center"/>
      </w:pPr>
    </w:p>
    <w:p w14:paraId="0106F2EF" w14:textId="77777777" w:rsidR="00951F81" w:rsidRPr="00C515CC" w:rsidRDefault="00951F81" w:rsidP="00C515CC">
      <w:pPr>
        <w:jc w:val="center"/>
      </w:pPr>
    </w:p>
    <w:p w14:paraId="02A26B62" w14:textId="77777777" w:rsidR="00951F81" w:rsidRPr="00C515CC" w:rsidRDefault="00951F81" w:rsidP="00C515CC">
      <w:pPr>
        <w:jc w:val="center"/>
      </w:pPr>
    </w:p>
    <w:p w14:paraId="2BFE36B1" w14:textId="77777777" w:rsidR="00951F81" w:rsidRPr="00C515CC" w:rsidRDefault="00951F81" w:rsidP="00C515CC">
      <w:pPr>
        <w:jc w:val="center"/>
      </w:pPr>
    </w:p>
    <w:p w14:paraId="5284EA18" w14:textId="77777777" w:rsidR="00951F81" w:rsidRPr="00C515CC" w:rsidRDefault="00951F81" w:rsidP="00C515CC">
      <w:pPr>
        <w:jc w:val="center"/>
      </w:pPr>
    </w:p>
    <w:p w14:paraId="50157857" w14:textId="77777777" w:rsidR="00951F81" w:rsidRPr="00C515CC" w:rsidRDefault="00951F81" w:rsidP="00C515CC">
      <w:pPr>
        <w:jc w:val="center"/>
      </w:pPr>
    </w:p>
    <w:p w14:paraId="62B68D0D" w14:textId="77777777" w:rsidR="00951F81" w:rsidRPr="00C515CC" w:rsidRDefault="00951F81" w:rsidP="00390D1C">
      <w:pPr>
        <w:pStyle w:val="TitleA"/>
        <w:outlineLvl w:val="0"/>
      </w:pPr>
      <w:r w:rsidRPr="00C515CC">
        <w:t>A. CÍMKESZÖVEG</w:t>
      </w:r>
    </w:p>
    <w:p w14:paraId="104E17B3" w14:textId="77777777" w:rsidR="00951F81" w:rsidRPr="00C515CC" w:rsidRDefault="00951F81" w:rsidP="00C515CC">
      <w:pPr>
        <w:jc w:val="center"/>
      </w:pPr>
    </w:p>
    <w:p w14:paraId="72325479" w14:textId="147AFBFC" w:rsidR="00951F81" w:rsidRPr="00C515CC" w:rsidRDefault="00884E6E" w:rsidP="00C515CC">
      <w:pPr>
        <w:pBdr>
          <w:top w:val="single" w:sz="4" w:space="1" w:color="auto"/>
          <w:left w:val="single" w:sz="4" w:space="4" w:color="auto"/>
          <w:bottom w:val="single" w:sz="4" w:space="1" w:color="auto"/>
          <w:right w:val="single" w:sz="4" w:space="4" w:color="auto"/>
        </w:pBdr>
        <w:tabs>
          <w:tab w:val="clear" w:pos="567"/>
        </w:tabs>
        <w:rPr>
          <w:b/>
        </w:rPr>
      </w:pPr>
      <w:r w:rsidRPr="00C515CC">
        <w:br w:type="page"/>
      </w:r>
      <w:r w:rsidRPr="00C515CC">
        <w:rPr>
          <w:b/>
        </w:rPr>
        <w:t>A KÜLSŐ CSOMAGOLÁSON FELTÜNTETENDŐ ADATOK</w:t>
      </w:r>
    </w:p>
    <w:p w14:paraId="0FDFA87C" w14:textId="77777777" w:rsidR="00951F81" w:rsidRPr="00C515CC" w:rsidRDefault="00951F81" w:rsidP="00C515CC">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C515CC" w:rsidRDefault="00951F81" w:rsidP="00C515CC">
      <w:pPr>
        <w:pBdr>
          <w:top w:val="single" w:sz="4" w:space="1" w:color="auto"/>
          <w:left w:val="single" w:sz="4" w:space="4" w:color="auto"/>
          <w:bottom w:val="single" w:sz="4" w:space="1" w:color="auto"/>
          <w:right w:val="single" w:sz="4" w:space="4" w:color="auto"/>
        </w:pBdr>
        <w:tabs>
          <w:tab w:val="clear" w:pos="567"/>
        </w:tabs>
        <w:rPr>
          <w:b/>
        </w:rPr>
      </w:pPr>
      <w:r w:rsidRPr="00C515CC">
        <w:rPr>
          <w:b/>
        </w:rPr>
        <w:t>ELŐRETÖLTÖTT FECSKENDŐ DOBOZA</w:t>
      </w:r>
    </w:p>
    <w:p w14:paraId="0A3DDA6C" w14:textId="77777777" w:rsidR="00951F81" w:rsidRPr="00C515CC" w:rsidRDefault="00951F81" w:rsidP="00C515CC">
      <w:pPr>
        <w:tabs>
          <w:tab w:val="clear" w:pos="567"/>
        </w:tabs>
      </w:pPr>
    </w:p>
    <w:p w14:paraId="01F10C79" w14:textId="77777777" w:rsidR="00951F81" w:rsidRPr="00C515CC" w:rsidRDefault="00951F81" w:rsidP="00C515CC">
      <w:pPr>
        <w:tabs>
          <w:tab w:val="clear" w:pos="567"/>
        </w:tabs>
      </w:pPr>
    </w:p>
    <w:p w14:paraId="17782A05" w14:textId="4C9D2515"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pPr>
      <w:r w:rsidRPr="00C515CC">
        <w:rPr>
          <w:b/>
        </w:rPr>
        <w:t>1.</w:t>
      </w:r>
      <w:r w:rsidRPr="00C515CC">
        <w:rPr>
          <w:b/>
        </w:rPr>
        <w:tab/>
        <w:t>A GYÓGYSZER NEVE</w:t>
      </w:r>
    </w:p>
    <w:p w14:paraId="77F0ADCC" w14:textId="77777777" w:rsidR="00951F81" w:rsidRPr="00C515CC" w:rsidRDefault="00951F81" w:rsidP="008A39EB">
      <w:pPr>
        <w:keepNext/>
      </w:pPr>
    </w:p>
    <w:p w14:paraId="674873DA" w14:textId="69F8A86F" w:rsidR="00951F81" w:rsidRPr="00C515CC" w:rsidRDefault="00A96EB8" w:rsidP="008A39EB">
      <w:pPr>
        <w:keepNext/>
        <w:tabs>
          <w:tab w:val="clear" w:pos="567"/>
        </w:tabs>
      </w:pPr>
      <w:r w:rsidRPr="00C515CC">
        <w:t>Kefdensis</w:t>
      </w:r>
      <w:r w:rsidR="00951F81" w:rsidRPr="00C515CC">
        <w:t xml:space="preserve"> 60 mg oldatos injekció előretöltött fecskendőben</w:t>
      </w:r>
    </w:p>
    <w:p w14:paraId="61915F10" w14:textId="77777777" w:rsidR="00951F81" w:rsidRPr="00C515CC" w:rsidRDefault="00951F81" w:rsidP="008A39EB">
      <w:pPr>
        <w:tabs>
          <w:tab w:val="clear" w:pos="567"/>
        </w:tabs>
      </w:pPr>
      <w:r w:rsidRPr="00C515CC">
        <w:t>denoszumab</w:t>
      </w:r>
    </w:p>
    <w:p w14:paraId="20F8E618" w14:textId="77777777" w:rsidR="00951F81" w:rsidRPr="00C515CC" w:rsidRDefault="00951F81" w:rsidP="008A39EB">
      <w:pPr>
        <w:tabs>
          <w:tab w:val="clear" w:pos="567"/>
        </w:tabs>
      </w:pPr>
    </w:p>
    <w:p w14:paraId="079FF52C" w14:textId="77777777" w:rsidR="00951F81" w:rsidRPr="00C515CC" w:rsidRDefault="00951F81" w:rsidP="008A39EB">
      <w:pPr>
        <w:tabs>
          <w:tab w:val="clear" w:pos="567"/>
        </w:tabs>
      </w:pPr>
    </w:p>
    <w:p w14:paraId="1E8D5348" w14:textId="43A47B8F"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rPr>
          <w:b/>
        </w:rPr>
      </w:pPr>
      <w:r w:rsidRPr="00C515CC">
        <w:rPr>
          <w:b/>
        </w:rPr>
        <w:t>2.</w:t>
      </w:r>
      <w:r w:rsidRPr="00C515CC">
        <w:rPr>
          <w:b/>
        </w:rPr>
        <w:tab/>
        <w:t>HATÓANYAG(OK) MEGNEVEZÉSE</w:t>
      </w:r>
    </w:p>
    <w:p w14:paraId="2EC0B0C6" w14:textId="77777777" w:rsidR="00951F81" w:rsidRPr="00C515CC" w:rsidRDefault="00951F81" w:rsidP="008A39EB">
      <w:pPr>
        <w:keepNext/>
      </w:pPr>
    </w:p>
    <w:p w14:paraId="314A5793" w14:textId="48AB3B76" w:rsidR="00951F81" w:rsidRPr="00C515CC" w:rsidRDefault="00951F81" w:rsidP="008A39EB">
      <w:pPr>
        <w:tabs>
          <w:tab w:val="clear" w:pos="567"/>
        </w:tabs>
      </w:pPr>
      <w:r w:rsidRPr="00C515CC">
        <w:t>60 mg denoszumabot tartalmaz 1 milliliteres előretöltött fecskendő</w:t>
      </w:r>
      <w:r w:rsidR="00D15FBC" w:rsidRPr="00C515CC">
        <w:t>nként</w:t>
      </w:r>
      <w:r w:rsidR="00C33C96">
        <w:t xml:space="preserve"> (60 mg/ml)</w:t>
      </w:r>
      <w:r w:rsidRPr="00C515CC">
        <w:t>.</w:t>
      </w:r>
    </w:p>
    <w:p w14:paraId="0C0E6C5C" w14:textId="77777777" w:rsidR="00951F81" w:rsidRPr="00C515CC" w:rsidRDefault="00951F81" w:rsidP="008A39EB">
      <w:pPr>
        <w:tabs>
          <w:tab w:val="clear" w:pos="567"/>
        </w:tabs>
      </w:pPr>
    </w:p>
    <w:p w14:paraId="205FC39D" w14:textId="77777777" w:rsidR="00951F81" w:rsidRPr="00C515CC" w:rsidRDefault="00951F81" w:rsidP="008A39EB">
      <w:pPr>
        <w:tabs>
          <w:tab w:val="clear" w:pos="567"/>
        </w:tabs>
      </w:pPr>
    </w:p>
    <w:p w14:paraId="14E02EBC" w14:textId="1824EA21"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rPr>
          <w:highlight w:val="lightGray"/>
        </w:rPr>
      </w:pPr>
      <w:r w:rsidRPr="00C515CC">
        <w:rPr>
          <w:b/>
        </w:rPr>
        <w:t>3.</w:t>
      </w:r>
      <w:r w:rsidRPr="00C515CC">
        <w:rPr>
          <w:b/>
        </w:rPr>
        <w:tab/>
        <w:t>SEGÉDANYAGOK FELSOROLÁSA</w:t>
      </w:r>
    </w:p>
    <w:p w14:paraId="776DADD2" w14:textId="77777777" w:rsidR="00951F81" w:rsidRPr="00C515CC" w:rsidRDefault="00951F81" w:rsidP="008A39EB">
      <w:pPr>
        <w:keepNext/>
      </w:pPr>
    </w:p>
    <w:p w14:paraId="45B25517" w14:textId="330F66EE" w:rsidR="00951F81" w:rsidRPr="00C515CC" w:rsidRDefault="00D15FBC" w:rsidP="008A39EB">
      <w:r w:rsidRPr="00C515CC">
        <w:t>L</w:t>
      </w:r>
      <w:r w:rsidR="00037989" w:rsidRPr="00C515CC">
        <w:noBreakHyphen/>
      </w:r>
      <w:r w:rsidRPr="00C515CC">
        <w:t>hisztidin</w:t>
      </w:r>
      <w:r w:rsidR="009E337B" w:rsidRPr="00C515CC">
        <w:t xml:space="preserve">, </w:t>
      </w:r>
      <w:r w:rsidRPr="00C515CC">
        <w:t>L</w:t>
      </w:r>
      <w:r w:rsidR="00037989" w:rsidRPr="00C515CC">
        <w:noBreakHyphen/>
      </w:r>
      <w:r w:rsidRPr="00C515CC">
        <w:t>hisztidin-monohidroklorid-monohidrát</w:t>
      </w:r>
      <w:r w:rsidR="009E337B" w:rsidRPr="00C515CC">
        <w:t xml:space="preserve">, </w:t>
      </w:r>
      <w:r w:rsidRPr="00C515CC">
        <w:t>szacharóz</w:t>
      </w:r>
      <w:r w:rsidR="009E337B" w:rsidRPr="00C515CC">
        <w:t xml:space="preserve">, </w:t>
      </w:r>
      <w:r w:rsidRPr="00C515CC">
        <w:t>poloxamer 188</w:t>
      </w:r>
      <w:r w:rsidR="009E337B" w:rsidRPr="00C515CC">
        <w:t xml:space="preserve">, </w:t>
      </w:r>
      <w:r w:rsidR="00951F81" w:rsidRPr="00C515CC">
        <w:t>injekcióhoz való víz.</w:t>
      </w:r>
    </w:p>
    <w:p w14:paraId="65771A50" w14:textId="77777777" w:rsidR="00951F81" w:rsidRPr="00C515CC" w:rsidRDefault="00951F81" w:rsidP="008A39EB">
      <w:pPr>
        <w:tabs>
          <w:tab w:val="clear" w:pos="567"/>
        </w:tabs>
      </w:pPr>
    </w:p>
    <w:p w14:paraId="2539496E" w14:textId="77777777" w:rsidR="00951F81" w:rsidRPr="00C515CC" w:rsidRDefault="00951F81" w:rsidP="008A39EB">
      <w:pPr>
        <w:tabs>
          <w:tab w:val="clear" w:pos="567"/>
        </w:tabs>
      </w:pPr>
    </w:p>
    <w:p w14:paraId="21C2B6B0" w14:textId="5B36AAE9"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pPr>
      <w:r w:rsidRPr="00C515CC">
        <w:rPr>
          <w:b/>
        </w:rPr>
        <w:t>4.</w:t>
      </w:r>
      <w:r w:rsidRPr="00C515CC">
        <w:rPr>
          <w:b/>
        </w:rPr>
        <w:tab/>
        <w:t>GYÓGYSZERFORMA ÉS TARTALOM</w:t>
      </w:r>
    </w:p>
    <w:p w14:paraId="45E73A7B" w14:textId="77777777" w:rsidR="00951F81" w:rsidRPr="00C515CC" w:rsidRDefault="00951F81" w:rsidP="008A39EB">
      <w:pPr>
        <w:keepNext/>
      </w:pPr>
    </w:p>
    <w:p w14:paraId="52BB5188" w14:textId="77777777" w:rsidR="00951F81" w:rsidRPr="00C515CC" w:rsidRDefault="00951F81" w:rsidP="008A39EB">
      <w:pPr>
        <w:keepNext/>
        <w:rPr>
          <w:highlight w:val="lightGray"/>
        </w:rPr>
      </w:pPr>
      <w:r w:rsidRPr="00C515CC">
        <w:rPr>
          <w:highlight w:val="lightGray"/>
        </w:rPr>
        <w:t>Oldatos injekció</w:t>
      </w:r>
    </w:p>
    <w:p w14:paraId="13BBEB35" w14:textId="668D85B2" w:rsidR="00951F81" w:rsidRPr="00C515CC" w:rsidRDefault="005B20A3" w:rsidP="008A39EB">
      <w:pPr>
        <w:keepNext/>
        <w:tabs>
          <w:tab w:val="clear" w:pos="567"/>
        </w:tabs>
      </w:pPr>
      <w:r>
        <w:t>1 </w:t>
      </w:r>
      <w:r w:rsidR="00951F81" w:rsidRPr="00C515CC">
        <w:t>db előretöltött fecskendő</w:t>
      </w:r>
      <w:r w:rsidR="00951F81" w:rsidRPr="00C515CC">
        <w:rPr>
          <w:highlight w:val="lightGray"/>
        </w:rPr>
        <w:t>.</w:t>
      </w:r>
    </w:p>
    <w:p w14:paraId="2B3B17F6" w14:textId="77777777" w:rsidR="00951F81" w:rsidRPr="00C515CC" w:rsidRDefault="00951F81" w:rsidP="008A39EB">
      <w:pPr>
        <w:tabs>
          <w:tab w:val="clear" w:pos="567"/>
        </w:tabs>
      </w:pPr>
    </w:p>
    <w:p w14:paraId="15130BB1" w14:textId="77777777" w:rsidR="00951F81" w:rsidRPr="00C515CC" w:rsidRDefault="00951F81" w:rsidP="008A39EB">
      <w:pPr>
        <w:tabs>
          <w:tab w:val="clear" w:pos="567"/>
        </w:tabs>
      </w:pPr>
    </w:p>
    <w:p w14:paraId="16B4382E" w14:textId="5B478BF4" w:rsidR="00951F81" w:rsidRPr="00C515CC" w:rsidRDefault="00951F81" w:rsidP="008A39EB">
      <w:pPr>
        <w:keepNext/>
        <w:pBdr>
          <w:top w:val="single" w:sz="4" w:space="2" w:color="auto"/>
          <w:left w:val="single" w:sz="4" w:space="4" w:color="auto"/>
          <w:bottom w:val="single" w:sz="4" w:space="1" w:color="auto"/>
          <w:right w:val="single" w:sz="4" w:space="4" w:color="auto"/>
        </w:pBdr>
        <w:ind w:left="567" w:hanging="567"/>
        <w:rPr>
          <w:highlight w:val="lightGray"/>
        </w:rPr>
      </w:pPr>
      <w:r w:rsidRPr="00C515CC">
        <w:rPr>
          <w:b/>
        </w:rPr>
        <w:t>5.</w:t>
      </w:r>
      <w:r w:rsidRPr="00C515CC">
        <w:rPr>
          <w:b/>
        </w:rPr>
        <w:tab/>
        <w:t>AZ ALKALMAZÁSSAL KAPCSOLATOS TUDNIVALÓK ÉS AZ ALKALMAZÁS MÓDJA(I)</w:t>
      </w:r>
    </w:p>
    <w:p w14:paraId="1ADBFD01" w14:textId="77777777" w:rsidR="00951F81" w:rsidRPr="00C515CC" w:rsidRDefault="00951F81" w:rsidP="008A39EB">
      <w:pPr>
        <w:keepNext/>
      </w:pPr>
    </w:p>
    <w:p w14:paraId="0485BD00" w14:textId="6C14FB3A" w:rsidR="00951F81" w:rsidRPr="00C515CC" w:rsidRDefault="00951F81" w:rsidP="008A39EB">
      <w:pPr>
        <w:keepNext/>
        <w:tabs>
          <w:tab w:val="clear" w:pos="567"/>
        </w:tabs>
      </w:pPr>
      <w:r w:rsidRPr="00C515CC">
        <w:t>Bőr alá történő beadásra</w:t>
      </w:r>
    </w:p>
    <w:p w14:paraId="19B04DDE" w14:textId="77777777" w:rsidR="00951F81" w:rsidRPr="00C515CC" w:rsidRDefault="00951F81" w:rsidP="008A39EB">
      <w:pPr>
        <w:keepNext/>
        <w:tabs>
          <w:tab w:val="clear" w:pos="567"/>
        </w:tabs>
      </w:pPr>
      <w:r w:rsidRPr="00C515CC">
        <w:rPr>
          <w:b/>
        </w:rPr>
        <w:t>Fontos:</w:t>
      </w:r>
      <w:r w:rsidRPr="00C515CC">
        <w:t xml:space="preserve"> az előretöltött fecskendő használata előtt olvassa el a mellékelt betegtájékoztatót!</w:t>
      </w:r>
    </w:p>
    <w:p w14:paraId="1BA7FF37" w14:textId="77777777" w:rsidR="00951F81" w:rsidRPr="00C515CC" w:rsidRDefault="00951F81" w:rsidP="008A39EB">
      <w:pPr>
        <w:keepNext/>
        <w:tabs>
          <w:tab w:val="clear" w:pos="567"/>
        </w:tabs>
      </w:pPr>
      <w:r w:rsidRPr="00C515CC">
        <w:t>Nem szabad felrázni!</w:t>
      </w:r>
    </w:p>
    <w:p w14:paraId="16F691FD" w14:textId="77777777" w:rsidR="00951F81" w:rsidRPr="00C515CC" w:rsidRDefault="00951F81" w:rsidP="008A39EB">
      <w:pPr>
        <w:rPr>
          <w:highlight w:val="lightGray"/>
        </w:rPr>
      </w:pPr>
      <w:r w:rsidRPr="00C515CC">
        <w:rPr>
          <w:highlight w:val="lightGray"/>
        </w:rPr>
        <w:t>Alkalmazás előtt olvassa el a mellékelt betegtájékoztatót!</w:t>
      </w:r>
    </w:p>
    <w:p w14:paraId="0C4B4272" w14:textId="77777777" w:rsidR="00951F81" w:rsidRPr="00C515CC" w:rsidRDefault="00951F81" w:rsidP="008A39EB">
      <w:pPr>
        <w:tabs>
          <w:tab w:val="clear" w:pos="567"/>
        </w:tabs>
      </w:pPr>
    </w:p>
    <w:p w14:paraId="5EB95CD8" w14:textId="79807683" w:rsidR="009E337B" w:rsidRPr="00C515CC" w:rsidRDefault="009E337B" w:rsidP="008A39EB">
      <w:pPr>
        <w:tabs>
          <w:tab w:val="clear" w:pos="567"/>
        </w:tabs>
        <w:rPr>
          <w:rFonts w:eastAsia="Calibri" w:cs="Arial"/>
        </w:rPr>
      </w:pPr>
      <w:r w:rsidRPr="00C515CC">
        <w:rPr>
          <w:rFonts w:eastAsia="Calibri" w:cs="Arial"/>
          <w:highlight w:val="lightGray"/>
        </w:rPr>
        <w:t xml:space="preserve">QR </w:t>
      </w:r>
      <w:r w:rsidR="00194A98" w:rsidRPr="00633DB8">
        <w:rPr>
          <w:rFonts w:eastAsia="Calibri" w:cs="Arial"/>
          <w:highlight w:val="lightGray"/>
        </w:rPr>
        <w:t>kódot be kell illeszteni</w:t>
      </w:r>
    </w:p>
    <w:p w14:paraId="082BC0EF" w14:textId="77777777" w:rsidR="009E337B" w:rsidRPr="00C515CC" w:rsidRDefault="009E337B" w:rsidP="008A39EB">
      <w:pPr>
        <w:tabs>
          <w:tab w:val="clear" w:pos="567"/>
        </w:tabs>
        <w:rPr>
          <w:rFonts w:eastAsia="Calibri" w:cs="Arial"/>
        </w:rPr>
      </w:pPr>
      <w:r w:rsidRPr="00C515CC">
        <w:rPr>
          <w:rFonts w:eastAsia="Calibri" w:cs="Arial"/>
        </w:rPr>
        <w:t>Kefdensispatients.com</w:t>
      </w:r>
    </w:p>
    <w:p w14:paraId="76E76E79" w14:textId="77777777" w:rsidR="009E337B" w:rsidRPr="00C515CC" w:rsidRDefault="009E337B" w:rsidP="008A39EB">
      <w:pPr>
        <w:tabs>
          <w:tab w:val="clear" w:pos="567"/>
        </w:tabs>
      </w:pPr>
    </w:p>
    <w:p w14:paraId="3E40D758" w14:textId="77777777" w:rsidR="00951F81" w:rsidRPr="00C515CC" w:rsidRDefault="00951F81" w:rsidP="008A39EB">
      <w:pPr>
        <w:tabs>
          <w:tab w:val="clear" w:pos="567"/>
        </w:tabs>
      </w:pPr>
    </w:p>
    <w:p w14:paraId="58923331" w14:textId="62D0EB47"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pPr>
      <w:r w:rsidRPr="00C515CC">
        <w:rPr>
          <w:b/>
        </w:rPr>
        <w:t>6.</w:t>
      </w:r>
      <w:r w:rsidRPr="00C515CC">
        <w:rPr>
          <w:b/>
        </w:rPr>
        <w:tab/>
        <w:t>KÜLÖN FIGYELMEZTETÉS, MELY SZERINT A GYÓGYSZERT GYERMEKEKTŐL ELZÁRVA KELL TARTANI</w:t>
      </w:r>
    </w:p>
    <w:p w14:paraId="7BC2D20A" w14:textId="77777777" w:rsidR="00951F81" w:rsidRPr="00C515CC" w:rsidRDefault="00951F81" w:rsidP="008A39EB">
      <w:pPr>
        <w:keepNext/>
      </w:pPr>
    </w:p>
    <w:p w14:paraId="7C00B168" w14:textId="77777777" w:rsidR="00951F81" w:rsidRPr="00C515CC" w:rsidRDefault="00951F81" w:rsidP="008A39EB">
      <w:pPr>
        <w:tabs>
          <w:tab w:val="clear" w:pos="567"/>
        </w:tabs>
      </w:pPr>
      <w:r w:rsidRPr="00C515CC">
        <w:t>A gyógyszer gyermekektől elzárva tartandó!</w:t>
      </w:r>
    </w:p>
    <w:p w14:paraId="41A2D2A6" w14:textId="77777777" w:rsidR="00951F81" w:rsidRPr="00C515CC" w:rsidRDefault="00951F81" w:rsidP="008A39EB">
      <w:pPr>
        <w:tabs>
          <w:tab w:val="clear" w:pos="567"/>
        </w:tabs>
      </w:pPr>
    </w:p>
    <w:p w14:paraId="1E780B7D" w14:textId="77777777" w:rsidR="00951F81" w:rsidRPr="00C515CC" w:rsidRDefault="00951F81" w:rsidP="008A39EB">
      <w:pPr>
        <w:tabs>
          <w:tab w:val="clear" w:pos="567"/>
        </w:tabs>
      </w:pPr>
    </w:p>
    <w:p w14:paraId="7E5D8470" w14:textId="03DEE241"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rPr>
          <w:highlight w:val="lightGray"/>
        </w:rPr>
      </w:pPr>
      <w:r w:rsidRPr="00C515CC">
        <w:rPr>
          <w:b/>
        </w:rPr>
        <w:t>7.</w:t>
      </w:r>
      <w:r w:rsidRPr="00C515CC">
        <w:rPr>
          <w:b/>
        </w:rPr>
        <w:tab/>
        <w:t>TOVÁBBI FIGYELMEZTETÉS(EK), AMENNYIBEN SZÜKSÉGES</w:t>
      </w:r>
    </w:p>
    <w:p w14:paraId="64AEA835" w14:textId="77777777" w:rsidR="00951F81" w:rsidRPr="00C515CC" w:rsidRDefault="00951F81" w:rsidP="008A39EB">
      <w:pPr>
        <w:keepNext/>
      </w:pPr>
    </w:p>
    <w:p w14:paraId="1B77EC45" w14:textId="77777777" w:rsidR="00951F81" w:rsidRPr="00C515CC" w:rsidRDefault="00951F81" w:rsidP="008A39EB">
      <w:pPr>
        <w:tabs>
          <w:tab w:val="clear" w:pos="567"/>
        </w:tabs>
      </w:pPr>
    </w:p>
    <w:p w14:paraId="62AFE5EF" w14:textId="189A9AD4"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rPr>
          <w:highlight w:val="lightGray"/>
        </w:rPr>
      </w:pPr>
      <w:r w:rsidRPr="00C515CC">
        <w:rPr>
          <w:b/>
        </w:rPr>
        <w:t>8.</w:t>
      </w:r>
      <w:r w:rsidRPr="00C515CC">
        <w:rPr>
          <w:b/>
        </w:rPr>
        <w:tab/>
        <w:t>LEJÁRATI IDŐ</w:t>
      </w:r>
    </w:p>
    <w:p w14:paraId="1114FDFC" w14:textId="77777777" w:rsidR="00951F81" w:rsidRPr="00C515CC" w:rsidRDefault="00951F81" w:rsidP="008A39EB">
      <w:pPr>
        <w:keepNext/>
      </w:pPr>
    </w:p>
    <w:p w14:paraId="6D605F32" w14:textId="77777777" w:rsidR="00951F81" w:rsidRPr="00C515CC" w:rsidRDefault="00951F81" w:rsidP="008A39EB">
      <w:pPr>
        <w:tabs>
          <w:tab w:val="clear" w:pos="567"/>
        </w:tabs>
      </w:pPr>
      <w:r w:rsidRPr="00C515CC">
        <w:t>EXP</w:t>
      </w:r>
    </w:p>
    <w:p w14:paraId="2530F947" w14:textId="77777777" w:rsidR="00951F81" w:rsidRPr="00C515CC" w:rsidRDefault="00951F81" w:rsidP="008A39EB">
      <w:pPr>
        <w:tabs>
          <w:tab w:val="clear" w:pos="567"/>
        </w:tabs>
      </w:pPr>
    </w:p>
    <w:p w14:paraId="62D7D2DC" w14:textId="77777777" w:rsidR="00951F81" w:rsidRPr="00C515CC" w:rsidRDefault="00951F81" w:rsidP="008A39EB">
      <w:pPr>
        <w:tabs>
          <w:tab w:val="clear" w:pos="567"/>
        </w:tabs>
      </w:pPr>
    </w:p>
    <w:p w14:paraId="0CC1395C" w14:textId="7E3267DE"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pPr>
      <w:r w:rsidRPr="00C515CC">
        <w:rPr>
          <w:b/>
        </w:rPr>
        <w:t>9.</w:t>
      </w:r>
      <w:r w:rsidRPr="00C515CC">
        <w:rPr>
          <w:b/>
        </w:rPr>
        <w:tab/>
        <w:t>KÜLÖNLEGES TÁROLÁSI ELŐÍRÁSOK</w:t>
      </w:r>
    </w:p>
    <w:p w14:paraId="6BC2466D" w14:textId="77777777" w:rsidR="00951F81" w:rsidRPr="00C515CC" w:rsidRDefault="00951F81" w:rsidP="008A39EB">
      <w:pPr>
        <w:keepNext/>
      </w:pPr>
    </w:p>
    <w:p w14:paraId="1714B2CB" w14:textId="77777777" w:rsidR="00951F81" w:rsidRPr="00C515CC" w:rsidRDefault="00951F81" w:rsidP="008A39EB">
      <w:pPr>
        <w:keepNext/>
        <w:tabs>
          <w:tab w:val="clear" w:pos="567"/>
        </w:tabs>
      </w:pPr>
      <w:r w:rsidRPr="00C515CC">
        <w:t>Hűtőszekrényben tárolandó.</w:t>
      </w:r>
    </w:p>
    <w:p w14:paraId="101BDE81" w14:textId="77777777" w:rsidR="00951F81" w:rsidRPr="00C515CC" w:rsidRDefault="00951F81" w:rsidP="008A39EB">
      <w:pPr>
        <w:keepNext/>
        <w:tabs>
          <w:tab w:val="clear" w:pos="567"/>
        </w:tabs>
      </w:pPr>
      <w:r w:rsidRPr="00C515CC">
        <w:t>Nem fagyasztható!</w:t>
      </w:r>
    </w:p>
    <w:p w14:paraId="1833BCA7" w14:textId="560F38BD" w:rsidR="00951F81" w:rsidRPr="00C515CC" w:rsidRDefault="00951F81" w:rsidP="008A39EB">
      <w:pPr>
        <w:keepNext/>
        <w:tabs>
          <w:tab w:val="clear" w:pos="567"/>
        </w:tabs>
      </w:pPr>
      <w:r w:rsidRPr="00C515CC">
        <w:t>A fénytől való védelem érdekében az előretöltött fecskendőt tartsa a dobozában.</w:t>
      </w:r>
    </w:p>
    <w:p w14:paraId="13D91894" w14:textId="77777777" w:rsidR="00951F81" w:rsidRPr="00C515CC" w:rsidRDefault="00951F81" w:rsidP="008A39EB">
      <w:pPr>
        <w:tabs>
          <w:tab w:val="clear" w:pos="567"/>
        </w:tabs>
      </w:pPr>
    </w:p>
    <w:p w14:paraId="0A90AB4D" w14:textId="77777777" w:rsidR="00951F81" w:rsidRPr="00C515CC" w:rsidRDefault="00951F81" w:rsidP="008A39EB">
      <w:pPr>
        <w:tabs>
          <w:tab w:val="clear" w:pos="567"/>
        </w:tabs>
      </w:pPr>
    </w:p>
    <w:p w14:paraId="6B087207" w14:textId="6EC799F8"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rPr>
          <w:b/>
        </w:rPr>
      </w:pPr>
      <w:r w:rsidRPr="00C515CC">
        <w:rPr>
          <w:b/>
        </w:rPr>
        <w:t>10.</w:t>
      </w:r>
      <w:r w:rsidRPr="00C515CC">
        <w:rPr>
          <w:b/>
        </w:rPr>
        <w:tab/>
        <w:t>KÜLÖNLEGES ÓVINTÉZKEDÉSEK A FEL NEM HASZNÁLT GYÓGYSZEREK VAGY AZ ILYEN TERMÉKEKBŐL KELETKEZETT HULLADÉKANYAGOK ÁRTALMATLANNÁ TÉTELÉRE, HA ILYENEKRE SZÜKSÉG VAN</w:t>
      </w:r>
    </w:p>
    <w:p w14:paraId="3E0B5434" w14:textId="77777777" w:rsidR="00951F81" w:rsidRPr="00C515CC" w:rsidRDefault="00951F81" w:rsidP="008A39EB">
      <w:pPr>
        <w:keepNext/>
      </w:pPr>
    </w:p>
    <w:p w14:paraId="53AA2AD4" w14:textId="77777777" w:rsidR="00951F81" w:rsidRPr="00C515CC" w:rsidRDefault="00951F81" w:rsidP="008A39EB">
      <w:pPr>
        <w:tabs>
          <w:tab w:val="clear" w:pos="567"/>
        </w:tabs>
      </w:pPr>
    </w:p>
    <w:p w14:paraId="4239DBFC" w14:textId="7A6AB5B4"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rPr>
          <w:b/>
        </w:rPr>
      </w:pPr>
      <w:r w:rsidRPr="00C515CC">
        <w:rPr>
          <w:b/>
        </w:rPr>
        <w:t>11.</w:t>
      </w:r>
      <w:r w:rsidRPr="00C515CC">
        <w:rPr>
          <w:b/>
        </w:rPr>
        <w:tab/>
        <w:t>A FORGALOMBA HOZATALI ENGEDÉLY JOGOSULTJÁNAK NEVE ÉS CÍME</w:t>
      </w:r>
    </w:p>
    <w:p w14:paraId="40B92BA3" w14:textId="77777777" w:rsidR="00951F81" w:rsidRPr="00C515CC" w:rsidRDefault="00951F81" w:rsidP="008A39EB">
      <w:pPr>
        <w:keepNext/>
      </w:pPr>
    </w:p>
    <w:p w14:paraId="6E99D117" w14:textId="77777777" w:rsidR="009E337B" w:rsidRPr="00C515CC" w:rsidRDefault="009E337B" w:rsidP="008A39EB">
      <w:pPr>
        <w:ind w:left="567" w:hanging="567"/>
        <w:rPr>
          <w:rFonts w:eastAsia="Times New Roman"/>
        </w:rPr>
      </w:pPr>
      <w:r w:rsidRPr="00C515CC">
        <w:rPr>
          <w:rFonts w:eastAsia="Times New Roman"/>
        </w:rPr>
        <w:t>STADA Arzneimittel AG</w:t>
      </w:r>
    </w:p>
    <w:p w14:paraId="1DF75CA3" w14:textId="77777777" w:rsidR="009E337B" w:rsidRPr="00C515CC" w:rsidRDefault="009E337B" w:rsidP="008A39EB">
      <w:pPr>
        <w:ind w:left="567" w:hanging="567"/>
        <w:rPr>
          <w:rFonts w:eastAsia="Times New Roman"/>
        </w:rPr>
      </w:pPr>
      <w:r w:rsidRPr="00C515CC">
        <w:rPr>
          <w:rFonts w:eastAsia="Times New Roman"/>
        </w:rPr>
        <w:t>Stadastrasse 2-18</w:t>
      </w:r>
    </w:p>
    <w:p w14:paraId="35A9A7AA" w14:textId="65EC0542" w:rsidR="009E337B" w:rsidRPr="00C515CC" w:rsidRDefault="009E337B" w:rsidP="008A39EB">
      <w:pPr>
        <w:ind w:left="567" w:hanging="567"/>
        <w:rPr>
          <w:rFonts w:eastAsia="Times New Roman"/>
        </w:rPr>
      </w:pPr>
      <w:r w:rsidRPr="00C515CC">
        <w:rPr>
          <w:rFonts w:eastAsia="Times New Roman"/>
        </w:rPr>
        <w:t>61118 Bad Vilbel</w:t>
      </w:r>
    </w:p>
    <w:p w14:paraId="4892056A" w14:textId="77777777" w:rsidR="009E337B" w:rsidRPr="00C515CC" w:rsidRDefault="009E337B" w:rsidP="008A39EB">
      <w:pPr>
        <w:ind w:left="567" w:hanging="567"/>
        <w:rPr>
          <w:rFonts w:eastAsia="Times New Roman"/>
        </w:rPr>
      </w:pPr>
      <w:r w:rsidRPr="00C515CC">
        <w:rPr>
          <w:rFonts w:eastAsia="Times New Roman"/>
        </w:rPr>
        <w:t>Németország</w:t>
      </w:r>
    </w:p>
    <w:p w14:paraId="3FAE2398" w14:textId="77777777" w:rsidR="00951F81" w:rsidRPr="00C515CC" w:rsidRDefault="00951F81" w:rsidP="008A39EB">
      <w:pPr>
        <w:tabs>
          <w:tab w:val="clear" w:pos="567"/>
        </w:tabs>
      </w:pPr>
    </w:p>
    <w:p w14:paraId="16984C5F" w14:textId="77777777" w:rsidR="00951F81" w:rsidRPr="00C515CC" w:rsidRDefault="00951F81" w:rsidP="008A39EB">
      <w:pPr>
        <w:tabs>
          <w:tab w:val="clear" w:pos="567"/>
        </w:tabs>
      </w:pPr>
    </w:p>
    <w:p w14:paraId="6BB69D4B" w14:textId="6AC9A8E8"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rPr>
          <w:b/>
        </w:rPr>
      </w:pPr>
      <w:r w:rsidRPr="00C515CC">
        <w:rPr>
          <w:b/>
        </w:rPr>
        <w:t>12.</w:t>
      </w:r>
      <w:r w:rsidRPr="00C515CC">
        <w:rPr>
          <w:b/>
        </w:rPr>
        <w:tab/>
        <w:t>A FORGALOMBA HOZATALI ENGEDÉLY SZÁMA(I)</w:t>
      </w:r>
    </w:p>
    <w:p w14:paraId="57BD3CB5" w14:textId="77777777" w:rsidR="00951F81" w:rsidRPr="00C515CC" w:rsidRDefault="00951F81" w:rsidP="008A39EB">
      <w:pPr>
        <w:keepNext/>
      </w:pPr>
    </w:p>
    <w:p w14:paraId="22F725FF" w14:textId="77777777" w:rsidR="005B20A3" w:rsidRPr="00442125" w:rsidRDefault="005B20A3" w:rsidP="005B20A3">
      <w:r w:rsidRPr="00442125">
        <w:t>EU/</w:t>
      </w:r>
      <w:r w:rsidRPr="004644DF">
        <w:t>1/25/1980/001</w:t>
      </w:r>
    </w:p>
    <w:p w14:paraId="5EB209D1" w14:textId="77777777" w:rsidR="00951F81" w:rsidRPr="00C515CC" w:rsidRDefault="00951F81" w:rsidP="008A39EB">
      <w:pPr>
        <w:tabs>
          <w:tab w:val="clear" w:pos="567"/>
        </w:tabs>
      </w:pPr>
    </w:p>
    <w:p w14:paraId="6F2F7F00" w14:textId="77777777" w:rsidR="00951F81" w:rsidRPr="00C515CC" w:rsidRDefault="00951F81" w:rsidP="008A39EB">
      <w:pPr>
        <w:tabs>
          <w:tab w:val="clear" w:pos="567"/>
        </w:tabs>
      </w:pPr>
    </w:p>
    <w:p w14:paraId="0C28084E" w14:textId="5561C97C"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pPr>
      <w:r w:rsidRPr="00C515CC">
        <w:rPr>
          <w:b/>
        </w:rPr>
        <w:t>13.</w:t>
      </w:r>
      <w:r w:rsidRPr="00C515CC">
        <w:rPr>
          <w:b/>
        </w:rPr>
        <w:tab/>
        <w:t>A GYÁRTÁSI TÉTEL SZÁMA</w:t>
      </w:r>
    </w:p>
    <w:p w14:paraId="76D361FD" w14:textId="77777777" w:rsidR="00951F81" w:rsidRPr="00C515CC" w:rsidRDefault="00951F81" w:rsidP="008A39EB">
      <w:pPr>
        <w:keepNext/>
      </w:pPr>
    </w:p>
    <w:p w14:paraId="266315F5" w14:textId="77777777" w:rsidR="00951F81" w:rsidRPr="00C515CC" w:rsidRDefault="00951F81" w:rsidP="008A39EB">
      <w:pPr>
        <w:tabs>
          <w:tab w:val="clear" w:pos="567"/>
        </w:tabs>
      </w:pPr>
      <w:r w:rsidRPr="00C515CC">
        <w:t>Lot</w:t>
      </w:r>
    </w:p>
    <w:p w14:paraId="424E12F9" w14:textId="77777777" w:rsidR="00951F81" w:rsidRPr="00C515CC" w:rsidRDefault="00951F81" w:rsidP="008A39EB">
      <w:pPr>
        <w:tabs>
          <w:tab w:val="clear" w:pos="567"/>
        </w:tabs>
      </w:pPr>
    </w:p>
    <w:p w14:paraId="483AB26C" w14:textId="77777777" w:rsidR="00951F81" w:rsidRPr="00C515CC" w:rsidRDefault="00951F81" w:rsidP="008A39EB">
      <w:pPr>
        <w:tabs>
          <w:tab w:val="clear" w:pos="567"/>
        </w:tabs>
      </w:pPr>
    </w:p>
    <w:p w14:paraId="0EDBBC85" w14:textId="237B87F8"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pPr>
      <w:r w:rsidRPr="00C515CC">
        <w:rPr>
          <w:b/>
        </w:rPr>
        <w:t>14.</w:t>
      </w:r>
      <w:r w:rsidRPr="00C515CC">
        <w:rPr>
          <w:b/>
        </w:rPr>
        <w:tab/>
        <w:t>A GYÓGYSZER ÁLTALÁNOS BESOROLÁSA RENDELHETŐSÉG SZEMPONTJÁBÓL</w:t>
      </w:r>
    </w:p>
    <w:p w14:paraId="1EDBE148" w14:textId="77777777" w:rsidR="00951F81" w:rsidRPr="00C515CC" w:rsidRDefault="00951F81" w:rsidP="008A39EB">
      <w:pPr>
        <w:keepNext/>
      </w:pPr>
    </w:p>
    <w:p w14:paraId="745E4C03" w14:textId="77777777" w:rsidR="00951F81" w:rsidRPr="00C515CC" w:rsidRDefault="00951F81" w:rsidP="008A39EB">
      <w:pPr>
        <w:tabs>
          <w:tab w:val="clear" w:pos="567"/>
        </w:tabs>
      </w:pPr>
    </w:p>
    <w:p w14:paraId="60970C85" w14:textId="551BFA7A"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pPr>
      <w:r w:rsidRPr="00C515CC">
        <w:rPr>
          <w:b/>
        </w:rPr>
        <w:t>15.</w:t>
      </w:r>
      <w:r w:rsidRPr="00C515CC">
        <w:rPr>
          <w:b/>
        </w:rPr>
        <w:tab/>
        <w:t>AZ ALKALMAZÁSRA VONATKOZÓ UTASÍTÁSOK</w:t>
      </w:r>
    </w:p>
    <w:p w14:paraId="1DC826DB" w14:textId="77777777" w:rsidR="00951F81" w:rsidRPr="00C515CC" w:rsidRDefault="00951F81" w:rsidP="008A39EB">
      <w:pPr>
        <w:keepNext/>
      </w:pPr>
    </w:p>
    <w:p w14:paraId="22875F8D" w14:textId="77777777" w:rsidR="00951F81" w:rsidRPr="00C515CC" w:rsidRDefault="00951F81" w:rsidP="008A39EB">
      <w:pPr>
        <w:tabs>
          <w:tab w:val="clear" w:pos="567"/>
        </w:tabs>
      </w:pPr>
    </w:p>
    <w:p w14:paraId="3E695C58" w14:textId="2D64FBCE"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pPr>
      <w:r w:rsidRPr="00C515CC">
        <w:rPr>
          <w:b/>
        </w:rPr>
        <w:t>16.</w:t>
      </w:r>
      <w:r w:rsidRPr="00C515CC">
        <w:rPr>
          <w:b/>
        </w:rPr>
        <w:tab/>
        <w:t>BRAILLE ÍRÁSSAL FELTÜNTETETT INFORMÁCIÓK</w:t>
      </w:r>
    </w:p>
    <w:p w14:paraId="6B0877AE" w14:textId="77777777" w:rsidR="00951F81" w:rsidRPr="00C515CC" w:rsidRDefault="00951F81" w:rsidP="008A39EB">
      <w:pPr>
        <w:keepNext/>
      </w:pPr>
    </w:p>
    <w:p w14:paraId="3EE434A3" w14:textId="511E731F" w:rsidR="00951F81" w:rsidRPr="00C515CC" w:rsidRDefault="00A96EB8" w:rsidP="008A39EB">
      <w:pPr>
        <w:tabs>
          <w:tab w:val="clear" w:pos="567"/>
        </w:tabs>
      </w:pPr>
      <w:r w:rsidRPr="00C515CC">
        <w:t>Kefdensis</w:t>
      </w:r>
    </w:p>
    <w:p w14:paraId="53C436BE" w14:textId="77777777" w:rsidR="00951F81" w:rsidRPr="00C515CC" w:rsidRDefault="00951F81" w:rsidP="008A39EB">
      <w:pPr>
        <w:tabs>
          <w:tab w:val="clear" w:pos="567"/>
        </w:tabs>
      </w:pPr>
    </w:p>
    <w:p w14:paraId="2974F596" w14:textId="77777777" w:rsidR="00951F81" w:rsidRPr="00C515CC" w:rsidRDefault="00951F81" w:rsidP="008A39EB">
      <w:pPr>
        <w:tabs>
          <w:tab w:val="clear" w:pos="567"/>
        </w:tabs>
      </w:pPr>
    </w:p>
    <w:p w14:paraId="06FE37D0" w14:textId="77777777" w:rsidR="00951F81" w:rsidRPr="00C515CC" w:rsidRDefault="00951F81" w:rsidP="008A39EB">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C515CC">
        <w:rPr>
          <w:b/>
        </w:rPr>
        <w:t>17.</w:t>
      </w:r>
      <w:r w:rsidRPr="00C515CC">
        <w:rPr>
          <w:b/>
        </w:rPr>
        <w:tab/>
        <w:t>EGYEDI AZONOSÍTÓ – 2D VONALKÓD</w:t>
      </w:r>
    </w:p>
    <w:p w14:paraId="61AFE281" w14:textId="77777777" w:rsidR="00951F81" w:rsidRPr="00C515CC" w:rsidRDefault="00951F81" w:rsidP="008A39EB">
      <w:pPr>
        <w:keepNext/>
      </w:pPr>
    </w:p>
    <w:p w14:paraId="339154B1" w14:textId="77777777" w:rsidR="00951F81" w:rsidRPr="00C515CC" w:rsidRDefault="00951F81" w:rsidP="008A39EB">
      <w:pPr>
        <w:rPr>
          <w:highlight w:val="lightGray"/>
        </w:rPr>
      </w:pPr>
      <w:r w:rsidRPr="00C515CC">
        <w:rPr>
          <w:highlight w:val="lightGray"/>
        </w:rPr>
        <w:t>Egyedi azonosítójú 2D vonalkóddal ellátva.</w:t>
      </w:r>
    </w:p>
    <w:p w14:paraId="696ADE5E" w14:textId="77777777" w:rsidR="00951F81" w:rsidRPr="00C515CC" w:rsidRDefault="00951F81" w:rsidP="008A39EB">
      <w:pPr>
        <w:tabs>
          <w:tab w:val="clear" w:pos="567"/>
        </w:tabs>
      </w:pPr>
    </w:p>
    <w:p w14:paraId="43E1B4B5" w14:textId="77777777" w:rsidR="00951F81" w:rsidRPr="00C515CC" w:rsidRDefault="00951F81" w:rsidP="008A39EB">
      <w:pPr>
        <w:tabs>
          <w:tab w:val="clear" w:pos="567"/>
        </w:tabs>
      </w:pPr>
    </w:p>
    <w:p w14:paraId="44DE678F" w14:textId="77777777" w:rsidR="00951F81" w:rsidRPr="00C515CC" w:rsidRDefault="00951F81" w:rsidP="008A39EB">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C515CC">
        <w:rPr>
          <w:b/>
        </w:rPr>
        <w:t>18.</w:t>
      </w:r>
      <w:r w:rsidRPr="00C515CC">
        <w:rPr>
          <w:b/>
        </w:rPr>
        <w:tab/>
        <w:t>EGYEDI AZONOSÍTÓ OLVASHATÓ FORMÁTUMA</w:t>
      </w:r>
    </w:p>
    <w:p w14:paraId="2337B0B1" w14:textId="77777777" w:rsidR="00951F81" w:rsidRPr="00C515CC" w:rsidRDefault="00951F81" w:rsidP="00C515CC">
      <w:pPr>
        <w:keepNext/>
      </w:pPr>
    </w:p>
    <w:p w14:paraId="2A8244AD" w14:textId="77777777" w:rsidR="00951F81" w:rsidRPr="00C515CC" w:rsidRDefault="00951F81" w:rsidP="00C515CC">
      <w:pPr>
        <w:keepNext/>
        <w:tabs>
          <w:tab w:val="clear" w:pos="567"/>
        </w:tabs>
      </w:pPr>
      <w:r w:rsidRPr="00C515CC">
        <w:t>PC</w:t>
      </w:r>
    </w:p>
    <w:p w14:paraId="62917A89" w14:textId="77777777" w:rsidR="00951F81" w:rsidRPr="00C515CC" w:rsidRDefault="00951F81" w:rsidP="00C515CC">
      <w:pPr>
        <w:keepNext/>
        <w:tabs>
          <w:tab w:val="clear" w:pos="567"/>
        </w:tabs>
      </w:pPr>
      <w:r w:rsidRPr="00C515CC">
        <w:t>SN</w:t>
      </w:r>
    </w:p>
    <w:p w14:paraId="0216C3DF" w14:textId="77777777" w:rsidR="00951F81" w:rsidRPr="00C515CC" w:rsidRDefault="00951F81" w:rsidP="00C515CC">
      <w:pPr>
        <w:keepNext/>
        <w:rPr>
          <w:highlight w:val="lightGray"/>
        </w:rPr>
      </w:pPr>
      <w:r w:rsidRPr="00C515CC">
        <w:rPr>
          <w:highlight w:val="lightGray"/>
        </w:rPr>
        <w:t>NN</w:t>
      </w:r>
    </w:p>
    <w:p w14:paraId="767A7D25" w14:textId="05FD3637" w:rsidR="00951F81" w:rsidRPr="00C515CC" w:rsidRDefault="00884E6E" w:rsidP="00633DB8">
      <w:pPr>
        <w:keepNext/>
        <w:pBdr>
          <w:top w:val="single" w:sz="2" w:space="1" w:color="auto"/>
          <w:left w:val="single" w:sz="2" w:space="4" w:color="auto"/>
          <w:right w:val="single" w:sz="2" w:space="4" w:color="auto"/>
        </w:pBdr>
        <w:tabs>
          <w:tab w:val="clear" w:pos="567"/>
        </w:tabs>
        <w:rPr>
          <w:b/>
        </w:rPr>
      </w:pPr>
      <w:r w:rsidRPr="00C515CC">
        <w:br w:type="page"/>
      </w:r>
      <w:r w:rsidRPr="00C515CC">
        <w:rPr>
          <w:b/>
        </w:rPr>
        <w:t>A KIS KÖZVETLEN CSOMAGOLÁSI EGYSÉGEKEN MINIMÁLISAN FELTÜNTETENDŐ ADATOK</w:t>
      </w:r>
    </w:p>
    <w:p w14:paraId="541FFBD6" w14:textId="77777777" w:rsidR="00951F81" w:rsidRPr="00C515CC" w:rsidRDefault="00951F81" w:rsidP="00633DB8">
      <w:pPr>
        <w:keepNext/>
        <w:pBdr>
          <w:left w:val="single" w:sz="4" w:space="4" w:color="auto"/>
          <w:bottom w:val="single" w:sz="4" w:space="1" w:color="auto"/>
          <w:right w:val="single" w:sz="4" w:space="4" w:color="auto"/>
        </w:pBdr>
        <w:rPr>
          <w:b/>
        </w:rPr>
      </w:pPr>
    </w:p>
    <w:p w14:paraId="6A0D2345" w14:textId="3F0FD56E" w:rsidR="00951F81" w:rsidRPr="00C515CC" w:rsidRDefault="00951F81" w:rsidP="00633DB8">
      <w:pPr>
        <w:keepNext/>
        <w:pBdr>
          <w:left w:val="single" w:sz="4" w:space="4" w:color="auto"/>
          <w:bottom w:val="single" w:sz="4" w:space="1" w:color="auto"/>
          <w:right w:val="single" w:sz="4" w:space="4" w:color="auto"/>
        </w:pBdr>
        <w:rPr>
          <w:b/>
          <w:highlight w:val="lightGray"/>
        </w:rPr>
      </w:pPr>
      <w:r w:rsidRPr="00C515CC">
        <w:rPr>
          <w:b/>
        </w:rPr>
        <w:t>ELŐRETÖLTÖTT FECSKENDŐ CÍMKÉJE</w:t>
      </w:r>
    </w:p>
    <w:p w14:paraId="150F08CD" w14:textId="77777777" w:rsidR="00951F81" w:rsidRPr="00C515CC" w:rsidRDefault="00951F81" w:rsidP="00C515CC">
      <w:pPr>
        <w:keepNext/>
      </w:pPr>
    </w:p>
    <w:p w14:paraId="7CD1682D" w14:textId="77777777" w:rsidR="00951F81" w:rsidRPr="00C515CC" w:rsidRDefault="00951F81" w:rsidP="00C515CC">
      <w:pPr>
        <w:tabs>
          <w:tab w:val="clear" w:pos="567"/>
        </w:tabs>
      </w:pPr>
    </w:p>
    <w:p w14:paraId="08968009" w14:textId="161CCD61"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rPr>
          <w:b/>
        </w:rPr>
      </w:pPr>
      <w:r w:rsidRPr="00C515CC">
        <w:rPr>
          <w:b/>
        </w:rPr>
        <w:t>1.</w:t>
      </w:r>
      <w:r w:rsidRPr="00C515CC">
        <w:rPr>
          <w:b/>
        </w:rPr>
        <w:tab/>
        <w:t>A GYÓGYSZER NEVE ÉS AZ ALKALMAZÁS MÓDJA(I)</w:t>
      </w:r>
    </w:p>
    <w:p w14:paraId="10BA8C26" w14:textId="77777777" w:rsidR="00951F81" w:rsidRPr="00C515CC" w:rsidRDefault="00951F81" w:rsidP="008A39EB">
      <w:pPr>
        <w:keepNext/>
      </w:pPr>
    </w:p>
    <w:p w14:paraId="5F9F4E17" w14:textId="5D7BA304" w:rsidR="00951F81" w:rsidRPr="00C515CC" w:rsidRDefault="00A96EB8" w:rsidP="008A39EB">
      <w:pPr>
        <w:keepNext/>
        <w:tabs>
          <w:tab w:val="clear" w:pos="567"/>
        </w:tabs>
      </w:pPr>
      <w:r w:rsidRPr="00C515CC">
        <w:t>Kefdensis</w:t>
      </w:r>
      <w:r w:rsidR="00951F81" w:rsidRPr="00C515CC">
        <w:t xml:space="preserve"> 60 mg injekció</w:t>
      </w:r>
    </w:p>
    <w:p w14:paraId="7D83C2B6" w14:textId="6B3C0839" w:rsidR="00951F81" w:rsidRPr="00C515CC" w:rsidRDefault="00951F81" w:rsidP="008A39EB">
      <w:pPr>
        <w:keepNext/>
        <w:tabs>
          <w:tab w:val="clear" w:pos="567"/>
        </w:tabs>
      </w:pPr>
      <w:r w:rsidRPr="00C515CC">
        <w:t>denos</w:t>
      </w:r>
      <w:r w:rsidR="00194A98" w:rsidRPr="00C515CC">
        <w:t>z</w:t>
      </w:r>
      <w:r w:rsidRPr="00C515CC">
        <w:t>umab</w:t>
      </w:r>
    </w:p>
    <w:p w14:paraId="42D1B1B5" w14:textId="77777777" w:rsidR="00951F81" w:rsidRPr="00C515CC" w:rsidRDefault="00951F81" w:rsidP="008A39EB">
      <w:pPr>
        <w:tabs>
          <w:tab w:val="clear" w:pos="567"/>
        </w:tabs>
      </w:pPr>
      <w:r w:rsidRPr="00C515CC">
        <w:t>sc.</w:t>
      </w:r>
    </w:p>
    <w:p w14:paraId="019B54AF" w14:textId="77777777" w:rsidR="00951F81" w:rsidRPr="00C515CC" w:rsidRDefault="00951F81" w:rsidP="008A39EB">
      <w:pPr>
        <w:tabs>
          <w:tab w:val="clear" w:pos="567"/>
        </w:tabs>
      </w:pPr>
    </w:p>
    <w:p w14:paraId="3F0C6E94" w14:textId="77777777" w:rsidR="00951F81" w:rsidRPr="00C515CC" w:rsidRDefault="00951F81" w:rsidP="008A39EB">
      <w:pPr>
        <w:tabs>
          <w:tab w:val="clear" w:pos="567"/>
        </w:tabs>
      </w:pPr>
    </w:p>
    <w:p w14:paraId="5AFAF5A9" w14:textId="69FFB6E9"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rPr>
          <w:b/>
          <w:highlight w:val="lightGray"/>
        </w:rPr>
      </w:pPr>
      <w:r w:rsidRPr="00C515CC">
        <w:rPr>
          <w:b/>
        </w:rPr>
        <w:t>2.</w:t>
      </w:r>
      <w:r w:rsidRPr="00C515CC">
        <w:rPr>
          <w:b/>
        </w:rPr>
        <w:tab/>
        <w:t>AZ ALKALMAZÁSSAL KAPCSOLATOS TUDNIVALÓK</w:t>
      </w:r>
    </w:p>
    <w:p w14:paraId="68AF4E27" w14:textId="77777777" w:rsidR="00951F81" w:rsidRPr="00C515CC" w:rsidRDefault="00951F81" w:rsidP="008A39EB">
      <w:pPr>
        <w:keepNext/>
      </w:pPr>
    </w:p>
    <w:p w14:paraId="28560E61" w14:textId="77777777" w:rsidR="00951F81" w:rsidRPr="00C515CC" w:rsidRDefault="00951F81" w:rsidP="008A39EB">
      <w:pPr>
        <w:tabs>
          <w:tab w:val="clear" w:pos="567"/>
        </w:tabs>
      </w:pPr>
    </w:p>
    <w:p w14:paraId="08725B69" w14:textId="77777777" w:rsidR="00951F81" w:rsidRPr="00C515CC" w:rsidRDefault="00951F81" w:rsidP="008A39EB">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C515CC">
        <w:rPr>
          <w:caps w:val="0"/>
        </w:rPr>
        <w:t>3.</w:t>
      </w:r>
      <w:r w:rsidRPr="00C515CC">
        <w:rPr>
          <w:caps w:val="0"/>
        </w:rPr>
        <w:tab/>
        <w:t>LEJÁRATI IDŐ</w:t>
      </w:r>
    </w:p>
    <w:p w14:paraId="26297927" w14:textId="77777777" w:rsidR="00951F81" w:rsidRPr="00C515CC" w:rsidRDefault="00951F81" w:rsidP="008A39EB">
      <w:pPr>
        <w:keepNext/>
      </w:pPr>
    </w:p>
    <w:p w14:paraId="201994E0" w14:textId="77777777" w:rsidR="00951F81" w:rsidRPr="00C515CC" w:rsidRDefault="00951F81" w:rsidP="008A39EB">
      <w:pPr>
        <w:tabs>
          <w:tab w:val="clear" w:pos="567"/>
        </w:tabs>
      </w:pPr>
      <w:r w:rsidRPr="00C515CC">
        <w:t>EXP</w:t>
      </w:r>
    </w:p>
    <w:p w14:paraId="107128B3" w14:textId="77777777" w:rsidR="00951F81" w:rsidRPr="00C515CC" w:rsidRDefault="00951F81" w:rsidP="008A39EB">
      <w:pPr>
        <w:tabs>
          <w:tab w:val="clear" w:pos="567"/>
        </w:tabs>
      </w:pPr>
    </w:p>
    <w:p w14:paraId="60330DE7" w14:textId="77777777" w:rsidR="00951F81" w:rsidRPr="00C515CC" w:rsidRDefault="00951F81" w:rsidP="008A39EB">
      <w:pPr>
        <w:tabs>
          <w:tab w:val="clear" w:pos="567"/>
        </w:tabs>
      </w:pPr>
    </w:p>
    <w:p w14:paraId="21A93D92" w14:textId="77777777" w:rsidR="00951F81" w:rsidRPr="00C515CC" w:rsidRDefault="00951F81" w:rsidP="008A39EB">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C515CC">
        <w:rPr>
          <w:caps w:val="0"/>
        </w:rPr>
        <w:t>4.</w:t>
      </w:r>
      <w:r w:rsidRPr="00C515CC">
        <w:rPr>
          <w:caps w:val="0"/>
        </w:rPr>
        <w:tab/>
        <w:t>A GYÁRTÁSI TÉTEL SZÁMA</w:t>
      </w:r>
    </w:p>
    <w:p w14:paraId="74ABDE08" w14:textId="77777777" w:rsidR="00951F81" w:rsidRPr="00C515CC" w:rsidRDefault="00951F81" w:rsidP="008A39EB">
      <w:pPr>
        <w:keepNext/>
      </w:pPr>
    </w:p>
    <w:p w14:paraId="0071CA80" w14:textId="77777777" w:rsidR="00951F81" w:rsidRPr="00C515CC" w:rsidRDefault="00951F81" w:rsidP="008A39EB">
      <w:pPr>
        <w:tabs>
          <w:tab w:val="clear" w:pos="567"/>
        </w:tabs>
      </w:pPr>
      <w:r w:rsidRPr="00C515CC">
        <w:t>Lot</w:t>
      </w:r>
    </w:p>
    <w:p w14:paraId="28725210" w14:textId="77777777" w:rsidR="00951F81" w:rsidRPr="00C515CC" w:rsidRDefault="00951F81" w:rsidP="008A39EB">
      <w:pPr>
        <w:tabs>
          <w:tab w:val="clear" w:pos="567"/>
        </w:tabs>
      </w:pPr>
    </w:p>
    <w:p w14:paraId="44C3072E" w14:textId="77777777" w:rsidR="00951F81" w:rsidRPr="00C515CC" w:rsidRDefault="00951F81" w:rsidP="008A39EB">
      <w:pPr>
        <w:tabs>
          <w:tab w:val="clear" w:pos="567"/>
        </w:tabs>
      </w:pPr>
    </w:p>
    <w:p w14:paraId="08F74D1D" w14:textId="1218FD16"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rPr>
          <w:b/>
          <w:highlight w:val="lightGray"/>
        </w:rPr>
      </w:pPr>
      <w:r w:rsidRPr="00C515CC">
        <w:rPr>
          <w:b/>
        </w:rPr>
        <w:t>5.</w:t>
      </w:r>
      <w:r w:rsidRPr="00C515CC">
        <w:rPr>
          <w:b/>
        </w:rPr>
        <w:tab/>
        <w:t>A TARTALOM TÖMEGRE, TÉRFOGATRA, VAGY EGYSÉGRE VONATKOZTATVA</w:t>
      </w:r>
    </w:p>
    <w:p w14:paraId="125601CB" w14:textId="77777777" w:rsidR="00951F81" w:rsidRPr="00C515CC" w:rsidRDefault="00951F81" w:rsidP="008A39EB">
      <w:pPr>
        <w:keepNext/>
      </w:pPr>
    </w:p>
    <w:p w14:paraId="088F7B54" w14:textId="377329AB" w:rsidR="00951F81" w:rsidRPr="00C515CC" w:rsidRDefault="00EA15F1" w:rsidP="008A39EB">
      <w:pPr>
        <w:tabs>
          <w:tab w:val="clear" w:pos="567"/>
        </w:tabs>
      </w:pPr>
      <w:r>
        <w:t>1 </w:t>
      </w:r>
      <w:r w:rsidR="00951F81" w:rsidRPr="00C515CC">
        <w:t>ml</w:t>
      </w:r>
    </w:p>
    <w:p w14:paraId="037AE9EF" w14:textId="77777777" w:rsidR="00951F81" w:rsidRPr="00C515CC" w:rsidRDefault="00951F81" w:rsidP="008A39EB">
      <w:pPr>
        <w:tabs>
          <w:tab w:val="clear" w:pos="567"/>
        </w:tabs>
      </w:pPr>
    </w:p>
    <w:p w14:paraId="1D6D33F1" w14:textId="77777777" w:rsidR="00951F81" w:rsidRPr="00C515CC" w:rsidRDefault="00951F81" w:rsidP="008A39EB">
      <w:pPr>
        <w:tabs>
          <w:tab w:val="clear" w:pos="567"/>
        </w:tabs>
      </w:pPr>
    </w:p>
    <w:p w14:paraId="016E6E49" w14:textId="63B1F2CE" w:rsidR="00951F81" w:rsidRPr="00C515CC" w:rsidRDefault="00951F81" w:rsidP="008A39EB">
      <w:pPr>
        <w:keepNext/>
        <w:pBdr>
          <w:top w:val="single" w:sz="4" w:space="1" w:color="auto"/>
          <w:left w:val="single" w:sz="4" w:space="4" w:color="auto"/>
          <w:bottom w:val="single" w:sz="4" w:space="1" w:color="auto"/>
          <w:right w:val="single" w:sz="4" w:space="4" w:color="auto"/>
        </w:pBdr>
        <w:ind w:left="567" w:hanging="567"/>
        <w:rPr>
          <w:b/>
          <w:highlight w:val="lightGray"/>
        </w:rPr>
      </w:pPr>
      <w:r w:rsidRPr="00C515CC">
        <w:rPr>
          <w:b/>
        </w:rPr>
        <w:t>6.</w:t>
      </w:r>
      <w:r w:rsidRPr="00C515CC">
        <w:rPr>
          <w:b/>
        </w:rPr>
        <w:tab/>
        <w:t>EGYÉB INFORMÁCIÓK</w:t>
      </w:r>
    </w:p>
    <w:p w14:paraId="04898FCF" w14:textId="77777777" w:rsidR="00951F81" w:rsidRPr="00C515CC" w:rsidRDefault="00951F81" w:rsidP="00C515CC">
      <w:pPr>
        <w:keepNext/>
      </w:pPr>
    </w:p>
    <w:p w14:paraId="2C5EAEE6" w14:textId="77777777" w:rsidR="00951F81" w:rsidRPr="00C515CC" w:rsidRDefault="00951F81" w:rsidP="00C515CC">
      <w:pPr>
        <w:tabs>
          <w:tab w:val="clear" w:pos="567"/>
        </w:tabs>
      </w:pPr>
    </w:p>
    <w:p w14:paraId="150FD78E" w14:textId="61763E27" w:rsidR="00951F81" w:rsidRPr="00C515CC" w:rsidRDefault="00884E6E" w:rsidP="00633DB8">
      <w:pPr>
        <w:keepNext/>
      </w:pPr>
      <w:r w:rsidRPr="00C515CC">
        <w:br w:type="page"/>
      </w:r>
    </w:p>
    <w:p w14:paraId="1BCD176A" w14:textId="77777777" w:rsidR="00951F81" w:rsidRPr="00C515CC" w:rsidRDefault="00951F81" w:rsidP="00C515CC">
      <w:pPr>
        <w:jc w:val="center"/>
      </w:pPr>
    </w:p>
    <w:p w14:paraId="2607F329" w14:textId="77777777" w:rsidR="00951F81" w:rsidRPr="00C515CC" w:rsidRDefault="00951F81" w:rsidP="00C515CC">
      <w:pPr>
        <w:jc w:val="center"/>
      </w:pPr>
    </w:p>
    <w:p w14:paraId="1A082179" w14:textId="77777777" w:rsidR="00951F81" w:rsidRPr="00C515CC" w:rsidRDefault="00951F81" w:rsidP="00C515CC">
      <w:pPr>
        <w:jc w:val="center"/>
      </w:pPr>
    </w:p>
    <w:p w14:paraId="44F8CD90" w14:textId="77777777" w:rsidR="00951F81" w:rsidRPr="00C515CC" w:rsidRDefault="00951F81" w:rsidP="00C515CC">
      <w:pPr>
        <w:jc w:val="center"/>
      </w:pPr>
    </w:p>
    <w:p w14:paraId="17F2E668" w14:textId="77777777" w:rsidR="00951F81" w:rsidRPr="00C515CC" w:rsidRDefault="00951F81" w:rsidP="00C515CC">
      <w:pPr>
        <w:jc w:val="center"/>
      </w:pPr>
    </w:p>
    <w:p w14:paraId="5C7DD622" w14:textId="77777777" w:rsidR="00951F81" w:rsidRPr="00C515CC" w:rsidRDefault="00951F81" w:rsidP="00C515CC">
      <w:pPr>
        <w:jc w:val="center"/>
      </w:pPr>
    </w:p>
    <w:p w14:paraId="628CB296" w14:textId="77777777" w:rsidR="00951F81" w:rsidRPr="00C515CC" w:rsidRDefault="00951F81" w:rsidP="00C515CC">
      <w:pPr>
        <w:jc w:val="center"/>
      </w:pPr>
    </w:p>
    <w:p w14:paraId="4AAC1555" w14:textId="77777777" w:rsidR="00951F81" w:rsidRPr="00C515CC" w:rsidRDefault="00951F81" w:rsidP="00C515CC">
      <w:pPr>
        <w:jc w:val="center"/>
      </w:pPr>
    </w:p>
    <w:p w14:paraId="46BB4CD9" w14:textId="77777777" w:rsidR="00951F81" w:rsidRPr="00C515CC" w:rsidRDefault="00951F81" w:rsidP="00C515CC">
      <w:pPr>
        <w:jc w:val="center"/>
      </w:pPr>
    </w:p>
    <w:p w14:paraId="1A7FFB0C" w14:textId="77777777" w:rsidR="00951F81" w:rsidRPr="00C515CC" w:rsidRDefault="00951F81" w:rsidP="00C515CC">
      <w:pPr>
        <w:jc w:val="center"/>
      </w:pPr>
    </w:p>
    <w:p w14:paraId="3ACEC983" w14:textId="77777777" w:rsidR="00951F81" w:rsidRPr="00C515CC" w:rsidRDefault="00951F81" w:rsidP="00C515CC">
      <w:pPr>
        <w:jc w:val="center"/>
      </w:pPr>
    </w:p>
    <w:p w14:paraId="2A156B60" w14:textId="77777777" w:rsidR="00951F81" w:rsidRPr="00C515CC" w:rsidRDefault="00951F81" w:rsidP="00C515CC">
      <w:pPr>
        <w:jc w:val="center"/>
      </w:pPr>
    </w:p>
    <w:p w14:paraId="12C511FA" w14:textId="77777777" w:rsidR="00951F81" w:rsidRPr="00C515CC" w:rsidRDefault="00951F81" w:rsidP="00C515CC">
      <w:pPr>
        <w:jc w:val="center"/>
      </w:pPr>
    </w:p>
    <w:p w14:paraId="2D4F5DF7" w14:textId="77777777" w:rsidR="00951F81" w:rsidRPr="00C515CC" w:rsidRDefault="00951F81" w:rsidP="00C515CC">
      <w:pPr>
        <w:jc w:val="center"/>
      </w:pPr>
    </w:p>
    <w:p w14:paraId="58D4A4C5" w14:textId="77777777" w:rsidR="00951F81" w:rsidRPr="00C515CC" w:rsidRDefault="00951F81" w:rsidP="00C515CC">
      <w:pPr>
        <w:jc w:val="center"/>
      </w:pPr>
    </w:p>
    <w:p w14:paraId="70C203D0" w14:textId="77777777" w:rsidR="00951F81" w:rsidRPr="00C515CC" w:rsidRDefault="00951F81" w:rsidP="00C515CC">
      <w:pPr>
        <w:jc w:val="center"/>
      </w:pPr>
    </w:p>
    <w:p w14:paraId="5E193221" w14:textId="77777777" w:rsidR="00951F81" w:rsidRPr="00C515CC" w:rsidRDefault="00951F81" w:rsidP="00C515CC">
      <w:pPr>
        <w:jc w:val="center"/>
      </w:pPr>
    </w:p>
    <w:p w14:paraId="07A507AA" w14:textId="77777777" w:rsidR="00951F81" w:rsidRPr="00C515CC" w:rsidRDefault="00951F81" w:rsidP="00C515CC">
      <w:pPr>
        <w:jc w:val="center"/>
      </w:pPr>
    </w:p>
    <w:p w14:paraId="6123B8E8" w14:textId="77777777" w:rsidR="00951F81" w:rsidRPr="00C515CC" w:rsidRDefault="00951F81" w:rsidP="00C515CC">
      <w:pPr>
        <w:jc w:val="center"/>
      </w:pPr>
    </w:p>
    <w:p w14:paraId="3279864E" w14:textId="77777777" w:rsidR="00951F81" w:rsidRPr="00C515CC" w:rsidRDefault="00951F81" w:rsidP="00C515CC">
      <w:pPr>
        <w:jc w:val="center"/>
      </w:pPr>
    </w:p>
    <w:p w14:paraId="7B2238FF" w14:textId="77777777" w:rsidR="00951F81" w:rsidRPr="00C515CC" w:rsidRDefault="00951F81" w:rsidP="00C515CC">
      <w:pPr>
        <w:jc w:val="center"/>
      </w:pPr>
    </w:p>
    <w:p w14:paraId="6AF18698" w14:textId="77777777" w:rsidR="00951F81" w:rsidRPr="00C515CC" w:rsidRDefault="00951F81" w:rsidP="00C515CC">
      <w:pPr>
        <w:jc w:val="center"/>
      </w:pPr>
    </w:p>
    <w:p w14:paraId="4EC56E14" w14:textId="77777777" w:rsidR="00951F81" w:rsidRPr="00C515CC" w:rsidRDefault="00951F81" w:rsidP="00390D1C">
      <w:pPr>
        <w:pStyle w:val="TitleA"/>
        <w:outlineLvl w:val="0"/>
      </w:pPr>
      <w:r w:rsidRPr="00C515CC">
        <w:t>B. BETEGTÁJÉKOZTATÓ</w:t>
      </w:r>
    </w:p>
    <w:p w14:paraId="071CCEA9" w14:textId="77777777" w:rsidR="00951F81" w:rsidRPr="00C515CC" w:rsidRDefault="00951F81" w:rsidP="00C515CC">
      <w:pPr>
        <w:tabs>
          <w:tab w:val="clear" w:pos="567"/>
        </w:tabs>
        <w:jc w:val="center"/>
        <w:rPr>
          <w:b/>
          <w:bCs/>
        </w:rPr>
      </w:pPr>
      <w:r w:rsidRPr="00C515CC">
        <w:br w:type="page"/>
      </w:r>
      <w:r w:rsidRPr="00C515CC">
        <w:rPr>
          <w:b/>
        </w:rPr>
        <w:t>Betegtájékoztató: Információk a felhasználó számára</w:t>
      </w:r>
    </w:p>
    <w:p w14:paraId="7730D141" w14:textId="77777777" w:rsidR="00951F81" w:rsidRPr="00C515CC" w:rsidRDefault="00951F81" w:rsidP="00C515CC">
      <w:pPr>
        <w:jc w:val="center"/>
      </w:pPr>
    </w:p>
    <w:p w14:paraId="26D89CBB" w14:textId="103B4EDD" w:rsidR="00951F81" w:rsidRPr="00C515CC" w:rsidRDefault="00A96EB8" w:rsidP="00C515CC">
      <w:pPr>
        <w:tabs>
          <w:tab w:val="clear" w:pos="567"/>
        </w:tabs>
        <w:jc w:val="center"/>
        <w:rPr>
          <w:b/>
          <w:bCs/>
        </w:rPr>
      </w:pPr>
      <w:r w:rsidRPr="00C515CC">
        <w:rPr>
          <w:b/>
        </w:rPr>
        <w:t>Kefdensis</w:t>
      </w:r>
      <w:r w:rsidR="00951F81" w:rsidRPr="00C515CC">
        <w:rPr>
          <w:b/>
        </w:rPr>
        <w:t xml:space="preserve"> 60 mg oldatos injekció előretöltött fecskendőben</w:t>
      </w:r>
    </w:p>
    <w:p w14:paraId="5F017DFC" w14:textId="77777777" w:rsidR="00951F81" w:rsidRPr="00C515CC" w:rsidRDefault="00951F81" w:rsidP="00C515CC">
      <w:pPr>
        <w:jc w:val="center"/>
      </w:pPr>
      <w:r w:rsidRPr="00C515CC">
        <w:t>denoszumab</w:t>
      </w:r>
    </w:p>
    <w:p w14:paraId="574B1465" w14:textId="77777777" w:rsidR="00951F81" w:rsidRPr="00C515CC" w:rsidRDefault="00951F81" w:rsidP="00C515CC">
      <w:pPr>
        <w:jc w:val="center"/>
      </w:pPr>
    </w:p>
    <w:p w14:paraId="7EF905AE" w14:textId="36821453" w:rsidR="009E337B" w:rsidRPr="00C515CC" w:rsidRDefault="009E337B" w:rsidP="00633DB8">
      <w:pPr>
        <w:tabs>
          <w:tab w:val="clear" w:pos="567"/>
          <w:tab w:val="left" w:pos="720"/>
        </w:tabs>
        <w:rPr>
          <w:rFonts w:eastAsia="Times New Roman"/>
        </w:rPr>
      </w:pPr>
      <w:r w:rsidRPr="00C515CC">
        <w:rPr>
          <w:rFonts w:eastAsia="Times New Roman"/>
          <w:noProof/>
          <w:lang w:eastAsia="hu-HU"/>
        </w:rPr>
        <w:drawing>
          <wp:inline distT="0" distB="0" distL="0" distR="0" wp14:anchorId="1E44519B" wp14:editId="3DFB6F77">
            <wp:extent cx="200025" cy="171450"/>
            <wp:effectExtent l="0" t="0" r="0" b="0"/>
            <wp:docPr id="130993025"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6893" name="Picture 2"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C515CC">
        <w:rPr>
          <w:rFonts w:eastAsia="Times New Roman" w:cs="Times"/>
        </w:rPr>
        <w:t xml:space="preserve"> </w:t>
      </w:r>
      <w:r w:rsidRPr="00C515CC">
        <w:rPr>
          <w:rFonts w:eastAsia="Times New Roman"/>
        </w:rPr>
        <w:t>Ez a gyógyszer fokozott felügyelet alatt áll</w:t>
      </w:r>
      <w:r w:rsidRPr="00C515CC">
        <w:rPr>
          <w:rFonts w:eastAsia="Times New Roman" w:cs="Times"/>
        </w:rPr>
        <w:t xml:space="preserve">, mely </w:t>
      </w:r>
      <w:r w:rsidRPr="00C515CC">
        <w:rPr>
          <w:rFonts w:eastAsia="Times New Roman"/>
        </w:rPr>
        <w:t>lehetővé teszi az új gyógyszerbiztonsági információk gyors azonosítását. Ehhez Ön is hozzájárulhat a tudomására jutó bármilyen mellékhatás bejelentésével.</w:t>
      </w:r>
      <w:r w:rsidR="00842464" w:rsidRPr="00C515CC">
        <w:rPr>
          <w:rFonts w:eastAsia="Times New Roman"/>
        </w:rPr>
        <w:t xml:space="preserve"> </w:t>
      </w:r>
      <w:r w:rsidRPr="00C515CC">
        <w:rPr>
          <w:rFonts w:eastAsia="Times New Roman"/>
        </w:rPr>
        <w:t>A mellékhatások jelentésének módjairól a 4. pont végén (Mellékhatások bejelentése) talál további tájékoztatást.</w:t>
      </w:r>
    </w:p>
    <w:p w14:paraId="31A1948C" w14:textId="77777777" w:rsidR="009E337B" w:rsidRPr="00C515CC" w:rsidRDefault="009E337B" w:rsidP="00633DB8"/>
    <w:p w14:paraId="765A5D73" w14:textId="77777777" w:rsidR="00951F81" w:rsidRPr="00C515CC" w:rsidRDefault="00951F81" w:rsidP="00C515CC">
      <w:pPr>
        <w:keepNext/>
        <w:rPr>
          <w:b/>
          <w:bCs/>
        </w:rPr>
      </w:pPr>
      <w:r w:rsidRPr="00C515CC">
        <w:rPr>
          <w:b/>
        </w:rPr>
        <w:t>Mielőtt elkezdi alkalmazni ezt a gyógyszert, olvassa el figyelmesen az alábbi betegtájékoztatót, mert az Ön számára fontos információkat tartalmaz.</w:t>
      </w:r>
    </w:p>
    <w:p w14:paraId="03C0012A" w14:textId="77777777" w:rsidR="00951F81" w:rsidRPr="00C515CC" w:rsidRDefault="00951F81" w:rsidP="00C515CC">
      <w:pPr>
        <w:numPr>
          <w:ilvl w:val="0"/>
          <w:numId w:val="56"/>
        </w:numPr>
        <w:ind w:left="567" w:hanging="567"/>
      </w:pPr>
      <w:r w:rsidRPr="00C515CC">
        <w:t>Tartsa meg a betegtájékoztatót, mert a benne szereplő információkra a későbbiekben is szüksége lehet.</w:t>
      </w:r>
    </w:p>
    <w:p w14:paraId="77F94973" w14:textId="77777777" w:rsidR="00951F81" w:rsidRPr="00C515CC" w:rsidRDefault="00951F81" w:rsidP="00C515CC">
      <w:pPr>
        <w:numPr>
          <w:ilvl w:val="0"/>
          <w:numId w:val="56"/>
        </w:numPr>
        <w:ind w:left="567" w:hanging="567"/>
      </w:pPr>
      <w:r w:rsidRPr="00C515CC">
        <w:t>További kérdéseivel forduljon kezelőorvosához vagy gyógyszerészéhez.</w:t>
      </w:r>
    </w:p>
    <w:p w14:paraId="3183AC87" w14:textId="77777777" w:rsidR="00951F81" w:rsidRPr="00C515CC" w:rsidRDefault="00951F81" w:rsidP="00C515CC">
      <w:pPr>
        <w:numPr>
          <w:ilvl w:val="0"/>
          <w:numId w:val="56"/>
        </w:numPr>
        <w:ind w:left="567" w:hanging="567"/>
      </w:pPr>
      <w:r w:rsidRPr="00C515CC">
        <w:t>Ezt a gyógyszert az orvos kizárólag Önnek írta fel. Ne adja át a készítményt másnak, mert számára ártalmas lehet még abban az esetben is, ha a betegsége tünetei az Önéhez hasonlóak.</w:t>
      </w:r>
    </w:p>
    <w:p w14:paraId="237E7250" w14:textId="77777777" w:rsidR="00951F81" w:rsidRPr="00C515CC" w:rsidRDefault="00951F81" w:rsidP="00C515CC">
      <w:pPr>
        <w:numPr>
          <w:ilvl w:val="0"/>
          <w:numId w:val="56"/>
        </w:numPr>
        <w:ind w:left="567" w:hanging="567"/>
      </w:pPr>
      <w:r w:rsidRPr="00C515CC">
        <w:t>Ha Önnél bármilyen mellékhatás jelentkezik, tájékoztassa erről kezelőorvosát vagy gyógyszerészét. Ez a betegtájékoztatóban fel nem sorolt bármilyen lehetséges mellékhatásra is vonatkozik. Lásd 4. pont.</w:t>
      </w:r>
    </w:p>
    <w:p w14:paraId="44F4348A" w14:textId="5E1584D1" w:rsidR="00951F81" w:rsidRPr="00C515CC" w:rsidRDefault="009E337B" w:rsidP="00C515CC">
      <w:pPr>
        <w:numPr>
          <w:ilvl w:val="0"/>
          <w:numId w:val="56"/>
        </w:numPr>
        <w:ind w:left="567" w:hanging="567"/>
      </w:pPr>
      <w:r w:rsidRPr="00C515CC">
        <w:t>Kapni fog</w:t>
      </w:r>
      <w:r w:rsidR="00951F81" w:rsidRPr="00C515CC">
        <w:t xml:space="preserve"> egy </w:t>
      </w:r>
      <w:r w:rsidR="007D1A60">
        <w:t>beteg</w:t>
      </w:r>
      <w:r w:rsidR="00951F81" w:rsidRPr="00C515CC">
        <w:t xml:space="preserve">kártyát. Ez fontos biztonságossági információkat tartalmaz, melyekkel tisztában kell lennie a </w:t>
      </w:r>
      <w:r w:rsidR="00A96EB8" w:rsidRPr="00C515CC">
        <w:t>Kefdensis</w:t>
      </w:r>
      <w:r w:rsidR="00951F81" w:rsidRPr="00C515CC">
        <w:noBreakHyphen/>
        <w:t>kezelés előtt és alatt.</w:t>
      </w:r>
    </w:p>
    <w:p w14:paraId="679064ED" w14:textId="77777777" w:rsidR="00951F81" w:rsidRPr="00C515CC" w:rsidRDefault="00951F81" w:rsidP="00C515CC"/>
    <w:p w14:paraId="297CCD4A" w14:textId="77777777" w:rsidR="00951F81" w:rsidRPr="00C515CC" w:rsidRDefault="00951F81" w:rsidP="00C515CC">
      <w:pPr>
        <w:keepNext/>
        <w:rPr>
          <w:b/>
        </w:rPr>
      </w:pPr>
      <w:r w:rsidRPr="00C515CC">
        <w:rPr>
          <w:b/>
        </w:rPr>
        <w:t>A betegtájékoztató tartalma:</w:t>
      </w:r>
    </w:p>
    <w:p w14:paraId="3D1F54B1" w14:textId="77777777" w:rsidR="00194A98" w:rsidRPr="00C515CC" w:rsidRDefault="00194A98" w:rsidP="00C515CC">
      <w:pPr>
        <w:keepNext/>
      </w:pPr>
    </w:p>
    <w:p w14:paraId="33DC46A8" w14:textId="4C6EA445" w:rsidR="00951F81" w:rsidRPr="00C515CC" w:rsidRDefault="00194A98" w:rsidP="00633DB8">
      <w:r w:rsidRPr="00C515CC">
        <w:t>1.</w:t>
      </w:r>
      <w:r w:rsidRPr="00C515CC">
        <w:tab/>
      </w:r>
      <w:r w:rsidR="00951F81" w:rsidRPr="00C515CC">
        <w:t xml:space="preserve">Milyen típusú gyógyszer a </w:t>
      </w:r>
      <w:r w:rsidR="00A96EB8" w:rsidRPr="00C515CC">
        <w:t>Kefdensis</w:t>
      </w:r>
      <w:r w:rsidR="00951F81" w:rsidRPr="00C515CC">
        <w:t xml:space="preserve"> és milyen betegségek esetén alkalmazható?</w:t>
      </w:r>
    </w:p>
    <w:p w14:paraId="248F6C68" w14:textId="4BA0C102" w:rsidR="00951F81" w:rsidRPr="00C515CC" w:rsidRDefault="00194A98" w:rsidP="00633DB8">
      <w:r w:rsidRPr="00C515CC">
        <w:t>2.</w:t>
      </w:r>
      <w:r w:rsidRPr="00C515CC">
        <w:tab/>
      </w:r>
      <w:r w:rsidR="00951F81" w:rsidRPr="00C515CC">
        <w:t xml:space="preserve">Tudnivalók a </w:t>
      </w:r>
      <w:r w:rsidR="00A96EB8" w:rsidRPr="00C515CC">
        <w:t>Kefdensis</w:t>
      </w:r>
      <w:r w:rsidR="00951F81" w:rsidRPr="00C515CC">
        <w:t xml:space="preserve"> alkalmazása előtt</w:t>
      </w:r>
    </w:p>
    <w:p w14:paraId="2D3E8F4D" w14:textId="711950AD" w:rsidR="00951F81" w:rsidRPr="00C515CC" w:rsidRDefault="00194A98" w:rsidP="00633DB8">
      <w:r w:rsidRPr="00C515CC">
        <w:t>3.</w:t>
      </w:r>
      <w:r w:rsidRPr="00C515CC">
        <w:tab/>
      </w:r>
      <w:r w:rsidR="00951F81" w:rsidRPr="00C515CC">
        <w:t xml:space="preserve">Hogyan kell alkalmazni a </w:t>
      </w:r>
      <w:r w:rsidR="00A96EB8" w:rsidRPr="00C515CC">
        <w:t>Kefdensis</w:t>
      </w:r>
      <w:r w:rsidR="00951F81" w:rsidRPr="00C515CC">
        <w:noBreakHyphen/>
        <w:t>t?</w:t>
      </w:r>
    </w:p>
    <w:p w14:paraId="540C3551" w14:textId="6F884B89" w:rsidR="00951F81" w:rsidRPr="00C515CC" w:rsidRDefault="00194A98" w:rsidP="00633DB8">
      <w:r w:rsidRPr="00C515CC">
        <w:t>4.</w:t>
      </w:r>
      <w:r w:rsidRPr="00C515CC">
        <w:tab/>
      </w:r>
      <w:r w:rsidR="00951F81" w:rsidRPr="00C515CC">
        <w:t>Lehetséges mellékhatások</w:t>
      </w:r>
    </w:p>
    <w:p w14:paraId="7366550A" w14:textId="7338ECB6" w:rsidR="00951F81" w:rsidRPr="00C515CC" w:rsidRDefault="00194A98" w:rsidP="00633DB8">
      <w:r w:rsidRPr="00C515CC">
        <w:t>5.</w:t>
      </w:r>
      <w:r w:rsidRPr="00C515CC">
        <w:tab/>
      </w:r>
      <w:r w:rsidR="00951F81" w:rsidRPr="00C515CC">
        <w:t xml:space="preserve">Hogyan kell a </w:t>
      </w:r>
      <w:r w:rsidR="00A96EB8" w:rsidRPr="00C515CC">
        <w:t>Kefdensis</w:t>
      </w:r>
      <w:r w:rsidR="00951F81" w:rsidRPr="00C515CC">
        <w:noBreakHyphen/>
        <w:t>t tárolni?</w:t>
      </w:r>
    </w:p>
    <w:p w14:paraId="37D96110" w14:textId="0668B061" w:rsidR="00951F81" w:rsidRPr="00C515CC" w:rsidRDefault="00194A98" w:rsidP="00633DB8">
      <w:r w:rsidRPr="00C515CC">
        <w:t>6.</w:t>
      </w:r>
      <w:r w:rsidRPr="00C515CC">
        <w:tab/>
      </w:r>
      <w:r w:rsidR="00951F81" w:rsidRPr="00C515CC">
        <w:t>A csomagolás tartalma és egyéb információk</w:t>
      </w:r>
    </w:p>
    <w:p w14:paraId="296D632D" w14:textId="77777777" w:rsidR="00951F81" w:rsidRPr="00C515CC" w:rsidRDefault="00951F81" w:rsidP="00C515CC">
      <w:pPr>
        <w:numPr>
          <w:ilvl w:val="12"/>
          <w:numId w:val="0"/>
        </w:numPr>
      </w:pPr>
    </w:p>
    <w:p w14:paraId="6482904F" w14:textId="77777777" w:rsidR="00951F81" w:rsidRPr="00C515CC" w:rsidRDefault="00951F81" w:rsidP="00C515CC">
      <w:pPr>
        <w:numPr>
          <w:ilvl w:val="12"/>
          <w:numId w:val="0"/>
        </w:numPr>
      </w:pPr>
    </w:p>
    <w:p w14:paraId="7FE7142A" w14:textId="69DE09A9" w:rsidR="00951F81" w:rsidRPr="00C515CC" w:rsidRDefault="00951F81" w:rsidP="00C515CC">
      <w:pPr>
        <w:keepNext/>
        <w:tabs>
          <w:tab w:val="clear" w:pos="567"/>
        </w:tabs>
        <w:ind w:left="567" w:hanging="567"/>
        <w:rPr>
          <w:b/>
        </w:rPr>
      </w:pPr>
      <w:r w:rsidRPr="00C515CC">
        <w:rPr>
          <w:b/>
        </w:rPr>
        <w:t>1.</w:t>
      </w:r>
      <w:r w:rsidRPr="00C515CC">
        <w:rPr>
          <w:b/>
        </w:rPr>
        <w:tab/>
        <w:t xml:space="preserve">Milyen típusú gyógyszer a </w:t>
      </w:r>
      <w:r w:rsidR="00A96EB8" w:rsidRPr="00C515CC">
        <w:rPr>
          <w:b/>
        </w:rPr>
        <w:t>Kefdensis</w:t>
      </w:r>
      <w:r w:rsidRPr="00C515CC">
        <w:rPr>
          <w:b/>
        </w:rPr>
        <w:t xml:space="preserve"> és milyen betegségek esetén alkalmazható?</w:t>
      </w:r>
    </w:p>
    <w:p w14:paraId="5EFD9DEB" w14:textId="77777777" w:rsidR="00951F81" w:rsidRPr="00C515CC" w:rsidRDefault="00951F81" w:rsidP="00C515CC">
      <w:pPr>
        <w:keepNext/>
      </w:pPr>
    </w:p>
    <w:p w14:paraId="42A03A94" w14:textId="062588DE" w:rsidR="00951F81" w:rsidRPr="00C515CC" w:rsidRDefault="00951F81" w:rsidP="00C515CC">
      <w:pPr>
        <w:keepNext/>
        <w:rPr>
          <w:b/>
          <w:bCs/>
        </w:rPr>
      </w:pPr>
      <w:r w:rsidRPr="00C515CC">
        <w:rPr>
          <w:b/>
        </w:rPr>
        <w:t xml:space="preserve">Milyen típusú gyógyszer a </w:t>
      </w:r>
      <w:r w:rsidR="00A96EB8" w:rsidRPr="00C515CC">
        <w:rPr>
          <w:b/>
        </w:rPr>
        <w:t>Kefdensis</w:t>
      </w:r>
      <w:r w:rsidRPr="00C515CC">
        <w:rPr>
          <w:b/>
        </w:rPr>
        <w:t xml:space="preserve"> és hogyan fejti ki hatását?</w:t>
      </w:r>
    </w:p>
    <w:p w14:paraId="17F4236C" w14:textId="77777777" w:rsidR="00951F81" w:rsidRPr="00C515CC" w:rsidRDefault="00951F81" w:rsidP="00C515CC">
      <w:pPr>
        <w:keepNext/>
      </w:pPr>
    </w:p>
    <w:p w14:paraId="0BFFB00B" w14:textId="4C6674F7" w:rsidR="00951F81" w:rsidRPr="00C515CC" w:rsidRDefault="00951F81" w:rsidP="00C515CC">
      <w:pPr>
        <w:tabs>
          <w:tab w:val="clear" w:pos="567"/>
        </w:tabs>
      </w:pPr>
      <w:r w:rsidRPr="00C515CC">
        <w:t xml:space="preserve">A </w:t>
      </w:r>
      <w:r w:rsidR="00A96EB8" w:rsidRPr="00C515CC">
        <w:t>Kefdensis</w:t>
      </w:r>
      <w:r w:rsidRPr="00C515CC">
        <w:t xml:space="preserve"> denoszumabot, egy másik fehérje hatását befolyásoló fehérjét (monoklonális antitestet) tartalmaz, csontvesztés és csontritkulás (oszteoporózis) kezelése céljából. A </w:t>
      </w:r>
      <w:r w:rsidR="00A96EB8" w:rsidRPr="00C515CC">
        <w:t>Kefdensis</w:t>
      </w:r>
      <w:r w:rsidRPr="00C515CC">
        <w:noBreakHyphen/>
        <w:t>kezelés növeli a csontok szilárdságát, és csökkenti a csonttörés valószínűségét.</w:t>
      </w:r>
    </w:p>
    <w:p w14:paraId="6B11463F" w14:textId="77777777" w:rsidR="00951F81" w:rsidRPr="00C515CC" w:rsidRDefault="00951F81" w:rsidP="00C515CC">
      <w:pPr>
        <w:tabs>
          <w:tab w:val="clear" w:pos="567"/>
        </w:tabs>
      </w:pPr>
    </w:p>
    <w:p w14:paraId="10C0DE31" w14:textId="7A951F89" w:rsidR="00951F81" w:rsidRPr="00C515CC" w:rsidRDefault="00951F81" w:rsidP="00C515CC">
      <w:pPr>
        <w:tabs>
          <w:tab w:val="clear" w:pos="567"/>
        </w:tabs>
      </w:pPr>
      <w:r w:rsidRPr="00C515CC">
        <w:t>A csont élő szövet, amely állandóan megújul. A csontok egészségét az ösztrogén segít fenntartani. A menopauza után lecsökken az ösztrogénszint, emiatt a csontok elvékonyodhatnak, és törékennyé válhatnak. Ez végül az oszteoporózis néven ismert betegség kialakulásához vezethet. Oszteoporózis számos okból kifolyólag férfiaknál is kialakulhat, többek között az öregedés és/vagy a tesztoszteron, a férfi nemi hormon alacsony szintje miatt. Oszteoporózis glükokortikoidokkal kezelt betegeknél is előfordulhat. Számos csontritkulásos beteg panaszmentes, ám ennek ellenére fenyegeti őket a csonttörés, legfőképpen a csigolya</w:t>
      </w:r>
      <w:r w:rsidRPr="00C515CC">
        <w:noBreakHyphen/>
        <w:t xml:space="preserve">, a csípőtáji </w:t>
      </w:r>
      <w:r w:rsidR="007D1A60">
        <w:t xml:space="preserve">törés </w:t>
      </w:r>
      <w:r w:rsidRPr="00C515CC">
        <w:t xml:space="preserve">és a csuklótörés </w:t>
      </w:r>
      <w:r w:rsidR="007D1A60">
        <w:t>kockázata</w:t>
      </w:r>
      <w:r w:rsidRPr="00C515CC">
        <w:t>.</w:t>
      </w:r>
    </w:p>
    <w:p w14:paraId="5218C8A7" w14:textId="77777777" w:rsidR="00951F81" w:rsidRPr="00C515CC" w:rsidRDefault="00951F81" w:rsidP="00C515CC">
      <w:pPr>
        <w:tabs>
          <w:tab w:val="clear" w:pos="567"/>
        </w:tabs>
      </w:pPr>
    </w:p>
    <w:p w14:paraId="1BD69A1E" w14:textId="69C6F42A" w:rsidR="00951F81" w:rsidRPr="00C515CC" w:rsidRDefault="00951F81" w:rsidP="00C515CC">
      <w:pPr>
        <w:tabs>
          <w:tab w:val="clear" w:pos="567"/>
        </w:tabs>
      </w:pPr>
      <w:r w:rsidRPr="00C515CC">
        <w:t>Az emlő</w:t>
      </w:r>
      <w:r w:rsidR="007D1A60">
        <w:t xml:space="preserve"> rosszindulatú daganatában</w:t>
      </w:r>
      <w:r w:rsidRPr="00C515CC">
        <w:t xml:space="preserve"> vagy </w:t>
      </w:r>
      <w:r w:rsidR="007D1A60">
        <w:t xml:space="preserve">rosszindulatú </w:t>
      </w:r>
      <w:r w:rsidRPr="00C515CC">
        <w:t>prosztata</w:t>
      </w:r>
      <w:r w:rsidR="007D1A60">
        <w:t>daganatban szenvedő</w:t>
      </w:r>
      <w:r w:rsidRPr="00C515CC">
        <w:t xml:space="preserve"> betegeknél az ösztrogéntermelést vagy a tesztoszterontermelést leállító műtét vagy gyógyszeres kezelés úgyszintén csontvesztéshez vezethet. A csontok meggyengülnek, és könnyebben eltörnek.</w:t>
      </w:r>
    </w:p>
    <w:p w14:paraId="12E33683" w14:textId="77777777" w:rsidR="00951F81" w:rsidRPr="00C515CC" w:rsidRDefault="00951F81" w:rsidP="00C515CC">
      <w:pPr>
        <w:tabs>
          <w:tab w:val="clear" w:pos="567"/>
        </w:tabs>
      </w:pPr>
    </w:p>
    <w:p w14:paraId="31AEE940" w14:textId="11A1F403" w:rsidR="00951F81" w:rsidRPr="00C515CC" w:rsidRDefault="00951F81" w:rsidP="00C515CC">
      <w:pPr>
        <w:keepNext/>
        <w:tabs>
          <w:tab w:val="clear" w:pos="567"/>
        </w:tabs>
        <w:rPr>
          <w:b/>
          <w:bCs/>
        </w:rPr>
      </w:pPr>
      <w:r w:rsidRPr="00C515CC">
        <w:rPr>
          <w:b/>
        </w:rPr>
        <w:t xml:space="preserve">Milyen betegségek esetén alkalmazható a </w:t>
      </w:r>
      <w:r w:rsidR="00A96EB8" w:rsidRPr="00C515CC">
        <w:rPr>
          <w:b/>
        </w:rPr>
        <w:t>Kefdensis</w:t>
      </w:r>
      <w:r w:rsidRPr="00C515CC">
        <w:rPr>
          <w:b/>
        </w:rPr>
        <w:t>?</w:t>
      </w:r>
    </w:p>
    <w:p w14:paraId="1E3715CB" w14:textId="77777777" w:rsidR="00951F81" w:rsidRPr="00C515CC" w:rsidRDefault="00951F81" w:rsidP="00C515CC">
      <w:pPr>
        <w:keepNext/>
      </w:pPr>
    </w:p>
    <w:p w14:paraId="424BC28B" w14:textId="0D1AC71F" w:rsidR="00951F81" w:rsidRPr="00C515CC" w:rsidRDefault="00951F81" w:rsidP="00C515CC">
      <w:pPr>
        <w:keepNext/>
        <w:tabs>
          <w:tab w:val="clear" w:pos="567"/>
        </w:tabs>
      </w:pPr>
      <w:r w:rsidRPr="00C515CC">
        <w:t xml:space="preserve">A </w:t>
      </w:r>
      <w:r w:rsidR="00A96EB8" w:rsidRPr="00C515CC">
        <w:t>Kefdensis</w:t>
      </w:r>
      <w:r w:rsidRPr="00C515CC">
        <w:t xml:space="preserve"> az alábbi megbetegedések kezelésére alkalmazható:</w:t>
      </w:r>
    </w:p>
    <w:p w14:paraId="6F73385E" w14:textId="620FD4F0" w:rsidR="00951F81" w:rsidRPr="00C515CC" w:rsidRDefault="00951F81" w:rsidP="00C515CC">
      <w:pPr>
        <w:numPr>
          <w:ilvl w:val="0"/>
          <w:numId w:val="54"/>
        </w:numPr>
        <w:tabs>
          <w:tab w:val="clear" w:pos="567"/>
        </w:tabs>
        <w:ind w:left="567" w:hanging="567"/>
      </w:pPr>
      <w:r w:rsidRPr="00C515CC">
        <w:t>a menopauza után lévő (posztmenopauzában lévő) nők oszteoporózisában és férfiaknál, akiknél fokozott a csonttörés kockázata, a csigolya</w:t>
      </w:r>
      <w:r w:rsidR="00A30743">
        <w:t>törés</w:t>
      </w:r>
      <w:r w:rsidRPr="00C515CC">
        <w:t>, a nem csigolyát érintő</w:t>
      </w:r>
      <w:r w:rsidR="00A30743">
        <w:t xml:space="preserve"> törés</w:t>
      </w:r>
      <w:r w:rsidRPr="00C515CC">
        <w:t xml:space="preserve"> és a csípőtáji törések </w:t>
      </w:r>
      <w:r w:rsidR="00A30743">
        <w:t>kockázatának</w:t>
      </w:r>
      <w:r w:rsidR="00A30743" w:rsidRPr="00C515CC">
        <w:t xml:space="preserve"> </w:t>
      </w:r>
      <w:r w:rsidRPr="00C515CC">
        <w:t>csökkentésére.</w:t>
      </w:r>
    </w:p>
    <w:p w14:paraId="3246613D" w14:textId="1468F94B" w:rsidR="00951F81" w:rsidRPr="00C515CC" w:rsidRDefault="00951F81" w:rsidP="00C515CC">
      <w:pPr>
        <w:keepNext/>
        <w:numPr>
          <w:ilvl w:val="0"/>
          <w:numId w:val="54"/>
        </w:numPr>
        <w:tabs>
          <w:tab w:val="clear" w:pos="567"/>
        </w:tabs>
        <w:ind w:left="567" w:hanging="567"/>
      </w:pPr>
      <w:r w:rsidRPr="00C515CC">
        <w:t xml:space="preserve">csontvesztés, amely </w:t>
      </w:r>
      <w:r w:rsidR="00A30743">
        <w:t xml:space="preserve">a rosszindulatú </w:t>
      </w:r>
      <w:r w:rsidRPr="00C515CC">
        <w:t>prosztata</w:t>
      </w:r>
      <w:r w:rsidR="00A30743">
        <w:t>daganatban szenvedő</w:t>
      </w:r>
      <w:r w:rsidRPr="00C515CC">
        <w:t xml:space="preserve"> betegeknél a hormon</w:t>
      </w:r>
      <w:r w:rsidRPr="00C515CC">
        <w:noBreakHyphen/>
        <w:t xml:space="preserve"> (tesztoszteron</w:t>
      </w:r>
      <w:r w:rsidRPr="00C515CC">
        <w:noBreakHyphen/>
        <w:t>) szintek műtéti vagy gyógyszeres kezelés okozta csökkenése miatt alakul ki.</w:t>
      </w:r>
    </w:p>
    <w:p w14:paraId="510D3B00" w14:textId="77777777" w:rsidR="00951F81" w:rsidRPr="00C515CC" w:rsidRDefault="00951F81" w:rsidP="00C515CC">
      <w:pPr>
        <w:keepNext/>
        <w:numPr>
          <w:ilvl w:val="0"/>
          <w:numId w:val="54"/>
        </w:numPr>
        <w:tabs>
          <w:tab w:val="clear" w:pos="567"/>
        </w:tabs>
        <w:ind w:left="567" w:hanging="567"/>
      </w:pPr>
      <w:r w:rsidRPr="00C515CC">
        <w:t>hosszú távú glükokortikoid kezelés miatt kialakult csontvesztés, olyan betegeknél, akiknél fokozott a csonttörés kockázata.</w:t>
      </w:r>
    </w:p>
    <w:p w14:paraId="039D40AD" w14:textId="77777777" w:rsidR="00951F81" w:rsidRPr="00C515CC" w:rsidRDefault="00951F81" w:rsidP="00C515CC">
      <w:pPr>
        <w:numPr>
          <w:ilvl w:val="12"/>
          <w:numId w:val="0"/>
        </w:numPr>
      </w:pPr>
    </w:p>
    <w:p w14:paraId="42C6DFE0" w14:textId="77777777" w:rsidR="00951F81" w:rsidRPr="00C515CC" w:rsidRDefault="00951F81" w:rsidP="00C515CC">
      <w:pPr>
        <w:numPr>
          <w:ilvl w:val="12"/>
          <w:numId w:val="0"/>
        </w:numPr>
      </w:pPr>
    </w:p>
    <w:p w14:paraId="62876299" w14:textId="5755B44C" w:rsidR="00951F81" w:rsidRPr="00C515CC" w:rsidRDefault="00951F81" w:rsidP="00C515CC">
      <w:pPr>
        <w:keepNext/>
        <w:tabs>
          <w:tab w:val="clear" w:pos="567"/>
        </w:tabs>
        <w:ind w:left="567" w:hanging="567"/>
        <w:rPr>
          <w:b/>
        </w:rPr>
      </w:pPr>
      <w:r w:rsidRPr="00C515CC">
        <w:rPr>
          <w:b/>
        </w:rPr>
        <w:t>2.</w:t>
      </w:r>
      <w:r w:rsidRPr="00C515CC">
        <w:rPr>
          <w:b/>
        </w:rPr>
        <w:tab/>
        <w:t xml:space="preserve">Tudnivalók a </w:t>
      </w:r>
      <w:r w:rsidR="00A96EB8" w:rsidRPr="00C515CC">
        <w:rPr>
          <w:b/>
        </w:rPr>
        <w:t>Kefdensis</w:t>
      </w:r>
      <w:r w:rsidRPr="00C515CC">
        <w:rPr>
          <w:b/>
        </w:rPr>
        <w:t xml:space="preserve"> alkalmazása előtt</w:t>
      </w:r>
    </w:p>
    <w:p w14:paraId="7EDE79B2" w14:textId="77777777" w:rsidR="00951F81" w:rsidRPr="00C515CC" w:rsidRDefault="00951F81" w:rsidP="00C515CC">
      <w:pPr>
        <w:keepNext/>
      </w:pPr>
    </w:p>
    <w:p w14:paraId="37EF9401" w14:textId="0DF29EC1" w:rsidR="00951F81" w:rsidRPr="00C515CC" w:rsidRDefault="00951F81" w:rsidP="00C515CC">
      <w:pPr>
        <w:keepNext/>
        <w:tabs>
          <w:tab w:val="clear" w:pos="567"/>
        </w:tabs>
        <w:rPr>
          <w:b/>
          <w:bCs/>
        </w:rPr>
      </w:pPr>
      <w:r w:rsidRPr="00C515CC">
        <w:rPr>
          <w:b/>
        </w:rPr>
        <w:t xml:space="preserve">Ne alkalmazza a </w:t>
      </w:r>
      <w:r w:rsidR="00A96EB8" w:rsidRPr="00C515CC">
        <w:rPr>
          <w:b/>
        </w:rPr>
        <w:t>Kefdensis</w:t>
      </w:r>
      <w:r w:rsidRPr="00C515CC">
        <w:rPr>
          <w:b/>
        </w:rPr>
        <w:noBreakHyphen/>
        <w:t>t</w:t>
      </w:r>
    </w:p>
    <w:p w14:paraId="7D0DCB64" w14:textId="77777777" w:rsidR="00951F81" w:rsidRPr="00C515CC" w:rsidRDefault="00951F81" w:rsidP="00C515CC">
      <w:pPr>
        <w:keepNext/>
      </w:pPr>
    </w:p>
    <w:p w14:paraId="1540C426" w14:textId="77777777" w:rsidR="00951F81" w:rsidRPr="00C515CC" w:rsidRDefault="00951F81" w:rsidP="00C515CC">
      <w:pPr>
        <w:numPr>
          <w:ilvl w:val="0"/>
          <w:numId w:val="54"/>
        </w:numPr>
        <w:tabs>
          <w:tab w:val="clear" w:pos="567"/>
        </w:tabs>
        <w:ind w:left="567" w:hanging="567"/>
      </w:pPr>
      <w:r w:rsidRPr="00C515CC">
        <w:t>ha alacsony a vérében a kalciumszint (úgynevezett hipokalcémia),</w:t>
      </w:r>
    </w:p>
    <w:p w14:paraId="70B1B35A" w14:textId="77777777" w:rsidR="00951F81" w:rsidRPr="00C515CC" w:rsidRDefault="00951F81" w:rsidP="00C515CC">
      <w:pPr>
        <w:numPr>
          <w:ilvl w:val="0"/>
          <w:numId w:val="54"/>
        </w:numPr>
        <w:tabs>
          <w:tab w:val="clear" w:pos="567"/>
        </w:tabs>
        <w:ind w:left="567" w:hanging="567"/>
      </w:pPr>
      <w:r w:rsidRPr="00C515CC">
        <w:t>ha allergiás a denoszumabra vagy a gyógyszer (6. pontban felsorolt) egyéb összetevőjére.</w:t>
      </w:r>
    </w:p>
    <w:p w14:paraId="6C3A83D2" w14:textId="77777777" w:rsidR="00951F81" w:rsidRPr="00C515CC" w:rsidRDefault="00951F81" w:rsidP="00C515CC">
      <w:pPr>
        <w:numPr>
          <w:ilvl w:val="12"/>
          <w:numId w:val="0"/>
        </w:numPr>
        <w:ind w:right="-2"/>
      </w:pPr>
    </w:p>
    <w:p w14:paraId="1BE00082" w14:textId="77777777" w:rsidR="00951F81" w:rsidRPr="00C515CC" w:rsidRDefault="00951F81" w:rsidP="00C515CC">
      <w:pPr>
        <w:keepNext/>
        <w:tabs>
          <w:tab w:val="clear" w:pos="567"/>
        </w:tabs>
        <w:rPr>
          <w:b/>
          <w:bCs/>
        </w:rPr>
      </w:pPr>
      <w:r w:rsidRPr="00C515CC">
        <w:rPr>
          <w:b/>
        </w:rPr>
        <w:t>Figyelmeztetések és óvintézkedések</w:t>
      </w:r>
    </w:p>
    <w:p w14:paraId="7B804062" w14:textId="77777777" w:rsidR="00951F81" w:rsidRPr="00C515CC" w:rsidRDefault="00951F81" w:rsidP="00C515CC">
      <w:pPr>
        <w:keepNext/>
      </w:pPr>
    </w:p>
    <w:p w14:paraId="0232E28C" w14:textId="2FC10F1B" w:rsidR="00951F81" w:rsidRPr="00C515CC" w:rsidRDefault="00951F81" w:rsidP="00C515CC">
      <w:pPr>
        <w:tabs>
          <w:tab w:val="clear" w:pos="567"/>
        </w:tabs>
      </w:pPr>
      <w:r w:rsidRPr="00C515CC">
        <w:t xml:space="preserve">A </w:t>
      </w:r>
      <w:r w:rsidR="00A96EB8" w:rsidRPr="00C515CC">
        <w:t>Kefdensis</w:t>
      </w:r>
      <w:r w:rsidRPr="00C515CC">
        <w:t xml:space="preserve"> alkalmazása előtt beszéljen kezelőorvosával vagy gyógyszerészével.</w:t>
      </w:r>
    </w:p>
    <w:p w14:paraId="7529BA8C" w14:textId="77777777" w:rsidR="00951F81" w:rsidRPr="00C515CC" w:rsidRDefault="00951F81" w:rsidP="00C515CC">
      <w:pPr>
        <w:tabs>
          <w:tab w:val="clear" w:pos="567"/>
        </w:tabs>
      </w:pPr>
    </w:p>
    <w:p w14:paraId="5CE674B6" w14:textId="1C6D531B" w:rsidR="00951F81" w:rsidRPr="00C515CC" w:rsidRDefault="00A96EB8" w:rsidP="00C515CC">
      <w:pPr>
        <w:tabs>
          <w:tab w:val="clear" w:pos="567"/>
        </w:tabs>
      </w:pPr>
      <w:r w:rsidRPr="00C515CC">
        <w:t>Kefdensis</w:t>
      </w:r>
      <w:r w:rsidR="00951F81" w:rsidRPr="00C515CC">
        <w:t xml:space="preserve"> alkalmazása során tünetekkel járó bőrfertőzés alakulhat ki, például duzzadt, vörös bőrterület, leggyakrabban a lábszáron, amely forró és érzékeny (kötőszövet</w:t>
      </w:r>
      <w:r w:rsidR="00951F81" w:rsidRPr="00C515CC">
        <w:noBreakHyphen/>
        <w:t>gyulladás), és amely esetleg lázas tüneteket is okozhat. Kérjük, haladéktalanul tájékoztassa kezelőorvosát arról, ha ezek közül a tünetek közül bármelyik kialakul Önnél.</w:t>
      </w:r>
    </w:p>
    <w:p w14:paraId="10185199" w14:textId="77777777" w:rsidR="00951F81" w:rsidRPr="00C515CC" w:rsidRDefault="00951F81" w:rsidP="00C515CC">
      <w:pPr>
        <w:tabs>
          <w:tab w:val="clear" w:pos="567"/>
        </w:tabs>
      </w:pPr>
    </w:p>
    <w:p w14:paraId="0FFF0824" w14:textId="2919F38C" w:rsidR="00951F81" w:rsidRPr="00C515CC" w:rsidRDefault="00951F81" w:rsidP="00C515CC">
      <w:pPr>
        <w:tabs>
          <w:tab w:val="clear" w:pos="567"/>
        </w:tabs>
      </w:pPr>
      <w:r w:rsidRPr="00C515CC">
        <w:t>Kalcium</w:t>
      </w:r>
      <w:r w:rsidRPr="00C515CC">
        <w:noBreakHyphen/>
        <w:t xml:space="preserve"> és D</w:t>
      </w:r>
      <w:r w:rsidRPr="00C515CC">
        <w:noBreakHyphen/>
        <w:t>vitamin</w:t>
      </w:r>
      <w:r w:rsidRPr="00C515CC">
        <w:noBreakHyphen/>
        <w:t xml:space="preserve">pótló készítményeket is szednie kell, amíg </w:t>
      </w:r>
      <w:r w:rsidR="00A96EB8" w:rsidRPr="00C515CC">
        <w:t>Kefdensis</w:t>
      </w:r>
      <w:r w:rsidRPr="00C515CC">
        <w:noBreakHyphen/>
        <w:t>kezelésben részesül. Kezelőorvosa megbeszéli ezt Önnel.</w:t>
      </w:r>
    </w:p>
    <w:p w14:paraId="45E81156" w14:textId="77777777" w:rsidR="00951F81" w:rsidRPr="00C515CC" w:rsidRDefault="00951F81" w:rsidP="00C515CC">
      <w:pPr>
        <w:tabs>
          <w:tab w:val="clear" w:pos="567"/>
        </w:tabs>
      </w:pPr>
    </w:p>
    <w:p w14:paraId="72EDFC49" w14:textId="31F2CF34" w:rsidR="00951F81" w:rsidRPr="00C515CC" w:rsidRDefault="00951F81" w:rsidP="00C515CC">
      <w:pPr>
        <w:tabs>
          <w:tab w:val="clear" w:pos="567"/>
        </w:tabs>
      </w:pPr>
      <w:r w:rsidRPr="00C515CC">
        <w:t xml:space="preserve">A </w:t>
      </w:r>
      <w:r w:rsidR="00A96EB8" w:rsidRPr="00C515CC">
        <w:t>Kefdensis</w:t>
      </w:r>
      <w:r w:rsidRPr="00C515CC">
        <w:noBreakHyphen/>
        <w:t>kezelés időszakában alacsony lehet a vér kalciumszintje. Kérjük, haladéktalanul tájékoztassa kezelőorvosát arról, ha a következő tünetek bármelyikét észleli: izomfeszülések</w:t>
      </w:r>
      <w:r w:rsidR="00A30743">
        <w:t>, izom</w:t>
      </w:r>
      <w:r w:rsidRPr="00C515CC">
        <w:t xml:space="preserve">rángások vagy </w:t>
      </w:r>
      <w:r w:rsidR="00A30743">
        <w:t>izom</w:t>
      </w:r>
      <w:r w:rsidRPr="00C515CC">
        <w:t>görcsök, és/vagy zsibbadás vagy bizsergés az ujja</w:t>
      </w:r>
      <w:r w:rsidR="00A30743">
        <w:t>k</w:t>
      </w:r>
      <w:r w:rsidRPr="00C515CC">
        <w:t>ban, a lábujja</w:t>
      </w:r>
      <w:r w:rsidR="00A30743">
        <w:t>k</w:t>
      </w:r>
      <w:r w:rsidRPr="00C515CC">
        <w:t>ban vagy az ajka</w:t>
      </w:r>
      <w:r w:rsidR="00A30743">
        <w:t>k</w:t>
      </w:r>
      <w:r w:rsidRPr="00C515CC">
        <w:t xml:space="preserve"> körül, és/vagy görcsroham, zavartság vagy eszméletvesztéses állapot.</w:t>
      </w:r>
    </w:p>
    <w:p w14:paraId="2EF479E0" w14:textId="77777777" w:rsidR="00951F81" w:rsidRPr="00C515CC" w:rsidRDefault="00951F81" w:rsidP="00C515CC">
      <w:pPr>
        <w:tabs>
          <w:tab w:val="clear" w:pos="567"/>
        </w:tabs>
      </w:pPr>
    </w:p>
    <w:p w14:paraId="73F45BDE" w14:textId="71E55CA7" w:rsidR="00951F81" w:rsidRPr="00C515CC" w:rsidRDefault="00951F81" w:rsidP="00C515CC">
      <w:pPr>
        <w:tabs>
          <w:tab w:val="clear" w:pos="567"/>
        </w:tabs>
      </w:pPr>
      <w:r w:rsidRPr="00C515CC">
        <w:t>Ritka esetekben – súlyosan alacsony vérkalciumszint következtében – kórházi ellátást igénylő, valamint életveszélyes reakciókat is jelentettek. A vér kalciumszintjét minden beadott adag előtt, illetve hipokalcémiára hajlamos betegeknél a kezdeti adagot követő két héten belül ellenőrizni fogják (vérvizsgálattal).</w:t>
      </w:r>
    </w:p>
    <w:p w14:paraId="2E5F4796" w14:textId="77777777" w:rsidR="005727E1" w:rsidRPr="00C515CC" w:rsidRDefault="005727E1" w:rsidP="00C515CC">
      <w:pPr>
        <w:tabs>
          <w:tab w:val="clear" w:pos="567"/>
        </w:tabs>
      </w:pPr>
    </w:p>
    <w:p w14:paraId="00753728" w14:textId="4B03D0B0" w:rsidR="00951F81" w:rsidRPr="00C515CC" w:rsidRDefault="00951F81" w:rsidP="00C515CC">
      <w:pPr>
        <w:tabs>
          <w:tab w:val="clear" w:pos="567"/>
        </w:tabs>
      </w:pPr>
      <w:r w:rsidRPr="00C515CC">
        <w:t xml:space="preserve">Tájékoztassa kezelőorvosát, ha súlyos veseproblémái vagy veseelégtelensége van vagy valaha volt, vagy ha művesekezelésre (dialízisre) szorul/szorult, illetve ha glükokortikoid gyógyszereket szed (például prednizolon vagy dexametazon), </w:t>
      </w:r>
      <w:r w:rsidR="00A30743">
        <w:t>a</w:t>
      </w:r>
      <w:r w:rsidRPr="00C515CC">
        <w:t xml:space="preserve">melyek fokozhatják annak a </w:t>
      </w:r>
      <w:r w:rsidR="00A30743">
        <w:t>kockázatá</w:t>
      </w:r>
      <w:r w:rsidR="00A30743" w:rsidRPr="00C515CC">
        <w:t>t</w:t>
      </w:r>
      <w:r w:rsidRPr="00C515CC">
        <w:t xml:space="preserve">, hogy </w:t>
      </w:r>
      <w:r w:rsidR="00A30743">
        <w:t xml:space="preserve">a </w:t>
      </w:r>
      <w:r w:rsidRPr="00C515CC">
        <w:t xml:space="preserve">vérében alacsony kalciumszint alakuljon ki, ha </w:t>
      </w:r>
      <w:r w:rsidR="00A30743">
        <w:t xml:space="preserve">Ön </w:t>
      </w:r>
      <w:r w:rsidRPr="00C515CC">
        <w:t>nem szedi a kiegészítő kalcium</w:t>
      </w:r>
      <w:r w:rsidRPr="00C515CC">
        <w:noBreakHyphen/>
        <w:t>pótló készítményeket.</w:t>
      </w:r>
    </w:p>
    <w:p w14:paraId="2BD1B567" w14:textId="77777777" w:rsidR="00951F81" w:rsidRPr="00C515CC" w:rsidRDefault="00951F81" w:rsidP="00C515CC">
      <w:pPr>
        <w:tabs>
          <w:tab w:val="clear" w:pos="567"/>
        </w:tabs>
      </w:pPr>
    </w:p>
    <w:p w14:paraId="2728E8EB" w14:textId="77777777" w:rsidR="00951F81" w:rsidRPr="00C515CC" w:rsidRDefault="00951F81" w:rsidP="00C515CC">
      <w:pPr>
        <w:keepNext/>
        <w:rPr>
          <w:u w:val="single"/>
        </w:rPr>
      </w:pPr>
      <w:r w:rsidRPr="00C515CC">
        <w:rPr>
          <w:u w:val="single"/>
        </w:rPr>
        <w:t>Száj</w:t>
      </w:r>
      <w:r w:rsidRPr="00C515CC">
        <w:rPr>
          <w:u w:val="single"/>
        </w:rPr>
        <w:noBreakHyphen/>
        <w:t>, fog</w:t>
      </w:r>
      <w:r w:rsidRPr="00C515CC">
        <w:rPr>
          <w:u w:val="single"/>
        </w:rPr>
        <w:noBreakHyphen/>
        <w:t xml:space="preserve"> vagy állkapocsproblémák</w:t>
      </w:r>
    </w:p>
    <w:p w14:paraId="677C3CB3" w14:textId="6C69BEC2" w:rsidR="00951F81" w:rsidRPr="00C515CC" w:rsidRDefault="00951F81" w:rsidP="00C515CC">
      <w:pPr>
        <w:tabs>
          <w:tab w:val="clear" w:pos="567"/>
        </w:tabs>
      </w:pPr>
      <w:r w:rsidRPr="00C515CC">
        <w:t>Egy ritka (1000 beteg közül legfeljebb 1 beteget érint</w:t>
      </w:r>
      <w:r w:rsidR="00A30743">
        <w:t>ő</w:t>
      </w:r>
      <w:r w:rsidRPr="00C515CC">
        <w:t>)</w:t>
      </w:r>
      <w:r w:rsidR="00A30743">
        <w:t>,</w:t>
      </w:r>
      <w:r w:rsidRPr="00C515CC">
        <w:t xml:space="preserve"> állcsontelhalásnak nevezett mellékhatásról (az állcsont károsodásáról) számoltak be a csontritkulás kezelésére </w:t>
      </w:r>
      <w:r w:rsidR="00324752" w:rsidRPr="00C515CC">
        <w:t>denoszumabo</w:t>
      </w:r>
      <w:r w:rsidRPr="00C515CC">
        <w:t>t kapó betegeknél. Az állcsontelhalás kockázata a hosszú távon kezelt betegeknél növekszik (10 éven át tartó kezelés esetén 200 beteg közül legfeljebb 1 beteget érinthet). Az állcsontelhalás a kezelés befejezése után is előfordulhat. Fontos, hogy megpróbálja megelőzni az állcsontelhalás kialakulását, mivel ez az állapot fájdalmas és nehezen kezelhető lehet. Azért, hogy csökkentse az állcsontelhalás kialakulásának kockázatát, tegye meg a következő óvintézkedéseket:</w:t>
      </w:r>
    </w:p>
    <w:p w14:paraId="24317F80" w14:textId="77777777" w:rsidR="00951F81" w:rsidRPr="00C515CC" w:rsidRDefault="00951F81" w:rsidP="00C515CC">
      <w:pPr>
        <w:tabs>
          <w:tab w:val="clear" w:pos="567"/>
        </w:tabs>
      </w:pPr>
    </w:p>
    <w:p w14:paraId="19F512D7" w14:textId="77777777" w:rsidR="00951F81" w:rsidRPr="00C515CC" w:rsidRDefault="00951F81" w:rsidP="00C515CC">
      <w:pPr>
        <w:keepNext/>
        <w:tabs>
          <w:tab w:val="clear" w:pos="567"/>
        </w:tabs>
      </w:pPr>
      <w:r w:rsidRPr="00C515CC">
        <w:t>A kezelés előtt tájékoztassa kezelőorvosát vagy a gondozását végző egészségügyi szakembert, ha:</w:t>
      </w:r>
    </w:p>
    <w:p w14:paraId="69E08491" w14:textId="77777777" w:rsidR="00951F81" w:rsidRPr="00C515CC" w:rsidRDefault="00951F81" w:rsidP="00C515CC">
      <w:pPr>
        <w:keepNext/>
        <w:tabs>
          <w:tab w:val="clear" w:pos="567"/>
        </w:tabs>
      </w:pPr>
    </w:p>
    <w:p w14:paraId="654A8CEF" w14:textId="5B4A6D22" w:rsidR="00951F81" w:rsidRPr="00C515CC" w:rsidRDefault="00951F81" w:rsidP="00C515CC">
      <w:pPr>
        <w:numPr>
          <w:ilvl w:val="0"/>
          <w:numId w:val="54"/>
        </w:numPr>
        <w:tabs>
          <w:tab w:val="clear" w:pos="567"/>
        </w:tabs>
        <w:ind w:left="567" w:hanging="567"/>
      </w:pPr>
      <w:r w:rsidRPr="00C515CC">
        <w:t>bármilyen száj</w:t>
      </w:r>
      <w:r w:rsidRPr="00C515CC">
        <w:noBreakHyphen/>
        <w:t xml:space="preserve"> vagy fogproblémája van, például rossz fog</w:t>
      </w:r>
      <w:r w:rsidR="00A30743">
        <w:t>ak</w:t>
      </w:r>
      <w:r w:rsidRPr="00C515CC">
        <w:t>, ínybetegség vagy tervezett foghúzás,</w:t>
      </w:r>
    </w:p>
    <w:p w14:paraId="780D99FE" w14:textId="2FC81BFA" w:rsidR="00951F81" w:rsidRPr="00C515CC" w:rsidRDefault="00951F81" w:rsidP="00C515CC">
      <w:pPr>
        <w:numPr>
          <w:ilvl w:val="0"/>
          <w:numId w:val="54"/>
        </w:numPr>
        <w:tabs>
          <w:tab w:val="clear" w:pos="567"/>
        </w:tabs>
        <w:ind w:left="567" w:hanging="567"/>
      </w:pPr>
      <w:r w:rsidRPr="00C515CC">
        <w:t xml:space="preserve">nem kap rendszeres fogászati ellátást, vagy hosszú ideje nem </w:t>
      </w:r>
      <w:r w:rsidR="00A30743">
        <w:t>járt</w:t>
      </w:r>
      <w:r w:rsidRPr="00C515CC">
        <w:t xml:space="preserve"> fogászati ellenőrzésen,</w:t>
      </w:r>
    </w:p>
    <w:p w14:paraId="3CD99810" w14:textId="77777777" w:rsidR="00951F81" w:rsidRPr="00C515CC" w:rsidRDefault="00951F81" w:rsidP="00C515CC">
      <w:pPr>
        <w:numPr>
          <w:ilvl w:val="0"/>
          <w:numId w:val="54"/>
        </w:numPr>
        <w:tabs>
          <w:tab w:val="clear" w:pos="567"/>
        </w:tabs>
        <w:ind w:left="567" w:hanging="567"/>
      </w:pPr>
      <w:r w:rsidRPr="00C515CC">
        <w:t>dohányzik (mivel ez növelheti a fogászati problémák kockázatát),</w:t>
      </w:r>
    </w:p>
    <w:p w14:paraId="02AB8225" w14:textId="56986194" w:rsidR="00951F81" w:rsidRPr="00C515CC" w:rsidRDefault="00951F81" w:rsidP="00C515CC">
      <w:pPr>
        <w:numPr>
          <w:ilvl w:val="0"/>
          <w:numId w:val="54"/>
        </w:numPr>
        <w:tabs>
          <w:tab w:val="clear" w:pos="567"/>
        </w:tabs>
        <w:ind w:left="567" w:hanging="567"/>
      </w:pPr>
      <w:r w:rsidRPr="00C515CC">
        <w:t>korábban kapott biszfoszfonát</w:t>
      </w:r>
      <w:r w:rsidR="00A30743">
        <w:t>-</w:t>
      </w:r>
      <w:r w:rsidRPr="00C515CC">
        <w:t>kezelést (a</w:t>
      </w:r>
      <w:r w:rsidR="00A30743">
        <w:t>mi a</w:t>
      </w:r>
      <w:r w:rsidRPr="00C515CC">
        <w:t xml:space="preserve"> csontbetegségek kezelésére vagy megelőzésére</w:t>
      </w:r>
      <w:r w:rsidR="00A30743">
        <w:t xml:space="preserve"> szolgál</w:t>
      </w:r>
      <w:r w:rsidRPr="00C515CC">
        <w:t>),</w:t>
      </w:r>
    </w:p>
    <w:p w14:paraId="08AC813D" w14:textId="77777777" w:rsidR="00951F81" w:rsidRPr="00C515CC" w:rsidRDefault="00951F81" w:rsidP="00C515CC">
      <w:pPr>
        <w:numPr>
          <w:ilvl w:val="0"/>
          <w:numId w:val="54"/>
        </w:numPr>
        <w:tabs>
          <w:tab w:val="clear" w:pos="567"/>
        </w:tabs>
        <w:ind w:left="567" w:hanging="567"/>
      </w:pPr>
      <w:r w:rsidRPr="00C515CC">
        <w:t>a kortikoszteroidok csoportjába tartozó gyógyszert szed (például prednizolont vagy dexametazont),</w:t>
      </w:r>
    </w:p>
    <w:p w14:paraId="5CE6B2B0" w14:textId="77777777" w:rsidR="00951F81" w:rsidRPr="00C515CC" w:rsidRDefault="00951F81" w:rsidP="00C515CC">
      <w:pPr>
        <w:numPr>
          <w:ilvl w:val="0"/>
          <w:numId w:val="54"/>
        </w:numPr>
        <w:tabs>
          <w:tab w:val="clear" w:pos="567"/>
        </w:tabs>
        <w:ind w:left="567" w:hanging="567"/>
      </w:pPr>
      <w:r w:rsidRPr="00C515CC">
        <w:t>daganatos betegsége van.</w:t>
      </w:r>
    </w:p>
    <w:p w14:paraId="1961FD3F" w14:textId="77777777" w:rsidR="00951F81" w:rsidRPr="00C515CC" w:rsidRDefault="00951F81" w:rsidP="00C515CC">
      <w:pPr>
        <w:tabs>
          <w:tab w:val="clear" w:pos="567"/>
        </w:tabs>
      </w:pPr>
    </w:p>
    <w:p w14:paraId="5F3D12FB" w14:textId="74F5979B" w:rsidR="00951F81" w:rsidRPr="00C515CC" w:rsidRDefault="00951F81" w:rsidP="00C515CC">
      <w:pPr>
        <w:tabs>
          <w:tab w:val="clear" w:pos="567"/>
        </w:tabs>
      </w:pPr>
      <w:r w:rsidRPr="00C515CC">
        <w:t xml:space="preserve">A </w:t>
      </w:r>
      <w:r w:rsidR="00A96EB8" w:rsidRPr="00C515CC">
        <w:t>Kefdensis</w:t>
      </w:r>
      <w:r w:rsidRPr="00C515CC">
        <w:noBreakHyphen/>
        <w:t>kezelés elkezdése előtt kezelőorvosa megkérheti, hogy menjen el fogászati vizsgálatra.</w:t>
      </w:r>
    </w:p>
    <w:p w14:paraId="450E10C2" w14:textId="77777777" w:rsidR="00951F81" w:rsidRPr="00C515CC" w:rsidRDefault="00951F81" w:rsidP="00C515CC">
      <w:pPr>
        <w:tabs>
          <w:tab w:val="clear" w:pos="567"/>
        </w:tabs>
      </w:pPr>
    </w:p>
    <w:p w14:paraId="47A5B9B1" w14:textId="0CC60508" w:rsidR="00951F81" w:rsidRPr="00C515CC" w:rsidRDefault="00951F81" w:rsidP="00C515CC">
      <w:pPr>
        <w:tabs>
          <w:tab w:val="clear" w:pos="567"/>
        </w:tabs>
      </w:pPr>
      <w:r w:rsidRPr="00C515CC">
        <w:t xml:space="preserve">A kezelés ideje alatt megfelelő szájápolást kell végeznie és rendszeresen részt kell vennie fogászati ellenőrzésen. Ha műfogsort visel, győződjön meg annak megfelelő illeszkedéséről. Ha fogászati kezelés alatt áll, vagy szájsebészeti beavatkozásra készül (például foghúzásra), tájékoztassa kezelőorvosát a fogászati kezelésről, a fogorvosát pedig arról, hogy </w:t>
      </w:r>
      <w:r w:rsidR="00A96EB8" w:rsidRPr="00C515CC">
        <w:t>Kefdensis</w:t>
      </w:r>
      <w:r w:rsidRPr="00C515CC">
        <w:noBreakHyphen/>
        <w:t>kezelésben részesül.</w:t>
      </w:r>
    </w:p>
    <w:p w14:paraId="3BD1A5A0" w14:textId="77777777" w:rsidR="00951F81" w:rsidRPr="00C515CC" w:rsidRDefault="00951F81" w:rsidP="00C515CC">
      <w:pPr>
        <w:tabs>
          <w:tab w:val="clear" w:pos="567"/>
        </w:tabs>
      </w:pPr>
    </w:p>
    <w:p w14:paraId="74CBBB4C" w14:textId="77777777" w:rsidR="00951F81" w:rsidRPr="00C515CC" w:rsidRDefault="00951F81" w:rsidP="00C515CC">
      <w:pPr>
        <w:tabs>
          <w:tab w:val="clear" w:pos="567"/>
        </w:tabs>
      </w:pPr>
      <w:r w:rsidRPr="00C515CC">
        <w:t>Haladéktalanul szóljon kezelőorvosának és fogorvosának, ha bármilyen problémát tapasztal a szájában vagy a fogaival, pl. meglazult fogak, fájdalom vagy duzzanat, illetve nem gyógyuló sebek vagy váladékozás, mert ezek az állkapocscsont elhalásának a jelei lehetnek.</w:t>
      </w:r>
    </w:p>
    <w:p w14:paraId="46DD3A16" w14:textId="77777777" w:rsidR="00951F81" w:rsidRPr="00C515CC" w:rsidRDefault="00951F81" w:rsidP="00C515CC">
      <w:pPr>
        <w:tabs>
          <w:tab w:val="clear" w:pos="567"/>
        </w:tabs>
      </w:pPr>
    </w:p>
    <w:p w14:paraId="300A31FD" w14:textId="77777777" w:rsidR="00951F81" w:rsidRPr="00C515CC" w:rsidRDefault="00951F81" w:rsidP="00C515CC">
      <w:pPr>
        <w:keepNext/>
        <w:rPr>
          <w:u w:val="single"/>
        </w:rPr>
      </w:pPr>
      <w:r w:rsidRPr="00C515CC">
        <w:rPr>
          <w:u w:val="single"/>
        </w:rPr>
        <w:t>Nem típusos combcsonttörések</w:t>
      </w:r>
    </w:p>
    <w:p w14:paraId="122C8224" w14:textId="4E847C71" w:rsidR="00951F81" w:rsidRPr="00C515CC" w:rsidRDefault="00951F81" w:rsidP="00C515CC">
      <w:pPr>
        <w:tabs>
          <w:tab w:val="clear" w:pos="567"/>
        </w:tabs>
      </w:pPr>
      <w:r w:rsidRPr="00C515CC">
        <w:t xml:space="preserve">Voltak olyan </w:t>
      </w:r>
      <w:r w:rsidR="00324752" w:rsidRPr="00C515CC">
        <w:t>denoszumabba</w:t>
      </w:r>
      <w:r w:rsidRPr="00C515CC">
        <w:t>l kezelt betegek, akiknél a combcsont nem típusos törései fordultak elő. Keresse fel kezelőorvosát, ha új vagy szokatlan fájdalmat tapasztal csípőjében, lágyékában vagy combjában.</w:t>
      </w:r>
    </w:p>
    <w:p w14:paraId="508960A4" w14:textId="77777777" w:rsidR="00951F81" w:rsidRPr="00C515CC" w:rsidRDefault="00951F81" w:rsidP="00C515CC">
      <w:pPr>
        <w:tabs>
          <w:tab w:val="clear" w:pos="567"/>
        </w:tabs>
      </w:pPr>
    </w:p>
    <w:p w14:paraId="414D4AF2" w14:textId="77777777" w:rsidR="00951F81" w:rsidRPr="00C515CC" w:rsidRDefault="00951F81" w:rsidP="00C515CC">
      <w:pPr>
        <w:keepNext/>
        <w:tabs>
          <w:tab w:val="clear" w:pos="567"/>
        </w:tabs>
        <w:rPr>
          <w:b/>
          <w:bCs/>
        </w:rPr>
      </w:pPr>
      <w:r w:rsidRPr="00C515CC">
        <w:rPr>
          <w:b/>
        </w:rPr>
        <w:t>Gyermekek és serdülők</w:t>
      </w:r>
    </w:p>
    <w:p w14:paraId="4D40F7CF" w14:textId="77777777" w:rsidR="00951F81" w:rsidRPr="00C515CC" w:rsidRDefault="00951F81" w:rsidP="00C515CC">
      <w:pPr>
        <w:keepNext/>
      </w:pPr>
    </w:p>
    <w:p w14:paraId="506FAE7E" w14:textId="4BA6CEBF" w:rsidR="00951F81" w:rsidRPr="00C515CC" w:rsidRDefault="00951F81" w:rsidP="00C515CC">
      <w:r w:rsidRPr="00C515CC">
        <w:t xml:space="preserve">A </w:t>
      </w:r>
      <w:r w:rsidR="00A96EB8" w:rsidRPr="00C515CC">
        <w:t>Kefdensis</w:t>
      </w:r>
      <w:r w:rsidRPr="00C515CC">
        <w:noBreakHyphen/>
        <w:t xml:space="preserve">t nem szabad gyermekeknél és serdülőknél (18 éves kor alatt) alkalmazni. </w:t>
      </w:r>
    </w:p>
    <w:p w14:paraId="6785FFFF" w14:textId="77777777" w:rsidR="00951F81" w:rsidRPr="00C515CC" w:rsidRDefault="00951F81" w:rsidP="00C515CC"/>
    <w:p w14:paraId="1ABACCE1" w14:textId="59564B1A" w:rsidR="00951F81" w:rsidRPr="00C515CC" w:rsidRDefault="00951F81" w:rsidP="00C515CC">
      <w:pPr>
        <w:keepNext/>
        <w:tabs>
          <w:tab w:val="clear" w:pos="567"/>
        </w:tabs>
        <w:rPr>
          <w:b/>
          <w:bCs/>
        </w:rPr>
      </w:pPr>
      <w:r w:rsidRPr="00C515CC">
        <w:rPr>
          <w:b/>
        </w:rPr>
        <w:t xml:space="preserve">Egyéb gyógyszerek és a </w:t>
      </w:r>
      <w:r w:rsidR="00A96EB8" w:rsidRPr="00C515CC">
        <w:rPr>
          <w:b/>
        </w:rPr>
        <w:t>Kefdensis</w:t>
      </w:r>
    </w:p>
    <w:p w14:paraId="0B529527" w14:textId="77777777" w:rsidR="00951F81" w:rsidRPr="00C515CC" w:rsidRDefault="00951F81" w:rsidP="00C515CC">
      <w:pPr>
        <w:keepNext/>
      </w:pPr>
    </w:p>
    <w:p w14:paraId="7A30C298" w14:textId="77777777" w:rsidR="00951F81" w:rsidRPr="00C515CC" w:rsidRDefault="00951F81" w:rsidP="00C515CC">
      <w:pPr>
        <w:tabs>
          <w:tab w:val="clear" w:pos="567"/>
        </w:tabs>
      </w:pPr>
      <w:r w:rsidRPr="00C515CC">
        <w:t>Feltétlenül tájékoztassa kezelőorvosát vagy gyógyszerészét a jelenleg vagy nemrégiben szedett egyéb gyógyszereiről, valamint szedni tervezett egyéb gyógyszereiről. Különösen fontos, hogy tájékoztassa kezelőorvosát, ha egy másik denoszumabot tartalmazó gyógyszerrel kezelik.</w:t>
      </w:r>
    </w:p>
    <w:p w14:paraId="3BA641B9" w14:textId="77777777" w:rsidR="00951F81" w:rsidRPr="00C515CC" w:rsidRDefault="00951F81" w:rsidP="00C515CC">
      <w:pPr>
        <w:tabs>
          <w:tab w:val="clear" w:pos="567"/>
        </w:tabs>
      </w:pPr>
    </w:p>
    <w:p w14:paraId="74341D76" w14:textId="5E8C1CDB" w:rsidR="00951F81" w:rsidRPr="00C515CC" w:rsidRDefault="00951F81" w:rsidP="00C515CC">
      <w:pPr>
        <w:tabs>
          <w:tab w:val="clear" w:pos="567"/>
        </w:tabs>
      </w:pPr>
      <w:r w:rsidRPr="00C515CC">
        <w:t xml:space="preserve">Nem szabad a </w:t>
      </w:r>
      <w:r w:rsidR="00A96EB8" w:rsidRPr="00C515CC">
        <w:t>Kefdensis</w:t>
      </w:r>
      <w:r w:rsidRPr="00C515CC">
        <w:noBreakHyphen/>
        <w:t>t más denoszumabot tartalmazó gyógyszerrel együtt alkalmaznia.</w:t>
      </w:r>
    </w:p>
    <w:p w14:paraId="0E5B2E1B" w14:textId="77777777" w:rsidR="00951F81" w:rsidRPr="00C515CC" w:rsidRDefault="00951F81" w:rsidP="00C515CC">
      <w:pPr>
        <w:tabs>
          <w:tab w:val="clear" w:pos="567"/>
        </w:tabs>
      </w:pPr>
    </w:p>
    <w:p w14:paraId="5B048D8F" w14:textId="77777777" w:rsidR="00951F81" w:rsidRPr="00C515CC" w:rsidRDefault="00951F81" w:rsidP="00C515CC">
      <w:pPr>
        <w:keepNext/>
        <w:tabs>
          <w:tab w:val="clear" w:pos="567"/>
        </w:tabs>
        <w:rPr>
          <w:b/>
          <w:bCs/>
        </w:rPr>
      </w:pPr>
      <w:r w:rsidRPr="00C515CC">
        <w:rPr>
          <w:b/>
        </w:rPr>
        <w:t>Terhesség és szoptatás</w:t>
      </w:r>
    </w:p>
    <w:p w14:paraId="58B7994A" w14:textId="77777777" w:rsidR="00951F81" w:rsidRPr="00C515CC" w:rsidRDefault="00951F81" w:rsidP="00C515CC">
      <w:pPr>
        <w:keepNext/>
      </w:pPr>
    </w:p>
    <w:p w14:paraId="16808CC5" w14:textId="2AE61745" w:rsidR="00951F81" w:rsidRPr="00C515CC" w:rsidRDefault="00951F81" w:rsidP="00C515CC">
      <w:pPr>
        <w:tabs>
          <w:tab w:val="clear" w:pos="567"/>
        </w:tabs>
      </w:pPr>
      <w:r w:rsidRPr="00C515CC">
        <w:t xml:space="preserve">A </w:t>
      </w:r>
      <w:r w:rsidR="00324752" w:rsidRPr="00C515CC">
        <w:t>denoszumabo</w:t>
      </w:r>
      <w:r w:rsidRPr="00C515CC">
        <w:t xml:space="preserve">t nem vizsgálták terhes nőkön. Fontos beszámolnia kezelőorvosának arról, ha Ön terhes, ha úgy gondolja, hogy terhes, vagy ha terhességet tervez. A </w:t>
      </w:r>
      <w:r w:rsidR="00A96EB8" w:rsidRPr="00C515CC">
        <w:t>Kefdensis</w:t>
      </w:r>
      <w:r w:rsidRPr="00C515CC">
        <w:t xml:space="preserve"> alkalmazása nem </w:t>
      </w:r>
      <w:r w:rsidR="00A30743">
        <w:t xml:space="preserve">javasolt </w:t>
      </w:r>
      <w:r w:rsidRPr="00C515CC">
        <w:t xml:space="preserve">terhesség alatt. Fogamzóképes korú nőknek hatékony fogamzásgátlást kell alkalmazniuk a </w:t>
      </w:r>
      <w:r w:rsidR="00A96EB8" w:rsidRPr="00C515CC">
        <w:t>Kefdensis</w:t>
      </w:r>
      <w:r w:rsidRPr="00C515CC">
        <w:noBreakHyphen/>
        <w:t xml:space="preserve">kezelés alatt, és a </w:t>
      </w:r>
      <w:r w:rsidR="00A96EB8" w:rsidRPr="00C515CC">
        <w:t>Kefdensis</w:t>
      </w:r>
      <w:r w:rsidRPr="00C515CC">
        <w:noBreakHyphen/>
        <w:t>kezelés leállítását követő</w:t>
      </w:r>
      <w:r w:rsidR="00A30743">
        <w:t>en még</w:t>
      </w:r>
      <w:r w:rsidRPr="00C515CC">
        <w:t xml:space="preserve"> legalább 5 hónapon keresztül.</w:t>
      </w:r>
    </w:p>
    <w:p w14:paraId="5CA50FB9" w14:textId="77777777" w:rsidR="00951F81" w:rsidRPr="00C515CC" w:rsidRDefault="00951F81" w:rsidP="00C515CC">
      <w:pPr>
        <w:tabs>
          <w:tab w:val="clear" w:pos="567"/>
        </w:tabs>
      </w:pPr>
    </w:p>
    <w:p w14:paraId="435901DA" w14:textId="4565E8D6" w:rsidR="00951F81" w:rsidRPr="00C515CC" w:rsidRDefault="00951F81" w:rsidP="00C515CC">
      <w:pPr>
        <w:tabs>
          <w:tab w:val="clear" w:pos="567"/>
        </w:tabs>
      </w:pPr>
      <w:r w:rsidRPr="00C515CC">
        <w:t xml:space="preserve">Ha a </w:t>
      </w:r>
      <w:r w:rsidR="00A96EB8" w:rsidRPr="00C515CC">
        <w:t>Kefdensis</w:t>
      </w:r>
      <w:r w:rsidRPr="00C515CC">
        <w:noBreakHyphen/>
        <w:t xml:space="preserve">kezelés ideje alatt, vagy a </w:t>
      </w:r>
      <w:r w:rsidR="00A96EB8" w:rsidRPr="00C515CC">
        <w:t>Kefdensis</w:t>
      </w:r>
      <w:r w:rsidRPr="00C515CC">
        <w:noBreakHyphen/>
        <w:t>kezelés leállítását követő 5 hónapon belül teherbe esik, kérjük, tájékoztassa erről kezelőorvosát.</w:t>
      </w:r>
    </w:p>
    <w:p w14:paraId="48A8D346" w14:textId="77777777" w:rsidR="00951F81" w:rsidRPr="00C515CC" w:rsidRDefault="00951F81" w:rsidP="00C515CC">
      <w:pPr>
        <w:tabs>
          <w:tab w:val="clear" w:pos="567"/>
        </w:tabs>
      </w:pPr>
    </w:p>
    <w:p w14:paraId="13982458" w14:textId="084FCB32" w:rsidR="00A30743" w:rsidRDefault="00951F81" w:rsidP="00A30743">
      <w:pPr>
        <w:tabs>
          <w:tab w:val="clear" w:pos="567"/>
        </w:tabs>
      </w:pPr>
      <w:r w:rsidRPr="00C515CC">
        <w:t xml:space="preserve">Nem ismert, hogy a </w:t>
      </w:r>
      <w:r w:rsidR="00324752" w:rsidRPr="00C515CC">
        <w:t xml:space="preserve">denoszumab </w:t>
      </w:r>
      <w:r w:rsidRPr="00C515CC">
        <w:t>kiválasztódik</w:t>
      </w:r>
      <w:r w:rsidRPr="00C515CC">
        <w:noBreakHyphen/>
        <w:t xml:space="preserve">e az anyatejbe. Fontos megmondania kezelőorvosának, ha Ön szoptat, vagy ezt tervezi. Kezelőorvosa ezután segít majd Önnek annak eldöntésében, hogy a szoptatást vagy a </w:t>
      </w:r>
      <w:r w:rsidR="00A96EB8" w:rsidRPr="00C515CC">
        <w:t>Kefdensis</w:t>
      </w:r>
      <w:r w:rsidRPr="00C515CC">
        <w:t xml:space="preserve"> alkalmazását kell</w:t>
      </w:r>
      <w:r w:rsidRPr="00C515CC">
        <w:noBreakHyphen/>
        <w:t>e abbahagynia</w:t>
      </w:r>
      <w:r w:rsidR="00A30743">
        <w:t>,</w:t>
      </w:r>
      <w:r w:rsidR="00A30743" w:rsidRPr="00A30743">
        <w:t xml:space="preserve"> </w:t>
      </w:r>
      <w:r w:rsidR="00A30743">
        <w:t xml:space="preserve">figyelembe véve a szoptatás előnyét a gyermek, valamint a </w:t>
      </w:r>
      <w:r w:rsidR="00A30743" w:rsidRPr="00C515CC">
        <w:t>Kefdensis</w:t>
      </w:r>
      <w:r w:rsidR="00A30743" w:rsidRPr="00C515CC">
        <w:noBreakHyphen/>
        <w:t xml:space="preserve">kezelés </w:t>
      </w:r>
      <w:r w:rsidR="00A30743">
        <w:t>előnyét az Ön szempontjából.</w:t>
      </w:r>
    </w:p>
    <w:p w14:paraId="0FBDFE6C" w14:textId="4EB6FF16" w:rsidR="00951F81" w:rsidRPr="00C515CC" w:rsidRDefault="00951F81" w:rsidP="00C515CC">
      <w:pPr>
        <w:tabs>
          <w:tab w:val="clear" w:pos="567"/>
        </w:tabs>
      </w:pPr>
    </w:p>
    <w:p w14:paraId="06D62E7C" w14:textId="77777777" w:rsidR="00951F81" w:rsidRPr="00C515CC" w:rsidRDefault="00951F81" w:rsidP="00C515CC">
      <w:pPr>
        <w:tabs>
          <w:tab w:val="clear" w:pos="567"/>
        </w:tabs>
      </w:pPr>
    </w:p>
    <w:p w14:paraId="61C1F5D4" w14:textId="578D1E41" w:rsidR="00951F81" w:rsidRPr="00C515CC" w:rsidRDefault="00951F81" w:rsidP="00EF508B">
      <w:pPr>
        <w:keepNext/>
        <w:tabs>
          <w:tab w:val="clear" w:pos="567"/>
        </w:tabs>
      </w:pPr>
      <w:r w:rsidRPr="00C515CC">
        <w:t xml:space="preserve">Ha a </w:t>
      </w:r>
      <w:r w:rsidR="00A96EB8" w:rsidRPr="00C515CC">
        <w:t>Kefdensis</w:t>
      </w:r>
      <w:r w:rsidRPr="00C515CC">
        <w:noBreakHyphen/>
        <w:t>kezelés ideje alatt szoptat, kérjük, tájékoztassa erről kezelőorvosát.</w:t>
      </w:r>
    </w:p>
    <w:p w14:paraId="6900BB5A" w14:textId="77777777" w:rsidR="00951F81" w:rsidRPr="00C515CC" w:rsidRDefault="00951F81" w:rsidP="00EF508B">
      <w:pPr>
        <w:keepNext/>
        <w:tabs>
          <w:tab w:val="clear" w:pos="567"/>
        </w:tabs>
      </w:pPr>
    </w:p>
    <w:p w14:paraId="5C2056C4" w14:textId="77777777" w:rsidR="00951F81" w:rsidRPr="00C515CC" w:rsidRDefault="00951F81" w:rsidP="00EF508B">
      <w:pPr>
        <w:keepNext/>
        <w:tabs>
          <w:tab w:val="clear" w:pos="567"/>
        </w:tabs>
      </w:pPr>
      <w:r w:rsidRPr="00C515CC">
        <w:t>Mielőtt bármilyen gyógyszert elkezdene szedni, beszélje meg kezelőorvosával vagy gyógyszerészével.</w:t>
      </w:r>
    </w:p>
    <w:p w14:paraId="5FAD8CB2" w14:textId="77777777" w:rsidR="00951F81" w:rsidRPr="00C515CC" w:rsidRDefault="00951F81" w:rsidP="00EF508B">
      <w:pPr>
        <w:keepNext/>
        <w:tabs>
          <w:tab w:val="clear" w:pos="567"/>
        </w:tabs>
      </w:pPr>
    </w:p>
    <w:p w14:paraId="1FFB6D4C" w14:textId="77777777" w:rsidR="00951F81" w:rsidRPr="00C515CC" w:rsidRDefault="00951F81" w:rsidP="00C515CC">
      <w:pPr>
        <w:keepNext/>
        <w:tabs>
          <w:tab w:val="clear" w:pos="567"/>
        </w:tabs>
        <w:rPr>
          <w:b/>
          <w:bCs/>
        </w:rPr>
      </w:pPr>
      <w:r w:rsidRPr="00C515CC">
        <w:rPr>
          <w:b/>
        </w:rPr>
        <w:t>A készítmény hatásai a gépjárművezetéshez és a gépek kezeléséhez szükséges képességekre</w:t>
      </w:r>
    </w:p>
    <w:p w14:paraId="0B9CADEA" w14:textId="77777777" w:rsidR="00951F81" w:rsidRPr="00C515CC" w:rsidRDefault="00951F81" w:rsidP="00C515CC">
      <w:pPr>
        <w:keepNext/>
      </w:pPr>
    </w:p>
    <w:p w14:paraId="14C8B16B" w14:textId="1C509593" w:rsidR="00951F81" w:rsidRPr="00C515CC" w:rsidRDefault="00951F81" w:rsidP="00C515CC">
      <w:pPr>
        <w:tabs>
          <w:tab w:val="clear" w:pos="567"/>
        </w:tabs>
      </w:pPr>
      <w:r w:rsidRPr="00C515CC">
        <w:t xml:space="preserve">A </w:t>
      </w:r>
      <w:r w:rsidR="00324752" w:rsidRPr="00C515CC">
        <w:t xml:space="preserve">denoszumab </w:t>
      </w:r>
      <w:r w:rsidRPr="00C515CC">
        <w:t>nem, vagy csak elhanyagolható mértékben befolyásolja a gépjárművezetéshez és a gépek kezeléséhez szükséges képességeket.</w:t>
      </w:r>
    </w:p>
    <w:p w14:paraId="2C6010D6" w14:textId="77777777" w:rsidR="00951F81" w:rsidRPr="00C515CC" w:rsidRDefault="00951F81" w:rsidP="00C515CC">
      <w:pPr>
        <w:tabs>
          <w:tab w:val="clear" w:pos="567"/>
        </w:tabs>
      </w:pPr>
    </w:p>
    <w:p w14:paraId="7C72BF40" w14:textId="77777777" w:rsidR="00951F81" w:rsidRPr="00C515CC" w:rsidRDefault="00951F81" w:rsidP="00C515CC">
      <w:pPr>
        <w:tabs>
          <w:tab w:val="clear" w:pos="567"/>
        </w:tabs>
      </w:pPr>
    </w:p>
    <w:p w14:paraId="591FEE76" w14:textId="48D9A75D" w:rsidR="00951F81" w:rsidRPr="00C515CC" w:rsidRDefault="00951F81" w:rsidP="00C515CC">
      <w:pPr>
        <w:keepNext/>
        <w:tabs>
          <w:tab w:val="clear" w:pos="567"/>
        </w:tabs>
        <w:ind w:left="567" w:hanging="567"/>
        <w:rPr>
          <w:b/>
        </w:rPr>
      </w:pPr>
      <w:r w:rsidRPr="00C515CC">
        <w:rPr>
          <w:b/>
        </w:rPr>
        <w:t>3.</w:t>
      </w:r>
      <w:r w:rsidRPr="00C515CC">
        <w:rPr>
          <w:b/>
        </w:rPr>
        <w:tab/>
        <w:t xml:space="preserve">Hogyan kell alkalmazni a </w:t>
      </w:r>
      <w:r w:rsidR="00A96EB8" w:rsidRPr="00C515CC">
        <w:rPr>
          <w:b/>
        </w:rPr>
        <w:t>Kefdensis</w:t>
      </w:r>
      <w:r w:rsidRPr="00C515CC">
        <w:rPr>
          <w:b/>
        </w:rPr>
        <w:noBreakHyphen/>
        <w:t>t?</w:t>
      </w:r>
    </w:p>
    <w:p w14:paraId="390C1A95" w14:textId="77777777" w:rsidR="00951F81" w:rsidRPr="00C515CC" w:rsidRDefault="00951F81" w:rsidP="00C515CC">
      <w:pPr>
        <w:keepNext/>
      </w:pPr>
    </w:p>
    <w:p w14:paraId="20648752" w14:textId="7832ED57" w:rsidR="00951F81" w:rsidRPr="00C515CC" w:rsidRDefault="00951F81" w:rsidP="00C515CC">
      <w:pPr>
        <w:tabs>
          <w:tab w:val="clear" w:pos="567"/>
        </w:tabs>
      </w:pPr>
      <w:r w:rsidRPr="00C515CC">
        <w:t>A készítmény ajánlott adagja egy 60 mg</w:t>
      </w:r>
      <w:r w:rsidRPr="00C515CC">
        <w:noBreakHyphen/>
        <w:t>os előretöltött fecskendő, 6 havonta egyszer, a bőr alá beadva (szubkután injekcióban). Az injekció beadására legalkalmasabb helyek a comb felső</w:t>
      </w:r>
      <w:r w:rsidRPr="00C515CC">
        <w:noBreakHyphen/>
        <w:t xml:space="preserve">elülső része és a hasfal. Az Önt gondozó személy a felkarja külső részébe is beadhatja az injekciót. Egyeztessen kezelőorvosával a következő injekció </w:t>
      </w:r>
      <w:r w:rsidR="00A30743" w:rsidRPr="00C515CC">
        <w:t xml:space="preserve">lehetséges </w:t>
      </w:r>
      <w:r w:rsidRPr="00C515CC">
        <w:t>időpontjáról.</w:t>
      </w:r>
    </w:p>
    <w:p w14:paraId="4BA80950" w14:textId="77777777" w:rsidR="00951F81" w:rsidRPr="00C515CC" w:rsidRDefault="00951F81" w:rsidP="00C515CC">
      <w:pPr>
        <w:tabs>
          <w:tab w:val="clear" w:pos="567"/>
        </w:tabs>
      </w:pPr>
    </w:p>
    <w:p w14:paraId="087A2891" w14:textId="1ABF85F9" w:rsidR="00951F81" w:rsidRPr="00C515CC" w:rsidRDefault="00951F81" w:rsidP="00C515CC">
      <w:pPr>
        <w:tabs>
          <w:tab w:val="clear" w:pos="567"/>
        </w:tabs>
      </w:pPr>
      <w:r w:rsidRPr="00C515CC">
        <w:t>Kalcium</w:t>
      </w:r>
      <w:r w:rsidRPr="00C515CC">
        <w:noBreakHyphen/>
        <w:t xml:space="preserve"> és D</w:t>
      </w:r>
      <w:r w:rsidRPr="00C515CC">
        <w:noBreakHyphen/>
        <w:t>vitamin</w:t>
      </w:r>
      <w:r w:rsidRPr="00C515CC">
        <w:noBreakHyphen/>
        <w:t xml:space="preserve">pótló készítményeket is szednie kell, amíg a </w:t>
      </w:r>
      <w:r w:rsidR="00A96EB8" w:rsidRPr="00C515CC">
        <w:t>Kefdensis</w:t>
      </w:r>
      <w:r w:rsidRPr="00C515CC">
        <w:noBreakHyphen/>
        <w:t>t kapja. Erről kezelőorvosa tájékoztatja Önt.</w:t>
      </w:r>
    </w:p>
    <w:p w14:paraId="517308BC" w14:textId="77777777" w:rsidR="00951F81" w:rsidRPr="00C515CC" w:rsidRDefault="00951F81" w:rsidP="00C515CC">
      <w:pPr>
        <w:tabs>
          <w:tab w:val="clear" w:pos="567"/>
        </w:tabs>
      </w:pPr>
    </w:p>
    <w:p w14:paraId="4522E7C4" w14:textId="2B126E58" w:rsidR="00951F81" w:rsidRPr="00C515CC" w:rsidRDefault="00951F81" w:rsidP="00C515CC">
      <w:pPr>
        <w:tabs>
          <w:tab w:val="clear" w:pos="567"/>
        </w:tabs>
      </w:pPr>
      <w:r w:rsidRPr="00C515CC">
        <w:t xml:space="preserve">Előfordulhat, hogy kezelőorvosa úgy dönt, az a leghelyesebb, ha Ön vagy az Önt gondozó személy adja be Önnek a </w:t>
      </w:r>
      <w:r w:rsidR="00A96EB8" w:rsidRPr="00C515CC">
        <w:t>Kefdensis</w:t>
      </w:r>
      <w:r w:rsidRPr="00C515CC">
        <w:noBreakHyphen/>
        <w:t xml:space="preserve">t. Kezelőorvosa vagy egészségügyi szakember megmutatja Önnek vagy az Önt gondozó személynek, hogyan kell a </w:t>
      </w:r>
      <w:r w:rsidR="00A96EB8" w:rsidRPr="00C515CC">
        <w:t>Kefdensis</w:t>
      </w:r>
      <w:r w:rsidRPr="00C515CC">
        <w:noBreakHyphen/>
        <w:t xml:space="preserve">t alkalmazni. A </w:t>
      </w:r>
      <w:r w:rsidR="00A96EB8" w:rsidRPr="00C515CC">
        <w:t>Kefdensis</w:t>
      </w:r>
      <w:r w:rsidRPr="00C515CC">
        <w:t xml:space="preserve"> beadására vonatkozó útmutatásért olvassa el a betegtájékoztató végén található részt.</w:t>
      </w:r>
    </w:p>
    <w:p w14:paraId="67223161" w14:textId="77777777" w:rsidR="00951F81" w:rsidRPr="00C515CC" w:rsidRDefault="00951F81" w:rsidP="00C515CC">
      <w:pPr>
        <w:tabs>
          <w:tab w:val="clear" w:pos="567"/>
        </w:tabs>
      </w:pPr>
    </w:p>
    <w:p w14:paraId="25CD34A6" w14:textId="77777777" w:rsidR="00951F81" w:rsidRPr="00C515CC" w:rsidRDefault="00951F81" w:rsidP="00C515CC">
      <w:pPr>
        <w:tabs>
          <w:tab w:val="clear" w:pos="567"/>
        </w:tabs>
      </w:pPr>
      <w:r w:rsidRPr="00C515CC">
        <w:t>Nem szabad felrázni.</w:t>
      </w:r>
    </w:p>
    <w:p w14:paraId="4C69990C" w14:textId="77777777" w:rsidR="00951F81" w:rsidRPr="00C515CC" w:rsidRDefault="00951F81" w:rsidP="00C515CC">
      <w:pPr>
        <w:tabs>
          <w:tab w:val="clear" w:pos="567"/>
        </w:tabs>
      </w:pPr>
    </w:p>
    <w:p w14:paraId="0A214BE9" w14:textId="7D1FED4C" w:rsidR="00951F81" w:rsidRPr="00C515CC" w:rsidRDefault="00951F81" w:rsidP="00C515CC">
      <w:pPr>
        <w:keepNext/>
        <w:tabs>
          <w:tab w:val="clear" w:pos="567"/>
        </w:tabs>
        <w:rPr>
          <w:b/>
          <w:bCs/>
        </w:rPr>
      </w:pPr>
      <w:r w:rsidRPr="00C515CC">
        <w:rPr>
          <w:b/>
        </w:rPr>
        <w:t xml:space="preserve">Ha elfelejtette alkalmazni a </w:t>
      </w:r>
      <w:r w:rsidR="00A96EB8" w:rsidRPr="00C515CC">
        <w:rPr>
          <w:b/>
        </w:rPr>
        <w:t>Kefdensis</w:t>
      </w:r>
      <w:r w:rsidRPr="00C515CC">
        <w:rPr>
          <w:b/>
        </w:rPr>
        <w:noBreakHyphen/>
        <w:t>t</w:t>
      </w:r>
    </w:p>
    <w:p w14:paraId="3A69E85C" w14:textId="77777777" w:rsidR="00951F81" w:rsidRPr="00C515CC" w:rsidRDefault="00951F81" w:rsidP="00C515CC">
      <w:pPr>
        <w:keepNext/>
      </w:pPr>
    </w:p>
    <w:p w14:paraId="0C03EC8A" w14:textId="4CDF79D0" w:rsidR="00951F81" w:rsidRPr="00C515CC" w:rsidRDefault="00951F81" w:rsidP="00C515CC">
      <w:pPr>
        <w:tabs>
          <w:tab w:val="clear" w:pos="567"/>
        </w:tabs>
      </w:pPr>
      <w:r w:rsidRPr="00C515CC">
        <w:t xml:space="preserve">Ha kimarad a </w:t>
      </w:r>
      <w:r w:rsidR="00A96EB8" w:rsidRPr="00C515CC">
        <w:t>Kefdensis</w:t>
      </w:r>
      <w:r w:rsidRPr="00C515CC">
        <w:t xml:space="preserve"> egy adagja, a lehető leghamarabb be kell adni az injekciót. Ezt követően a legutóbbi injekció dátumától számított 6 havonként kell ütemezni az injekciókat.</w:t>
      </w:r>
    </w:p>
    <w:p w14:paraId="0D9618D1" w14:textId="77777777" w:rsidR="00951F81" w:rsidRPr="00C515CC" w:rsidRDefault="00951F81" w:rsidP="00C515CC">
      <w:pPr>
        <w:tabs>
          <w:tab w:val="clear" w:pos="567"/>
        </w:tabs>
      </w:pPr>
    </w:p>
    <w:p w14:paraId="5242C39F" w14:textId="34510E7C" w:rsidR="00951F81" w:rsidRPr="00C515CC" w:rsidRDefault="00951F81" w:rsidP="00C515CC">
      <w:pPr>
        <w:keepNext/>
        <w:tabs>
          <w:tab w:val="clear" w:pos="567"/>
        </w:tabs>
        <w:rPr>
          <w:b/>
          <w:bCs/>
        </w:rPr>
      </w:pPr>
      <w:r w:rsidRPr="00C515CC">
        <w:rPr>
          <w:b/>
        </w:rPr>
        <w:t xml:space="preserve">Ha idő előtt abbahagyja a </w:t>
      </w:r>
      <w:r w:rsidR="00A96EB8" w:rsidRPr="00C515CC">
        <w:rPr>
          <w:b/>
        </w:rPr>
        <w:t>Kefdensis</w:t>
      </w:r>
      <w:r w:rsidRPr="00C515CC">
        <w:rPr>
          <w:b/>
        </w:rPr>
        <w:t xml:space="preserve"> alkalmazását</w:t>
      </w:r>
    </w:p>
    <w:p w14:paraId="66577F5B" w14:textId="77777777" w:rsidR="00951F81" w:rsidRPr="00C515CC" w:rsidRDefault="00951F81" w:rsidP="00C515CC">
      <w:pPr>
        <w:keepNext/>
      </w:pPr>
    </w:p>
    <w:p w14:paraId="45BDA2AC" w14:textId="24A5706F" w:rsidR="00951F81" w:rsidRPr="00C515CC" w:rsidRDefault="00951F81" w:rsidP="00C515CC">
      <w:pPr>
        <w:tabs>
          <w:tab w:val="clear" w:pos="567"/>
        </w:tabs>
      </w:pPr>
      <w:r w:rsidRPr="00C515CC">
        <w:t xml:space="preserve">Azért, hogy a kezelés a lehető legelőnyösebb legyen az Ön számára a törések kockázatának csökkentésében, fontos mindaddig alkalmaznia a </w:t>
      </w:r>
      <w:r w:rsidR="00A96EB8" w:rsidRPr="00C515CC">
        <w:t>Kefdensis</w:t>
      </w:r>
      <w:r w:rsidRPr="00C515CC">
        <w:noBreakHyphen/>
        <w:t>t, amíg ezt kezelőorvosa előírja Önnek. Ne hagyja abba a kezelést anélkül, hogy beszélne kezelőorvosával.</w:t>
      </w:r>
    </w:p>
    <w:p w14:paraId="17166772" w14:textId="77777777" w:rsidR="00951F81" w:rsidRPr="00C515CC" w:rsidRDefault="00951F81" w:rsidP="00C515CC">
      <w:pPr>
        <w:tabs>
          <w:tab w:val="clear" w:pos="567"/>
        </w:tabs>
      </w:pPr>
    </w:p>
    <w:p w14:paraId="518B346A" w14:textId="77777777" w:rsidR="00951F81" w:rsidRPr="00C515CC" w:rsidRDefault="00951F81" w:rsidP="00C515CC">
      <w:pPr>
        <w:tabs>
          <w:tab w:val="clear" w:pos="567"/>
        </w:tabs>
      </w:pPr>
    </w:p>
    <w:p w14:paraId="6466A298" w14:textId="77777777" w:rsidR="00951F81" w:rsidRPr="00C515CC" w:rsidRDefault="00951F81" w:rsidP="00C515CC">
      <w:pPr>
        <w:keepNext/>
        <w:tabs>
          <w:tab w:val="clear" w:pos="567"/>
        </w:tabs>
        <w:ind w:left="567" w:hanging="567"/>
        <w:rPr>
          <w:b/>
        </w:rPr>
      </w:pPr>
      <w:r w:rsidRPr="00C515CC">
        <w:rPr>
          <w:b/>
        </w:rPr>
        <w:t>4.</w:t>
      </w:r>
      <w:r w:rsidRPr="00C515CC">
        <w:rPr>
          <w:b/>
        </w:rPr>
        <w:tab/>
        <w:t>Lehetséges mellékhatások</w:t>
      </w:r>
    </w:p>
    <w:p w14:paraId="50788420" w14:textId="77777777" w:rsidR="00951F81" w:rsidRPr="00C515CC" w:rsidRDefault="00951F81" w:rsidP="00C515CC">
      <w:pPr>
        <w:keepNext/>
      </w:pPr>
    </w:p>
    <w:p w14:paraId="3A719079" w14:textId="77777777" w:rsidR="00951F81" w:rsidRPr="00C515CC" w:rsidRDefault="00951F81" w:rsidP="00C515CC">
      <w:pPr>
        <w:tabs>
          <w:tab w:val="clear" w:pos="567"/>
        </w:tabs>
      </w:pPr>
      <w:r w:rsidRPr="00C515CC">
        <w:t>Mint minden gyógyszer, így ez a gyógyszer is okozhat mellékhatásokat, amelyek azonban nem mindenkinél jelentkeznek.</w:t>
      </w:r>
    </w:p>
    <w:p w14:paraId="31C04B6C" w14:textId="77777777" w:rsidR="00951F81" w:rsidRPr="00C515CC" w:rsidRDefault="00951F81" w:rsidP="00C515CC">
      <w:pPr>
        <w:tabs>
          <w:tab w:val="clear" w:pos="567"/>
        </w:tabs>
      </w:pPr>
    </w:p>
    <w:p w14:paraId="391A436E" w14:textId="03F1A4AF" w:rsidR="00951F81" w:rsidRPr="00C515CC" w:rsidRDefault="00951F81" w:rsidP="00C515CC">
      <w:pPr>
        <w:tabs>
          <w:tab w:val="clear" w:pos="567"/>
        </w:tabs>
      </w:pPr>
      <w:r w:rsidRPr="00C515CC">
        <w:t xml:space="preserve">Nem gyakran a </w:t>
      </w:r>
      <w:r w:rsidR="00324752" w:rsidRPr="00C515CC">
        <w:t>denoszumabo</w:t>
      </w:r>
      <w:r w:rsidRPr="00C515CC">
        <w:t>t kapó betegeknél bőrfertőzés (elsősorban kötőszövet</w:t>
      </w:r>
      <w:r w:rsidRPr="00C515CC">
        <w:noBreakHyphen/>
        <w:t xml:space="preserve">gyulladás) alakulhat ki. </w:t>
      </w:r>
      <w:r w:rsidRPr="00C515CC">
        <w:rPr>
          <w:b/>
        </w:rPr>
        <w:t>Kérjük, haladéktalanul számoljon be kezelőorvosának arról,</w:t>
      </w:r>
      <w:r w:rsidRPr="00C515CC">
        <w:t xml:space="preserve"> ha a </w:t>
      </w:r>
      <w:r w:rsidR="00A96EB8" w:rsidRPr="00C515CC">
        <w:t>Kefdensis</w:t>
      </w:r>
      <w:r w:rsidRPr="00C515CC">
        <w:noBreakHyphen/>
        <w:t>kezelés során az alábbi tünetek bármelyikét tapasztalja: duzzadt, vörös, forró és érzékeny bőrterület, leggyakrabban a lábszáron, esetleg láz tüneteivel.</w:t>
      </w:r>
    </w:p>
    <w:p w14:paraId="3F999A98" w14:textId="77777777" w:rsidR="00951F81" w:rsidRPr="00C515CC" w:rsidRDefault="00951F81" w:rsidP="00C515CC">
      <w:pPr>
        <w:tabs>
          <w:tab w:val="clear" w:pos="567"/>
        </w:tabs>
      </w:pPr>
    </w:p>
    <w:p w14:paraId="02CC8593" w14:textId="68C3883F" w:rsidR="00951F81" w:rsidRPr="00C515CC" w:rsidRDefault="00951F81" w:rsidP="00C515CC">
      <w:pPr>
        <w:tabs>
          <w:tab w:val="clear" w:pos="567"/>
        </w:tabs>
      </w:pPr>
      <w:r w:rsidRPr="00C515CC">
        <w:t xml:space="preserve">Ritkán a </w:t>
      </w:r>
      <w:r w:rsidR="00324752" w:rsidRPr="00C515CC">
        <w:t>denoszumabo</w:t>
      </w:r>
      <w:r w:rsidRPr="00C515CC">
        <w:t xml:space="preserve">t kapó betegeknél kialakulhat fájdalom a szájban és/vagy az állkapocsban, duzzanat vagy nem gyógyuló sebek a szájban vagy az állkapocsban, váladékozás, az állkapocs zsibbadása vagy elnehezülése, vagy egy fog meglazulása. Ezek az állkapocscsont károsodásának (a csontelhalásnak) a jelei lehetnek. </w:t>
      </w:r>
      <w:r w:rsidRPr="00C515CC">
        <w:rPr>
          <w:b/>
        </w:rPr>
        <w:t>Azonnal szóljon kezelőorvosának és fogorvosának</w:t>
      </w:r>
      <w:r w:rsidRPr="00C515CC">
        <w:t xml:space="preserve">, ha ilyen tüneteket tapasztal a </w:t>
      </w:r>
      <w:r w:rsidR="00A96EB8" w:rsidRPr="00C515CC">
        <w:t>Kefdensis</w:t>
      </w:r>
      <w:r w:rsidRPr="00C515CC">
        <w:noBreakHyphen/>
        <w:t>kezelés alatt vagy a kezelés befejezése után.</w:t>
      </w:r>
    </w:p>
    <w:p w14:paraId="7B2D0F65" w14:textId="77777777" w:rsidR="00951F81" w:rsidRPr="00C515CC" w:rsidRDefault="00951F81" w:rsidP="00C515CC">
      <w:pPr>
        <w:tabs>
          <w:tab w:val="clear" w:pos="567"/>
        </w:tabs>
      </w:pPr>
    </w:p>
    <w:p w14:paraId="0AB4A256" w14:textId="54C81AF0" w:rsidR="00951F81" w:rsidRPr="00C515CC" w:rsidRDefault="00951F81" w:rsidP="00C515CC">
      <w:pPr>
        <w:tabs>
          <w:tab w:val="clear" w:pos="567"/>
        </w:tabs>
      </w:pPr>
      <w:r w:rsidRPr="00C515CC">
        <w:t xml:space="preserve">Ritkán a </w:t>
      </w:r>
      <w:r w:rsidR="00324752" w:rsidRPr="00C515CC">
        <w:t>denoszumabo</w:t>
      </w:r>
      <w:r w:rsidRPr="00C515CC">
        <w:t xml:space="preserve">t kapó betegeknek alacsony lehet a kalciumszintje a vérben (hipokalcémia); a súlyosan alacsony vérkalciumszint kórházi ellátást igényelhet és akár életveszélyes is lehet. Ennek tünetei: izomfeszülés, </w:t>
      </w:r>
      <w:r w:rsidR="006107A7">
        <w:t>izom</w:t>
      </w:r>
      <w:r w:rsidRPr="00C515CC">
        <w:t xml:space="preserve">rángások vagy </w:t>
      </w:r>
      <w:r w:rsidR="006107A7">
        <w:t>izom</w:t>
      </w:r>
      <w:r w:rsidRPr="00C515CC">
        <w:t xml:space="preserve">görcsök, és/vagy zsibbadás vagy bizsergés az ujjaiban, a lábujjaiban vagy a szája körül és/vagy görcsrohamok, zavartság vagy eszméletvesztés. Ezek bármelyike esetén </w:t>
      </w:r>
      <w:r w:rsidRPr="00C515CC">
        <w:rPr>
          <w:b/>
        </w:rPr>
        <w:t>haladéktalanul szóljon kezelőorvosának</w:t>
      </w:r>
      <w:r w:rsidRPr="00C515CC">
        <w:t>. A vér alacsony kalciumszintje a szívritmus QT</w:t>
      </w:r>
      <w:r w:rsidRPr="00C515CC">
        <w:noBreakHyphen/>
        <w:t>megnyúlásnak nevezett változásához is vezethet, ami az EKG</w:t>
      </w:r>
      <w:r w:rsidRPr="00C515CC">
        <w:noBreakHyphen/>
        <w:t>görbén látható.</w:t>
      </w:r>
    </w:p>
    <w:p w14:paraId="4EC48566" w14:textId="77777777" w:rsidR="00951F81" w:rsidRPr="00C515CC" w:rsidRDefault="00951F81" w:rsidP="00C515CC">
      <w:pPr>
        <w:tabs>
          <w:tab w:val="clear" w:pos="567"/>
        </w:tabs>
      </w:pPr>
    </w:p>
    <w:p w14:paraId="643E70D2" w14:textId="0B83B98C" w:rsidR="00951F81" w:rsidRPr="00C515CC" w:rsidRDefault="00951F81" w:rsidP="00C515CC">
      <w:pPr>
        <w:tabs>
          <w:tab w:val="clear" w:pos="567"/>
        </w:tabs>
      </w:pPr>
      <w:r w:rsidRPr="00C515CC">
        <w:t xml:space="preserve">Ritkán a combcsont nem típusos törései fordulhatnak elő a </w:t>
      </w:r>
      <w:r w:rsidR="00324752" w:rsidRPr="00C515CC">
        <w:t>denoszumabba</w:t>
      </w:r>
      <w:r w:rsidRPr="00C515CC">
        <w:t xml:space="preserve">l kezelt betegeknél. </w:t>
      </w:r>
      <w:r w:rsidRPr="00C515CC">
        <w:rPr>
          <w:b/>
        </w:rPr>
        <w:t>Forduljon kezelőorvosához</w:t>
      </w:r>
      <w:r w:rsidRPr="00C515CC">
        <w:t>, ha új vagy szokatlan fájdalmat tapasztal csípőjében, lágyékában vagy combjában, mivel ez egy esetleges combcsonttörés korai jele lehet.</w:t>
      </w:r>
    </w:p>
    <w:p w14:paraId="4A7B0F2A" w14:textId="77777777" w:rsidR="00951F81" w:rsidRPr="00C515CC" w:rsidRDefault="00951F81" w:rsidP="00C515CC">
      <w:pPr>
        <w:tabs>
          <w:tab w:val="clear" w:pos="567"/>
        </w:tabs>
      </w:pPr>
    </w:p>
    <w:p w14:paraId="6E01A728" w14:textId="5D7B826B" w:rsidR="00951F81" w:rsidRPr="00C515CC" w:rsidRDefault="00951F81" w:rsidP="00C515CC">
      <w:pPr>
        <w:tabs>
          <w:tab w:val="clear" w:pos="567"/>
        </w:tabs>
      </w:pPr>
      <w:r w:rsidRPr="00C515CC">
        <w:t xml:space="preserve">Ritkán allergiás reakciók jelentkezhetnek a </w:t>
      </w:r>
      <w:r w:rsidR="00324752" w:rsidRPr="00C515CC">
        <w:t>denoszumabba</w:t>
      </w:r>
      <w:r w:rsidRPr="00C515CC">
        <w:t xml:space="preserve">l kezelt betegeknél. Ennek tünetei az arc, az ajkak, a nyelv, a torok vagy más testrészek duzzanata; bőrkiütés, viszketés vagy csalánkiütés a bőrön, sípoló légzés vagy nehézlégzés. </w:t>
      </w:r>
      <w:r w:rsidRPr="00C515CC">
        <w:rPr>
          <w:b/>
        </w:rPr>
        <w:t>Kérjük, mondja el kezelőorvosának</w:t>
      </w:r>
      <w:r w:rsidRPr="00C515CC">
        <w:t xml:space="preserve">, ha ezek közül a tünetek közül bármelyik jelentkezik Önnél a </w:t>
      </w:r>
      <w:r w:rsidR="00A96EB8" w:rsidRPr="00C515CC">
        <w:t>Kefdensis</w:t>
      </w:r>
      <w:r w:rsidRPr="00C515CC">
        <w:noBreakHyphen/>
        <w:t>kezelés alatt.</w:t>
      </w:r>
    </w:p>
    <w:p w14:paraId="50768EC2" w14:textId="77777777" w:rsidR="00951F81" w:rsidRPr="00C515CC" w:rsidRDefault="00951F81" w:rsidP="00C515CC">
      <w:pPr>
        <w:tabs>
          <w:tab w:val="clear" w:pos="567"/>
        </w:tabs>
      </w:pPr>
    </w:p>
    <w:p w14:paraId="6F4F9199" w14:textId="77777777" w:rsidR="00951F81" w:rsidRPr="00C515CC" w:rsidRDefault="00951F81" w:rsidP="00C515CC">
      <w:pPr>
        <w:keepNext/>
      </w:pPr>
      <w:r w:rsidRPr="00C515CC">
        <w:rPr>
          <w:b/>
        </w:rPr>
        <w:t>Nagyon gyakori mellékhatás</w:t>
      </w:r>
      <w:r w:rsidRPr="00C515CC">
        <w:t xml:space="preserve"> (10 beteg közül több mint 1 beteget érinthet):</w:t>
      </w:r>
    </w:p>
    <w:p w14:paraId="5A9194B7" w14:textId="77777777" w:rsidR="00951F81" w:rsidRPr="00C515CC" w:rsidRDefault="00951F81" w:rsidP="00C515CC">
      <w:pPr>
        <w:keepNext/>
      </w:pPr>
    </w:p>
    <w:p w14:paraId="1E030D52" w14:textId="77777777" w:rsidR="00951F81" w:rsidRPr="00C515CC" w:rsidRDefault="00951F81" w:rsidP="00C515CC">
      <w:pPr>
        <w:numPr>
          <w:ilvl w:val="0"/>
          <w:numId w:val="54"/>
        </w:numPr>
        <w:tabs>
          <w:tab w:val="clear" w:pos="567"/>
        </w:tabs>
        <w:ind w:left="567" w:hanging="567"/>
      </w:pPr>
      <w:r w:rsidRPr="00C515CC">
        <w:t>fájdalom a csontokban, ízületekben és/vagy izmokban, ami olykor súlyos is lehet,</w:t>
      </w:r>
    </w:p>
    <w:p w14:paraId="7622B849" w14:textId="77777777" w:rsidR="00951F81" w:rsidRPr="00C515CC" w:rsidRDefault="00951F81" w:rsidP="00C515CC">
      <w:pPr>
        <w:numPr>
          <w:ilvl w:val="0"/>
          <w:numId w:val="54"/>
        </w:numPr>
        <w:tabs>
          <w:tab w:val="clear" w:pos="567"/>
        </w:tabs>
        <w:ind w:left="567" w:hanging="567"/>
      </w:pPr>
      <w:r w:rsidRPr="00C515CC">
        <w:t>kar</w:t>
      </w:r>
      <w:r w:rsidRPr="00C515CC">
        <w:noBreakHyphen/>
        <w:t xml:space="preserve"> vagy lábfájás (végtagfájdalom).</w:t>
      </w:r>
    </w:p>
    <w:p w14:paraId="2D04BCE2" w14:textId="77777777" w:rsidR="00951F81" w:rsidRPr="00C515CC" w:rsidRDefault="00951F81" w:rsidP="00C515CC">
      <w:pPr>
        <w:numPr>
          <w:ilvl w:val="12"/>
          <w:numId w:val="0"/>
        </w:numPr>
        <w:ind w:right="-2"/>
      </w:pPr>
    </w:p>
    <w:p w14:paraId="29CF0764" w14:textId="77777777" w:rsidR="00951F81" w:rsidRPr="00C515CC" w:rsidRDefault="00951F81" w:rsidP="00C515CC">
      <w:pPr>
        <w:keepNext/>
      </w:pPr>
      <w:r w:rsidRPr="00C515CC">
        <w:rPr>
          <w:b/>
        </w:rPr>
        <w:t>Gyakori mellékhatás</w:t>
      </w:r>
      <w:r w:rsidRPr="00C515CC">
        <w:t xml:space="preserve"> (10 beteg közül legfeljebb 1 beteget érinthet):</w:t>
      </w:r>
    </w:p>
    <w:p w14:paraId="065B4047" w14:textId="77777777" w:rsidR="00951F81" w:rsidRPr="00C515CC" w:rsidRDefault="00951F81" w:rsidP="00C515CC">
      <w:pPr>
        <w:keepNext/>
      </w:pPr>
    </w:p>
    <w:p w14:paraId="75BD9910" w14:textId="77777777" w:rsidR="00951F81" w:rsidRPr="00C515CC" w:rsidRDefault="00951F81" w:rsidP="00C515CC">
      <w:pPr>
        <w:numPr>
          <w:ilvl w:val="0"/>
          <w:numId w:val="54"/>
        </w:numPr>
        <w:tabs>
          <w:tab w:val="clear" w:pos="567"/>
        </w:tabs>
        <w:ind w:left="567" w:hanging="567"/>
      </w:pPr>
      <w:r w:rsidRPr="00C515CC">
        <w:t>fájdalmas vizeletürítés, gyakori vizelés, vér a vizeletben, vizelettartási képtelenség,</w:t>
      </w:r>
    </w:p>
    <w:p w14:paraId="05A600A3" w14:textId="77777777" w:rsidR="00951F81" w:rsidRPr="00C515CC" w:rsidRDefault="00951F81" w:rsidP="00C515CC">
      <w:pPr>
        <w:numPr>
          <w:ilvl w:val="0"/>
          <w:numId w:val="54"/>
        </w:numPr>
        <w:tabs>
          <w:tab w:val="clear" w:pos="567"/>
        </w:tabs>
        <w:ind w:left="567" w:hanging="567"/>
      </w:pPr>
      <w:r w:rsidRPr="00C515CC">
        <w:t>felső légúti fertőzés,</w:t>
      </w:r>
    </w:p>
    <w:p w14:paraId="4C733093" w14:textId="1BBE5E9A" w:rsidR="00951F81" w:rsidRPr="00C515CC" w:rsidRDefault="00951F81" w:rsidP="00C515CC">
      <w:pPr>
        <w:numPr>
          <w:ilvl w:val="0"/>
          <w:numId w:val="54"/>
        </w:numPr>
        <w:tabs>
          <w:tab w:val="clear" w:pos="567"/>
        </w:tabs>
        <w:ind w:left="567" w:hanging="567"/>
      </w:pPr>
      <w:r w:rsidRPr="00C515CC">
        <w:t>az alsó végtagba sugárzó fájdalom, bizsergés vagy zsibbadás (ülőidegzsába, isiász),</w:t>
      </w:r>
    </w:p>
    <w:p w14:paraId="7A1B5C8D" w14:textId="77777777" w:rsidR="00951F81" w:rsidRPr="00C515CC" w:rsidRDefault="00951F81" w:rsidP="00C515CC">
      <w:pPr>
        <w:numPr>
          <w:ilvl w:val="0"/>
          <w:numId w:val="54"/>
        </w:numPr>
        <w:tabs>
          <w:tab w:val="clear" w:pos="567"/>
        </w:tabs>
        <w:ind w:left="567" w:hanging="567"/>
      </w:pPr>
      <w:r w:rsidRPr="00C515CC">
        <w:t>székrekedés,</w:t>
      </w:r>
    </w:p>
    <w:p w14:paraId="06BA95AC" w14:textId="77777777" w:rsidR="00951F81" w:rsidRPr="00C515CC" w:rsidRDefault="00951F81" w:rsidP="00C515CC">
      <w:pPr>
        <w:numPr>
          <w:ilvl w:val="0"/>
          <w:numId w:val="54"/>
        </w:numPr>
        <w:tabs>
          <w:tab w:val="clear" w:pos="567"/>
        </w:tabs>
        <w:ind w:left="567" w:hanging="567"/>
      </w:pPr>
      <w:r w:rsidRPr="00C515CC">
        <w:t>kellemetlen hasi érzés,</w:t>
      </w:r>
    </w:p>
    <w:p w14:paraId="3F0C921E" w14:textId="77777777" w:rsidR="00951F81" w:rsidRPr="00C515CC" w:rsidRDefault="00951F81" w:rsidP="00C515CC">
      <w:pPr>
        <w:numPr>
          <w:ilvl w:val="0"/>
          <w:numId w:val="54"/>
        </w:numPr>
        <w:tabs>
          <w:tab w:val="clear" w:pos="567"/>
        </w:tabs>
        <w:ind w:left="567" w:hanging="567"/>
      </w:pPr>
      <w:r w:rsidRPr="00C515CC">
        <w:t>bőrkiütés,</w:t>
      </w:r>
    </w:p>
    <w:p w14:paraId="604E704C" w14:textId="77777777" w:rsidR="00951F81" w:rsidRPr="00C515CC" w:rsidRDefault="00951F81" w:rsidP="00C515CC">
      <w:pPr>
        <w:numPr>
          <w:ilvl w:val="0"/>
          <w:numId w:val="54"/>
        </w:numPr>
        <w:tabs>
          <w:tab w:val="clear" w:pos="567"/>
        </w:tabs>
        <w:ind w:left="567" w:hanging="567"/>
      </w:pPr>
      <w:r w:rsidRPr="00C515CC">
        <w:t>viszketéssel, bőrvörösséggel és/vagy bőrszárazsággal járó bőrbetegség (ekcéma),</w:t>
      </w:r>
    </w:p>
    <w:p w14:paraId="3C3706ED" w14:textId="77777777" w:rsidR="00951F81" w:rsidRPr="00C515CC" w:rsidRDefault="00951F81" w:rsidP="00C515CC">
      <w:pPr>
        <w:numPr>
          <w:ilvl w:val="0"/>
          <w:numId w:val="54"/>
        </w:numPr>
        <w:tabs>
          <w:tab w:val="clear" w:pos="567"/>
        </w:tabs>
        <w:ind w:left="567" w:hanging="567"/>
      </w:pPr>
      <w:r w:rsidRPr="00C515CC">
        <w:t>hajhullás (alopécia).</w:t>
      </w:r>
    </w:p>
    <w:p w14:paraId="26117A7B" w14:textId="77777777" w:rsidR="00951F81" w:rsidRPr="00C515CC" w:rsidRDefault="00951F81" w:rsidP="00C515CC">
      <w:pPr>
        <w:pStyle w:val="lbltxt"/>
        <w:rPr>
          <w:b/>
          <w:noProof w:val="0"/>
          <w:szCs w:val="22"/>
        </w:rPr>
      </w:pPr>
    </w:p>
    <w:p w14:paraId="079485FF" w14:textId="77777777" w:rsidR="00951F81" w:rsidRPr="00C515CC" w:rsidRDefault="00951F81" w:rsidP="00C515CC">
      <w:pPr>
        <w:keepNext/>
      </w:pPr>
      <w:r w:rsidRPr="00C515CC">
        <w:rPr>
          <w:b/>
        </w:rPr>
        <w:t>Nem gyakori mellékhatás</w:t>
      </w:r>
      <w:r w:rsidRPr="00C515CC">
        <w:t xml:space="preserve"> (100 beteg közül legfeljebb 1 beteget érinthet):</w:t>
      </w:r>
    </w:p>
    <w:p w14:paraId="67E53BC9" w14:textId="77777777" w:rsidR="00951F81" w:rsidRPr="00C515CC" w:rsidRDefault="00951F81" w:rsidP="00C515CC">
      <w:pPr>
        <w:keepNext/>
      </w:pPr>
    </w:p>
    <w:p w14:paraId="6033780B" w14:textId="77777777" w:rsidR="00951F81" w:rsidRPr="00C515CC" w:rsidRDefault="00951F81" w:rsidP="00C515CC">
      <w:pPr>
        <w:numPr>
          <w:ilvl w:val="0"/>
          <w:numId w:val="54"/>
        </w:numPr>
        <w:tabs>
          <w:tab w:val="clear" w:pos="567"/>
        </w:tabs>
        <w:ind w:left="567" w:hanging="567"/>
      </w:pPr>
      <w:r w:rsidRPr="00C515CC">
        <w:t>láz, hányás és hasi fájdalom vagy panaszok (vastagbéltasak</w:t>
      </w:r>
      <w:r w:rsidRPr="00C515CC">
        <w:noBreakHyphen/>
        <w:t>gyulladás, divertikulitisz),</w:t>
      </w:r>
    </w:p>
    <w:p w14:paraId="319118A9" w14:textId="77777777" w:rsidR="00951F81" w:rsidRPr="00C515CC" w:rsidRDefault="00951F81" w:rsidP="00C515CC">
      <w:pPr>
        <w:numPr>
          <w:ilvl w:val="0"/>
          <w:numId w:val="54"/>
        </w:numPr>
        <w:tabs>
          <w:tab w:val="clear" w:pos="567"/>
        </w:tabs>
        <w:ind w:left="567" w:hanging="567"/>
      </w:pPr>
      <w:r w:rsidRPr="00C515CC">
        <w:t>fülfertőzés,</w:t>
      </w:r>
    </w:p>
    <w:p w14:paraId="266BDCFE" w14:textId="77777777" w:rsidR="00951F81" w:rsidRPr="00C515CC" w:rsidRDefault="00951F81" w:rsidP="00C515CC">
      <w:pPr>
        <w:numPr>
          <w:ilvl w:val="0"/>
          <w:numId w:val="54"/>
        </w:numPr>
        <w:tabs>
          <w:tab w:val="clear" w:pos="567"/>
        </w:tabs>
        <w:ind w:left="567" w:hanging="567"/>
      </w:pPr>
      <w:r w:rsidRPr="00C515CC">
        <w:t>bőrkiütés vagy a szájban sebek jelentkezhetnek (lichenoid gyógyszerkiütések).</w:t>
      </w:r>
    </w:p>
    <w:p w14:paraId="1309CEB3" w14:textId="77777777" w:rsidR="00951F81" w:rsidRPr="00C515CC" w:rsidRDefault="00951F81" w:rsidP="00C515CC"/>
    <w:p w14:paraId="7A4B5502" w14:textId="77777777" w:rsidR="00951F81" w:rsidRPr="00C515CC" w:rsidRDefault="00951F81" w:rsidP="00C515CC">
      <w:pPr>
        <w:keepNext/>
      </w:pPr>
      <w:r w:rsidRPr="00C515CC">
        <w:rPr>
          <w:b/>
        </w:rPr>
        <w:t>Nagyon ritka mellékhatás</w:t>
      </w:r>
      <w:r w:rsidRPr="00C515CC">
        <w:t xml:space="preserve"> (10 000 beteg közül legfeljebb 1 beteget érinthet):</w:t>
      </w:r>
    </w:p>
    <w:p w14:paraId="37091F78" w14:textId="77777777" w:rsidR="00951F81" w:rsidRPr="00C515CC" w:rsidRDefault="00951F81" w:rsidP="00C515CC">
      <w:pPr>
        <w:keepNext/>
      </w:pPr>
    </w:p>
    <w:p w14:paraId="74090E3D" w14:textId="7140059F" w:rsidR="00951F81" w:rsidRPr="00C515CC" w:rsidRDefault="00951F81" w:rsidP="00C515CC">
      <w:pPr>
        <w:numPr>
          <w:ilvl w:val="0"/>
          <w:numId w:val="54"/>
        </w:numPr>
        <w:tabs>
          <w:tab w:val="clear" w:pos="567"/>
        </w:tabs>
        <w:ind w:left="567" w:hanging="567"/>
      </w:pPr>
      <w:r w:rsidRPr="00C515CC">
        <w:t>allergiás reakció, ami főleg a bőrben lévő ereket károsíthatja (p</w:t>
      </w:r>
      <w:r w:rsidR="006107A7">
        <w:t>éldául</w:t>
      </w:r>
      <w:r w:rsidRPr="00C515CC">
        <w:t xml:space="preserve"> lila vagy barnás</w:t>
      </w:r>
      <w:r w:rsidRPr="00C515CC">
        <w:noBreakHyphen/>
        <w:t>vöröses foltok, csalánkiütés vagy sebek a bőrön) (túlérzékenységi érgyulladás).</w:t>
      </w:r>
    </w:p>
    <w:p w14:paraId="1A743D96" w14:textId="77777777" w:rsidR="00951F81" w:rsidRPr="00C515CC" w:rsidRDefault="00951F81" w:rsidP="00C515CC"/>
    <w:p w14:paraId="786B6E0B" w14:textId="77777777" w:rsidR="00951F81" w:rsidRPr="00C515CC" w:rsidRDefault="00951F81" w:rsidP="00C515CC">
      <w:pPr>
        <w:keepNext/>
      </w:pPr>
      <w:r w:rsidRPr="00C515CC">
        <w:rPr>
          <w:b/>
        </w:rPr>
        <w:t>Nem ismert</w:t>
      </w:r>
      <w:r w:rsidRPr="00C515CC">
        <w:t xml:space="preserve"> (a gyakoriság a rendelkezésre álló adatokból nem állapítható meg):</w:t>
      </w:r>
    </w:p>
    <w:p w14:paraId="4C6991EF" w14:textId="77777777" w:rsidR="00951F81" w:rsidRPr="00C515CC" w:rsidRDefault="00951F81" w:rsidP="00C515CC">
      <w:pPr>
        <w:keepNext/>
      </w:pPr>
    </w:p>
    <w:p w14:paraId="09105412" w14:textId="40249022" w:rsidR="00951F81" w:rsidRPr="00C515CC" w:rsidRDefault="00951F81" w:rsidP="00C515CC">
      <w:pPr>
        <w:numPr>
          <w:ilvl w:val="0"/>
          <w:numId w:val="54"/>
        </w:numPr>
        <w:tabs>
          <w:tab w:val="clear" w:pos="567"/>
        </w:tabs>
        <w:ind w:left="567" w:hanging="567"/>
      </w:pPr>
      <w:r w:rsidRPr="00C515CC">
        <w:t xml:space="preserve">beszéljen kezelőorvosával, ha fáj </w:t>
      </w:r>
      <w:r w:rsidR="006107A7">
        <w:t>vagy</w:t>
      </w:r>
      <w:r w:rsidRPr="00C515CC">
        <w:t xml:space="preserve"> váladékozik a füle és/vagy fülfertőzése van. Ezek a fülben kialakuló csontkárosodás tünetei lehetnek.</w:t>
      </w:r>
    </w:p>
    <w:p w14:paraId="5275ECA3" w14:textId="77777777" w:rsidR="00951F81" w:rsidRPr="00C515CC" w:rsidRDefault="00951F81" w:rsidP="00C515CC"/>
    <w:p w14:paraId="1104089A" w14:textId="77777777" w:rsidR="00951F81" w:rsidRPr="00C515CC" w:rsidRDefault="00951F81" w:rsidP="00C515CC">
      <w:pPr>
        <w:keepNext/>
        <w:tabs>
          <w:tab w:val="clear" w:pos="567"/>
        </w:tabs>
        <w:rPr>
          <w:b/>
          <w:bCs/>
        </w:rPr>
      </w:pPr>
      <w:r w:rsidRPr="00C515CC">
        <w:rPr>
          <w:b/>
        </w:rPr>
        <w:t>Mellékhatások bejelentése</w:t>
      </w:r>
    </w:p>
    <w:p w14:paraId="62CAB830" w14:textId="77777777" w:rsidR="00951F81" w:rsidRPr="00C515CC" w:rsidRDefault="00951F81" w:rsidP="00C515CC">
      <w:pPr>
        <w:keepNext/>
      </w:pPr>
    </w:p>
    <w:p w14:paraId="1608E4C7" w14:textId="51DA5BA4" w:rsidR="00951F81" w:rsidRPr="00C515CC" w:rsidRDefault="00951F81" w:rsidP="00C515CC">
      <w:pPr>
        <w:tabs>
          <w:tab w:val="clear" w:pos="567"/>
        </w:tabs>
      </w:pPr>
      <w:r w:rsidRPr="00C515CC">
        <w:t>Ha Önnél bármilyen mellékhatás jelentkezik, tájékoztassa kezelőorvosát</w:t>
      </w:r>
      <w:r w:rsidR="002667F4" w:rsidRPr="00C515CC">
        <w:t xml:space="preserve">, gyógyszerészét </w:t>
      </w:r>
      <w:r w:rsidRPr="00C515CC">
        <w:t>vagy</w:t>
      </w:r>
      <w:r w:rsidR="002667F4" w:rsidRPr="00C515CC">
        <w:t xml:space="preserve"> a gondozását végző egészségügyi szakembert</w:t>
      </w:r>
      <w:r w:rsidRPr="00C515CC">
        <w:t xml:space="preserve">. Ez a betegtájékoztatóban fel nem sorolt bármilyen lehetséges mellékhatásra is vonatkozik. A mellékhatásokat közvetlenül a hatóság részére is bejelentheti az </w:t>
      </w:r>
      <w:hyperlink r:id="rId17" w:history="1">
        <w:r w:rsidRPr="00C515CC">
          <w:rPr>
            <w:rStyle w:val="Hyperlink"/>
            <w:highlight w:val="lightGray"/>
          </w:rPr>
          <w:t>V. függelékben</w:t>
        </w:r>
      </w:hyperlink>
      <w:r w:rsidRPr="00C515CC">
        <w:rPr>
          <w:highlight w:val="lightGray"/>
        </w:rPr>
        <w:t xml:space="preserve"> található elérhetőségeken keresztül</w:t>
      </w:r>
      <w:r w:rsidRPr="00C515CC">
        <w:t>. A mellékhatások bejelentésével Ön is hozzájárulhat ahhoz, hogy minél több információ álljon rendelkezésre a gyógyszer biztonságos alkalmazásával kapcsolatban.</w:t>
      </w:r>
    </w:p>
    <w:p w14:paraId="6E3D69E0" w14:textId="77777777" w:rsidR="00951F81" w:rsidRPr="00C515CC" w:rsidRDefault="00951F81" w:rsidP="00C515CC">
      <w:pPr>
        <w:tabs>
          <w:tab w:val="clear" w:pos="567"/>
        </w:tabs>
      </w:pPr>
    </w:p>
    <w:p w14:paraId="4513B06F" w14:textId="77777777" w:rsidR="00951F81" w:rsidRPr="00C515CC" w:rsidRDefault="00951F81" w:rsidP="00C515CC">
      <w:pPr>
        <w:tabs>
          <w:tab w:val="clear" w:pos="567"/>
        </w:tabs>
      </w:pPr>
    </w:p>
    <w:p w14:paraId="1F64681F" w14:textId="40FA84E2" w:rsidR="00951F81" w:rsidRPr="00C515CC" w:rsidRDefault="00951F81" w:rsidP="00C515CC">
      <w:pPr>
        <w:keepNext/>
        <w:tabs>
          <w:tab w:val="clear" w:pos="567"/>
        </w:tabs>
        <w:ind w:left="567" w:hanging="567"/>
        <w:rPr>
          <w:b/>
        </w:rPr>
      </w:pPr>
      <w:r w:rsidRPr="00C515CC">
        <w:rPr>
          <w:b/>
        </w:rPr>
        <w:t>5.</w:t>
      </w:r>
      <w:r w:rsidRPr="00C515CC">
        <w:rPr>
          <w:b/>
        </w:rPr>
        <w:tab/>
        <w:t xml:space="preserve">Hogyan kell a </w:t>
      </w:r>
      <w:r w:rsidR="00A96EB8" w:rsidRPr="00C515CC">
        <w:rPr>
          <w:b/>
        </w:rPr>
        <w:t>Kefdensis</w:t>
      </w:r>
      <w:r w:rsidRPr="00C515CC">
        <w:rPr>
          <w:b/>
        </w:rPr>
        <w:noBreakHyphen/>
        <w:t>t tárolni?</w:t>
      </w:r>
    </w:p>
    <w:p w14:paraId="69FB1FE9" w14:textId="77777777" w:rsidR="00951F81" w:rsidRPr="00C515CC" w:rsidRDefault="00951F81" w:rsidP="00C515CC">
      <w:pPr>
        <w:keepNext/>
      </w:pPr>
    </w:p>
    <w:p w14:paraId="620425C1" w14:textId="77777777" w:rsidR="00951F81" w:rsidRPr="00C515CC" w:rsidRDefault="00951F81" w:rsidP="00C515CC">
      <w:pPr>
        <w:tabs>
          <w:tab w:val="clear" w:pos="567"/>
        </w:tabs>
      </w:pPr>
      <w:r w:rsidRPr="00C515CC">
        <w:t>A gyógyszer gyermekektől elzárva tartandó!</w:t>
      </w:r>
    </w:p>
    <w:p w14:paraId="54293D78" w14:textId="77777777" w:rsidR="00951F81" w:rsidRPr="00C515CC" w:rsidRDefault="00951F81" w:rsidP="00C515CC">
      <w:pPr>
        <w:tabs>
          <w:tab w:val="clear" w:pos="567"/>
        </w:tabs>
      </w:pPr>
    </w:p>
    <w:p w14:paraId="4D281510" w14:textId="77777777" w:rsidR="00951F81" w:rsidRPr="00C515CC" w:rsidRDefault="00951F81" w:rsidP="00C515CC">
      <w:pPr>
        <w:tabs>
          <w:tab w:val="clear" w:pos="567"/>
        </w:tabs>
      </w:pPr>
      <w:r w:rsidRPr="00C515CC">
        <w:t>A címkén és a dobozon feltüntetett lejárati idő (EXP) után ne alkalmazza ezt a gyógyszert. A lejárati idő az adott hónap utolsó napjára vonatkozik.</w:t>
      </w:r>
    </w:p>
    <w:p w14:paraId="15BCD2F1" w14:textId="77777777" w:rsidR="00951F81" w:rsidRPr="00C515CC" w:rsidRDefault="00951F81" w:rsidP="00C515CC">
      <w:pPr>
        <w:tabs>
          <w:tab w:val="clear" w:pos="567"/>
        </w:tabs>
      </w:pPr>
    </w:p>
    <w:p w14:paraId="07F53003" w14:textId="77777777" w:rsidR="00951F81" w:rsidRPr="00C515CC" w:rsidRDefault="00951F81" w:rsidP="00C515CC">
      <w:pPr>
        <w:tabs>
          <w:tab w:val="clear" w:pos="567"/>
        </w:tabs>
      </w:pPr>
      <w:r w:rsidRPr="00C515CC">
        <w:t>Hűtőszekrényben (2 °C–8 °C) tárolandó.</w:t>
      </w:r>
    </w:p>
    <w:p w14:paraId="643F8900" w14:textId="77777777" w:rsidR="00951F81" w:rsidRPr="00C515CC" w:rsidRDefault="00951F81" w:rsidP="00C515CC">
      <w:pPr>
        <w:tabs>
          <w:tab w:val="clear" w:pos="567"/>
        </w:tabs>
      </w:pPr>
      <w:r w:rsidRPr="00C515CC">
        <w:t>Nem fagyasztható!</w:t>
      </w:r>
    </w:p>
    <w:p w14:paraId="7477C1C1" w14:textId="7F4EC10C" w:rsidR="00951F81" w:rsidRPr="00C515CC" w:rsidRDefault="00951F81" w:rsidP="00C515CC">
      <w:pPr>
        <w:tabs>
          <w:tab w:val="clear" w:pos="567"/>
        </w:tabs>
      </w:pPr>
      <w:r w:rsidRPr="00C515CC">
        <w:t>A fénytől való védelem érdekében az előretöltött fecskendőt tartsa a dobozában.</w:t>
      </w:r>
    </w:p>
    <w:p w14:paraId="3150F383" w14:textId="77777777" w:rsidR="00951F81" w:rsidRPr="00C515CC" w:rsidRDefault="00951F81" w:rsidP="00C515CC">
      <w:pPr>
        <w:tabs>
          <w:tab w:val="clear" w:pos="567"/>
        </w:tabs>
      </w:pPr>
    </w:p>
    <w:p w14:paraId="099ABFBC" w14:textId="77777777" w:rsidR="00951F81" w:rsidRPr="00C515CC" w:rsidRDefault="00951F81" w:rsidP="00C515CC">
      <w:pPr>
        <w:tabs>
          <w:tab w:val="clear" w:pos="567"/>
        </w:tabs>
      </w:pPr>
      <w:r w:rsidRPr="00C515CC">
        <w:t>Előretöltött fecskendőjét a hűtőszekrényből kivéve hagyhatja szobahőmérsékletre (legfeljebb 25 °C</w:t>
      </w:r>
      <w:r w:rsidRPr="00C515CC">
        <w:noBreakHyphen/>
        <w:t>ra) melegedni a beadás előtt. Így az injekció beadása kevésbé lesz kellemetlen. Ha a fecskendő egyszer szobahőmérsékletűre melegedett (legfeljebb 25 °C), akkor azt 30 napon belül fel kell használni.</w:t>
      </w:r>
    </w:p>
    <w:p w14:paraId="10BA4C4B" w14:textId="77777777" w:rsidR="00951F81" w:rsidRPr="00C515CC" w:rsidRDefault="00951F81" w:rsidP="00C515CC">
      <w:pPr>
        <w:tabs>
          <w:tab w:val="clear" w:pos="567"/>
        </w:tabs>
      </w:pPr>
    </w:p>
    <w:p w14:paraId="560D872D" w14:textId="77777777" w:rsidR="00951F81" w:rsidRPr="00C515CC" w:rsidRDefault="00951F81" w:rsidP="00C515CC">
      <w:pPr>
        <w:tabs>
          <w:tab w:val="clear" w:pos="567"/>
        </w:tabs>
      </w:pPr>
      <w:r w:rsidRPr="00C515CC">
        <w:t>Semmilyen gyógyszert ne dobjon a szennyvízbe vagy a háztartási hulladékba. Kérdezze meg gyógyszerészét, hogy mit tegyen a már nem használt gyógyszereivel. Ezek az intézkedések elősegítik a környezet védelmét.</w:t>
      </w:r>
    </w:p>
    <w:p w14:paraId="6007B073" w14:textId="77777777" w:rsidR="00951F81" w:rsidRPr="00C515CC" w:rsidRDefault="00951F81" w:rsidP="00C515CC">
      <w:pPr>
        <w:tabs>
          <w:tab w:val="clear" w:pos="567"/>
        </w:tabs>
      </w:pPr>
    </w:p>
    <w:p w14:paraId="22090339" w14:textId="77777777" w:rsidR="00951F81" w:rsidRPr="00C515CC" w:rsidRDefault="00951F81" w:rsidP="00C515CC">
      <w:pPr>
        <w:tabs>
          <w:tab w:val="clear" w:pos="567"/>
        </w:tabs>
      </w:pPr>
    </w:p>
    <w:p w14:paraId="4ECD5435" w14:textId="77777777" w:rsidR="00951F81" w:rsidRPr="00C515CC" w:rsidRDefault="00951F81" w:rsidP="00C515CC">
      <w:pPr>
        <w:keepNext/>
        <w:tabs>
          <w:tab w:val="clear" w:pos="567"/>
        </w:tabs>
        <w:ind w:left="567" w:hanging="567"/>
        <w:rPr>
          <w:b/>
        </w:rPr>
      </w:pPr>
      <w:r w:rsidRPr="00C515CC">
        <w:rPr>
          <w:b/>
        </w:rPr>
        <w:t>6.</w:t>
      </w:r>
      <w:r w:rsidRPr="00C515CC">
        <w:rPr>
          <w:b/>
        </w:rPr>
        <w:tab/>
        <w:t>A csomagolás tartalma és egyéb információk</w:t>
      </w:r>
    </w:p>
    <w:p w14:paraId="36245F6E" w14:textId="77777777" w:rsidR="00951F81" w:rsidRPr="00C515CC" w:rsidRDefault="00951F81" w:rsidP="00C515CC">
      <w:pPr>
        <w:keepNext/>
      </w:pPr>
    </w:p>
    <w:p w14:paraId="2C6DC133" w14:textId="65C8B7ED" w:rsidR="00951F81" w:rsidRPr="00C515CC" w:rsidRDefault="00951F81" w:rsidP="00C515CC">
      <w:pPr>
        <w:keepNext/>
        <w:tabs>
          <w:tab w:val="clear" w:pos="567"/>
        </w:tabs>
        <w:rPr>
          <w:b/>
          <w:bCs/>
        </w:rPr>
      </w:pPr>
      <w:r w:rsidRPr="00C515CC">
        <w:rPr>
          <w:b/>
        </w:rPr>
        <w:t xml:space="preserve">Mit tartalmaz a </w:t>
      </w:r>
      <w:r w:rsidR="00A96EB8" w:rsidRPr="00C515CC">
        <w:rPr>
          <w:b/>
        </w:rPr>
        <w:t>Kefdensis</w:t>
      </w:r>
      <w:r w:rsidRPr="00C515CC">
        <w:rPr>
          <w:b/>
        </w:rPr>
        <w:t>?</w:t>
      </w:r>
    </w:p>
    <w:p w14:paraId="09998AE3" w14:textId="77777777" w:rsidR="00951F81" w:rsidRPr="00C515CC" w:rsidRDefault="00951F81" w:rsidP="00C515CC">
      <w:pPr>
        <w:keepNext/>
      </w:pPr>
    </w:p>
    <w:p w14:paraId="6271D345" w14:textId="77777777" w:rsidR="00951F81" w:rsidRPr="00C515CC" w:rsidRDefault="00951F81" w:rsidP="00C515CC">
      <w:pPr>
        <w:numPr>
          <w:ilvl w:val="0"/>
          <w:numId w:val="56"/>
        </w:numPr>
        <w:ind w:left="567" w:hanging="567"/>
      </w:pPr>
      <w:r w:rsidRPr="00C515CC">
        <w:t>A készítmény hatóanyaga a denoszumab. Minden 1 ml</w:t>
      </w:r>
      <w:r w:rsidRPr="00C515CC">
        <w:noBreakHyphen/>
        <w:t>es előretöltött fecskendő 60 mg (60 mg/ml) denoszumabot tartalmaz.</w:t>
      </w:r>
    </w:p>
    <w:p w14:paraId="43C2EFBC" w14:textId="5125A89A" w:rsidR="00951F81" w:rsidRPr="00C515CC" w:rsidRDefault="00951F81" w:rsidP="00C515CC">
      <w:pPr>
        <w:numPr>
          <w:ilvl w:val="0"/>
          <w:numId w:val="56"/>
        </w:numPr>
        <w:ind w:left="567" w:hanging="567"/>
      </w:pPr>
      <w:r w:rsidRPr="00C515CC">
        <w:t xml:space="preserve">Egyéb összetevők: </w:t>
      </w:r>
      <w:r w:rsidR="003C3DA0" w:rsidRPr="00C515CC">
        <w:t>L</w:t>
      </w:r>
      <w:r w:rsidR="006C2300" w:rsidRPr="00C515CC">
        <w:noBreakHyphen/>
      </w:r>
      <w:r w:rsidR="003C3DA0" w:rsidRPr="00C515CC">
        <w:t>hisztidin, L</w:t>
      </w:r>
      <w:r w:rsidR="006C2300" w:rsidRPr="00C515CC">
        <w:noBreakHyphen/>
      </w:r>
      <w:r w:rsidR="003C3DA0" w:rsidRPr="00C515CC">
        <w:t>hisztidin-monohidroklorid-monohidrát, szacharóz, poloxamer 188</w:t>
      </w:r>
      <w:r w:rsidRPr="00C515CC">
        <w:t xml:space="preserve"> és injekcióhoz való víz.</w:t>
      </w:r>
    </w:p>
    <w:p w14:paraId="2873C7D4" w14:textId="77777777" w:rsidR="00951F81" w:rsidRPr="00C515CC" w:rsidRDefault="00951F81" w:rsidP="00C515CC">
      <w:pPr>
        <w:ind w:right="-2"/>
      </w:pPr>
    </w:p>
    <w:p w14:paraId="7CC5E342" w14:textId="2CC1FFC0" w:rsidR="00951F81" w:rsidRPr="00C515CC" w:rsidRDefault="00951F81" w:rsidP="00C515CC">
      <w:pPr>
        <w:keepNext/>
        <w:tabs>
          <w:tab w:val="clear" w:pos="567"/>
        </w:tabs>
        <w:rPr>
          <w:b/>
          <w:bCs/>
        </w:rPr>
      </w:pPr>
      <w:r w:rsidRPr="00C515CC">
        <w:rPr>
          <w:b/>
        </w:rPr>
        <w:t xml:space="preserve">Milyen a </w:t>
      </w:r>
      <w:r w:rsidR="00A96EB8" w:rsidRPr="00C515CC">
        <w:rPr>
          <w:b/>
        </w:rPr>
        <w:t>Kefdensis</w:t>
      </w:r>
      <w:r w:rsidRPr="00C515CC">
        <w:rPr>
          <w:b/>
        </w:rPr>
        <w:t xml:space="preserve"> külleme és mit tartalmaz a csomagolás?</w:t>
      </w:r>
    </w:p>
    <w:p w14:paraId="4EAC539C" w14:textId="77777777" w:rsidR="00951F81" w:rsidRPr="00C515CC" w:rsidRDefault="00951F81" w:rsidP="00C515CC">
      <w:pPr>
        <w:keepNext/>
      </w:pPr>
    </w:p>
    <w:p w14:paraId="44107298" w14:textId="297D407E" w:rsidR="00951F81" w:rsidRPr="00C515CC" w:rsidRDefault="00951F81" w:rsidP="00C515CC">
      <w:pPr>
        <w:tabs>
          <w:tab w:val="clear" w:pos="567"/>
        </w:tabs>
      </w:pPr>
      <w:r w:rsidRPr="00C515CC">
        <w:t xml:space="preserve">A </w:t>
      </w:r>
      <w:r w:rsidR="00A96EB8" w:rsidRPr="00C515CC">
        <w:t>Kefdensis</w:t>
      </w:r>
      <w:r w:rsidRPr="00C515CC">
        <w:t xml:space="preserve"> tiszta, színtelen</w:t>
      </w:r>
      <w:r w:rsidRPr="00C515CC">
        <w:noBreakHyphen/>
        <w:t>halványsárga oldatos injekció, ami használatra kész előretöltött fecskendőben kerül forgalomba.</w:t>
      </w:r>
    </w:p>
    <w:p w14:paraId="460912C6" w14:textId="77777777" w:rsidR="00951F81" w:rsidRPr="00C515CC" w:rsidRDefault="00951F81" w:rsidP="00C515CC">
      <w:pPr>
        <w:tabs>
          <w:tab w:val="clear" w:pos="567"/>
        </w:tabs>
      </w:pPr>
    </w:p>
    <w:p w14:paraId="652222CC" w14:textId="77777777" w:rsidR="00951F81" w:rsidRPr="00C515CC" w:rsidRDefault="00951F81" w:rsidP="00C515CC">
      <w:pPr>
        <w:keepNext/>
        <w:tabs>
          <w:tab w:val="clear" w:pos="567"/>
        </w:tabs>
      </w:pPr>
      <w:r w:rsidRPr="00C515CC">
        <w:t>A csomagolás egy darab tűvédővel ellátott, előretöltött fecskendőt tartalmaz.</w:t>
      </w:r>
    </w:p>
    <w:p w14:paraId="4C312141" w14:textId="77777777" w:rsidR="00951F81" w:rsidRPr="00C515CC" w:rsidRDefault="00951F81" w:rsidP="00C515CC">
      <w:pPr>
        <w:tabs>
          <w:tab w:val="clear" w:pos="567"/>
        </w:tabs>
      </w:pPr>
    </w:p>
    <w:p w14:paraId="13D59CB3" w14:textId="1BC1BAE0" w:rsidR="00951F81" w:rsidRPr="00C515CC" w:rsidRDefault="00951F81" w:rsidP="00C515CC">
      <w:pPr>
        <w:keepNext/>
        <w:tabs>
          <w:tab w:val="clear" w:pos="567"/>
        </w:tabs>
        <w:rPr>
          <w:b/>
          <w:bCs/>
        </w:rPr>
      </w:pPr>
      <w:r w:rsidRPr="00C515CC">
        <w:rPr>
          <w:b/>
        </w:rPr>
        <w:t>A forgalomba hozatali engedély jogosultja</w:t>
      </w:r>
      <w:r w:rsidR="0002325D" w:rsidRPr="00C515CC">
        <w:rPr>
          <w:b/>
        </w:rPr>
        <w:t>:</w:t>
      </w:r>
    </w:p>
    <w:p w14:paraId="0977212D" w14:textId="77777777" w:rsidR="00F66A14" w:rsidRPr="00C515CC" w:rsidRDefault="00F66A14" w:rsidP="00633DB8">
      <w:pPr>
        <w:ind w:left="567" w:hanging="567"/>
        <w:jc w:val="both"/>
        <w:rPr>
          <w:rFonts w:eastAsia="Times New Roman"/>
        </w:rPr>
      </w:pPr>
      <w:r w:rsidRPr="00C515CC">
        <w:rPr>
          <w:rFonts w:eastAsia="Times New Roman"/>
        </w:rPr>
        <w:t>STADA Arzneimittel AG</w:t>
      </w:r>
    </w:p>
    <w:p w14:paraId="3A40817B" w14:textId="77777777" w:rsidR="00F66A14" w:rsidRPr="00C515CC" w:rsidRDefault="00F66A14" w:rsidP="00633DB8">
      <w:pPr>
        <w:ind w:left="567" w:hanging="567"/>
        <w:jc w:val="both"/>
        <w:rPr>
          <w:rFonts w:eastAsia="Times New Roman"/>
        </w:rPr>
      </w:pPr>
      <w:r w:rsidRPr="00C515CC">
        <w:rPr>
          <w:rFonts w:eastAsia="Times New Roman"/>
        </w:rPr>
        <w:t>Stadastrasse 2-18</w:t>
      </w:r>
    </w:p>
    <w:p w14:paraId="57B4261F" w14:textId="722ADEA4" w:rsidR="00F66A14" w:rsidRPr="00C515CC" w:rsidRDefault="00F66A14" w:rsidP="00633DB8">
      <w:pPr>
        <w:ind w:left="567" w:hanging="567"/>
        <w:jc w:val="both"/>
        <w:rPr>
          <w:rFonts w:eastAsia="Times New Roman"/>
        </w:rPr>
      </w:pPr>
      <w:r w:rsidRPr="00C515CC">
        <w:rPr>
          <w:rFonts w:eastAsia="Times New Roman"/>
        </w:rPr>
        <w:t>61118 Bad Vilbel</w:t>
      </w:r>
    </w:p>
    <w:p w14:paraId="35275651" w14:textId="77777777" w:rsidR="00F66A14" w:rsidRPr="00C515CC" w:rsidRDefault="00F66A14" w:rsidP="00633DB8">
      <w:pPr>
        <w:ind w:left="567" w:hanging="567"/>
        <w:jc w:val="both"/>
        <w:rPr>
          <w:rFonts w:eastAsia="Times New Roman"/>
        </w:rPr>
      </w:pPr>
      <w:r w:rsidRPr="00C515CC">
        <w:rPr>
          <w:rFonts w:eastAsia="Times New Roman"/>
        </w:rPr>
        <w:t>Németország</w:t>
      </w:r>
    </w:p>
    <w:p w14:paraId="09EA13D9" w14:textId="77777777" w:rsidR="00951F81" w:rsidRPr="00C515CC" w:rsidRDefault="00951F81" w:rsidP="00C515CC">
      <w:pPr>
        <w:tabs>
          <w:tab w:val="clear" w:pos="567"/>
        </w:tabs>
      </w:pPr>
    </w:p>
    <w:p w14:paraId="5E83D472" w14:textId="77777777" w:rsidR="00951F81" w:rsidRPr="00633DB8" w:rsidRDefault="00951F81" w:rsidP="00C515CC">
      <w:pPr>
        <w:keepNext/>
        <w:autoSpaceDE w:val="0"/>
        <w:autoSpaceDN w:val="0"/>
        <w:adjustRightInd w:val="0"/>
        <w:rPr>
          <w:b/>
          <w:bCs/>
        </w:rPr>
      </w:pPr>
      <w:r w:rsidRPr="00633DB8">
        <w:rPr>
          <w:b/>
        </w:rPr>
        <w:t>Gyártó</w:t>
      </w:r>
    </w:p>
    <w:p w14:paraId="6D0A57A3" w14:textId="77777777" w:rsidR="0002325D" w:rsidRPr="00BF395F" w:rsidRDefault="0002325D" w:rsidP="00C515CC">
      <w:pPr>
        <w:tabs>
          <w:tab w:val="clear" w:pos="567"/>
        </w:tabs>
        <w:rPr>
          <w:rFonts w:eastAsia="Calibri"/>
        </w:rPr>
      </w:pPr>
      <w:r w:rsidRPr="00BF395F">
        <w:rPr>
          <w:rFonts w:eastAsia="Calibri"/>
        </w:rPr>
        <w:t>Alvotech hf</w:t>
      </w:r>
    </w:p>
    <w:p w14:paraId="40D0F323" w14:textId="77777777" w:rsidR="0002325D" w:rsidRPr="00BF395F" w:rsidRDefault="0002325D" w:rsidP="00C515CC">
      <w:pPr>
        <w:tabs>
          <w:tab w:val="clear" w:pos="567"/>
        </w:tabs>
        <w:rPr>
          <w:rFonts w:eastAsia="Calibri"/>
        </w:rPr>
      </w:pPr>
      <w:r w:rsidRPr="00BF395F">
        <w:rPr>
          <w:rFonts w:eastAsia="Calibri"/>
        </w:rPr>
        <w:t>Sæmundargata 15-19</w:t>
      </w:r>
    </w:p>
    <w:p w14:paraId="2B0C6759" w14:textId="77777777" w:rsidR="0002325D" w:rsidRPr="00BF395F" w:rsidRDefault="0002325D" w:rsidP="00C515CC">
      <w:pPr>
        <w:tabs>
          <w:tab w:val="clear" w:pos="567"/>
        </w:tabs>
        <w:rPr>
          <w:rFonts w:eastAsia="Calibri"/>
        </w:rPr>
      </w:pPr>
      <w:r w:rsidRPr="00BF395F">
        <w:rPr>
          <w:rFonts w:eastAsia="Calibri"/>
        </w:rPr>
        <w:t>102 Reykjavik</w:t>
      </w:r>
    </w:p>
    <w:p w14:paraId="15E58ED0" w14:textId="50581E1A" w:rsidR="0002325D" w:rsidRPr="00BF395F" w:rsidRDefault="0002325D" w:rsidP="00C515CC">
      <w:pPr>
        <w:tabs>
          <w:tab w:val="clear" w:pos="567"/>
        </w:tabs>
        <w:rPr>
          <w:rFonts w:eastAsia="Calibri"/>
        </w:rPr>
      </w:pPr>
      <w:r w:rsidRPr="00BF395F">
        <w:rPr>
          <w:rFonts w:eastAsia="Calibri"/>
        </w:rPr>
        <w:t>Izland</w:t>
      </w:r>
    </w:p>
    <w:p w14:paraId="35207DD6" w14:textId="77777777" w:rsidR="00951F81" w:rsidRDefault="00951F81" w:rsidP="00C515CC">
      <w:pPr>
        <w:tabs>
          <w:tab w:val="clear" w:pos="567"/>
        </w:tabs>
        <w:rPr>
          <w:ins w:id="15" w:author="Author" w:date="2026-02-17T11:12:00Z" w16du:dateUtc="2026-02-17T10:12:00Z"/>
        </w:rPr>
      </w:pPr>
    </w:p>
    <w:p w14:paraId="02FED13F" w14:textId="77777777" w:rsidR="001445B0" w:rsidRPr="006859DB" w:rsidRDefault="001445B0" w:rsidP="001445B0">
      <w:pPr>
        <w:ind w:left="567" w:hanging="567"/>
        <w:jc w:val="both"/>
        <w:rPr>
          <w:ins w:id="16" w:author="Author" w:date="2026-02-17T11:12:00Z" w16du:dateUtc="2026-02-17T10:12:00Z"/>
          <w:rFonts w:eastAsia="Times New Roman"/>
          <w:highlight w:val="lightGray"/>
        </w:rPr>
      </w:pPr>
      <w:ins w:id="17" w:author="Author" w:date="2026-02-17T11:12:00Z" w16du:dateUtc="2026-02-17T10:12:00Z">
        <w:r w:rsidRPr="006859DB">
          <w:rPr>
            <w:rFonts w:eastAsia="Times New Roman"/>
            <w:highlight w:val="lightGray"/>
          </w:rPr>
          <w:t>STADA Arzneimittel AG</w:t>
        </w:r>
      </w:ins>
    </w:p>
    <w:p w14:paraId="04ADFF4F" w14:textId="77777777" w:rsidR="001445B0" w:rsidRPr="006859DB" w:rsidRDefault="001445B0" w:rsidP="001445B0">
      <w:pPr>
        <w:ind w:left="567" w:hanging="567"/>
        <w:jc w:val="both"/>
        <w:rPr>
          <w:ins w:id="18" w:author="Author" w:date="2026-02-17T11:12:00Z" w16du:dateUtc="2026-02-17T10:12:00Z"/>
          <w:rFonts w:eastAsia="Times New Roman"/>
          <w:highlight w:val="lightGray"/>
        </w:rPr>
      </w:pPr>
      <w:ins w:id="19" w:author="Author" w:date="2026-02-17T11:12:00Z" w16du:dateUtc="2026-02-17T10:12:00Z">
        <w:r w:rsidRPr="006859DB">
          <w:rPr>
            <w:rFonts w:eastAsia="Times New Roman"/>
            <w:highlight w:val="lightGray"/>
          </w:rPr>
          <w:t>Stadastrasse 2-18</w:t>
        </w:r>
      </w:ins>
    </w:p>
    <w:p w14:paraId="22282DA1" w14:textId="77777777" w:rsidR="001445B0" w:rsidRPr="006859DB" w:rsidRDefault="001445B0" w:rsidP="001445B0">
      <w:pPr>
        <w:ind w:left="567" w:hanging="567"/>
        <w:jc w:val="both"/>
        <w:rPr>
          <w:ins w:id="20" w:author="Author" w:date="2026-02-17T11:12:00Z" w16du:dateUtc="2026-02-17T10:12:00Z"/>
          <w:rFonts w:eastAsia="Times New Roman"/>
          <w:highlight w:val="lightGray"/>
        </w:rPr>
      </w:pPr>
      <w:ins w:id="21" w:author="Author" w:date="2026-02-17T11:12:00Z" w16du:dateUtc="2026-02-17T10:12:00Z">
        <w:r w:rsidRPr="006859DB">
          <w:rPr>
            <w:rFonts w:eastAsia="Times New Roman"/>
            <w:highlight w:val="lightGray"/>
          </w:rPr>
          <w:t>61118 Bad Vilbel</w:t>
        </w:r>
      </w:ins>
    </w:p>
    <w:p w14:paraId="7A6B3F3C" w14:textId="77777777" w:rsidR="001445B0" w:rsidRPr="00983595" w:rsidRDefault="001445B0" w:rsidP="001445B0">
      <w:pPr>
        <w:ind w:left="567" w:hanging="567"/>
        <w:jc w:val="both"/>
        <w:rPr>
          <w:ins w:id="22" w:author="Author" w:date="2026-02-17T11:12:00Z" w16du:dateUtc="2026-02-17T10:12:00Z"/>
          <w:rFonts w:eastAsia="Times New Roman"/>
        </w:rPr>
      </w:pPr>
      <w:ins w:id="23" w:author="Author" w:date="2026-02-17T11:12:00Z" w16du:dateUtc="2026-02-17T10:12:00Z">
        <w:r w:rsidRPr="006859DB">
          <w:rPr>
            <w:rFonts w:eastAsia="Times New Roman"/>
            <w:highlight w:val="lightGray"/>
          </w:rPr>
          <w:t>Németország</w:t>
        </w:r>
      </w:ins>
    </w:p>
    <w:p w14:paraId="20657542" w14:textId="77777777" w:rsidR="001445B0" w:rsidRPr="00C515CC" w:rsidRDefault="001445B0" w:rsidP="00C515CC">
      <w:pPr>
        <w:tabs>
          <w:tab w:val="clear" w:pos="567"/>
        </w:tabs>
      </w:pPr>
    </w:p>
    <w:p w14:paraId="3A8857F4" w14:textId="77777777" w:rsidR="00951F81" w:rsidRPr="00C515CC" w:rsidRDefault="00951F81" w:rsidP="00C515CC">
      <w:pPr>
        <w:keepNext/>
        <w:tabs>
          <w:tab w:val="clear" w:pos="567"/>
        </w:tabs>
      </w:pPr>
      <w:r w:rsidRPr="00C515CC">
        <w:t>A készítményhez kapcsolódó további kérdéseivel forduljon a forgalomba hozatali engedély jogosultjának helyi képviseletéhez:</w:t>
      </w:r>
    </w:p>
    <w:p w14:paraId="1BA303FC" w14:textId="77777777" w:rsidR="00951F81" w:rsidRPr="00C515CC" w:rsidRDefault="00951F81" w:rsidP="00C515CC">
      <w:pPr>
        <w:keepNext/>
        <w:tabs>
          <w:tab w:val="clear" w:pos="567"/>
        </w:tabs>
      </w:pPr>
    </w:p>
    <w:tbl>
      <w:tblPr>
        <w:tblW w:w="9064" w:type="dxa"/>
        <w:tblInd w:w="8" w:type="dxa"/>
        <w:tblCellMar>
          <w:left w:w="0" w:type="dxa"/>
          <w:right w:w="0" w:type="dxa"/>
        </w:tblCellMar>
        <w:tblLook w:val="04A0" w:firstRow="1" w:lastRow="0" w:firstColumn="1" w:lastColumn="0" w:noHBand="0" w:noVBand="1"/>
      </w:tblPr>
      <w:tblGrid>
        <w:gridCol w:w="4659"/>
        <w:gridCol w:w="4405"/>
      </w:tblGrid>
      <w:tr w:rsidR="005A40DA" w:rsidRPr="00C515CC" w14:paraId="6807B5CD" w14:textId="77777777" w:rsidTr="00633DB8">
        <w:trPr>
          <w:cantSplit/>
        </w:trPr>
        <w:tc>
          <w:tcPr>
            <w:tcW w:w="4659" w:type="dxa"/>
            <w:hideMark/>
          </w:tcPr>
          <w:p w14:paraId="71F87BE8" w14:textId="77777777" w:rsidR="005A40DA" w:rsidRPr="00C515CC" w:rsidRDefault="005A40DA" w:rsidP="00C515CC">
            <w:pPr>
              <w:rPr>
                <w:color w:val="000000"/>
                <w:lang w:val="de-DE"/>
              </w:rPr>
            </w:pPr>
            <w:r w:rsidRPr="00C515CC">
              <w:rPr>
                <w:b/>
                <w:color w:val="000000"/>
                <w:lang w:val="de-DE"/>
              </w:rPr>
              <w:t>België/Belgique/Belgien</w:t>
            </w:r>
          </w:p>
          <w:p w14:paraId="64B662D9" w14:textId="77777777" w:rsidR="005A40DA" w:rsidRPr="00C515CC" w:rsidRDefault="005A40DA" w:rsidP="00C515CC">
            <w:pPr>
              <w:rPr>
                <w:rFonts w:eastAsia="Times New Roman"/>
                <w:color w:val="000000"/>
                <w:szCs w:val="20"/>
                <w:lang w:val="de-DE"/>
              </w:rPr>
            </w:pPr>
            <w:r w:rsidRPr="00C515CC">
              <w:rPr>
                <w:rFonts w:eastAsia="Times New Roman"/>
                <w:color w:val="000000"/>
                <w:szCs w:val="20"/>
                <w:lang w:val="de-DE"/>
              </w:rPr>
              <w:t xml:space="preserve">EG </w:t>
            </w:r>
            <w:r w:rsidRPr="00C515CC">
              <w:rPr>
                <w:rFonts w:eastAsia="Times New Roman"/>
                <w:szCs w:val="20"/>
                <w:lang w:val="de-DE" w:eastAsia="hu-HU"/>
              </w:rPr>
              <w:t>(Eurogenerics) NV</w:t>
            </w:r>
          </w:p>
          <w:p w14:paraId="43FB0A81" w14:textId="77777777" w:rsidR="005A40DA" w:rsidRPr="00C515CC" w:rsidRDefault="005A40DA" w:rsidP="00C515CC">
            <w:pPr>
              <w:rPr>
                <w:color w:val="000000"/>
                <w:lang w:val="de-DE"/>
              </w:rPr>
            </w:pPr>
            <w:r w:rsidRPr="00C515CC">
              <w:rPr>
                <w:color w:val="000000"/>
                <w:lang w:val="de-DE"/>
              </w:rPr>
              <w:t xml:space="preserve">Tél/Tel: +32 </w:t>
            </w:r>
            <w:r w:rsidRPr="00C515CC">
              <w:rPr>
                <w:rFonts w:eastAsia="Times New Roman"/>
                <w:color w:val="000000"/>
                <w:szCs w:val="20"/>
                <w:lang w:val="de-DE"/>
              </w:rPr>
              <w:t>24797878</w:t>
            </w:r>
          </w:p>
          <w:p w14:paraId="10CED161" w14:textId="77777777" w:rsidR="005A40DA" w:rsidRPr="00C515CC" w:rsidRDefault="005A40DA" w:rsidP="00C515CC">
            <w:pPr>
              <w:rPr>
                <w:rFonts w:eastAsia="Times New Roman"/>
                <w:lang w:val="de-DE"/>
              </w:rPr>
            </w:pPr>
          </w:p>
        </w:tc>
        <w:tc>
          <w:tcPr>
            <w:tcW w:w="4405" w:type="dxa"/>
            <w:hideMark/>
          </w:tcPr>
          <w:p w14:paraId="694339E5" w14:textId="77777777" w:rsidR="005A40DA" w:rsidRPr="00C515CC" w:rsidRDefault="005A40DA" w:rsidP="00C515CC">
            <w:pPr>
              <w:autoSpaceDE w:val="0"/>
              <w:autoSpaceDN w:val="0"/>
              <w:adjustRightInd w:val="0"/>
              <w:rPr>
                <w:color w:val="000000"/>
              </w:rPr>
            </w:pPr>
            <w:r w:rsidRPr="00C515CC">
              <w:rPr>
                <w:b/>
                <w:color w:val="000000"/>
              </w:rPr>
              <w:t>Lietuva</w:t>
            </w:r>
          </w:p>
          <w:p w14:paraId="53110738" w14:textId="77777777" w:rsidR="005A40DA" w:rsidRPr="00C515CC" w:rsidRDefault="005A40DA" w:rsidP="00C515CC">
            <w:pPr>
              <w:autoSpaceDE w:val="0"/>
              <w:autoSpaceDN w:val="0"/>
              <w:adjustRightInd w:val="0"/>
              <w:rPr>
                <w:rFonts w:eastAsia="Times New Roman"/>
                <w:color w:val="000000"/>
                <w:szCs w:val="20"/>
              </w:rPr>
            </w:pPr>
            <w:r w:rsidRPr="00C515CC">
              <w:rPr>
                <w:rFonts w:eastAsia="Times New Roman"/>
                <w:color w:val="000000"/>
                <w:szCs w:val="20"/>
              </w:rPr>
              <w:t>UAB „STADA Baltics“</w:t>
            </w:r>
          </w:p>
          <w:p w14:paraId="4F4EC0F1" w14:textId="77777777" w:rsidR="005A40DA" w:rsidRPr="00C515CC" w:rsidRDefault="005A40DA" w:rsidP="00C515CC">
            <w:pPr>
              <w:autoSpaceDE w:val="0"/>
              <w:autoSpaceDN w:val="0"/>
              <w:adjustRightInd w:val="0"/>
              <w:rPr>
                <w:color w:val="000000"/>
              </w:rPr>
            </w:pPr>
            <w:r w:rsidRPr="00C515CC">
              <w:rPr>
                <w:color w:val="000000"/>
              </w:rPr>
              <w:t xml:space="preserve">Tel: +370 </w:t>
            </w:r>
            <w:r w:rsidRPr="00C515CC">
              <w:rPr>
                <w:rFonts w:eastAsia="Times New Roman"/>
                <w:color w:val="000000"/>
                <w:szCs w:val="20"/>
              </w:rPr>
              <w:t>52603926</w:t>
            </w:r>
          </w:p>
          <w:p w14:paraId="1B4CAFF9" w14:textId="77777777" w:rsidR="005A40DA" w:rsidRPr="00C515CC" w:rsidRDefault="005A40DA" w:rsidP="00C515CC">
            <w:pPr>
              <w:rPr>
                <w:rFonts w:eastAsia="Times New Roman"/>
              </w:rPr>
            </w:pPr>
          </w:p>
        </w:tc>
      </w:tr>
      <w:tr w:rsidR="005A40DA" w:rsidRPr="00C515CC" w14:paraId="17B3033F" w14:textId="77777777" w:rsidTr="00633DB8">
        <w:trPr>
          <w:cantSplit/>
        </w:trPr>
        <w:tc>
          <w:tcPr>
            <w:tcW w:w="4659" w:type="dxa"/>
            <w:hideMark/>
          </w:tcPr>
          <w:p w14:paraId="0AD66B38" w14:textId="77777777" w:rsidR="005A40DA" w:rsidRPr="00C515CC" w:rsidRDefault="005A40DA" w:rsidP="00C515CC">
            <w:pPr>
              <w:autoSpaceDE w:val="0"/>
              <w:autoSpaceDN w:val="0"/>
              <w:adjustRightInd w:val="0"/>
              <w:rPr>
                <w:b/>
                <w:color w:val="000000"/>
                <w:lang w:val="es-ES"/>
              </w:rPr>
            </w:pPr>
            <w:r w:rsidRPr="00C515CC">
              <w:rPr>
                <w:b/>
                <w:color w:val="000000"/>
              </w:rPr>
              <w:t>България</w:t>
            </w:r>
          </w:p>
          <w:p w14:paraId="5EDBEC7A" w14:textId="77777777" w:rsidR="005A40DA" w:rsidRPr="00C515CC" w:rsidRDefault="005A40DA" w:rsidP="00C515CC">
            <w:pPr>
              <w:autoSpaceDE w:val="0"/>
              <w:autoSpaceDN w:val="0"/>
              <w:adjustRightInd w:val="0"/>
              <w:rPr>
                <w:rFonts w:eastAsia="Times New Roman"/>
                <w:color w:val="000000"/>
                <w:szCs w:val="20"/>
                <w:lang w:val="es-ES"/>
              </w:rPr>
            </w:pPr>
            <w:r w:rsidRPr="00C515CC">
              <w:rPr>
                <w:rFonts w:eastAsia="Times New Roman"/>
                <w:color w:val="000000"/>
                <w:szCs w:val="20"/>
                <w:lang w:val="es-ES"/>
              </w:rPr>
              <w:t>STADA Bulgaria EOOD</w:t>
            </w:r>
          </w:p>
          <w:p w14:paraId="360BF9CF" w14:textId="77777777" w:rsidR="005A40DA" w:rsidRPr="00C515CC" w:rsidRDefault="005A40DA" w:rsidP="00C515CC">
            <w:pPr>
              <w:autoSpaceDE w:val="0"/>
              <w:autoSpaceDN w:val="0"/>
              <w:adjustRightInd w:val="0"/>
              <w:rPr>
                <w:color w:val="000000"/>
                <w:lang w:val="es-ES"/>
              </w:rPr>
            </w:pPr>
            <w:r w:rsidRPr="00C515CC">
              <w:rPr>
                <w:rFonts w:eastAsia="Times New Roman"/>
                <w:color w:val="000000"/>
                <w:szCs w:val="20"/>
                <w:lang w:val="es-ES"/>
              </w:rPr>
              <w:t>Te</w:t>
            </w:r>
            <w:r w:rsidRPr="00C515CC">
              <w:rPr>
                <w:rFonts w:eastAsia="Times New Roman"/>
                <w:color w:val="000000"/>
                <w:szCs w:val="20"/>
              </w:rPr>
              <w:t>л</w:t>
            </w:r>
            <w:r w:rsidRPr="00C515CC">
              <w:rPr>
                <w:color w:val="000000"/>
                <w:lang w:val="es-ES"/>
              </w:rPr>
              <w:t xml:space="preserve">.: +359 </w:t>
            </w:r>
            <w:r w:rsidRPr="00C515CC">
              <w:rPr>
                <w:rFonts w:eastAsia="Times New Roman"/>
                <w:color w:val="000000"/>
                <w:szCs w:val="20"/>
                <w:lang w:val="es-ES"/>
              </w:rPr>
              <w:t>29624626</w:t>
            </w:r>
          </w:p>
          <w:p w14:paraId="047B4CD9" w14:textId="77777777" w:rsidR="005A40DA" w:rsidRPr="00C515CC" w:rsidRDefault="005A40DA" w:rsidP="00C515CC">
            <w:pPr>
              <w:rPr>
                <w:lang w:val="es-ES"/>
              </w:rPr>
            </w:pPr>
          </w:p>
        </w:tc>
        <w:tc>
          <w:tcPr>
            <w:tcW w:w="4405" w:type="dxa"/>
            <w:hideMark/>
          </w:tcPr>
          <w:p w14:paraId="093FE1B9" w14:textId="77777777" w:rsidR="005A40DA" w:rsidRPr="00C515CC" w:rsidRDefault="005A40DA" w:rsidP="00C515CC">
            <w:pPr>
              <w:suppressAutoHyphens/>
              <w:rPr>
                <w:color w:val="000000"/>
                <w:lang w:val="de-DE"/>
              </w:rPr>
            </w:pPr>
            <w:r w:rsidRPr="00C515CC">
              <w:rPr>
                <w:b/>
                <w:color w:val="000000"/>
                <w:lang w:val="de-DE"/>
              </w:rPr>
              <w:t>Luxembourg/Luxemburg</w:t>
            </w:r>
          </w:p>
          <w:p w14:paraId="72C33538" w14:textId="77777777" w:rsidR="005A40DA" w:rsidRPr="00C515CC" w:rsidRDefault="005A40DA" w:rsidP="00C515CC">
            <w:pPr>
              <w:suppressAutoHyphens/>
              <w:rPr>
                <w:rFonts w:eastAsia="Times New Roman"/>
                <w:color w:val="000000"/>
                <w:szCs w:val="20"/>
                <w:lang w:val="de-DE"/>
              </w:rPr>
            </w:pPr>
            <w:r w:rsidRPr="00C515CC">
              <w:rPr>
                <w:rFonts w:eastAsia="Times New Roman"/>
                <w:color w:val="000000"/>
                <w:szCs w:val="20"/>
                <w:lang w:val="de-DE"/>
              </w:rPr>
              <w:t>EG (Eurogenerics) NV</w:t>
            </w:r>
          </w:p>
          <w:p w14:paraId="45DD9C54" w14:textId="77777777" w:rsidR="005A40DA" w:rsidRPr="00C515CC" w:rsidRDefault="005A40DA" w:rsidP="00C515CC">
            <w:pPr>
              <w:suppressAutoHyphens/>
              <w:rPr>
                <w:color w:val="000000"/>
                <w:lang w:val="de-DE"/>
              </w:rPr>
            </w:pPr>
            <w:r w:rsidRPr="00C515CC">
              <w:rPr>
                <w:color w:val="000000"/>
                <w:lang w:val="de-DE"/>
              </w:rPr>
              <w:t xml:space="preserve">Tél/Tel: +32 </w:t>
            </w:r>
            <w:r w:rsidRPr="00C515CC">
              <w:rPr>
                <w:rFonts w:eastAsia="Times New Roman"/>
                <w:color w:val="000000"/>
                <w:szCs w:val="20"/>
                <w:lang w:val="de-DE"/>
              </w:rPr>
              <w:t>24797878</w:t>
            </w:r>
          </w:p>
          <w:p w14:paraId="61C32D70" w14:textId="77777777" w:rsidR="005A40DA" w:rsidRPr="00C515CC" w:rsidRDefault="005A40DA" w:rsidP="00C515CC">
            <w:pPr>
              <w:rPr>
                <w:lang w:val="de-DE"/>
              </w:rPr>
            </w:pPr>
          </w:p>
        </w:tc>
      </w:tr>
      <w:tr w:rsidR="005A40DA" w:rsidRPr="00C515CC" w14:paraId="7657928F" w14:textId="77777777" w:rsidTr="00633DB8">
        <w:trPr>
          <w:cantSplit/>
        </w:trPr>
        <w:tc>
          <w:tcPr>
            <w:tcW w:w="4659" w:type="dxa"/>
            <w:hideMark/>
          </w:tcPr>
          <w:p w14:paraId="49904E65" w14:textId="77777777" w:rsidR="005A40DA" w:rsidRPr="00C515CC" w:rsidRDefault="005A40DA" w:rsidP="00C515CC">
            <w:pPr>
              <w:suppressAutoHyphens/>
              <w:rPr>
                <w:color w:val="000000"/>
                <w:lang w:val="pl-PL"/>
              </w:rPr>
            </w:pPr>
            <w:r w:rsidRPr="00C515CC">
              <w:rPr>
                <w:b/>
                <w:color w:val="000000"/>
                <w:lang w:val="pl-PL"/>
              </w:rPr>
              <w:t>Česká republika</w:t>
            </w:r>
          </w:p>
          <w:p w14:paraId="401C4F9C" w14:textId="77777777" w:rsidR="005A40DA" w:rsidRPr="00C515CC" w:rsidRDefault="005A40DA" w:rsidP="00C515CC">
            <w:pPr>
              <w:suppressAutoHyphens/>
              <w:rPr>
                <w:color w:val="000000"/>
                <w:lang w:val="pl-PL"/>
              </w:rPr>
            </w:pPr>
            <w:r w:rsidRPr="00C515CC">
              <w:rPr>
                <w:rFonts w:eastAsia="Times New Roman"/>
                <w:color w:val="000000"/>
                <w:szCs w:val="20"/>
                <w:lang w:val="pl-PL"/>
              </w:rPr>
              <w:t>STADA PHARMA CZ</w:t>
            </w:r>
            <w:r w:rsidRPr="00C515CC">
              <w:rPr>
                <w:color w:val="000000"/>
                <w:lang w:val="pl-PL"/>
              </w:rPr>
              <w:t xml:space="preserve"> s.r.o.</w:t>
            </w:r>
          </w:p>
          <w:p w14:paraId="1926E220" w14:textId="77777777" w:rsidR="005A40DA" w:rsidRPr="00C515CC" w:rsidRDefault="005A40DA" w:rsidP="00C515CC">
            <w:pPr>
              <w:rPr>
                <w:color w:val="000000"/>
              </w:rPr>
            </w:pPr>
            <w:r w:rsidRPr="00C515CC">
              <w:rPr>
                <w:color w:val="000000"/>
              </w:rPr>
              <w:t xml:space="preserve">Tel: +420 </w:t>
            </w:r>
            <w:r w:rsidRPr="00C515CC">
              <w:rPr>
                <w:rFonts w:eastAsia="Times New Roman"/>
                <w:color w:val="000000"/>
                <w:szCs w:val="20"/>
                <w:lang w:eastAsia="cs-CZ"/>
              </w:rPr>
              <w:t>257888111</w:t>
            </w:r>
          </w:p>
          <w:p w14:paraId="03BD9FEC" w14:textId="77777777" w:rsidR="005A40DA" w:rsidRPr="00C515CC" w:rsidRDefault="005A40DA" w:rsidP="00C515CC"/>
        </w:tc>
        <w:tc>
          <w:tcPr>
            <w:tcW w:w="4405" w:type="dxa"/>
            <w:hideMark/>
          </w:tcPr>
          <w:p w14:paraId="1CACE05A" w14:textId="77777777" w:rsidR="005A40DA" w:rsidRPr="00C515CC" w:rsidRDefault="005A40DA" w:rsidP="00C515CC">
            <w:pPr>
              <w:rPr>
                <w:b/>
                <w:color w:val="000000"/>
              </w:rPr>
            </w:pPr>
            <w:r w:rsidRPr="00C515CC">
              <w:rPr>
                <w:b/>
                <w:color w:val="000000"/>
              </w:rPr>
              <w:t>Magyarország</w:t>
            </w:r>
          </w:p>
          <w:p w14:paraId="2F279857" w14:textId="77777777" w:rsidR="005A40DA" w:rsidRPr="00C515CC" w:rsidRDefault="005A40DA" w:rsidP="00C515CC">
            <w:pPr>
              <w:rPr>
                <w:color w:val="000000"/>
              </w:rPr>
            </w:pPr>
            <w:r w:rsidRPr="00C515CC">
              <w:rPr>
                <w:rFonts w:eastAsia="Times New Roman"/>
                <w:color w:val="000000"/>
                <w:szCs w:val="20"/>
              </w:rPr>
              <w:t>STADA Hungary</w:t>
            </w:r>
            <w:r w:rsidRPr="00C515CC">
              <w:rPr>
                <w:color w:val="000000"/>
              </w:rPr>
              <w:t xml:space="preserve"> Kft</w:t>
            </w:r>
          </w:p>
          <w:p w14:paraId="1D0C0B90" w14:textId="77777777" w:rsidR="005A40DA" w:rsidRPr="00C515CC" w:rsidRDefault="005A40DA" w:rsidP="00C515CC">
            <w:pPr>
              <w:rPr>
                <w:color w:val="000000"/>
              </w:rPr>
            </w:pPr>
            <w:r w:rsidRPr="00C515CC">
              <w:rPr>
                <w:color w:val="000000"/>
              </w:rPr>
              <w:t xml:space="preserve">Tel.: +36 </w:t>
            </w:r>
            <w:r w:rsidRPr="00C515CC">
              <w:rPr>
                <w:rFonts w:eastAsia="Times New Roman"/>
                <w:color w:val="000000"/>
                <w:szCs w:val="20"/>
              </w:rPr>
              <w:t>18009747</w:t>
            </w:r>
          </w:p>
          <w:p w14:paraId="72245180" w14:textId="77777777" w:rsidR="005A40DA" w:rsidRPr="00C515CC" w:rsidRDefault="005A40DA" w:rsidP="00C515CC">
            <w:pPr>
              <w:rPr>
                <w:rFonts w:eastAsia="Times New Roman"/>
              </w:rPr>
            </w:pPr>
          </w:p>
        </w:tc>
      </w:tr>
      <w:tr w:rsidR="005A40DA" w:rsidRPr="00C515CC" w14:paraId="5A59FCB1" w14:textId="77777777" w:rsidTr="00633DB8">
        <w:trPr>
          <w:cantSplit/>
        </w:trPr>
        <w:tc>
          <w:tcPr>
            <w:tcW w:w="4659" w:type="dxa"/>
            <w:hideMark/>
          </w:tcPr>
          <w:p w14:paraId="189E69EB" w14:textId="77777777" w:rsidR="005A40DA" w:rsidRPr="00C515CC" w:rsidRDefault="005A40DA" w:rsidP="00C515CC">
            <w:pPr>
              <w:rPr>
                <w:color w:val="000000"/>
              </w:rPr>
            </w:pPr>
            <w:r w:rsidRPr="00C515CC">
              <w:rPr>
                <w:b/>
                <w:color w:val="000000"/>
              </w:rPr>
              <w:t>Danmark</w:t>
            </w:r>
          </w:p>
          <w:p w14:paraId="10521A7D" w14:textId="77777777" w:rsidR="005A40DA" w:rsidRPr="00C515CC" w:rsidRDefault="005A40DA" w:rsidP="00C515CC">
            <w:pPr>
              <w:rPr>
                <w:rFonts w:eastAsia="Times New Roman"/>
                <w:color w:val="000000"/>
                <w:szCs w:val="20"/>
              </w:rPr>
            </w:pPr>
            <w:r w:rsidRPr="00C515CC">
              <w:rPr>
                <w:rFonts w:eastAsia="Times New Roman"/>
                <w:color w:val="000000"/>
                <w:szCs w:val="20"/>
              </w:rPr>
              <w:t>STADA Nordic ApS</w:t>
            </w:r>
          </w:p>
          <w:p w14:paraId="38CEF724" w14:textId="77777777" w:rsidR="005A40DA" w:rsidRPr="00C515CC" w:rsidRDefault="005A40DA" w:rsidP="00C515CC">
            <w:pPr>
              <w:rPr>
                <w:color w:val="000000"/>
              </w:rPr>
            </w:pPr>
            <w:r w:rsidRPr="00C515CC">
              <w:rPr>
                <w:color w:val="000000"/>
              </w:rPr>
              <w:t xml:space="preserve">Tlf: +45 </w:t>
            </w:r>
            <w:r w:rsidRPr="00C515CC">
              <w:rPr>
                <w:rFonts w:eastAsia="Times New Roman"/>
                <w:color w:val="000000"/>
                <w:szCs w:val="20"/>
              </w:rPr>
              <w:t>44859999</w:t>
            </w:r>
          </w:p>
          <w:p w14:paraId="76EBEFB9" w14:textId="77777777" w:rsidR="005A40DA" w:rsidRPr="00C515CC" w:rsidRDefault="005A40DA" w:rsidP="00C515CC">
            <w:pPr>
              <w:rPr>
                <w:rFonts w:eastAsia="Times New Roman"/>
              </w:rPr>
            </w:pPr>
          </w:p>
        </w:tc>
        <w:tc>
          <w:tcPr>
            <w:tcW w:w="4405" w:type="dxa"/>
            <w:hideMark/>
          </w:tcPr>
          <w:p w14:paraId="54588FA1" w14:textId="77777777" w:rsidR="005A40DA" w:rsidRPr="00C515CC" w:rsidRDefault="005A40DA" w:rsidP="00C515CC">
            <w:pPr>
              <w:rPr>
                <w:b/>
                <w:color w:val="000000"/>
                <w:lang w:val="de-DE"/>
              </w:rPr>
            </w:pPr>
            <w:r w:rsidRPr="00C515CC">
              <w:rPr>
                <w:b/>
                <w:color w:val="000000"/>
                <w:lang w:val="de-DE"/>
              </w:rPr>
              <w:t>Malta</w:t>
            </w:r>
          </w:p>
          <w:p w14:paraId="7DC188A9" w14:textId="77777777" w:rsidR="009E7A9E" w:rsidRPr="009E7A9E" w:rsidRDefault="009E7A9E" w:rsidP="009E7A9E">
            <w:pPr>
              <w:rPr>
                <w:rFonts w:eastAsia="Times New Roman"/>
                <w:color w:val="000000"/>
                <w:szCs w:val="20"/>
              </w:rPr>
            </w:pPr>
            <w:r w:rsidRPr="009E7A9E">
              <w:rPr>
                <w:rFonts w:eastAsia="Times New Roman"/>
                <w:color w:val="000000"/>
                <w:szCs w:val="20"/>
              </w:rPr>
              <w:t>Pharma.MT Ltd.</w:t>
            </w:r>
          </w:p>
          <w:p w14:paraId="04A4B9A7" w14:textId="77777777" w:rsidR="009E7A9E" w:rsidRPr="009E7A9E" w:rsidRDefault="009E7A9E" w:rsidP="009E7A9E">
            <w:pPr>
              <w:rPr>
                <w:rFonts w:eastAsia="Times New Roman"/>
                <w:color w:val="000000"/>
                <w:szCs w:val="20"/>
              </w:rPr>
            </w:pPr>
            <w:r w:rsidRPr="009E7A9E">
              <w:rPr>
                <w:rFonts w:eastAsia="Times New Roman"/>
                <w:color w:val="000000"/>
                <w:szCs w:val="20"/>
              </w:rPr>
              <w:t>Tel: + 356 21337008</w:t>
            </w:r>
          </w:p>
          <w:p w14:paraId="3A834E27" w14:textId="77777777" w:rsidR="005A40DA" w:rsidRPr="00C515CC" w:rsidRDefault="005A40DA" w:rsidP="00C515CC">
            <w:pPr>
              <w:rPr>
                <w:lang w:val="de-DE"/>
              </w:rPr>
            </w:pPr>
          </w:p>
        </w:tc>
      </w:tr>
      <w:tr w:rsidR="005A40DA" w:rsidRPr="00C515CC" w14:paraId="65C5D1DD" w14:textId="77777777" w:rsidTr="00633DB8">
        <w:trPr>
          <w:cantSplit/>
        </w:trPr>
        <w:tc>
          <w:tcPr>
            <w:tcW w:w="4659" w:type="dxa"/>
            <w:hideMark/>
          </w:tcPr>
          <w:p w14:paraId="493FF9ED" w14:textId="77777777" w:rsidR="005A40DA" w:rsidRPr="00C515CC" w:rsidRDefault="005A40DA" w:rsidP="00C515CC">
            <w:pPr>
              <w:rPr>
                <w:color w:val="000000"/>
              </w:rPr>
            </w:pPr>
            <w:r w:rsidRPr="00C515CC">
              <w:rPr>
                <w:b/>
                <w:color w:val="000000"/>
              </w:rPr>
              <w:t>Deutschland</w:t>
            </w:r>
          </w:p>
          <w:p w14:paraId="3663DAF4" w14:textId="77777777" w:rsidR="005A40DA" w:rsidRPr="00C515CC" w:rsidRDefault="005A40DA" w:rsidP="00C515CC">
            <w:pPr>
              <w:rPr>
                <w:color w:val="000000"/>
              </w:rPr>
            </w:pPr>
            <w:r w:rsidRPr="00C515CC">
              <w:rPr>
                <w:rFonts w:eastAsia="Times New Roman"/>
                <w:color w:val="000000"/>
                <w:szCs w:val="20"/>
              </w:rPr>
              <w:t>STADAPHARM</w:t>
            </w:r>
            <w:r w:rsidRPr="00C515CC">
              <w:rPr>
                <w:color w:val="000000"/>
              </w:rPr>
              <w:t xml:space="preserve"> GmbH</w:t>
            </w:r>
          </w:p>
          <w:p w14:paraId="2FD3A506" w14:textId="77777777" w:rsidR="005A40DA" w:rsidRPr="00C515CC" w:rsidRDefault="005A40DA" w:rsidP="00C515CC">
            <w:pPr>
              <w:rPr>
                <w:color w:val="000000"/>
              </w:rPr>
            </w:pPr>
            <w:r w:rsidRPr="00C515CC">
              <w:rPr>
                <w:color w:val="000000"/>
              </w:rPr>
              <w:t>Tel</w:t>
            </w:r>
            <w:r w:rsidRPr="00C515CC">
              <w:rPr>
                <w:rFonts w:eastAsia="Times New Roman"/>
                <w:color w:val="000000"/>
                <w:szCs w:val="20"/>
              </w:rPr>
              <w:t>:</w:t>
            </w:r>
            <w:r w:rsidRPr="00C515CC">
              <w:rPr>
                <w:color w:val="000000"/>
              </w:rPr>
              <w:t xml:space="preserve"> +49 </w:t>
            </w:r>
            <w:r w:rsidRPr="00C515CC">
              <w:rPr>
                <w:rFonts w:eastAsia="Times New Roman"/>
                <w:color w:val="000000"/>
                <w:szCs w:val="20"/>
              </w:rPr>
              <w:t>61016030</w:t>
            </w:r>
          </w:p>
          <w:p w14:paraId="656E9D9C" w14:textId="77777777" w:rsidR="005A40DA" w:rsidRPr="00C515CC" w:rsidRDefault="005A40DA" w:rsidP="00C515CC"/>
        </w:tc>
        <w:tc>
          <w:tcPr>
            <w:tcW w:w="4405" w:type="dxa"/>
            <w:hideMark/>
          </w:tcPr>
          <w:p w14:paraId="5FA15FFB" w14:textId="77777777" w:rsidR="005A40DA" w:rsidRPr="00C515CC" w:rsidRDefault="005A40DA" w:rsidP="00C515CC">
            <w:pPr>
              <w:suppressAutoHyphens/>
              <w:rPr>
                <w:color w:val="000000"/>
              </w:rPr>
            </w:pPr>
            <w:r w:rsidRPr="00C515CC">
              <w:rPr>
                <w:b/>
                <w:color w:val="000000"/>
              </w:rPr>
              <w:t>Nederland</w:t>
            </w:r>
          </w:p>
          <w:p w14:paraId="4CEC191E" w14:textId="77777777" w:rsidR="005A40DA" w:rsidRPr="00C515CC" w:rsidRDefault="005A40DA" w:rsidP="00C515CC">
            <w:pPr>
              <w:rPr>
                <w:color w:val="000000"/>
              </w:rPr>
            </w:pPr>
            <w:r w:rsidRPr="00C515CC">
              <w:rPr>
                <w:rFonts w:eastAsia="Times New Roman"/>
                <w:color w:val="000000"/>
                <w:szCs w:val="20"/>
              </w:rPr>
              <w:t>Centrafarm</w:t>
            </w:r>
            <w:r w:rsidRPr="00C515CC">
              <w:rPr>
                <w:color w:val="000000"/>
              </w:rPr>
              <w:t xml:space="preserve"> B.V.</w:t>
            </w:r>
          </w:p>
          <w:p w14:paraId="188C742F" w14:textId="77777777" w:rsidR="005A40DA" w:rsidRPr="00C515CC" w:rsidRDefault="005A40DA" w:rsidP="00C515CC">
            <w:pPr>
              <w:suppressAutoHyphens/>
              <w:rPr>
                <w:color w:val="000000"/>
              </w:rPr>
            </w:pPr>
            <w:r w:rsidRPr="00C515CC">
              <w:rPr>
                <w:color w:val="000000"/>
              </w:rPr>
              <w:t>Tel</w:t>
            </w:r>
            <w:r w:rsidRPr="00C515CC">
              <w:rPr>
                <w:rFonts w:eastAsia="Times New Roman"/>
                <w:color w:val="000000"/>
                <w:szCs w:val="20"/>
              </w:rPr>
              <w:t>.:</w:t>
            </w:r>
            <w:r w:rsidRPr="00C515CC">
              <w:rPr>
                <w:color w:val="000000"/>
              </w:rPr>
              <w:t xml:space="preserve"> +31 </w:t>
            </w:r>
            <w:r w:rsidRPr="00C515CC">
              <w:rPr>
                <w:rFonts w:eastAsia="Times New Roman"/>
                <w:color w:val="000000"/>
                <w:szCs w:val="20"/>
              </w:rPr>
              <w:t>765081000</w:t>
            </w:r>
          </w:p>
          <w:p w14:paraId="5F51F235" w14:textId="77777777" w:rsidR="005A40DA" w:rsidRPr="00C515CC" w:rsidRDefault="005A40DA" w:rsidP="00C515CC"/>
        </w:tc>
      </w:tr>
      <w:tr w:rsidR="005A40DA" w:rsidRPr="00C515CC" w14:paraId="568A4BE3" w14:textId="77777777" w:rsidTr="00633DB8">
        <w:trPr>
          <w:cantSplit/>
        </w:trPr>
        <w:tc>
          <w:tcPr>
            <w:tcW w:w="4659" w:type="dxa"/>
            <w:hideMark/>
          </w:tcPr>
          <w:p w14:paraId="7110F9BA" w14:textId="77777777" w:rsidR="005A40DA" w:rsidRPr="00C515CC" w:rsidRDefault="005A40DA" w:rsidP="00C515CC">
            <w:pPr>
              <w:suppressAutoHyphens/>
              <w:rPr>
                <w:b/>
                <w:color w:val="000000"/>
              </w:rPr>
            </w:pPr>
            <w:r w:rsidRPr="00C515CC">
              <w:rPr>
                <w:b/>
                <w:color w:val="000000"/>
              </w:rPr>
              <w:t>Eesti</w:t>
            </w:r>
          </w:p>
          <w:p w14:paraId="33494ABC" w14:textId="77777777" w:rsidR="005A40DA" w:rsidRPr="00C515CC" w:rsidRDefault="005A40DA" w:rsidP="00C515CC">
            <w:pPr>
              <w:autoSpaceDE w:val="0"/>
              <w:autoSpaceDN w:val="0"/>
              <w:adjustRightInd w:val="0"/>
              <w:rPr>
                <w:rFonts w:eastAsia="Times New Roman"/>
                <w:color w:val="000000"/>
                <w:szCs w:val="20"/>
              </w:rPr>
            </w:pPr>
            <w:r w:rsidRPr="00C515CC">
              <w:rPr>
                <w:rFonts w:eastAsia="Times New Roman"/>
                <w:color w:val="000000"/>
                <w:szCs w:val="20"/>
              </w:rPr>
              <w:t>UAB „STADA Baltics“</w:t>
            </w:r>
          </w:p>
          <w:p w14:paraId="1DC4D302" w14:textId="77777777" w:rsidR="005A40DA" w:rsidRPr="00C515CC" w:rsidRDefault="005A40DA" w:rsidP="00C515CC">
            <w:pPr>
              <w:autoSpaceDE w:val="0"/>
              <w:autoSpaceDN w:val="0"/>
              <w:adjustRightInd w:val="0"/>
              <w:rPr>
                <w:color w:val="000000"/>
              </w:rPr>
            </w:pPr>
            <w:r w:rsidRPr="00C515CC">
              <w:rPr>
                <w:color w:val="000000"/>
              </w:rPr>
              <w:t xml:space="preserve">Tel: +372 </w:t>
            </w:r>
            <w:r w:rsidRPr="00C515CC">
              <w:rPr>
                <w:rFonts w:eastAsia="Times New Roman"/>
                <w:color w:val="000000"/>
                <w:szCs w:val="20"/>
              </w:rPr>
              <w:t>53072153</w:t>
            </w:r>
          </w:p>
          <w:p w14:paraId="22DFBCDC" w14:textId="77777777" w:rsidR="005A40DA" w:rsidRPr="00C515CC" w:rsidRDefault="005A40DA" w:rsidP="00C515CC"/>
        </w:tc>
        <w:tc>
          <w:tcPr>
            <w:tcW w:w="4405" w:type="dxa"/>
            <w:hideMark/>
          </w:tcPr>
          <w:p w14:paraId="7C5D022F" w14:textId="77777777" w:rsidR="005A40DA" w:rsidRPr="00C515CC" w:rsidRDefault="005A40DA" w:rsidP="00C515CC">
            <w:pPr>
              <w:rPr>
                <w:color w:val="000000"/>
              </w:rPr>
            </w:pPr>
            <w:r w:rsidRPr="00C515CC">
              <w:rPr>
                <w:b/>
                <w:color w:val="000000"/>
              </w:rPr>
              <w:t>Norge</w:t>
            </w:r>
          </w:p>
          <w:p w14:paraId="1729C31B" w14:textId="77777777" w:rsidR="005A40DA" w:rsidRPr="00C515CC" w:rsidRDefault="005A40DA" w:rsidP="00C515CC">
            <w:pPr>
              <w:rPr>
                <w:rFonts w:eastAsia="Times New Roman"/>
                <w:color w:val="000000"/>
                <w:szCs w:val="20"/>
              </w:rPr>
            </w:pPr>
            <w:r w:rsidRPr="00C515CC">
              <w:rPr>
                <w:rFonts w:eastAsia="Times New Roman"/>
                <w:color w:val="000000"/>
                <w:szCs w:val="20"/>
              </w:rPr>
              <w:t>STADA Nordic ApS</w:t>
            </w:r>
          </w:p>
          <w:p w14:paraId="382EAA5E" w14:textId="77777777" w:rsidR="005A40DA" w:rsidRPr="00C515CC" w:rsidRDefault="005A40DA" w:rsidP="00C515CC">
            <w:pPr>
              <w:rPr>
                <w:color w:val="000000"/>
              </w:rPr>
            </w:pPr>
            <w:r w:rsidRPr="00C515CC">
              <w:rPr>
                <w:color w:val="000000"/>
              </w:rPr>
              <w:t>Tlf: +</w:t>
            </w:r>
            <w:r w:rsidRPr="00C515CC">
              <w:rPr>
                <w:rFonts w:eastAsia="Times New Roman"/>
                <w:color w:val="000000"/>
                <w:szCs w:val="20"/>
              </w:rPr>
              <w:t>45 44859999</w:t>
            </w:r>
          </w:p>
          <w:p w14:paraId="714A9D88" w14:textId="77777777" w:rsidR="005A40DA" w:rsidRPr="00C515CC" w:rsidRDefault="005A40DA" w:rsidP="00C515CC">
            <w:pPr>
              <w:rPr>
                <w:rFonts w:eastAsia="Times New Roman"/>
              </w:rPr>
            </w:pPr>
          </w:p>
        </w:tc>
      </w:tr>
      <w:tr w:rsidR="005A40DA" w:rsidRPr="00C515CC" w14:paraId="5E138800" w14:textId="77777777" w:rsidTr="00633DB8">
        <w:trPr>
          <w:cantSplit/>
        </w:trPr>
        <w:tc>
          <w:tcPr>
            <w:tcW w:w="4659" w:type="dxa"/>
            <w:hideMark/>
          </w:tcPr>
          <w:p w14:paraId="128E2972" w14:textId="77777777" w:rsidR="005A40DA" w:rsidRPr="00C515CC" w:rsidRDefault="005A40DA" w:rsidP="00C515CC">
            <w:pPr>
              <w:rPr>
                <w:color w:val="000000"/>
                <w:lang w:val="de-DE"/>
              </w:rPr>
            </w:pPr>
            <w:r w:rsidRPr="00C515CC">
              <w:rPr>
                <w:b/>
                <w:color w:val="000000"/>
              </w:rPr>
              <w:t>Ελλάδα</w:t>
            </w:r>
          </w:p>
          <w:p w14:paraId="72D8B60E" w14:textId="77777777" w:rsidR="005A40DA" w:rsidRPr="00C515CC" w:rsidRDefault="005A40DA" w:rsidP="00C515CC">
            <w:pPr>
              <w:rPr>
                <w:rFonts w:eastAsia="Times New Roman"/>
                <w:color w:val="000000"/>
                <w:szCs w:val="20"/>
                <w:lang w:val="de-DE"/>
              </w:rPr>
            </w:pPr>
            <w:r w:rsidRPr="00C515CC">
              <w:rPr>
                <w:rFonts w:eastAsia="Times New Roman"/>
                <w:color w:val="000000"/>
                <w:szCs w:val="20"/>
                <w:lang w:val="de-DE"/>
              </w:rPr>
              <w:t>STADA Arzneimittel AG</w:t>
            </w:r>
          </w:p>
          <w:p w14:paraId="7ECD2766" w14:textId="5787720C" w:rsidR="005A40DA" w:rsidRPr="00C515CC" w:rsidDel="001445B0" w:rsidRDefault="005A40DA" w:rsidP="001445B0">
            <w:pPr>
              <w:suppressAutoHyphens/>
              <w:rPr>
                <w:del w:id="24" w:author="Author" w:date="2026-02-17T11:12:00Z" w16du:dateUtc="2026-02-17T10:12:00Z"/>
                <w:color w:val="000000"/>
                <w:lang w:val="de-DE"/>
              </w:rPr>
            </w:pPr>
            <w:r w:rsidRPr="00C515CC">
              <w:rPr>
                <w:rFonts w:eastAsia="Times New Roman"/>
                <w:color w:val="000000"/>
                <w:szCs w:val="20"/>
                <w:lang w:val="de-DE"/>
              </w:rPr>
              <w:t>Tel</w:t>
            </w:r>
            <w:r w:rsidRPr="00C515CC">
              <w:rPr>
                <w:color w:val="000000"/>
                <w:lang w:val="de-DE"/>
              </w:rPr>
              <w:t xml:space="preserve">: +30 </w:t>
            </w:r>
            <w:r w:rsidRPr="00C515CC">
              <w:rPr>
                <w:rFonts w:eastAsia="Times New Roman"/>
                <w:color w:val="000000"/>
                <w:szCs w:val="20"/>
                <w:lang w:val="de-DE"/>
              </w:rPr>
              <w:t>2106664667</w:t>
            </w:r>
          </w:p>
          <w:p w14:paraId="1F6D7F0D" w14:textId="77777777" w:rsidR="005A40DA" w:rsidRPr="00C515CC" w:rsidRDefault="005A40DA" w:rsidP="00C515CC">
            <w:pPr>
              <w:rPr>
                <w:lang w:val="de-DE"/>
              </w:rPr>
            </w:pPr>
            <w:r w:rsidRPr="00C515CC">
              <w:rPr>
                <w:rFonts w:eastAsia="Times New Roman"/>
                <w:color w:val="000000"/>
                <w:szCs w:val="20"/>
                <w:lang w:val="de-DE"/>
              </w:rPr>
              <w:t xml:space="preserve"> </w:t>
            </w:r>
          </w:p>
        </w:tc>
        <w:tc>
          <w:tcPr>
            <w:tcW w:w="4405" w:type="dxa"/>
            <w:hideMark/>
          </w:tcPr>
          <w:p w14:paraId="46AFC71A" w14:textId="77777777" w:rsidR="005A40DA" w:rsidRPr="00C515CC" w:rsidRDefault="005A40DA" w:rsidP="00C515CC">
            <w:pPr>
              <w:suppressAutoHyphens/>
              <w:rPr>
                <w:color w:val="000000"/>
                <w:lang w:val="de-DE"/>
              </w:rPr>
            </w:pPr>
            <w:r w:rsidRPr="00C515CC">
              <w:rPr>
                <w:b/>
                <w:color w:val="000000"/>
                <w:lang w:val="de-DE"/>
              </w:rPr>
              <w:t>Österreich</w:t>
            </w:r>
          </w:p>
          <w:p w14:paraId="6075FED2" w14:textId="77777777" w:rsidR="005A40DA" w:rsidRPr="00C515CC" w:rsidRDefault="005A40DA" w:rsidP="00C515CC">
            <w:pPr>
              <w:suppressAutoHyphens/>
              <w:rPr>
                <w:i/>
                <w:color w:val="000000"/>
                <w:lang w:val="de-DE"/>
              </w:rPr>
            </w:pPr>
            <w:r w:rsidRPr="00C515CC">
              <w:rPr>
                <w:rFonts w:eastAsia="Times New Roman"/>
                <w:color w:val="000000"/>
                <w:szCs w:val="20"/>
                <w:lang w:val="de-DE"/>
              </w:rPr>
              <w:t>STADA Arzneimittel</w:t>
            </w:r>
            <w:r w:rsidRPr="00C515CC">
              <w:rPr>
                <w:color w:val="000000"/>
                <w:lang w:val="de-DE"/>
              </w:rPr>
              <w:t xml:space="preserve"> GmbH</w:t>
            </w:r>
          </w:p>
          <w:p w14:paraId="29BD97FB" w14:textId="29962CAD" w:rsidR="005A40DA" w:rsidRPr="00C515CC" w:rsidDel="001445B0" w:rsidRDefault="005A40DA" w:rsidP="001445B0">
            <w:pPr>
              <w:suppressAutoHyphens/>
              <w:rPr>
                <w:del w:id="25" w:author="Author" w:date="2026-02-17T11:12:00Z" w16du:dateUtc="2026-02-17T10:12:00Z"/>
                <w:color w:val="000000"/>
                <w:lang w:val="de-DE"/>
              </w:rPr>
            </w:pPr>
            <w:r w:rsidRPr="00C515CC">
              <w:rPr>
                <w:color w:val="000000"/>
                <w:lang w:val="de-DE"/>
              </w:rPr>
              <w:t xml:space="preserve">Tel: +43 </w:t>
            </w:r>
            <w:r w:rsidRPr="00C515CC">
              <w:rPr>
                <w:rFonts w:eastAsia="Times New Roman"/>
                <w:color w:val="000000"/>
                <w:szCs w:val="20"/>
                <w:lang w:val="de-DE"/>
              </w:rPr>
              <w:t>136785850</w:t>
            </w:r>
          </w:p>
          <w:p w14:paraId="697C3BEB" w14:textId="77777777" w:rsidR="005A40DA" w:rsidRPr="00C515CC" w:rsidRDefault="005A40DA" w:rsidP="00C515CC">
            <w:pPr>
              <w:rPr>
                <w:lang w:val="de-DE"/>
              </w:rPr>
            </w:pPr>
          </w:p>
        </w:tc>
      </w:tr>
      <w:tr w:rsidR="005A40DA" w:rsidRPr="00C515CC" w14:paraId="7A81E7DA" w14:textId="77777777" w:rsidTr="00633DB8">
        <w:trPr>
          <w:cantSplit/>
        </w:trPr>
        <w:tc>
          <w:tcPr>
            <w:tcW w:w="4659" w:type="dxa"/>
            <w:hideMark/>
          </w:tcPr>
          <w:p w14:paraId="2E555BD7" w14:textId="77777777" w:rsidR="005A40DA" w:rsidRPr="00C515CC" w:rsidRDefault="005A40DA" w:rsidP="00C515CC">
            <w:pPr>
              <w:suppressAutoHyphens/>
              <w:rPr>
                <w:b/>
                <w:color w:val="000000"/>
                <w:lang w:val="es-ES"/>
              </w:rPr>
            </w:pPr>
            <w:r w:rsidRPr="00C515CC">
              <w:rPr>
                <w:b/>
                <w:color w:val="000000"/>
                <w:lang w:val="es-ES"/>
              </w:rPr>
              <w:t>España</w:t>
            </w:r>
          </w:p>
          <w:p w14:paraId="1BB119E7" w14:textId="77777777" w:rsidR="005A40DA" w:rsidRPr="00C515CC" w:rsidRDefault="005A40DA" w:rsidP="00C515CC">
            <w:pPr>
              <w:suppressAutoHyphens/>
              <w:rPr>
                <w:color w:val="000000"/>
                <w:lang w:val="es-ES"/>
              </w:rPr>
            </w:pPr>
            <w:r w:rsidRPr="00C515CC">
              <w:rPr>
                <w:rFonts w:eastAsia="Times New Roman"/>
                <w:color w:val="000000"/>
                <w:szCs w:val="20"/>
                <w:lang w:val="es-ES"/>
              </w:rPr>
              <w:t>Laboratorio STADA,</w:t>
            </w:r>
            <w:r w:rsidRPr="00C515CC">
              <w:rPr>
                <w:color w:val="000000"/>
                <w:lang w:val="es-ES"/>
              </w:rPr>
              <w:t xml:space="preserve"> S.</w:t>
            </w:r>
            <w:r w:rsidRPr="00C515CC">
              <w:rPr>
                <w:rFonts w:eastAsia="Times New Roman"/>
                <w:color w:val="000000"/>
                <w:szCs w:val="20"/>
                <w:lang w:val="es-ES"/>
              </w:rPr>
              <w:t>L</w:t>
            </w:r>
            <w:r w:rsidRPr="00C515CC">
              <w:rPr>
                <w:color w:val="000000"/>
                <w:lang w:val="es-ES"/>
              </w:rPr>
              <w:t>.</w:t>
            </w:r>
          </w:p>
          <w:p w14:paraId="743B81BD" w14:textId="77777777" w:rsidR="005A40DA" w:rsidRPr="00C515CC" w:rsidRDefault="005A40DA" w:rsidP="00C515CC">
            <w:pPr>
              <w:rPr>
                <w:color w:val="000000"/>
                <w:lang w:val="it-IT"/>
              </w:rPr>
            </w:pPr>
            <w:r w:rsidRPr="00C515CC">
              <w:rPr>
                <w:color w:val="000000"/>
                <w:lang w:val="it-IT"/>
              </w:rPr>
              <w:t xml:space="preserve">Tel: +34 </w:t>
            </w:r>
            <w:r w:rsidRPr="00C515CC">
              <w:rPr>
                <w:rFonts w:eastAsia="Times New Roman"/>
                <w:color w:val="000000"/>
                <w:szCs w:val="20"/>
                <w:lang w:val="it-IT"/>
              </w:rPr>
              <w:t>934738889</w:t>
            </w:r>
          </w:p>
          <w:p w14:paraId="29ED3329" w14:textId="77777777" w:rsidR="005A40DA" w:rsidRPr="00C515CC" w:rsidRDefault="005A40DA" w:rsidP="00C515CC">
            <w:pPr>
              <w:rPr>
                <w:lang w:val="it-IT"/>
              </w:rPr>
            </w:pPr>
          </w:p>
        </w:tc>
        <w:tc>
          <w:tcPr>
            <w:tcW w:w="4405" w:type="dxa"/>
            <w:hideMark/>
          </w:tcPr>
          <w:p w14:paraId="0BD07D58" w14:textId="77777777" w:rsidR="005A40DA" w:rsidRPr="00C515CC" w:rsidRDefault="005A40DA" w:rsidP="00C515CC">
            <w:pPr>
              <w:suppressAutoHyphens/>
              <w:rPr>
                <w:b/>
                <w:i/>
                <w:color w:val="000000"/>
                <w:lang w:val="pl-PL"/>
              </w:rPr>
            </w:pPr>
            <w:r w:rsidRPr="00C515CC">
              <w:rPr>
                <w:b/>
                <w:color w:val="000000"/>
                <w:lang w:val="pl-PL"/>
              </w:rPr>
              <w:t>Polska</w:t>
            </w:r>
          </w:p>
          <w:p w14:paraId="58655D74" w14:textId="417883BA" w:rsidR="005A40DA" w:rsidRPr="00C515CC" w:rsidRDefault="005A40DA" w:rsidP="00C515CC">
            <w:pPr>
              <w:suppressAutoHyphens/>
              <w:rPr>
                <w:color w:val="000000"/>
                <w:lang w:val="pl-PL"/>
              </w:rPr>
            </w:pPr>
            <w:r w:rsidRPr="00C515CC">
              <w:rPr>
                <w:rFonts w:eastAsia="Times New Roman"/>
                <w:color w:val="000000"/>
                <w:szCs w:val="20"/>
                <w:lang w:val="pl-PL" w:eastAsia="en-CA"/>
              </w:rPr>
              <w:t>STADA Poland</w:t>
            </w:r>
            <w:r w:rsidRPr="00C515CC">
              <w:rPr>
                <w:color w:val="000000"/>
                <w:lang w:val="pl-PL"/>
              </w:rPr>
              <w:t xml:space="preserve"> Sp. z</w:t>
            </w:r>
            <w:del w:id="26" w:author="Author" w:date="2026-02-17T11:12:00Z" w16du:dateUtc="2026-02-17T10:12:00Z">
              <w:r w:rsidRPr="00C515CC" w:rsidDel="001445B0">
                <w:rPr>
                  <w:rFonts w:eastAsia="Times New Roman"/>
                  <w:color w:val="000000"/>
                  <w:szCs w:val="20"/>
                  <w:lang w:val="pl-PL" w:eastAsia="en-CA"/>
                </w:rPr>
                <w:delText>.</w:delText>
              </w:r>
            </w:del>
            <w:ins w:id="27" w:author="Author" w:date="2026-02-17T11:12:00Z" w16du:dateUtc="2026-02-17T10:12:00Z">
              <w:r w:rsidR="001445B0">
                <w:rPr>
                  <w:rFonts w:eastAsia="Times New Roman"/>
                  <w:color w:val="000000"/>
                  <w:szCs w:val="20"/>
                  <w:lang w:val="pl-PL" w:eastAsia="en-CA"/>
                </w:rPr>
                <w:t xml:space="preserve"> </w:t>
              </w:r>
            </w:ins>
            <w:r w:rsidRPr="00C515CC">
              <w:rPr>
                <w:color w:val="000000"/>
                <w:lang w:val="pl-PL"/>
              </w:rPr>
              <w:t>o</w:t>
            </w:r>
            <w:ins w:id="28" w:author="Author" w:date="2026-02-17T11:12:00Z" w16du:dateUtc="2026-02-17T10:12:00Z">
              <w:r w:rsidR="001445B0">
                <w:rPr>
                  <w:color w:val="000000"/>
                  <w:lang w:val="pl-PL"/>
                </w:rPr>
                <w:t>.</w:t>
              </w:r>
            </w:ins>
            <w:del w:id="29" w:author="Author" w:date="2026-02-17T11:12:00Z" w16du:dateUtc="2026-02-17T10:12:00Z">
              <w:r w:rsidRPr="00C515CC" w:rsidDel="001445B0">
                <w:rPr>
                  <w:rFonts w:eastAsia="Times New Roman"/>
                  <w:color w:val="000000"/>
                  <w:szCs w:val="20"/>
                  <w:lang w:val="pl-PL" w:eastAsia="en-CA"/>
                </w:rPr>
                <w:delText xml:space="preserve"> </w:delText>
              </w:r>
            </w:del>
            <w:r w:rsidRPr="00C515CC">
              <w:rPr>
                <w:color w:val="000000"/>
                <w:lang w:val="pl-PL"/>
              </w:rPr>
              <w:t>o.</w:t>
            </w:r>
          </w:p>
          <w:p w14:paraId="43BF05BB" w14:textId="77777777" w:rsidR="005A40DA" w:rsidRPr="00C515CC" w:rsidRDefault="005A40DA" w:rsidP="00C515CC">
            <w:pPr>
              <w:suppressAutoHyphens/>
              <w:rPr>
                <w:color w:val="000000"/>
              </w:rPr>
            </w:pPr>
            <w:r w:rsidRPr="00C515CC">
              <w:rPr>
                <w:color w:val="000000"/>
              </w:rPr>
              <w:t>Tel</w:t>
            </w:r>
            <w:r w:rsidRPr="00C515CC">
              <w:rPr>
                <w:rFonts w:eastAsia="Times New Roman"/>
                <w:color w:val="000000"/>
                <w:szCs w:val="20"/>
                <w:lang w:eastAsia="en-CA"/>
              </w:rPr>
              <w:t>:</w:t>
            </w:r>
            <w:r w:rsidRPr="00C515CC">
              <w:rPr>
                <w:color w:val="000000"/>
              </w:rPr>
              <w:t xml:space="preserve"> +48 </w:t>
            </w:r>
            <w:r w:rsidRPr="00C515CC">
              <w:rPr>
                <w:rFonts w:eastAsia="Times New Roman"/>
                <w:color w:val="000000"/>
                <w:szCs w:val="20"/>
                <w:lang w:eastAsia="en-CA"/>
              </w:rPr>
              <w:t>227377920</w:t>
            </w:r>
          </w:p>
          <w:p w14:paraId="124BA191" w14:textId="77777777" w:rsidR="005A40DA" w:rsidRPr="00C515CC" w:rsidRDefault="005A40DA" w:rsidP="00C515CC">
            <w:pPr>
              <w:rPr>
                <w:rFonts w:eastAsia="Times New Roman"/>
              </w:rPr>
            </w:pPr>
          </w:p>
        </w:tc>
      </w:tr>
      <w:tr w:rsidR="005A40DA" w:rsidRPr="00C515CC" w14:paraId="382A5003" w14:textId="77777777" w:rsidTr="00633DB8">
        <w:trPr>
          <w:cantSplit/>
        </w:trPr>
        <w:tc>
          <w:tcPr>
            <w:tcW w:w="4659" w:type="dxa"/>
            <w:hideMark/>
          </w:tcPr>
          <w:p w14:paraId="64A88E87" w14:textId="77777777" w:rsidR="005A40DA" w:rsidRPr="00C515CC" w:rsidRDefault="005A40DA" w:rsidP="00C515CC">
            <w:pPr>
              <w:suppressAutoHyphens/>
              <w:rPr>
                <w:b/>
                <w:color w:val="000000"/>
                <w:lang w:val="fr-FR"/>
              </w:rPr>
            </w:pPr>
            <w:r w:rsidRPr="00C515CC">
              <w:rPr>
                <w:b/>
                <w:color w:val="000000"/>
                <w:lang w:val="fr-FR"/>
              </w:rPr>
              <w:t>France</w:t>
            </w:r>
          </w:p>
          <w:p w14:paraId="3170C675" w14:textId="77777777" w:rsidR="005A40DA" w:rsidRPr="00C515CC" w:rsidRDefault="005A40DA" w:rsidP="00C515CC">
            <w:pPr>
              <w:rPr>
                <w:rFonts w:eastAsia="Times New Roman"/>
                <w:color w:val="000000"/>
                <w:szCs w:val="20"/>
                <w:lang w:val="fr-FR"/>
              </w:rPr>
            </w:pPr>
            <w:r w:rsidRPr="00C515CC">
              <w:rPr>
                <w:rFonts w:eastAsia="Times New Roman"/>
                <w:color w:val="000000"/>
                <w:szCs w:val="20"/>
                <w:lang w:val="fr-FR"/>
              </w:rPr>
              <w:t>EG LABO - Laboratoires EuroGenerics</w:t>
            </w:r>
          </w:p>
          <w:p w14:paraId="4E7A422E" w14:textId="77777777" w:rsidR="005A40DA" w:rsidRPr="00C515CC" w:rsidRDefault="005A40DA" w:rsidP="00C515CC">
            <w:pPr>
              <w:rPr>
                <w:color w:val="000000"/>
                <w:lang w:val="fr-FR"/>
              </w:rPr>
            </w:pPr>
            <w:r w:rsidRPr="00C515CC">
              <w:rPr>
                <w:color w:val="000000"/>
                <w:lang w:val="fr-FR"/>
              </w:rPr>
              <w:t xml:space="preserve">Tél: +33 </w:t>
            </w:r>
            <w:r w:rsidRPr="00C515CC">
              <w:rPr>
                <w:rFonts w:eastAsia="Times New Roman"/>
                <w:color w:val="000000"/>
                <w:szCs w:val="20"/>
                <w:lang w:val="fr-FR"/>
              </w:rPr>
              <w:t>146948686</w:t>
            </w:r>
          </w:p>
          <w:p w14:paraId="4349CA15" w14:textId="77777777" w:rsidR="005A40DA" w:rsidRPr="00C515CC" w:rsidRDefault="005A40DA" w:rsidP="00C515CC">
            <w:pPr>
              <w:rPr>
                <w:lang w:val="fr-FR"/>
              </w:rPr>
            </w:pPr>
          </w:p>
        </w:tc>
        <w:tc>
          <w:tcPr>
            <w:tcW w:w="4405" w:type="dxa"/>
            <w:hideMark/>
          </w:tcPr>
          <w:p w14:paraId="00DA6CA3" w14:textId="77777777" w:rsidR="005A40DA" w:rsidRPr="00C515CC" w:rsidRDefault="005A40DA" w:rsidP="00C515CC">
            <w:pPr>
              <w:suppressAutoHyphens/>
              <w:rPr>
                <w:color w:val="000000"/>
              </w:rPr>
            </w:pPr>
            <w:r w:rsidRPr="00C515CC">
              <w:rPr>
                <w:b/>
                <w:color w:val="000000"/>
              </w:rPr>
              <w:t>Portugal</w:t>
            </w:r>
          </w:p>
          <w:p w14:paraId="568656FF" w14:textId="77777777" w:rsidR="005A40DA" w:rsidRPr="00C515CC" w:rsidRDefault="005A40DA" w:rsidP="00C515CC">
            <w:pPr>
              <w:suppressAutoHyphens/>
              <w:rPr>
                <w:color w:val="000000"/>
              </w:rPr>
            </w:pPr>
            <w:r w:rsidRPr="00C515CC">
              <w:rPr>
                <w:rFonts w:eastAsia="Times New Roman"/>
                <w:color w:val="000000"/>
                <w:szCs w:val="20"/>
              </w:rPr>
              <w:t>Stada</w:t>
            </w:r>
            <w:r w:rsidRPr="00C515CC">
              <w:rPr>
                <w:color w:val="000000"/>
              </w:rPr>
              <w:t>, Lda.</w:t>
            </w:r>
          </w:p>
          <w:p w14:paraId="7AC44DCD" w14:textId="77777777" w:rsidR="005A40DA" w:rsidRPr="00C515CC" w:rsidRDefault="005A40DA" w:rsidP="00C515CC">
            <w:pPr>
              <w:suppressAutoHyphens/>
              <w:rPr>
                <w:color w:val="000000"/>
              </w:rPr>
            </w:pPr>
            <w:r w:rsidRPr="00C515CC">
              <w:rPr>
                <w:color w:val="000000"/>
              </w:rPr>
              <w:t xml:space="preserve">Tel: +351 </w:t>
            </w:r>
            <w:r w:rsidRPr="00C515CC">
              <w:rPr>
                <w:rFonts w:eastAsia="Times New Roman"/>
                <w:color w:val="000000"/>
                <w:szCs w:val="20"/>
              </w:rPr>
              <w:t>211209870</w:t>
            </w:r>
          </w:p>
          <w:p w14:paraId="57E99C9E" w14:textId="77777777" w:rsidR="005A40DA" w:rsidRPr="00C515CC" w:rsidRDefault="005A40DA" w:rsidP="00C515CC"/>
        </w:tc>
      </w:tr>
      <w:tr w:rsidR="005A40DA" w:rsidRPr="00C515CC" w14:paraId="2FD81F64" w14:textId="77777777" w:rsidTr="00633DB8">
        <w:trPr>
          <w:cantSplit/>
        </w:trPr>
        <w:tc>
          <w:tcPr>
            <w:tcW w:w="4659" w:type="dxa"/>
            <w:hideMark/>
          </w:tcPr>
          <w:p w14:paraId="4A4C4B2C" w14:textId="77777777" w:rsidR="005A40DA" w:rsidRPr="00C515CC" w:rsidRDefault="005A40DA" w:rsidP="00C515CC">
            <w:pPr>
              <w:rPr>
                <w:color w:val="000000"/>
              </w:rPr>
            </w:pPr>
            <w:r w:rsidRPr="00C515CC">
              <w:rPr>
                <w:b/>
                <w:color w:val="000000"/>
              </w:rPr>
              <w:t>Hrvatska</w:t>
            </w:r>
          </w:p>
          <w:p w14:paraId="6BECA6C8" w14:textId="77777777" w:rsidR="005A40DA" w:rsidRPr="00C515CC" w:rsidRDefault="005A40DA" w:rsidP="00C515CC">
            <w:pPr>
              <w:rPr>
                <w:color w:val="000000"/>
              </w:rPr>
            </w:pPr>
            <w:r w:rsidRPr="00C515CC">
              <w:rPr>
                <w:rFonts w:eastAsia="Times New Roman"/>
                <w:color w:val="000000"/>
                <w:szCs w:val="20"/>
              </w:rPr>
              <w:t>STADA</w:t>
            </w:r>
            <w:r w:rsidRPr="00C515CC">
              <w:rPr>
                <w:color w:val="000000"/>
              </w:rPr>
              <w:t xml:space="preserve"> d.o.o.</w:t>
            </w:r>
          </w:p>
          <w:p w14:paraId="70C731A7" w14:textId="77777777" w:rsidR="005A40DA" w:rsidRPr="00C515CC" w:rsidRDefault="005A40DA" w:rsidP="00C515CC">
            <w:pPr>
              <w:rPr>
                <w:color w:val="000000"/>
                <w:lang w:val="pt-PT"/>
              </w:rPr>
            </w:pPr>
            <w:r w:rsidRPr="00C515CC">
              <w:rPr>
                <w:color w:val="000000"/>
                <w:lang w:val="pt-PT"/>
              </w:rPr>
              <w:t xml:space="preserve">Tel: +385 </w:t>
            </w:r>
            <w:r w:rsidRPr="00C515CC">
              <w:rPr>
                <w:rFonts w:eastAsia="Times New Roman"/>
                <w:color w:val="000000"/>
                <w:szCs w:val="20"/>
                <w:lang w:val="pt-PT"/>
              </w:rPr>
              <w:t>13764111</w:t>
            </w:r>
          </w:p>
          <w:p w14:paraId="24C8BC32" w14:textId="77777777" w:rsidR="005A40DA" w:rsidRPr="00C515CC" w:rsidRDefault="005A40DA" w:rsidP="00C515CC">
            <w:pPr>
              <w:rPr>
                <w:rFonts w:eastAsia="Times New Roman"/>
                <w:lang w:val="pt-PT"/>
              </w:rPr>
            </w:pPr>
          </w:p>
        </w:tc>
        <w:tc>
          <w:tcPr>
            <w:tcW w:w="4405" w:type="dxa"/>
            <w:hideMark/>
          </w:tcPr>
          <w:p w14:paraId="43E88CA0" w14:textId="77777777" w:rsidR="005A40DA" w:rsidRPr="00C515CC" w:rsidRDefault="005A40DA" w:rsidP="00C515CC">
            <w:pPr>
              <w:suppressAutoHyphens/>
              <w:rPr>
                <w:b/>
                <w:color w:val="000000"/>
                <w:lang w:val="pt-PT"/>
              </w:rPr>
            </w:pPr>
            <w:r w:rsidRPr="00C515CC">
              <w:rPr>
                <w:b/>
                <w:color w:val="000000"/>
                <w:lang w:val="pt-PT"/>
              </w:rPr>
              <w:t>România</w:t>
            </w:r>
          </w:p>
          <w:p w14:paraId="4B67B462" w14:textId="77777777" w:rsidR="005A40DA" w:rsidRPr="00C515CC" w:rsidRDefault="005A40DA" w:rsidP="00C515CC">
            <w:pPr>
              <w:suppressAutoHyphens/>
              <w:rPr>
                <w:color w:val="000000"/>
                <w:lang w:val="pt-PT"/>
              </w:rPr>
            </w:pPr>
            <w:r w:rsidRPr="00C515CC">
              <w:rPr>
                <w:rFonts w:eastAsia="Times New Roman"/>
                <w:color w:val="000000"/>
                <w:szCs w:val="20"/>
                <w:lang w:val="pt-PT"/>
              </w:rPr>
              <w:t>STADA M&amp;D</w:t>
            </w:r>
            <w:r w:rsidRPr="00C515CC">
              <w:rPr>
                <w:color w:val="000000"/>
                <w:lang w:val="pt-PT"/>
              </w:rPr>
              <w:t xml:space="preserve"> SRL</w:t>
            </w:r>
          </w:p>
          <w:p w14:paraId="648000C5" w14:textId="77777777" w:rsidR="005A40DA" w:rsidRPr="00C515CC" w:rsidRDefault="005A40DA" w:rsidP="00C515CC">
            <w:pPr>
              <w:suppressAutoHyphens/>
              <w:rPr>
                <w:color w:val="000000"/>
                <w:lang w:val="pt-PT"/>
              </w:rPr>
            </w:pPr>
            <w:r w:rsidRPr="00C515CC">
              <w:rPr>
                <w:color w:val="000000"/>
                <w:lang w:val="pt-PT"/>
              </w:rPr>
              <w:t>Tel: +</w:t>
            </w:r>
            <w:r w:rsidRPr="00C515CC">
              <w:rPr>
                <w:rFonts w:eastAsia="Times New Roman"/>
                <w:color w:val="000000"/>
                <w:szCs w:val="20"/>
                <w:lang w:val="pt-PT"/>
              </w:rPr>
              <w:t>40 213160640</w:t>
            </w:r>
          </w:p>
          <w:p w14:paraId="1DAA785C" w14:textId="77777777" w:rsidR="005A40DA" w:rsidRPr="00C515CC" w:rsidRDefault="005A40DA" w:rsidP="00C515CC">
            <w:pPr>
              <w:rPr>
                <w:lang w:val="pt-PT"/>
              </w:rPr>
            </w:pPr>
          </w:p>
        </w:tc>
      </w:tr>
      <w:tr w:rsidR="005A40DA" w:rsidRPr="00C515CC" w14:paraId="3B9EEB8A" w14:textId="77777777" w:rsidTr="00633DB8">
        <w:trPr>
          <w:cantSplit/>
        </w:trPr>
        <w:tc>
          <w:tcPr>
            <w:tcW w:w="4659" w:type="dxa"/>
            <w:hideMark/>
          </w:tcPr>
          <w:p w14:paraId="1138FB20" w14:textId="77777777" w:rsidR="005A40DA" w:rsidRPr="00C515CC" w:rsidRDefault="005A40DA" w:rsidP="00C515CC">
            <w:pPr>
              <w:rPr>
                <w:color w:val="000000"/>
              </w:rPr>
            </w:pPr>
            <w:r w:rsidRPr="001445B0">
              <w:rPr>
                <w:rFonts w:eastAsia="Times New Roman"/>
                <w:color w:val="000000"/>
                <w:szCs w:val="20"/>
                <w:lang w:val="en-US"/>
              </w:rPr>
              <w:br w:type="page"/>
            </w:r>
            <w:r w:rsidRPr="00C515CC">
              <w:rPr>
                <w:b/>
                <w:color w:val="000000"/>
              </w:rPr>
              <w:t>Ireland</w:t>
            </w:r>
          </w:p>
          <w:p w14:paraId="5206AC27" w14:textId="77777777" w:rsidR="005A40DA" w:rsidRPr="00C515CC" w:rsidRDefault="005A40DA" w:rsidP="00C515CC">
            <w:pPr>
              <w:rPr>
                <w:rFonts w:eastAsia="Times New Roman"/>
                <w:color w:val="000000"/>
                <w:szCs w:val="20"/>
              </w:rPr>
            </w:pPr>
            <w:r w:rsidRPr="00C515CC">
              <w:rPr>
                <w:rFonts w:eastAsia="Times New Roman"/>
                <w:color w:val="000000"/>
                <w:szCs w:val="20"/>
              </w:rPr>
              <w:t>Clonmel Healthcare Ltd.</w:t>
            </w:r>
          </w:p>
          <w:p w14:paraId="6507307A" w14:textId="77777777" w:rsidR="005A40DA" w:rsidRPr="00C515CC" w:rsidRDefault="005A40DA" w:rsidP="00C515CC">
            <w:pPr>
              <w:rPr>
                <w:color w:val="000000"/>
              </w:rPr>
            </w:pPr>
            <w:r w:rsidRPr="00C515CC">
              <w:rPr>
                <w:color w:val="000000"/>
              </w:rPr>
              <w:t xml:space="preserve">Tel: +353 </w:t>
            </w:r>
            <w:r w:rsidRPr="00C515CC">
              <w:rPr>
                <w:rFonts w:eastAsia="Times New Roman"/>
                <w:color w:val="000000"/>
                <w:szCs w:val="20"/>
              </w:rPr>
              <w:t>526177777</w:t>
            </w:r>
          </w:p>
          <w:p w14:paraId="5FDBB021" w14:textId="77777777" w:rsidR="005A40DA" w:rsidRPr="00C515CC" w:rsidRDefault="005A40DA" w:rsidP="00C515CC">
            <w:pPr>
              <w:rPr>
                <w:rFonts w:eastAsia="Times New Roman"/>
              </w:rPr>
            </w:pPr>
          </w:p>
        </w:tc>
        <w:tc>
          <w:tcPr>
            <w:tcW w:w="4405" w:type="dxa"/>
            <w:hideMark/>
          </w:tcPr>
          <w:p w14:paraId="0A00CCD7" w14:textId="77777777" w:rsidR="005A40DA" w:rsidRPr="00C515CC" w:rsidRDefault="005A40DA" w:rsidP="00C515CC">
            <w:pPr>
              <w:rPr>
                <w:color w:val="000000"/>
                <w:lang w:val="it-IT"/>
              </w:rPr>
            </w:pPr>
            <w:r w:rsidRPr="00C515CC">
              <w:rPr>
                <w:b/>
                <w:color w:val="000000"/>
                <w:lang w:val="it-IT"/>
              </w:rPr>
              <w:t>Slovenija</w:t>
            </w:r>
          </w:p>
          <w:p w14:paraId="5BBF0854" w14:textId="77777777" w:rsidR="005A40DA" w:rsidRPr="00C515CC" w:rsidRDefault="005A40DA" w:rsidP="00C515CC">
            <w:pPr>
              <w:rPr>
                <w:color w:val="000000"/>
                <w:lang w:val="it-IT"/>
              </w:rPr>
            </w:pPr>
            <w:r w:rsidRPr="00C515CC">
              <w:rPr>
                <w:rFonts w:eastAsia="Times New Roman"/>
                <w:color w:val="000000"/>
                <w:szCs w:val="20"/>
                <w:lang w:val="it-IT"/>
              </w:rPr>
              <w:t>Stada</w:t>
            </w:r>
            <w:r w:rsidRPr="00C515CC">
              <w:rPr>
                <w:color w:val="000000"/>
                <w:lang w:val="it-IT"/>
              </w:rPr>
              <w:t xml:space="preserve"> d.o.o.</w:t>
            </w:r>
          </w:p>
          <w:p w14:paraId="4AAF6F82" w14:textId="77777777" w:rsidR="005A40DA" w:rsidRPr="00C515CC" w:rsidRDefault="005A40DA" w:rsidP="00C515CC">
            <w:pPr>
              <w:rPr>
                <w:color w:val="000000"/>
                <w:lang w:val="pt-PT"/>
              </w:rPr>
            </w:pPr>
            <w:r w:rsidRPr="00C515CC">
              <w:rPr>
                <w:color w:val="000000"/>
                <w:lang w:val="pt-PT"/>
              </w:rPr>
              <w:t xml:space="preserve">Tel: +386 </w:t>
            </w:r>
            <w:r w:rsidRPr="00C515CC">
              <w:rPr>
                <w:rFonts w:eastAsia="Times New Roman"/>
                <w:color w:val="000000"/>
                <w:szCs w:val="20"/>
                <w:lang w:val="pt-PT"/>
              </w:rPr>
              <w:t>15896710</w:t>
            </w:r>
          </w:p>
          <w:p w14:paraId="4755A4C5" w14:textId="77777777" w:rsidR="005A40DA" w:rsidRPr="00C515CC" w:rsidRDefault="005A40DA" w:rsidP="00C515CC">
            <w:pPr>
              <w:rPr>
                <w:rFonts w:eastAsia="Times New Roman"/>
                <w:lang w:val="pt-PT"/>
              </w:rPr>
            </w:pPr>
          </w:p>
        </w:tc>
      </w:tr>
      <w:tr w:rsidR="005A40DA" w:rsidRPr="00C515CC" w14:paraId="2194F069" w14:textId="77777777" w:rsidTr="00633DB8">
        <w:trPr>
          <w:cantSplit/>
        </w:trPr>
        <w:tc>
          <w:tcPr>
            <w:tcW w:w="4659" w:type="dxa"/>
            <w:hideMark/>
          </w:tcPr>
          <w:p w14:paraId="5ABEDC08" w14:textId="77777777" w:rsidR="005A40DA" w:rsidRPr="00C515CC" w:rsidRDefault="005A40DA" w:rsidP="00C515CC">
            <w:pPr>
              <w:rPr>
                <w:b/>
                <w:color w:val="000000"/>
                <w:lang w:val="de-DE"/>
              </w:rPr>
            </w:pPr>
            <w:r w:rsidRPr="00C515CC">
              <w:rPr>
                <w:b/>
                <w:color w:val="000000"/>
                <w:lang w:val="de-DE"/>
              </w:rPr>
              <w:t>Ísland</w:t>
            </w:r>
          </w:p>
          <w:p w14:paraId="670C0302" w14:textId="77777777" w:rsidR="005A40DA" w:rsidRPr="00C515CC" w:rsidRDefault="005A40DA" w:rsidP="00C515CC">
            <w:pPr>
              <w:rPr>
                <w:rFonts w:eastAsia="Times New Roman"/>
                <w:color w:val="000000"/>
                <w:szCs w:val="20"/>
                <w:lang w:val="de-DE"/>
              </w:rPr>
            </w:pPr>
            <w:r w:rsidRPr="00C515CC">
              <w:rPr>
                <w:rFonts w:eastAsia="Times New Roman"/>
                <w:color w:val="000000"/>
                <w:szCs w:val="20"/>
                <w:lang w:val="de-DE"/>
              </w:rPr>
              <w:t>STADA Arzneimittel AG</w:t>
            </w:r>
          </w:p>
          <w:p w14:paraId="52DC5757" w14:textId="77777777" w:rsidR="005A40DA" w:rsidRPr="00C515CC" w:rsidRDefault="005A40DA" w:rsidP="00C515CC">
            <w:pPr>
              <w:suppressAutoHyphens/>
              <w:rPr>
                <w:color w:val="000000"/>
                <w:lang w:val="de-DE"/>
              </w:rPr>
            </w:pPr>
            <w:r w:rsidRPr="00C515CC">
              <w:rPr>
                <w:color w:val="000000"/>
                <w:lang w:val="de-DE"/>
              </w:rPr>
              <w:t>Sími: +</w:t>
            </w:r>
            <w:r w:rsidRPr="00C515CC">
              <w:rPr>
                <w:rFonts w:eastAsia="Times New Roman"/>
                <w:color w:val="000000"/>
                <w:szCs w:val="20"/>
                <w:lang w:val="de-DE"/>
              </w:rPr>
              <w:t>49 61016030</w:t>
            </w:r>
          </w:p>
          <w:p w14:paraId="6A0F88DB" w14:textId="77777777" w:rsidR="005A40DA" w:rsidRPr="00C515CC" w:rsidRDefault="005A40DA" w:rsidP="00C515CC">
            <w:pPr>
              <w:rPr>
                <w:lang w:val="de-DE"/>
              </w:rPr>
            </w:pPr>
          </w:p>
        </w:tc>
        <w:tc>
          <w:tcPr>
            <w:tcW w:w="4405" w:type="dxa"/>
            <w:hideMark/>
          </w:tcPr>
          <w:p w14:paraId="71023B1B" w14:textId="77777777" w:rsidR="005A40DA" w:rsidRPr="00C515CC" w:rsidRDefault="005A40DA" w:rsidP="00C515CC">
            <w:pPr>
              <w:suppressAutoHyphens/>
              <w:rPr>
                <w:b/>
                <w:color w:val="000000"/>
                <w:lang w:val="de-DE"/>
              </w:rPr>
            </w:pPr>
            <w:r w:rsidRPr="00C515CC">
              <w:rPr>
                <w:b/>
                <w:color w:val="000000"/>
                <w:lang w:val="de-DE"/>
              </w:rPr>
              <w:t>Slovenská republika</w:t>
            </w:r>
          </w:p>
          <w:p w14:paraId="7DA27D2E" w14:textId="77777777" w:rsidR="005A40DA" w:rsidRPr="00C515CC" w:rsidRDefault="005A40DA" w:rsidP="00C515CC">
            <w:pPr>
              <w:rPr>
                <w:color w:val="000000"/>
                <w:lang w:val="de-DE"/>
              </w:rPr>
            </w:pPr>
            <w:r w:rsidRPr="00C515CC">
              <w:rPr>
                <w:rFonts w:eastAsia="Times New Roman"/>
                <w:color w:val="000000"/>
                <w:szCs w:val="20"/>
                <w:lang w:val="de-DE"/>
              </w:rPr>
              <w:t>STADA PHARMA</w:t>
            </w:r>
            <w:r w:rsidRPr="00C515CC">
              <w:rPr>
                <w:color w:val="000000"/>
                <w:lang w:val="de-DE"/>
              </w:rPr>
              <w:t xml:space="preserve"> Slovakia</w:t>
            </w:r>
            <w:r w:rsidRPr="00C515CC">
              <w:rPr>
                <w:rFonts w:eastAsia="Times New Roman"/>
                <w:color w:val="000000"/>
                <w:szCs w:val="20"/>
                <w:lang w:val="de-DE"/>
              </w:rPr>
              <w:t>,</w:t>
            </w:r>
            <w:r w:rsidRPr="00C515CC">
              <w:rPr>
                <w:color w:val="000000"/>
                <w:lang w:val="de-DE"/>
              </w:rPr>
              <w:t xml:space="preserve"> s.r.o.</w:t>
            </w:r>
          </w:p>
          <w:p w14:paraId="5DA95002" w14:textId="77777777" w:rsidR="005A40DA" w:rsidRPr="00C515CC" w:rsidRDefault="005A40DA" w:rsidP="00C515CC">
            <w:pPr>
              <w:rPr>
                <w:color w:val="000000"/>
              </w:rPr>
            </w:pPr>
            <w:r w:rsidRPr="00C515CC">
              <w:rPr>
                <w:color w:val="000000"/>
              </w:rPr>
              <w:t xml:space="preserve">Tel: +421 </w:t>
            </w:r>
            <w:r w:rsidRPr="00C515CC">
              <w:rPr>
                <w:rFonts w:eastAsia="Times New Roman"/>
                <w:color w:val="000000"/>
                <w:szCs w:val="20"/>
              </w:rPr>
              <w:t>252621933</w:t>
            </w:r>
          </w:p>
          <w:p w14:paraId="436F5822" w14:textId="77777777" w:rsidR="005A40DA" w:rsidRPr="00C515CC" w:rsidRDefault="005A40DA" w:rsidP="00C515CC">
            <w:pPr>
              <w:rPr>
                <w:rFonts w:eastAsia="Times New Roman"/>
              </w:rPr>
            </w:pPr>
          </w:p>
        </w:tc>
      </w:tr>
      <w:tr w:rsidR="005A40DA" w:rsidRPr="00C515CC" w14:paraId="3D001210" w14:textId="77777777" w:rsidTr="00633DB8">
        <w:trPr>
          <w:cantSplit/>
        </w:trPr>
        <w:tc>
          <w:tcPr>
            <w:tcW w:w="4659" w:type="dxa"/>
            <w:hideMark/>
          </w:tcPr>
          <w:p w14:paraId="69D7C0BD" w14:textId="77777777" w:rsidR="005A40DA" w:rsidRPr="00C515CC" w:rsidRDefault="005A40DA" w:rsidP="00C515CC">
            <w:pPr>
              <w:rPr>
                <w:color w:val="000000"/>
              </w:rPr>
            </w:pPr>
            <w:r w:rsidRPr="00C515CC">
              <w:rPr>
                <w:b/>
                <w:color w:val="000000"/>
              </w:rPr>
              <w:t>Italia</w:t>
            </w:r>
          </w:p>
          <w:p w14:paraId="1509EF46" w14:textId="77777777" w:rsidR="005A40DA" w:rsidRPr="00C515CC" w:rsidRDefault="005A40DA" w:rsidP="00C515CC">
            <w:pPr>
              <w:autoSpaceDE w:val="0"/>
              <w:autoSpaceDN w:val="0"/>
              <w:rPr>
                <w:rFonts w:eastAsia="Times New Roman"/>
                <w:bCs/>
                <w:color w:val="000000"/>
                <w:szCs w:val="20"/>
              </w:rPr>
            </w:pPr>
            <w:r w:rsidRPr="00C515CC">
              <w:rPr>
                <w:rFonts w:eastAsia="Times New Roman"/>
                <w:bCs/>
                <w:color w:val="000000"/>
                <w:szCs w:val="20"/>
              </w:rPr>
              <w:t>EG SpA</w:t>
            </w:r>
          </w:p>
          <w:p w14:paraId="392D1763" w14:textId="77777777" w:rsidR="005A40DA" w:rsidRPr="00C515CC" w:rsidRDefault="005A40DA" w:rsidP="00C515CC">
            <w:pPr>
              <w:rPr>
                <w:color w:val="000000"/>
              </w:rPr>
            </w:pPr>
            <w:r w:rsidRPr="00C515CC">
              <w:rPr>
                <w:color w:val="000000"/>
              </w:rPr>
              <w:t xml:space="preserve">Tel: +39 </w:t>
            </w:r>
            <w:r w:rsidRPr="00C515CC">
              <w:rPr>
                <w:rFonts w:eastAsia="Times New Roman"/>
                <w:bCs/>
                <w:color w:val="000000"/>
                <w:szCs w:val="20"/>
              </w:rPr>
              <w:t>028310371</w:t>
            </w:r>
          </w:p>
          <w:p w14:paraId="11E70B55" w14:textId="77777777" w:rsidR="005A40DA" w:rsidRPr="00C515CC" w:rsidRDefault="005A40DA" w:rsidP="00C515CC"/>
        </w:tc>
        <w:tc>
          <w:tcPr>
            <w:tcW w:w="4405" w:type="dxa"/>
            <w:hideMark/>
          </w:tcPr>
          <w:p w14:paraId="67AA719A" w14:textId="77777777" w:rsidR="005A40DA" w:rsidRPr="00C515CC" w:rsidRDefault="005A40DA" w:rsidP="00C515CC">
            <w:pPr>
              <w:suppressAutoHyphens/>
              <w:rPr>
                <w:color w:val="000000"/>
                <w:lang w:val="fi-FI"/>
              </w:rPr>
            </w:pPr>
            <w:r w:rsidRPr="00C515CC">
              <w:rPr>
                <w:b/>
                <w:color w:val="000000"/>
                <w:lang w:val="fi-FI"/>
              </w:rPr>
              <w:t>Suomi/Finland</w:t>
            </w:r>
          </w:p>
          <w:p w14:paraId="10D503DB" w14:textId="77777777" w:rsidR="005A40DA" w:rsidRPr="00C515CC" w:rsidRDefault="005A40DA" w:rsidP="00C515CC">
            <w:pPr>
              <w:rPr>
                <w:color w:val="000000"/>
                <w:lang w:val="fi-FI"/>
              </w:rPr>
            </w:pPr>
            <w:r w:rsidRPr="00C515CC">
              <w:rPr>
                <w:rFonts w:eastAsia="Times New Roman"/>
                <w:color w:val="000000"/>
                <w:szCs w:val="20"/>
                <w:lang w:val="fi-FI" w:eastAsia="da-DK"/>
              </w:rPr>
              <w:t>STADA Nordic ApS, Suomen</w:t>
            </w:r>
            <w:r w:rsidRPr="00C515CC">
              <w:rPr>
                <w:color w:val="000000"/>
                <w:lang w:val="fi-FI"/>
              </w:rPr>
              <w:t xml:space="preserve"> sivuliike</w:t>
            </w:r>
          </w:p>
          <w:p w14:paraId="5701930B" w14:textId="77777777" w:rsidR="005A40DA" w:rsidRPr="00C515CC" w:rsidRDefault="005A40DA" w:rsidP="00C515CC">
            <w:pPr>
              <w:rPr>
                <w:color w:val="000000"/>
                <w:lang w:val="fi-FI"/>
              </w:rPr>
            </w:pPr>
            <w:r w:rsidRPr="00C515CC">
              <w:rPr>
                <w:color w:val="000000"/>
                <w:lang w:val="fi-FI"/>
              </w:rPr>
              <w:t xml:space="preserve">Puh/Tel: +358 </w:t>
            </w:r>
            <w:r w:rsidRPr="00C515CC">
              <w:rPr>
                <w:rFonts w:eastAsia="Times New Roman"/>
                <w:color w:val="000000"/>
                <w:szCs w:val="20"/>
                <w:lang w:val="fi-FI"/>
              </w:rPr>
              <w:t>207416888</w:t>
            </w:r>
          </w:p>
          <w:p w14:paraId="7272E675" w14:textId="77777777" w:rsidR="005A40DA" w:rsidRPr="00C515CC" w:rsidRDefault="005A40DA" w:rsidP="00C515CC">
            <w:pPr>
              <w:rPr>
                <w:lang w:val="fi-FI"/>
              </w:rPr>
            </w:pPr>
          </w:p>
        </w:tc>
      </w:tr>
      <w:tr w:rsidR="005A40DA" w:rsidRPr="00C515CC" w14:paraId="498EF21D" w14:textId="77777777" w:rsidTr="00633DB8">
        <w:trPr>
          <w:cantSplit/>
        </w:trPr>
        <w:tc>
          <w:tcPr>
            <w:tcW w:w="4659" w:type="dxa"/>
            <w:hideMark/>
          </w:tcPr>
          <w:p w14:paraId="46C1B785" w14:textId="77777777" w:rsidR="005A40DA" w:rsidRPr="00C515CC" w:rsidRDefault="005A40DA" w:rsidP="00C515CC">
            <w:pPr>
              <w:rPr>
                <w:rFonts w:eastAsia="Times New Roman"/>
                <w:b/>
                <w:color w:val="000000"/>
                <w:szCs w:val="20"/>
                <w:lang w:val="fi-FI"/>
              </w:rPr>
            </w:pPr>
            <w:r w:rsidRPr="00C515CC">
              <w:rPr>
                <w:rFonts w:eastAsia="Times New Roman"/>
                <w:b/>
                <w:color w:val="000000"/>
                <w:szCs w:val="20"/>
              </w:rPr>
              <w:t>Κύπρος</w:t>
            </w:r>
          </w:p>
          <w:p w14:paraId="10AA3CA4" w14:textId="77777777" w:rsidR="005A40DA" w:rsidRPr="00C515CC" w:rsidRDefault="005A40DA" w:rsidP="00C515CC">
            <w:pPr>
              <w:rPr>
                <w:rFonts w:eastAsia="Times New Roman"/>
                <w:color w:val="000000"/>
                <w:szCs w:val="20"/>
                <w:lang w:val="fi-FI"/>
              </w:rPr>
            </w:pPr>
            <w:r w:rsidRPr="00C515CC">
              <w:rPr>
                <w:rFonts w:eastAsia="Times New Roman"/>
                <w:color w:val="000000"/>
                <w:szCs w:val="20"/>
                <w:lang w:val="fi-FI"/>
              </w:rPr>
              <w:t>STADA Arzneimittel AG</w:t>
            </w:r>
          </w:p>
          <w:p w14:paraId="6DE51274" w14:textId="77777777" w:rsidR="005A40DA" w:rsidRPr="00C515CC" w:rsidRDefault="005A40DA" w:rsidP="00C515CC">
            <w:pPr>
              <w:suppressAutoHyphens/>
              <w:rPr>
                <w:color w:val="000000"/>
                <w:lang w:val="fi-FI"/>
              </w:rPr>
            </w:pPr>
            <w:r w:rsidRPr="00C515CC">
              <w:rPr>
                <w:color w:val="000000"/>
              </w:rPr>
              <w:t>Τηλ</w:t>
            </w:r>
            <w:r w:rsidRPr="00C515CC">
              <w:rPr>
                <w:color w:val="000000"/>
                <w:lang w:val="fi-FI"/>
              </w:rPr>
              <w:t>: +</w:t>
            </w:r>
            <w:r w:rsidRPr="00C515CC">
              <w:rPr>
                <w:rFonts w:eastAsia="Times New Roman"/>
                <w:color w:val="000000"/>
                <w:szCs w:val="20"/>
                <w:lang w:val="fi-FI"/>
              </w:rPr>
              <w:t>30 2106664667</w:t>
            </w:r>
          </w:p>
          <w:p w14:paraId="0801D2CC" w14:textId="77777777" w:rsidR="005A40DA" w:rsidRPr="00C515CC" w:rsidRDefault="005A40DA" w:rsidP="00C515CC">
            <w:pPr>
              <w:rPr>
                <w:rFonts w:eastAsia="Times New Roman"/>
                <w:lang w:val="fi-FI"/>
              </w:rPr>
            </w:pPr>
          </w:p>
        </w:tc>
        <w:tc>
          <w:tcPr>
            <w:tcW w:w="4405" w:type="dxa"/>
            <w:hideMark/>
          </w:tcPr>
          <w:p w14:paraId="490089E4" w14:textId="77777777" w:rsidR="005A40DA" w:rsidRPr="00C515CC" w:rsidRDefault="005A40DA" w:rsidP="00C515CC">
            <w:pPr>
              <w:suppressAutoHyphens/>
              <w:rPr>
                <w:b/>
                <w:color w:val="000000"/>
                <w:lang w:val="de-DE"/>
              </w:rPr>
            </w:pPr>
            <w:r w:rsidRPr="00C515CC">
              <w:rPr>
                <w:b/>
                <w:color w:val="000000"/>
                <w:lang w:val="de-DE"/>
              </w:rPr>
              <w:t>Sverige</w:t>
            </w:r>
          </w:p>
          <w:p w14:paraId="34B6C8FE" w14:textId="77777777" w:rsidR="005A40DA" w:rsidRPr="00C515CC" w:rsidRDefault="005A40DA" w:rsidP="00C515CC">
            <w:pPr>
              <w:rPr>
                <w:rFonts w:eastAsia="Times New Roman"/>
                <w:color w:val="000000"/>
                <w:szCs w:val="20"/>
                <w:lang w:val="de-DE"/>
              </w:rPr>
            </w:pPr>
            <w:r w:rsidRPr="00C515CC">
              <w:rPr>
                <w:rFonts w:eastAsia="Times New Roman"/>
                <w:color w:val="000000"/>
                <w:szCs w:val="20"/>
                <w:lang w:val="de-DE"/>
              </w:rPr>
              <w:t>STADA Nordic ApS</w:t>
            </w:r>
          </w:p>
          <w:p w14:paraId="634997F4" w14:textId="77777777" w:rsidR="005A40DA" w:rsidRPr="00C515CC" w:rsidRDefault="005A40DA" w:rsidP="00C515CC">
            <w:pPr>
              <w:rPr>
                <w:color w:val="000000"/>
                <w:lang w:val="de-DE"/>
              </w:rPr>
            </w:pPr>
            <w:r w:rsidRPr="00C515CC">
              <w:rPr>
                <w:color w:val="000000"/>
                <w:lang w:val="de-DE"/>
              </w:rPr>
              <w:t>Tel: +</w:t>
            </w:r>
            <w:r w:rsidRPr="00C515CC">
              <w:rPr>
                <w:rFonts w:eastAsia="Times New Roman"/>
                <w:color w:val="000000"/>
                <w:szCs w:val="20"/>
                <w:lang w:val="de-DE"/>
              </w:rPr>
              <w:t>45 44859999</w:t>
            </w:r>
          </w:p>
          <w:p w14:paraId="19576A1F" w14:textId="77777777" w:rsidR="005A40DA" w:rsidRPr="00C515CC" w:rsidRDefault="005A40DA" w:rsidP="00C515CC">
            <w:pPr>
              <w:rPr>
                <w:lang w:val="de-DE"/>
              </w:rPr>
            </w:pPr>
          </w:p>
        </w:tc>
      </w:tr>
      <w:tr w:rsidR="005A40DA" w:rsidRPr="00C515CC" w14:paraId="2DFB24E5" w14:textId="77777777" w:rsidTr="00633DB8">
        <w:trPr>
          <w:cantSplit/>
        </w:trPr>
        <w:tc>
          <w:tcPr>
            <w:tcW w:w="4659" w:type="dxa"/>
            <w:hideMark/>
          </w:tcPr>
          <w:p w14:paraId="0BEB2DFC" w14:textId="77777777" w:rsidR="005A40DA" w:rsidRPr="00C515CC" w:rsidRDefault="005A40DA" w:rsidP="00C515CC">
            <w:pPr>
              <w:rPr>
                <w:b/>
                <w:color w:val="000000"/>
              </w:rPr>
            </w:pPr>
            <w:r w:rsidRPr="00C515CC">
              <w:rPr>
                <w:b/>
                <w:color w:val="000000"/>
              </w:rPr>
              <w:t>Latvija</w:t>
            </w:r>
          </w:p>
          <w:p w14:paraId="584FE227" w14:textId="77777777" w:rsidR="005A40DA" w:rsidRPr="00C515CC" w:rsidRDefault="005A40DA" w:rsidP="00C515CC">
            <w:pPr>
              <w:autoSpaceDE w:val="0"/>
              <w:autoSpaceDN w:val="0"/>
              <w:adjustRightInd w:val="0"/>
              <w:rPr>
                <w:rFonts w:eastAsia="Times New Roman"/>
                <w:color w:val="000000"/>
                <w:szCs w:val="20"/>
              </w:rPr>
            </w:pPr>
            <w:r w:rsidRPr="00C515CC">
              <w:rPr>
                <w:rFonts w:eastAsia="Times New Roman"/>
                <w:color w:val="000000"/>
                <w:szCs w:val="20"/>
              </w:rPr>
              <w:t>UAB „STADA Baltics“</w:t>
            </w:r>
          </w:p>
          <w:p w14:paraId="0BA3E88F" w14:textId="77777777" w:rsidR="005A40DA" w:rsidRPr="00C515CC" w:rsidRDefault="005A40DA" w:rsidP="00C515CC">
            <w:pPr>
              <w:autoSpaceDE w:val="0"/>
              <w:autoSpaceDN w:val="0"/>
              <w:adjustRightInd w:val="0"/>
              <w:rPr>
                <w:color w:val="000000"/>
              </w:rPr>
            </w:pPr>
            <w:r w:rsidRPr="00C515CC">
              <w:rPr>
                <w:color w:val="000000"/>
              </w:rPr>
              <w:t>Tel: +371</w:t>
            </w:r>
            <w:r w:rsidRPr="00C515CC">
              <w:rPr>
                <w:rFonts w:eastAsia="Times New Roman"/>
                <w:color w:val="000000"/>
                <w:szCs w:val="20"/>
              </w:rPr>
              <w:t xml:space="preserve"> 28016404</w:t>
            </w:r>
          </w:p>
          <w:p w14:paraId="2A1D6920" w14:textId="77777777" w:rsidR="005A40DA" w:rsidRPr="00C515CC" w:rsidRDefault="005A40DA" w:rsidP="00C515CC"/>
        </w:tc>
        <w:tc>
          <w:tcPr>
            <w:tcW w:w="4405" w:type="dxa"/>
            <w:hideMark/>
          </w:tcPr>
          <w:p w14:paraId="4556CCC9" w14:textId="77777777" w:rsidR="005A40DA" w:rsidRPr="00C515CC" w:rsidRDefault="005A40DA" w:rsidP="00C515CC">
            <w:pPr>
              <w:suppressAutoHyphens/>
              <w:rPr>
                <w:rFonts w:eastAsia="Times New Roman"/>
              </w:rPr>
            </w:pPr>
          </w:p>
        </w:tc>
      </w:tr>
    </w:tbl>
    <w:p w14:paraId="0613064A" w14:textId="77777777" w:rsidR="00951F81" w:rsidRPr="00C515CC" w:rsidRDefault="00951F81" w:rsidP="009F7844">
      <w:pPr>
        <w:numPr>
          <w:ilvl w:val="12"/>
          <w:numId w:val="0"/>
        </w:numPr>
        <w:rPr>
          <w:b/>
        </w:rPr>
      </w:pPr>
    </w:p>
    <w:p w14:paraId="22E4E840" w14:textId="77777777" w:rsidR="00951F81" w:rsidRPr="00C515CC" w:rsidRDefault="00951F81" w:rsidP="00C515CC">
      <w:pPr>
        <w:keepNext/>
        <w:tabs>
          <w:tab w:val="clear" w:pos="567"/>
        </w:tabs>
        <w:rPr>
          <w:b/>
          <w:bCs/>
        </w:rPr>
      </w:pPr>
      <w:r w:rsidRPr="00C515CC">
        <w:rPr>
          <w:b/>
        </w:rPr>
        <w:t>A betegtájékoztató legutóbbi felülvizsgálatának dátuma:</w:t>
      </w:r>
    </w:p>
    <w:p w14:paraId="42AEAEE6" w14:textId="77777777" w:rsidR="00951F81" w:rsidRPr="00C515CC" w:rsidRDefault="00951F81" w:rsidP="00C515CC">
      <w:pPr>
        <w:keepNext/>
      </w:pPr>
    </w:p>
    <w:p w14:paraId="42788A9E" w14:textId="77777777" w:rsidR="00951F81" w:rsidRPr="00C515CC" w:rsidRDefault="00951F81" w:rsidP="00C515CC">
      <w:pPr>
        <w:keepNext/>
        <w:tabs>
          <w:tab w:val="clear" w:pos="567"/>
        </w:tabs>
        <w:rPr>
          <w:b/>
          <w:bCs/>
        </w:rPr>
      </w:pPr>
      <w:r w:rsidRPr="00C515CC">
        <w:rPr>
          <w:b/>
        </w:rPr>
        <w:t>Egyéb információforrások</w:t>
      </w:r>
    </w:p>
    <w:p w14:paraId="256A99CE" w14:textId="77777777" w:rsidR="00951F81" w:rsidRPr="00C515CC" w:rsidRDefault="00951F81" w:rsidP="00C515CC">
      <w:pPr>
        <w:keepNext/>
        <w:tabs>
          <w:tab w:val="clear" w:pos="567"/>
        </w:tabs>
      </w:pPr>
    </w:p>
    <w:p w14:paraId="059B357A" w14:textId="29A219F3" w:rsidR="00951F81" w:rsidRPr="00C515CC" w:rsidRDefault="00951F81" w:rsidP="00C515CC">
      <w:pPr>
        <w:tabs>
          <w:tab w:val="clear" w:pos="567"/>
        </w:tabs>
      </w:pPr>
      <w:r w:rsidRPr="00C515CC">
        <w:t>A gyógyszerről részletes információ az Európai Gyógyszerügynökség internetes honlapján (</w:t>
      </w:r>
      <w:hyperlink r:id="rId18" w:history="1">
        <w:r w:rsidR="00E854D4" w:rsidRPr="00C515CC">
          <w:rPr>
            <w:rStyle w:val="Hyperlink"/>
          </w:rPr>
          <w:t>https://www.ema.europa.eu/</w:t>
        </w:r>
      </w:hyperlink>
      <w:r w:rsidRPr="00C515CC">
        <w:t>) található.</w:t>
      </w:r>
    </w:p>
    <w:p w14:paraId="2E5F414B" w14:textId="77777777" w:rsidR="00951F81" w:rsidRPr="00C515CC" w:rsidRDefault="00951F81" w:rsidP="00C515CC">
      <w:pPr>
        <w:tabs>
          <w:tab w:val="clear" w:pos="567"/>
        </w:tabs>
      </w:pPr>
    </w:p>
    <w:p w14:paraId="1758A806" w14:textId="77777777" w:rsidR="00951F81" w:rsidRPr="00C515CC" w:rsidRDefault="00951F81" w:rsidP="00C515CC">
      <w:pPr>
        <w:numPr>
          <w:ilvl w:val="12"/>
          <w:numId w:val="0"/>
        </w:numPr>
        <w:ind w:right="-2"/>
      </w:pPr>
      <w:r w:rsidRPr="00C515CC">
        <w:t>---------------------------------------------------------------------------------------------------------------------------</w:t>
      </w:r>
    </w:p>
    <w:p w14:paraId="2410353F" w14:textId="77777777" w:rsidR="005A40DA" w:rsidRPr="00C515CC" w:rsidRDefault="005A40DA" w:rsidP="00C515CC">
      <w:pPr>
        <w:numPr>
          <w:ilvl w:val="12"/>
          <w:numId w:val="0"/>
        </w:numPr>
        <w:ind w:left="567" w:hanging="567"/>
      </w:pPr>
    </w:p>
    <w:p w14:paraId="47553857" w14:textId="31FC83A9" w:rsidR="00C216D2" w:rsidRPr="00C515CC" w:rsidRDefault="00C216D2" w:rsidP="00633DB8">
      <w:pPr>
        <w:numPr>
          <w:ilvl w:val="12"/>
          <w:numId w:val="0"/>
        </w:numPr>
        <w:tabs>
          <w:tab w:val="clear" w:pos="567"/>
        </w:tabs>
      </w:pPr>
      <w:r w:rsidRPr="00C515CC">
        <w:t>A gyógyszerrel kapcsolatos részletes információk, beleértve az előretöltött fecskendő használatáról szóló videót is, az alább vagy a külső dobozon található QR</w:t>
      </w:r>
      <w:r w:rsidRPr="00C515CC">
        <w:noBreakHyphen/>
        <w:t>kód okostelefonos beolvasásával érhetők el. Ugyanez az információ a következő URL</w:t>
      </w:r>
      <w:r w:rsidRPr="00C515CC">
        <w:noBreakHyphen/>
        <w:t>címen is elérhető: Kefdensispatients.com</w:t>
      </w:r>
    </w:p>
    <w:p w14:paraId="40EC8587" w14:textId="77777777" w:rsidR="005A40DA" w:rsidRPr="00C515CC" w:rsidRDefault="005A40DA" w:rsidP="00C515CC">
      <w:pPr>
        <w:numPr>
          <w:ilvl w:val="12"/>
          <w:numId w:val="0"/>
        </w:numPr>
        <w:ind w:left="567" w:hanging="567"/>
      </w:pPr>
    </w:p>
    <w:p w14:paraId="08F78F2C" w14:textId="173158F2" w:rsidR="00C216D2" w:rsidRPr="00C515CC" w:rsidRDefault="00C216D2" w:rsidP="00633DB8">
      <w:pPr>
        <w:numPr>
          <w:ilvl w:val="12"/>
          <w:numId w:val="0"/>
        </w:numPr>
        <w:ind w:left="567" w:hanging="567"/>
      </w:pPr>
      <w:r w:rsidRPr="00633DB8">
        <w:rPr>
          <w:highlight w:val="lightGray"/>
        </w:rPr>
        <w:t>QR kódot be kell illeszteni.</w:t>
      </w:r>
    </w:p>
    <w:p w14:paraId="3ACC0EC6" w14:textId="77777777" w:rsidR="005A40DA" w:rsidRPr="00C515CC" w:rsidRDefault="005A40DA" w:rsidP="00633DB8">
      <w:pPr>
        <w:numPr>
          <w:ilvl w:val="12"/>
          <w:numId w:val="0"/>
        </w:numPr>
        <w:ind w:left="567" w:hanging="567"/>
      </w:pPr>
    </w:p>
    <w:p w14:paraId="3F32B67C" w14:textId="35348481" w:rsidR="00951F81" w:rsidRPr="00C515CC" w:rsidRDefault="00951F81" w:rsidP="00C515CC">
      <w:pPr>
        <w:keepNext/>
        <w:numPr>
          <w:ilvl w:val="12"/>
          <w:numId w:val="0"/>
        </w:numPr>
        <w:ind w:left="567" w:hanging="567"/>
        <w:rPr>
          <w:rFonts w:eastAsia="MS Mincho"/>
          <w:b/>
          <w:bCs/>
        </w:rPr>
      </w:pPr>
      <w:r w:rsidRPr="00C515CC">
        <w:br w:type="page"/>
      </w:r>
    </w:p>
    <w:tbl>
      <w:tblPr>
        <w:tblStyle w:val="TableGrid0"/>
        <w:tblW w:w="5000" w:type="pct"/>
        <w:tblInd w:w="0" w:type="dxa"/>
        <w:tblCellMar>
          <w:top w:w="85" w:type="dxa"/>
          <w:left w:w="85" w:type="dxa"/>
          <w:bottom w:w="85" w:type="dxa"/>
          <w:right w:w="85" w:type="dxa"/>
        </w:tblCellMar>
        <w:tblLook w:val="04A0" w:firstRow="1" w:lastRow="0" w:firstColumn="1" w:lastColumn="0" w:noHBand="0" w:noVBand="1"/>
      </w:tblPr>
      <w:tblGrid>
        <w:gridCol w:w="4564"/>
        <w:gridCol w:w="4499"/>
      </w:tblGrid>
      <w:tr w:rsidR="00FE133E" w:rsidRPr="00E0591C" w14:paraId="7FEC4775" w14:textId="77777777" w:rsidTr="00633DB8">
        <w:trPr>
          <w:trHeight w:val="189"/>
        </w:trPr>
        <w:tc>
          <w:tcPr>
            <w:tcW w:w="9063" w:type="dxa"/>
            <w:gridSpan w:val="2"/>
            <w:tcBorders>
              <w:top w:val="single" w:sz="4" w:space="0" w:color="000000"/>
              <w:left w:val="single" w:sz="4" w:space="0" w:color="000000"/>
              <w:bottom w:val="single" w:sz="4" w:space="0" w:color="000000"/>
              <w:right w:val="single" w:sz="4" w:space="0" w:color="000000"/>
            </w:tcBorders>
            <w:vAlign w:val="center"/>
          </w:tcPr>
          <w:p w14:paraId="49F966DF" w14:textId="77777777" w:rsidR="00FE133E" w:rsidRPr="00E0591C" w:rsidRDefault="00FE133E" w:rsidP="00633DB8">
            <w:pPr>
              <w:tabs>
                <w:tab w:val="clear" w:pos="567"/>
              </w:tabs>
              <w:jc w:val="center"/>
              <w:rPr>
                <w:rFonts w:ascii="Times New Roman" w:eastAsia="SimSun" w:hAnsi="Times New Roman" w:cs="Times New Roman"/>
                <w:lang w:eastAsia="de-DE"/>
              </w:rPr>
            </w:pPr>
            <w:r w:rsidRPr="00E0591C">
              <w:rPr>
                <w:rFonts w:eastAsia="SimSun"/>
                <w:lang w:eastAsia="de-DE"/>
              </w:rPr>
              <w:t>Használati utasítás:</w:t>
            </w:r>
          </w:p>
        </w:tc>
      </w:tr>
      <w:tr w:rsidR="00FE133E" w:rsidRPr="00E0591C" w14:paraId="5863ACCE" w14:textId="77777777" w:rsidTr="00FE133E">
        <w:trPr>
          <w:trHeight w:val="20"/>
        </w:trPr>
        <w:tc>
          <w:tcPr>
            <w:tcW w:w="9063" w:type="dxa"/>
            <w:gridSpan w:val="2"/>
            <w:tcBorders>
              <w:top w:val="single" w:sz="4" w:space="0" w:color="000000"/>
              <w:left w:val="single" w:sz="4" w:space="0" w:color="000000"/>
              <w:bottom w:val="single" w:sz="4" w:space="0" w:color="000000"/>
              <w:right w:val="single" w:sz="4" w:space="0" w:color="000000"/>
            </w:tcBorders>
            <w:vAlign w:val="center"/>
          </w:tcPr>
          <w:p w14:paraId="267E5A87" w14:textId="77777777" w:rsidR="00FE133E" w:rsidRPr="00E0591C" w:rsidRDefault="00FE133E" w:rsidP="00633DB8">
            <w:pPr>
              <w:tabs>
                <w:tab w:val="clear" w:pos="567"/>
              </w:tabs>
              <w:jc w:val="center"/>
              <w:rPr>
                <w:rFonts w:ascii="Times New Roman" w:eastAsia="SimSun" w:hAnsi="Times New Roman" w:cs="Times New Roman"/>
                <w:lang w:eastAsia="de-DE"/>
              </w:rPr>
            </w:pPr>
            <w:r w:rsidRPr="00E0591C">
              <w:rPr>
                <w:rFonts w:eastAsia="SimSun"/>
                <w:lang w:eastAsia="de-DE"/>
              </w:rPr>
              <w:t>A fecskendő részeinek ismertetése</w:t>
            </w:r>
          </w:p>
        </w:tc>
      </w:tr>
      <w:tr w:rsidR="00FE133E" w:rsidRPr="00E0591C" w14:paraId="0C09A775" w14:textId="77777777" w:rsidTr="00FE133E">
        <w:trPr>
          <w:trHeight w:val="20"/>
        </w:trPr>
        <w:tc>
          <w:tcPr>
            <w:tcW w:w="4564" w:type="dxa"/>
            <w:tcBorders>
              <w:top w:val="single" w:sz="4" w:space="0" w:color="000000"/>
              <w:left w:val="single" w:sz="4" w:space="0" w:color="000000"/>
              <w:bottom w:val="single" w:sz="4" w:space="0" w:color="000000"/>
              <w:right w:val="single" w:sz="4" w:space="0" w:color="000000"/>
            </w:tcBorders>
            <w:vAlign w:val="center"/>
          </w:tcPr>
          <w:p w14:paraId="02E94AC8" w14:textId="77777777" w:rsidR="00FE133E" w:rsidRPr="00E0591C" w:rsidRDefault="00FE133E" w:rsidP="00633DB8">
            <w:pPr>
              <w:tabs>
                <w:tab w:val="clear" w:pos="567"/>
              </w:tabs>
              <w:jc w:val="center"/>
              <w:rPr>
                <w:rFonts w:ascii="Times New Roman" w:eastAsia="SimSun" w:hAnsi="Times New Roman" w:cs="Times New Roman"/>
                <w:lang w:eastAsia="de-DE"/>
              </w:rPr>
            </w:pPr>
            <w:r w:rsidRPr="00E0591C">
              <w:rPr>
                <w:rFonts w:eastAsia="SimSun"/>
                <w:lang w:eastAsia="de-DE"/>
              </w:rPr>
              <w:t>Használat előtt</w:t>
            </w:r>
          </w:p>
        </w:tc>
        <w:tc>
          <w:tcPr>
            <w:tcW w:w="4499" w:type="dxa"/>
            <w:tcBorders>
              <w:top w:val="single" w:sz="4" w:space="0" w:color="000000"/>
              <w:left w:val="single" w:sz="4" w:space="0" w:color="000000"/>
              <w:bottom w:val="single" w:sz="4" w:space="0" w:color="000000"/>
              <w:right w:val="single" w:sz="4" w:space="0" w:color="000000"/>
            </w:tcBorders>
            <w:vAlign w:val="center"/>
          </w:tcPr>
          <w:p w14:paraId="4AE69C5E" w14:textId="77777777" w:rsidR="00FE133E" w:rsidRPr="00E0591C" w:rsidRDefault="00FE133E" w:rsidP="00633DB8">
            <w:pPr>
              <w:tabs>
                <w:tab w:val="clear" w:pos="567"/>
              </w:tabs>
              <w:jc w:val="center"/>
              <w:rPr>
                <w:rFonts w:ascii="Times New Roman" w:eastAsia="SimSun" w:hAnsi="Times New Roman" w:cs="Times New Roman"/>
                <w:lang w:eastAsia="de-DE"/>
              </w:rPr>
            </w:pPr>
            <w:r w:rsidRPr="00E0591C">
              <w:rPr>
                <w:rFonts w:eastAsia="SimSun"/>
                <w:lang w:eastAsia="de-DE"/>
              </w:rPr>
              <w:t>Használat után</w:t>
            </w:r>
          </w:p>
        </w:tc>
      </w:tr>
      <w:tr w:rsidR="00FE133E" w:rsidRPr="00E0591C" w14:paraId="38CEDB00" w14:textId="77777777" w:rsidTr="00633DB8">
        <w:trPr>
          <w:trHeight w:val="6825"/>
        </w:trPr>
        <w:tc>
          <w:tcPr>
            <w:tcW w:w="4564" w:type="dxa"/>
            <w:tcBorders>
              <w:top w:val="single" w:sz="4" w:space="0" w:color="000000"/>
              <w:left w:val="single" w:sz="4" w:space="0" w:color="000000"/>
              <w:bottom w:val="single" w:sz="4" w:space="0" w:color="000000"/>
              <w:right w:val="single" w:sz="4" w:space="0" w:color="000000"/>
            </w:tcBorders>
          </w:tcPr>
          <w:p w14:paraId="6969EDCC" w14:textId="77777777" w:rsidR="00FE133E" w:rsidRPr="00E0591C" w:rsidRDefault="00FE133E" w:rsidP="00C515CC">
            <w:pPr>
              <w:tabs>
                <w:tab w:val="clear" w:pos="567"/>
              </w:tabs>
              <w:rPr>
                <w:rFonts w:ascii="Times New Roman" w:eastAsia="SimSun" w:hAnsi="Times New Roman" w:cs="Times New Roman"/>
                <w:lang w:val="en-GB" w:eastAsia="de-DE"/>
              </w:rPr>
            </w:pPr>
            <w:r w:rsidRPr="00EF508B">
              <w:rPr>
                <w:rFonts w:eastAsia="SimSun"/>
                <w:noProof/>
                <w:lang w:val="en-GB" w:eastAsia="de-DE"/>
              </w:rPr>
              <mc:AlternateContent>
                <mc:Choice Requires="wpg">
                  <w:drawing>
                    <wp:anchor distT="0" distB="0" distL="114300" distR="114300" simplePos="0" relativeHeight="251668992" behindDoc="0" locked="0" layoutInCell="1" allowOverlap="1" wp14:anchorId="72B458F4" wp14:editId="7F542616">
                      <wp:simplePos x="0" y="0"/>
                      <wp:positionH relativeFrom="column">
                        <wp:posOffset>-42545</wp:posOffset>
                      </wp:positionH>
                      <wp:positionV relativeFrom="paragraph">
                        <wp:posOffset>-49460</wp:posOffset>
                      </wp:positionV>
                      <wp:extent cx="2743430" cy="4342765"/>
                      <wp:effectExtent l="0" t="0" r="0" b="635"/>
                      <wp:wrapNone/>
                      <wp:docPr id="922041229" name="Csoportba foglalás 17"/>
                      <wp:cNvGraphicFramePr/>
                      <a:graphic xmlns:a="http://schemas.openxmlformats.org/drawingml/2006/main">
                        <a:graphicData uri="http://schemas.microsoft.com/office/word/2010/wordprocessingGroup">
                          <wpg:wgp>
                            <wpg:cNvGrpSpPr/>
                            <wpg:grpSpPr>
                              <a:xfrm>
                                <a:off x="0" y="0"/>
                                <a:ext cx="2743430" cy="4342765"/>
                                <a:chOff x="0" y="0"/>
                                <a:chExt cx="2743430" cy="4342765"/>
                              </a:xfrm>
                            </wpg:grpSpPr>
                            <pic:pic xmlns:pic="http://schemas.openxmlformats.org/drawingml/2006/picture">
                              <pic:nvPicPr>
                                <pic:cNvPr id="1571063414" name="Picture 1"/>
                                <pic:cNvPicPr>
                                  <a:picLocks noChangeAspect="1"/>
                                </pic:cNvPicPr>
                              </pic:nvPicPr>
                              <pic:blipFill>
                                <a:blip r:embed="rId19">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wps:wsp>
                              <wps:cNvPr id="880736616" name="Text Box 2"/>
                              <wps:cNvSpPr txBox="1">
                                <a:spLocks noChangeArrowheads="1"/>
                              </wps:cNvSpPr>
                              <wps:spPr bwMode="auto">
                                <a:xfrm>
                                  <a:off x="1263246" y="58247"/>
                                  <a:ext cx="1480184" cy="491489"/>
                                </a:xfrm>
                                <a:prstGeom prst="rect">
                                  <a:avLst/>
                                </a:prstGeom>
                                <a:solidFill>
                                  <a:srgbClr val="FFFFFF"/>
                                </a:solidFill>
                                <a:ln w="9525">
                                  <a:noFill/>
                                  <a:miter lim="800000"/>
                                  <a:headEnd/>
                                  <a:tailEnd/>
                                </a:ln>
                              </wps:spPr>
                              <wps:txbx>
                                <w:txbxContent>
                                  <w:p w14:paraId="39D49F34" w14:textId="77777777" w:rsidR="00FE133E" w:rsidRPr="004B4F59" w:rsidRDefault="00FE133E" w:rsidP="00FE133E">
                                    <w:pPr>
                                      <w:rPr>
                                        <w:b/>
                                        <w:bCs/>
                                      </w:rPr>
                                    </w:pPr>
                                    <w:r>
                                      <w:rPr>
                                        <w:b/>
                                        <w:bCs/>
                                      </w:rPr>
                                      <w:t>Dugattyú</w:t>
                                    </w:r>
                                  </w:p>
                                  <w:p w14:paraId="2CEC7152" w14:textId="2F319BCB" w:rsidR="00FE133E" w:rsidRDefault="00FE133E" w:rsidP="00FE133E">
                                    <w:r w:rsidRPr="006A22E6">
                                      <w:rPr>
                                        <w:b/>
                                        <w:bCs/>
                                      </w:rPr>
                                      <w:t xml:space="preserve">Soha </w:t>
                                    </w:r>
                                    <w:r w:rsidRPr="006A22E6">
                                      <w:t>ne fogja meg</w:t>
                                    </w:r>
                                    <w:r w:rsidR="00BC1E60">
                                      <w:t>,</w:t>
                                    </w:r>
                                    <w:r w:rsidRPr="006A22E6">
                                      <w:t xml:space="preserve"> és ne húzza meg a dugattyút.</w:t>
                                    </w:r>
                                  </w:p>
                                </w:txbxContent>
                              </wps:txbx>
                              <wps:bodyPr rot="0" vert="horz" wrap="square" lIns="0" tIns="0" rIns="0" bIns="0" anchor="t" anchorCtr="0">
                                <a:spAutoFit/>
                              </wps:bodyPr>
                            </wps:wsp>
                            <wps:wsp>
                              <wps:cNvPr id="1035602333" name="Text Box 2"/>
                              <wps:cNvSpPr txBox="1">
                                <a:spLocks noChangeArrowheads="1"/>
                              </wps:cNvSpPr>
                              <wps:spPr bwMode="auto">
                                <a:xfrm>
                                  <a:off x="1358900" y="1019156"/>
                                  <a:ext cx="832484" cy="170179"/>
                                </a:xfrm>
                                <a:prstGeom prst="rect">
                                  <a:avLst/>
                                </a:prstGeom>
                                <a:noFill/>
                                <a:ln w="9525">
                                  <a:noFill/>
                                  <a:miter lim="800000"/>
                                  <a:headEnd/>
                                  <a:tailEnd/>
                                </a:ln>
                              </wps:spPr>
                              <wps:txbx>
                                <w:txbxContent>
                                  <w:p w14:paraId="05C4320E" w14:textId="77777777" w:rsidR="00FE133E" w:rsidRPr="004B4F59" w:rsidRDefault="00FE133E" w:rsidP="00FE133E">
                                    <w:pPr>
                                      <w:rPr>
                                        <w:lang w:val="de-DE"/>
                                      </w:rPr>
                                    </w:pPr>
                                    <w:r>
                                      <w:rPr>
                                        <w:b/>
                                        <w:bCs/>
                                        <w:lang w:val="de-DE"/>
                                      </w:rPr>
                                      <w:t>Ujjtámasz</w:t>
                                    </w:r>
                                  </w:p>
                                </w:txbxContent>
                              </wps:txbx>
                              <wps:bodyPr rot="0" vert="horz" wrap="square" lIns="0" tIns="0" rIns="0" bIns="0" anchor="t" anchorCtr="0">
                                <a:spAutoFit/>
                              </wps:bodyPr>
                            </wps:wsp>
                            <wps:wsp>
                              <wps:cNvPr id="349314019" name="Text Box 2"/>
                              <wps:cNvSpPr txBox="1">
                                <a:spLocks noChangeArrowheads="1"/>
                              </wps:cNvSpPr>
                              <wps:spPr bwMode="auto">
                                <a:xfrm>
                                  <a:off x="1288429" y="2011733"/>
                                  <a:ext cx="1400174" cy="330834"/>
                                </a:xfrm>
                                <a:prstGeom prst="rect">
                                  <a:avLst/>
                                </a:prstGeom>
                                <a:noFill/>
                                <a:ln w="9525">
                                  <a:noFill/>
                                  <a:miter lim="800000"/>
                                  <a:headEnd/>
                                  <a:tailEnd/>
                                </a:ln>
                              </wps:spPr>
                              <wps:txbx>
                                <w:txbxContent>
                                  <w:p w14:paraId="52C0FFB4" w14:textId="77777777" w:rsidR="00FE133E" w:rsidRPr="004B4F59" w:rsidRDefault="00FE133E" w:rsidP="00FE133E">
                                    <w:r>
                                      <w:rPr>
                                        <w:b/>
                                        <w:bCs/>
                                      </w:rPr>
                                      <w:t>Átlátszó biztonsági burkolat</w:t>
                                    </w:r>
                                  </w:p>
                                </w:txbxContent>
                              </wps:txbx>
                              <wps:bodyPr rot="0" vert="horz" wrap="square" lIns="0" tIns="0" rIns="0" bIns="0" anchor="t" anchorCtr="0">
                                <a:spAutoFit/>
                              </wps:bodyPr>
                            </wps:wsp>
                            <wps:wsp>
                              <wps:cNvPr id="2138361120" name="Text Box 2"/>
                              <wps:cNvSpPr txBox="1">
                                <a:spLocks noChangeArrowheads="1"/>
                              </wps:cNvSpPr>
                              <wps:spPr bwMode="auto">
                                <a:xfrm>
                                  <a:off x="1321273" y="2517675"/>
                                  <a:ext cx="1289049" cy="170179"/>
                                </a:xfrm>
                                <a:prstGeom prst="rect">
                                  <a:avLst/>
                                </a:prstGeom>
                                <a:noFill/>
                                <a:ln w="9525">
                                  <a:noFill/>
                                  <a:miter lim="800000"/>
                                  <a:headEnd/>
                                  <a:tailEnd/>
                                </a:ln>
                              </wps:spPr>
                              <wps:txbx>
                                <w:txbxContent>
                                  <w:p w14:paraId="511E7435" w14:textId="77777777" w:rsidR="00FE133E" w:rsidRPr="004B4F59" w:rsidRDefault="00FE133E" w:rsidP="00FE133E">
                                    <w:r>
                                      <w:rPr>
                                        <w:b/>
                                        <w:bCs/>
                                      </w:rPr>
                                      <w:t>Lejárati idő</w:t>
                                    </w:r>
                                    <w:r w:rsidRPr="004B4F59">
                                      <w:rPr>
                                        <w:b/>
                                        <w:bCs/>
                                      </w:rPr>
                                      <w:t xml:space="preserve"> </w:t>
                                    </w:r>
                                    <w:r>
                                      <w:t>a címkén</w:t>
                                    </w:r>
                                  </w:p>
                                </w:txbxContent>
                              </wps:txbx>
                              <wps:bodyPr rot="0" vert="horz" wrap="square" lIns="0" tIns="0" rIns="0" bIns="0" anchor="t" anchorCtr="0">
                                <a:spAutoFit/>
                              </wps:bodyPr>
                            </wps:wsp>
                            <wps:wsp>
                              <wps:cNvPr id="1617756629" name="Text Box 2"/>
                              <wps:cNvSpPr txBox="1">
                                <a:spLocks noChangeArrowheads="1"/>
                              </wps:cNvSpPr>
                              <wps:spPr bwMode="auto">
                                <a:xfrm>
                                  <a:off x="1343043" y="2997200"/>
                                  <a:ext cx="1124584" cy="170179"/>
                                </a:xfrm>
                                <a:prstGeom prst="rect">
                                  <a:avLst/>
                                </a:prstGeom>
                                <a:noFill/>
                                <a:ln w="9525">
                                  <a:noFill/>
                                  <a:miter lim="800000"/>
                                  <a:headEnd/>
                                  <a:tailEnd/>
                                </a:ln>
                              </wps:spPr>
                              <wps:txbx>
                                <w:txbxContent>
                                  <w:p w14:paraId="185CEA9A" w14:textId="77777777" w:rsidR="00FE133E" w:rsidRPr="00EC6C6F" w:rsidRDefault="00FE133E" w:rsidP="00FE133E">
                                    <w:r>
                                      <w:rPr>
                                        <w:b/>
                                        <w:bCs/>
                                      </w:rPr>
                                      <w:t>A fecskendő teste</w:t>
                                    </w:r>
                                  </w:p>
                                </w:txbxContent>
                              </wps:txbx>
                              <wps:bodyPr rot="0" vert="horz" wrap="square" lIns="0" tIns="0" rIns="0" bIns="0" anchor="t" anchorCtr="0">
                                <a:spAutoFit/>
                              </wps:bodyPr>
                            </wps:wsp>
                            <wps:wsp>
                              <wps:cNvPr id="1816217910" name="Text Box 2"/>
                              <wps:cNvSpPr txBox="1">
                                <a:spLocks noChangeArrowheads="1"/>
                              </wps:cNvSpPr>
                              <wps:spPr bwMode="auto">
                                <a:xfrm>
                                  <a:off x="1288212" y="3529966"/>
                                  <a:ext cx="1429384" cy="812799"/>
                                </a:xfrm>
                                <a:prstGeom prst="rect">
                                  <a:avLst/>
                                </a:prstGeom>
                                <a:noFill/>
                                <a:ln w="9525">
                                  <a:noFill/>
                                  <a:miter lim="800000"/>
                                  <a:headEnd/>
                                  <a:tailEnd/>
                                </a:ln>
                              </wps:spPr>
                              <wps:txbx>
                                <w:txbxContent>
                                  <w:p w14:paraId="3FA0C527" w14:textId="77777777" w:rsidR="00FE133E" w:rsidRPr="004B4F59" w:rsidRDefault="00FE133E" w:rsidP="00FE133E">
                                    <w:pPr>
                                      <w:rPr>
                                        <w:b/>
                                        <w:bCs/>
                                      </w:rPr>
                                    </w:pPr>
                                    <w:r>
                                      <w:rPr>
                                        <w:b/>
                                        <w:bCs/>
                                      </w:rPr>
                                      <w:t>Szürke tűvédő kupak</w:t>
                                    </w:r>
                                  </w:p>
                                  <w:p w14:paraId="15B82D48" w14:textId="538698B2" w:rsidR="00FE133E" w:rsidRPr="004B4F59" w:rsidRDefault="00FE133E" w:rsidP="00FE133E">
                                    <w:r>
                                      <w:rPr>
                                        <w:b/>
                                        <w:bCs/>
                                      </w:rPr>
                                      <w:t>Fontos</w:t>
                                    </w:r>
                                    <w:r w:rsidRPr="004B4F59">
                                      <w:rPr>
                                        <w:b/>
                                        <w:bCs/>
                                      </w:rPr>
                                      <w:t xml:space="preserve">: </w:t>
                                    </w:r>
                                    <w:r w:rsidRPr="006A22E6">
                                      <w:t xml:space="preserve">Tartsa </w:t>
                                    </w:r>
                                    <w:r w:rsidR="00BC1E60">
                                      <w:t>a helyén</w:t>
                                    </w:r>
                                    <w:r w:rsidR="00BC1E60" w:rsidRPr="006A22E6">
                                      <w:t xml:space="preserve"> </w:t>
                                    </w:r>
                                    <w:r w:rsidRPr="006A22E6">
                                      <w:t>a szürke tűvédő kupakot, amíg készen nem áll az injekció beadására</w:t>
                                    </w:r>
                                    <w:r>
                                      <w:t>.</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2B458F4" id="Csoportba foglalás 17" o:spid="_x0000_s1026" style="position:absolute;margin-left:-3.35pt;margin-top:-3.9pt;width:3in;height:341.95pt;z-index:251668992;mso-width-relative:margin;mso-height-relative:margin" coordsize="27434,43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7018;height:41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">
                        <v:imagedata r:id="rId20" o:title="" cropleft="2129f"/>
                      </v:shape>
                      <v:shapetype id="_x0000_t202" coordsize="21600,21600" o:spt="202" path="m,l,21600r21600,l21600,xe">
                        <v:stroke joinstyle="miter"/>
                        <v:path gradientshapeok="t" o:connecttype="rect"/>
                      </v:shapetype>
                      <v:shape id="Text Box 2" o:spid="_x0000_s1028" type="#_x0000_t202" style="position:absolute;left:12632;top:582;width:14802;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" stroked="f">
                        <v:textbox style="mso-fit-shape-to-text:t" inset="0,0,0,0">
                          <w:txbxContent>
                            <w:p w14:paraId="39D49F34" w14:textId="77777777" w:rsidR="00FE133E" w:rsidRPr="004B4F59" w:rsidRDefault="00FE133E" w:rsidP="00FE133E">
                              <w:pPr>
                                <w:rPr>
                                  <w:b/>
                                  <w:bCs/>
                                </w:rPr>
                              </w:pPr>
                              <w:r>
                                <w:rPr>
                                  <w:b/>
                                  <w:bCs/>
                                </w:rPr>
                                <w:t>Dugattyú</w:t>
                              </w:r>
                            </w:p>
                            <w:p w14:paraId="2CEC7152" w14:textId="2F319BCB" w:rsidR="00FE133E" w:rsidRDefault="00FE133E" w:rsidP="00FE133E">
                              <w:r w:rsidRPr="006A22E6">
                                <w:rPr>
                                  <w:b/>
                                  <w:bCs/>
                                </w:rPr>
                                <w:t xml:space="preserve">Soha </w:t>
                              </w:r>
                              <w:r w:rsidRPr="006A22E6">
                                <w:t>ne fogja meg</w:t>
                              </w:r>
                              <w:r w:rsidR="00BC1E60">
                                <w:t>,</w:t>
                              </w:r>
                              <w:r w:rsidRPr="006A22E6">
                                <w:t xml:space="preserve"> és ne húzza meg a dugattyút.</w:t>
                              </w:r>
                            </w:p>
                          </w:txbxContent>
                        </v:textbox>
                      </v:shape>
                      <v:shape id="Text Box 2" o:spid="_x0000_s1029" type="#_x0000_t202" style="position:absolute;left:13589;top:10191;width:8324;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" filled="f" stroked="f">
                        <v:textbox style="mso-fit-shape-to-text:t" inset="0,0,0,0">
                          <w:txbxContent>
                            <w:p w14:paraId="05C4320E" w14:textId="77777777" w:rsidR="00FE133E" w:rsidRPr="004B4F59" w:rsidRDefault="00FE133E" w:rsidP="00FE133E">
                              <w:pPr>
                                <w:rPr>
                                  <w:lang w:val="de-DE"/>
                                </w:rPr>
                              </w:pPr>
                              <w:r>
                                <w:rPr>
                                  <w:b/>
                                  <w:bCs/>
                                  <w:lang w:val="de-DE"/>
                                </w:rPr>
                                <w:t>Ujjtámasz</w:t>
                              </w:r>
                            </w:p>
                          </w:txbxContent>
                        </v:textbox>
                      </v:shape>
                      <v:shape id="Text Box 2" o:spid="_x0000_s1030" type="#_x0000_t202" style="position:absolute;left:12884;top:20117;width:14002;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" filled="f" stroked="f">
                        <v:textbox style="mso-fit-shape-to-text:t" inset="0,0,0,0">
                          <w:txbxContent>
                            <w:p w14:paraId="52C0FFB4" w14:textId="77777777" w:rsidR="00FE133E" w:rsidRPr="004B4F59" w:rsidRDefault="00FE133E" w:rsidP="00FE133E">
                              <w:r>
                                <w:rPr>
                                  <w:b/>
                                  <w:bCs/>
                                </w:rPr>
                                <w:t>Átlátszó biztonsági burkolat</w:t>
                              </w:r>
                            </w:p>
                          </w:txbxContent>
                        </v:textbox>
                      </v:shape>
                      <v:shape id="Text Box 2" o:spid="_x0000_s1031" type="#_x0000_t202" style="position:absolute;left:13212;top:25176;width:1289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" filled="f" stroked="f">
                        <v:textbox style="mso-fit-shape-to-text:t" inset="0,0,0,0">
                          <w:txbxContent>
                            <w:p w14:paraId="511E7435" w14:textId="77777777" w:rsidR="00FE133E" w:rsidRPr="004B4F59" w:rsidRDefault="00FE133E" w:rsidP="00FE133E">
                              <w:r>
                                <w:rPr>
                                  <w:b/>
                                  <w:bCs/>
                                </w:rPr>
                                <w:t>Lejárati idő</w:t>
                              </w:r>
                              <w:r w:rsidRPr="004B4F59">
                                <w:rPr>
                                  <w:b/>
                                  <w:bCs/>
                                </w:rPr>
                                <w:t xml:space="preserve"> </w:t>
                              </w:r>
                              <w:r>
                                <w:t>a címkén</w:t>
                              </w:r>
                            </w:p>
                          </w:txbxContent>
                        </v:textbox>
                      </v:shape>
                      <v:shape id="Text Box 2" o:spid="_x0000_s1032" type="#_x0000_t202" style="position:absolute;left:13430;top:29972;width:11246;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" filled="f" stroked="f">
                        <v:textbox style="mso-fit-shape-to-text:t" inset="0,0,0,0">
                          <w:txbxContent>
                            <w:p w14:paraId="185CEA9A" w14:textId="77777777" w:rsidR="00FE133E" w:rsidRPr="00EC6C6F" w:rsidRDefault="00FE133E" w:rsidP="00FE133E">
                              <w:r>
                                <w:rPr>
                                  <w:b/>
                                  <w:bCs/>
                                </w:rPr>
                                <w:t>A fecskendő teste</w:t>
                              </w:r>
                            </w:p>
                          </w:txbxContent>
                        </v:textbox>
                      </v:shape>
                      <v:shape id="Text Box 2" o:spid="_x0000_s1033" type="#_x0000_t202" style="position:absolute;left:12882;top:35299;width:14293;height:8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" filled="f" stroked="f">
                        <v:textbox style="mso-fit-shape-to-text:t" inset="0,0,0,0">
                          <w:txbxContent>
                            <w:p w14:paraId="3FA0C527" w14:textId="77777777" w:rsidR="00FE133E" w:rsidRPr="004B4F59" w:rsidRDefault="00FE133E" w:rsidP="00FE133E">
                              <w:pPr>
                                <w:rPr>
                                  <w:b/>
                                  <w:bCs/>
                                </w:rPr>
                              </w:pPr>
                              <w:r>
                                <w:rPr>
                                  <w:b/>
                                  <w:bCs/>
                                </w:rPr>
                                <w:t>Szürke tűvédő kupak</w:t>
                              </w:r>
                            </w:p>
                            <w:p w14:paraId="15B82D48" w14:textId="538698B2" w:rsidR="00FE133E" w:rsidRPr="004B4F59" w:rsidRDefault="00FE133E" w:rsidP="00FE133E">
                              <w:r>
                                <w:rPr>
                                  <w:b/>
                                  <w:bCs/>
                                </w:rPr>
                                <w:t>Fontos</w:t>
                              </w:r>
                              <w:r w:rsidRPr="004B4F59">
                                <w:rPr>
                                  <w:b/>
                                  <w:bCs/>
                                </w:rPr>
                                <w:t xml:space="preserve">: </w:t>
                              </w:r>
                              <w:r w:rsidRPr="006A22E6">
                                <w:t xml:space="preserve">Tartsa </w:t>
                              </w:r>
                              <w:r w:rsidR="00BC1E60">
                                <w:t>a helyén</w:t>
                              </w:r>
                              <w:r w:rsidR="00BC1E60" w:rsidRPr="006A22E6">
                                <w:t xml:space="preserve"> </w:t>
                              </w:r>
                              <w:r w:rsidRPr="006A22E6">
                                <w:t>a szürke tűvédő kupakot, amíg készen nem áll az injekció beadására</w:t>
                              </w:r>
                              <w:r>
                                <w:t>.</w:t>
                              </w:r>
                            </w:p>
                          </w:txbxContent>
                        </v:textbox>
                      </v:shape>
                    </v:group>
                  </w:pict>
                </mc:Fallback>
              </mc:AlternateContent>
            </w:r>
          </w:p>
        </w:tc>
        <w:tc>
          <w:tcPr>
            <w:tcW w:w="4499" w:type="dxa"/>
            <w:tcBorders>
              <w:top w:val="single" w:sz="4" w:space="0" w:color="000000"/>
              <w:left w:val="single" w:sz="4" w:space="0" w:color="000000"/>
              <w:bottom w:val="single" w:sz="4" w:space="0" w:color="000000"/>
              <w:right w:val="single" w:sz="4" w:space="0" w:color="000000"/>
            </w:tcBorders>
          </w:tcPr>
          <w:p w14:paraId="1FD49117" w14:textId="77777777" w:rsidR="00FE133E" w:rsidRPr="00E0591C" w:rsidRDefault="00FE133E" w:rsidP="00C515CC">
            <w:pPr>
              <w:tabs>
                <w:tab w:val="clear" w:pos="567"/>
              </w:tabs>
              <w:rPr>
                <w:rFonts w:ascii="Times New Roman" w:eastAsia="SimSun" w:hAnsi="Times New Roman" w:cs="Times New Roman"/>
                <w:lang w:val="en-GB" w:eastAsia="de-DE"/>
              </w:rPr>
            </w:pPr>
            <w:r w:rsidRPr="00EF508B">
              <w:rPr>
                <w:rFonts w:eastAsia="SimSun"/>
                <w:noProof/>
                <w:lang w:val="en-GB" w:eastAsia="de-DE"/>
              </w:rPr>
              <mc:AlternateContent>
                <mc:Choice Requires="wpg">
                  <w:drawing>
                    <wp:anchor distT="0" distB="0" distL="114300" distR="114300" simplePos="0" relativeHeight="251670016" behindDoc="0" locked="0" layoutInCell="1" allowOverlap="1" wp14:anchorId="2FFAE803" wp14:editId="07FAD625">
                      <wp:simplePos x="0" y="0"/>
                      <wp:positionH relativeFrom="column">
                        <wp:posOffset>3366</wp:posOffset>
                      </wp:positionH>
                      <wp:positionV relativeFrom="paragraph">
                        <wp:posOffset>-49460</wp:posOffset>
                      </wp:positionV>
                      <wp:extent cx="2458195" cy="3944898"/>
                      <wp:effectExtent l="0" t="0" r="0" b="0"/>
                      <wp:wrapNone/>
                      <wp:docPr id="1050281653" name="Csoportba foglalás 18"/>
                      <wp:cNvGraphicFramePr/>
                      <a:graphic xmlns:a="http://schemas.openxmlformats.org/drawingml/2006/main">
                        <a:graphicData uri="http://schemas.microsoft.com/office/word/2010/wordprocessingGroup">
                          <wpg:wgp>
                            <wpg:cNvGrpSpPr/>
                            <wpg:grpSpPr>
                              <a:xfrm>
                                <a:off x="0" y="0"/>
                                <a:ext cx="2458195" cy="3944898"/>
                                <a:chOff x="0" y="0"/>
                                <a:chExt cx="2458195" cy="3944898"/>
                              </a:xfrm>
                            </wpg:grpSpPr>
                            <pic:pic xmlns:pic="http://schemas.openxmlformats.org/drawingml/2006/picture">
                              <pic:nvPicPr>
                                <pic:cNvPr id="1493824111" name="Picture 7465"/>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wps:wsp>
                              <wps:cNvPr id="1649060475" name="Text Box 2"/>
                              <wps:cNvSpPr txBox="1">
                                <a:spLocks noChangeArrowheads="1"/>
                              </wps:cNvSpPr>
                              <wps:spPr bwMode="auto">
                                <a:xfrm>
                                  <a:off x="1283802" y="63500"/>
                                  <a:ext cx="1143634" cy="170179"/>
                                </a:xfrm>
                                <a:prstGeom prst="rect">
                                  <a:avLst/>
                                </a:prstGeom>
                                <a:noFill/>
                                <a:ln w="9525">
                                  <a:noFill/>
                                  <a:miter lim="800000"/>
                                  <a:headEnd/>
                                  <a:tailEnd/>
                                </a:ln>
                              </wps:spPr>
                              <wps:txbx>
                                <w:txbxContent>
                                  <w:p w14:paraId="55ADDAE7" w14:textId="77777777" w:rsidR="00FE133E" w:rsidRPr="00812AE0" w:rsidRDefault="00FE133E" w:rsidP="00FE133E">
                                    <w:r>
                                      <w:t>A dugattyú záródik</w:t>
                                    </w:r>
                                  </w:p>
                                </w:txbxContent>
                              </wps:txbx>
                              <wps:bodyPr rot="0" vert="horz" wrap="square" lIns="0" tIns="0" rIns="0" bIns="0" anchor="t" anchorCtr="0">
                                <a:spAutoFit/>
                              </wps:bodyPr>
                            </wps:wsp>
                            <wps:wsp>
                              <wps:cNvPr id="1911101188" name="Text Box 3"/>
                              <wps:cNvSpPr txBox="1">
                                <a:spLocks noChangeArrowheads="1"/>
                              </wps:cNvSpPr>
                              <wps:spPr bwMode="auto">
                                <a:xfrm>
                                  <a:off x="1289161" y="716449"/>
                                  <a:ext cx="1169034" cy="330834"/>
                                </a:xfrm>
                                <a:prstGeom prst="rect">
                                  <a:avLst/>
                                </a:prstGeom>
                                <a:noFill/>
                                <a:ln w="9525">
                                  <a:noFill/>
                                  <a:miter lim="800000"/>
                                  <a:headEnd/>
                                  <a:tailEnd/>
                                </a:ln>
                              </wps:spPr>
                              <wps:txbx>
                                <w:txbxContent>
                                  <w:p w14:paraId="4D533FD6" w14:textId="77777777" w:rsidR="00FE133E" w:rsidRPr="00812AE0" w:rsidRDefault="00FE133E" w:rsidP="00FE133E">
                                    <w:r>
                                      <w:t>A biztonsági rugó aktiválódik</w:t>
                                    </w:r>
                                  </w:p>
                                </w:txbxContent>
                              </wps:txbx>
                              <wps:bodyPr rot="0" vert="horz" wrap="square" lIns="0" tIns="0" rIns="0" bIns="0" anchor="t" anchorCtr="0">
                                <a:spAutoFit/>
                              </wps:bodyPr>
                            </wps:wsp>
                            <wps:wsp>
                              <wps:cNvPr id="188972005" name="Text Box 5"/>
                              <wps:cNvSpPr txBox="1">
                                <a:spLocks noChangeArrowheads="1"/>
                              </wps:cNvSpPr>
                              <wps:spPr bwMode="auto">
                                <a:xfrm>
                                  <a:off x="279331" y="3453409"/>
                                  <a:ext cx="1244599" cy="491489"/>
                                </a:xfrm>
                                <a:prstGeom prst="rect">
                                  <a:avLst/>
                                </a:prstGeom>
                                <a:noFill/>
                                <a:ln w="9525">
                                  <a:noFill/>
                                  <a:miter lim="800000"/>
                                  <a:headEnd/>
                                  <a:tailEnd/>
                                </a:ln>
                              </wps:spPr>
                              <wps:txbx>
                                <w:txbxContent>
                                  <w:p w14:paraId="53ABAAFD" w14:textId="77777777" w:rsidR="00FE133E" w:rsidRPr="00812AE0" w:rsidRDefault="00FE133E" w:rsidP="00FE133E">
                                    <w:r w:rsidRPr="006A22E6">
                                      <w:t>A tű visszahúzódik az átlátszó biztonsági burkolatba</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FFAE803" id="Csoportba foglalás 18" o:spid="_x0000_s1034" style="position:absolute;margin-left:.25pt;margin-top:-3.9pt;width:193.55pt;height:310.6pt;z-index:251670016;mso-width-relative:margin;mso-height-relative:margin" coordsize="24581,3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">
                      <v:shape id="Picture 7465" o:spid="_x0000_s1035" type="#_x0000_t75" style="position:absolute;width:17145;height:35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">
                        <v:imagedata r:id="rId22" o:title=""/>
                      </v:shape>
                      <v:shape id="Text Box 2" o:spid="_x0000_s1036" type="#_x0000_t202" style="position:absolute;left:12838;top:635;width:11436;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" filled="f" stroked="f">
                        <v:textbox style="mso-fit-shape-to-text:t" inset="0,0,0,0">
                          <w:txbxContent>
                            <w:p w14:paraId="55ADDAE7" w14:textId="77777777" w:rsidR="00FE133E" w:rsidRPr="00812AE0" w:rsidRDefault="00FE133E" w:rsidP="00FE133E">
                              <w:r>
                                <w:t>A dugattyú záródik</w:t>
                              </w:r>
                            </w:p>
                          </w:txbxContent>
                        </v:textbox>
                      </v:shape>
                      <v:shape id="Text Box 3" o:spid="_x0000_s1037" type="#_x0000_t202" style="position:absolute;left:12891;top:7164;width:11690;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" filled="f" stroked="f">
                        <v:textbox style="mso-fit-shape-to-text:t" inset="0,0,0,0">
                          <w:txbxContent>
                            <w:p w14:paraId="4D533FD6" w14:textId="77777777" w:rsidR="00FE133E" w:rsidRPr="00812AE0" w:rsidRDefault="00FE133E" w:rsidP="00FE133E">
                              <w:r>
                                <w:t>A biztonsági rugó aktiválódik</w:t>
                              </w:r>
                            </w:p>
                          </w:txbxContent>
                        </v:textbox>
                      </v:shape>
                      <v:shape id="Text Box 5" o:spid="_x0000_s1038" type="#_x0000_t202" style="position:absolute;left:2793;top:34534;width:12446;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" filled="f" stroked="f">
                        <v:textbox style="mso-fit-shape-to-text:t" inset="0,0,0,0">
                          <w:txbxContent>
                            <w:p w14:paraId="53ABAAFD" w14:textId="77777777" w:rsidR="00FE133E" w:rsidRPr="00812AE0" w:rsidRDefault="00FE133E" w:rsidP="00FE133E">
                              <w:r w:rsidRPr="006A22E6">
                                <w:t>A tű visszahúzódik az átlátszó biztonsági burkolatba</w:t>
                              </w:r>
                            </w:p>
                          </w:txbxContent>
                        </v:textbox>
                      </v:shape>
                    </v:group>
                  </w:pict>
                </mc:Fallback>
              </mc:AlternateContent>
            </w:r>
          </w:p>
        </w:tc>
      </w:tr>
    </w:tbl>
    <w:p w14:paraId="436AAF7E" w14:textId="2C335AC8" w:rsidR="00951F81" w:rsidRPr="00C515CC" w:rsidRDefault="00951F81" w:rsidP="00C515CC"/>
    <w:tbl>
      <w:tblPr>
        <w:tblW w:w="4978" w:type="pct"/>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9023"/>
      </w:tblGrid>
      <w:tr w:rsidR="00951F81" w:rsidRPr="00C515CC" w14:paraId="6D7AD92E" w14:textId="77777777" w:rsidTr="00633DB8">
        <w:trPr>
          <w:cantSplit/>
          <w:trHeight w:val="57"/>
        </w:trPr>
        <w:tc>
          <w:tcPr>
            <w:tcW w:w="5000" w:type="pct"/>
            <w:tcBorders>
              <w:bottom w:val="single" w:sz="4" w:space="0" w:color="auto"/>
            </w:tcBorders>
            <w:tcMar>
              <w:top w:w="57" w:type="dxa"/>
              <w:left w:w="57" w:type="dxa"/>
              <w:bottom w:w="57" w:type="dxa"/>
              <w:right w:w="57" w:type="dxa"/>
            </w:tcMar>
          </w:tcPr>
          <w:p w14:paraId="6EDB488A" w14:textId="77777777" w:rsidR="00951F81" w:rsidRPr="00C515CC" w:rsidRDefault="00951F81" w:rsidP="00633DB8">
            <w:pPr>
              <w:jc w:val="center"/>
              <w:rPr>
                <w:b/>
                <w:bCs/>
              </w:rPr>
            </w:pPr>
            <w:r w:rsidRPr="00C515CC">
              <w:rPr>
                <w:b/>
              </w:rPr>
              <w:t>Fontos</w:t>
            </w:r>
          </w:p>
        </w:tc>
      </w:tr>
      <w:tr w:rsidR="00951F81" w:rsidRPr="00C515CC" w14:paraId="7224EC2F" w14:textId="77777777" w:rsidTr="00633DB8">
        <w:trPr>
          <w:cantSplit/>
          <w:trHeight w:val="57"/>
        </w:trPr>
        <w:tc>
          <w:tcPr>
            <w:tcW w:w="5000" w:type="pct"/>
            <w:tcBorders>
              <w:bottom w:val="single" w:sz="4" w:space="0" w:color="auto"/>
            </w:tcBorders>
            <w:tcMar>
              <w:top w:w="57" w:type="dxa"/>
              <w:left w:w="57" w:type="dxa"/>
              <w:bottom w:w="57" w:type="dxa"/>
              <w:right w:w="57" w:type="dxa"/>
            </w:tcMar>
          </w:tcPr>
          <w:p w14:paraId="3F904CF8" w14:textId="2FE1EABF" w:rsidR="00951F81" w:rsidRPr="00C515CC" w:rsidRDefault="00951F81" w:rsidP="00633DB8">
            <w:pPr>
              <w:tabs>
                <w:tab w:val="clear" w:pos="567"/>
              </w:tabs>
              <w:rPr>
                <w:b/>
              </w:rPr>
            </w:pPr>
            <w:r w:rsidRPr="00C515CC">
              <w:rPr>
                <w:b/>
              </w:rPr>
              <w:t xml:space="preserve">Kérjük olvassa el ezeket a fontos információkat, mielőtt a </w:t>
            </w:r>
            <w:r w:rsidR="00A96EB8" w:rsidRPr="00C515CC">
              <w:rPr>
                <w:b/>
              </w:rPr>
              <w:t>Kefdensis</w:t>
            </w:r>
            <w:r w:rsidRPr="00C515CC">
              <w:rPr>
                <w:b/>
              </w:rPr>
              <w:t xml:space="preserve"> automatikus tűvédővel ellátott előretöltött fecskendőt használná!</w:t>
            </w:r>
          </w:p>
          <w:p w14:paraId="3808407A" w14:textId="0F8E4BCB" w:rsidR="00FE133E" w:rsidRPr="00633DB8" w:rsidRDefault="00423DAC" w:rsidP="00633DB8">
            <w:pPr>
              <w:pStyle w:val="ListParagraph"/>
              <w:numPr>
                <w:ilvl w:val="0"/>
                <w:numId w:val="57"/>
              </w:numPr>
              <w:ind w:left="589" w:hanging="589"/>
              <w:rPr>
                <w:sz w:val="22"/>
                <w:szCs w:val="22"/>
              </w:rPr>
            </w:pPr>
            <w:r w:rsidRPr="00633DB8">
              <w:rPr>
                <w:sz w:val="22"/>
                <w:szCs w:val="22"/>
              </w:rPr>
              <w:t>Fontos, hogy csak akkor próbálja meg beadni az injekciót, ha azt gyakorolta a kezelőorvosával vagy egészségügyi szakemberrel.</w:t>
            </w:r>
          </w:p>
          <w:p w14:paraId="4678169A" w14:textId="619406BE" w:rsidR="00423DAC" w:rsidRPr="00633DB8" w:rsidRDefault="00423DAC" w:rsidP="00633DB8">
            <w:pPr>
              <w:pStyle w:val="ListParagraph"/>
              <w:numPr>
                <w:ilvl w:val="0"/>
                <w:numId w:val="57"/>
              </w:numPr>
              <w:ind w:left="589" w:hanging="589"/>
            </w:pPr>
            <w:r w:rsidRPr="00633DB8">
              <w:rPr>
                <w:sz w:val="22"/>
                <w:szCs w:val="22"/>
              </w:rPr>
              <w:t>A Kefdensis</w:t>
            </w:r>
            <w:r w:rsidRPr="00633DB8">
              <w:rPr>
                <w:sz w:val="22"/>
                <w:szCs w:val="22"/>
              </w:rPr>
              <w:noBreakHyphen/>
              <w:t>t közvetlenül a bőr alatti szövetbe kell beadni, injekció formájában (bőr alá történő beadás, szubkután injekció).</w:t>
            </w:r>
          </w:p>
          <w:p w14:paraId="25C36326" w14:textId="00887146" w:rsidR="00423DAC" w:rsidRPr="00C515CC" w:rsidRDefault="00423DAC" w:rsidP="00633DB8">
            <w:pPr>
              <w:tabs>
                <w:tab w:val="clear" w:pos="567"/>
              </w:tabs>
              <w:ind w:left="589"/>
            </w:pPr>
            <w:r w:rsidRPr="00C515CC">
              <w:rPr>
                <w:noProof/>
              </w:rPr>
              <w:drawing>
                <wp:anchor distT="0" distB="0" distL="114300" distR="114300" simplePos="0" relativeHeight="251674112" behindDoc="0" locked="0" layoutInCell="1" allowOverlap="1" wp14:anchorId="71462F63" wp14:editId="2C94E400">
                  <wp:simplePos x="0" y="0"/>
                  <wp:positionH relativeFrom="column">
                    <wp:posOffset>-4445</wp:posOffset>
                  </wp:positionH>
                  <wp:positionV relativeFrom="paragraph">
                    <wp:posOffset>6350</wp:posOffset>
                  </wp:positionV>
                  <wp:extent cx="119380" cy="119380"/>
                  <wp:effectExtent l="0" t="0" r="0" b="0"/>
                  <wp:wrapNone/>
                  <wp:docPr id="366484101"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r w:rsidRPr="00C515CC">
              <w:rPr>
                <w:b/>
              </w:rPr>
              <w:t>Ne</w:t>
            </w:r>
            <w:r w:rsidRPr="00C515CC">
              <w:t xml:space="preserve"> vegye le az előretöltött fecskendőről a szürke </w:t>
            </w:r>
            <w:r w:rsidR="00964006" w:rsidRPr="00C515CC">
              <w:t xml:space="preserve">tűvédő </w:t>
            </w:r>
            <w:r w:rsidRPr="00C515CC">
              <w:t>kupakot, csak közvetlenül az injekció beadása előtt.</w:t>
            </w:r>
          </w:p>
          <w:p w14:paraId="59A68038" w14:textId="67395012" w:rsidR="00423DAC" w:rsidRPr="00C515CC" w:rsidRDefault="00423DAC" w:rsidP="00633DB8">
            <w:pPr>
              <w:tabs>
                <w:tab w:val="clear" w:pos="567"/>
              </w:tabs>
              <w:ind w:left="589"/>
            </w:pPr>
            <w:r w:rsidRPr="00C515CC">
              <w:rPr>
                <w:b/>
              </w:rPr>
              <w:t>Ne</w:t>
            </w:r>
            <w:r w:rsidRPr="00C515CC">
              <w:t xml:space="preserve"> használja az előretöltött fecskendőt, ha az kemény felületre esett. Használjon egy új előretöltött fecskendőt, és értesítse kezelőorvosát vagy a gondozását végző </w:t>
            </w:r>
            <w:r w:rsidR="006107A7">
              <w:t>egészségügyi szakembert</w:t>
            </w:r>
            <w:r w:rsidRPr="00C515CC">
              <w:t>.</w:t>
            </w:r>
            <w:r w:rsidRPr="00C515CC">
              <w:rPr>
                <w:noProof/>
              </w:rPr>
              <w:drawing>
                <wp:anchor distT="0" distB="0" distL="114300" distR="114300" simplePos="0" relativeHeight="251676160" behindDoc="0" locked="0" layoutInCell="1" allowOverlap="1" wp14:anchorId="5DF87275" wp14:editId="1F4BE0F3">
                  <wp:simplePos x="0" y="0"/>
                  <wp:positionH relativeFrom="column">
                    <wp:posOffset>-4445</wp:posOffset>
                  </wp:positionH>
                  <wp:positionV relativeFrom="paragraph">
                    <wp:posOffset>6350</wp:posOffset>
                  </wp:positionV>
                  <wp:extent cx="119380" cy="119380"/>
                  <wp:effectExtent l="0" t="0" r="0" b="0"/>
                  <wp:wrapNone/>
                  <wp:docPr id="1125189491"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p w14:paraId="603F4711" w14:textId="1CC1BDF3" w:rsidR="00423DAC" w:rsidRPr="00C515CC" w:rsidRDefault="00423DAC" w:rsidP="00633DB8">
            <w:pPr>
              <w:tabs>
                <w:tab w:val="clear" w:pos="567"/>
              </w:tabs>
              <w:ind w:left="589"/>
            </w:pPr>
            <w:r w:rsidRPr="00C515CC">
              <w:rPr>
                <w:b/>
              </w:rPr>
              <w:t>Ne</w:t>
            </w:r>
            <w:r w:rsidRPr="00C515CC">
              <w:t xml:space="preserve"> próbálja</w:t>
            </w:r>
            <w:r w:rsidR="006107A7">
              <w:t xml:space="preserve"> működtetni</w:t>
            </w:r>
            <w:r w:rsidRPr="00C515CC">
              <w:t xml:space="preserve"> az előretöltött fecskendőt az injekció beadásának megkezdése előtt.</w:t>
            </w:r>
            <w:r w:rsidRPr="00C515CC">
              <w:rPr>
                <w:noProof/>
              </w:rPr>
              <w:drawing>
                <wp:anchor distT="0" distB="0" distL="114300" distR="114300" simplePos="0" relativeHeight="251678208" behindDoc="0" locked="0" layoutInCell="1" allowOverlap="1" wp14:anchorId="4C6674C6" wp14:editId="119AAEA4">
                  <wp:simplePos x="0" y="0"/>
                  <wp:positionH relativeFrom="column">
                    <wp:posOffset>-4445</wp:posOffset>
                  </wp:positionH>
                  <wp:positionV relativeFrom="paragraph">
                    <wp:posOffset>6350</wp:posOffset>
                  </wp:positionV>
                  <wp:extent cx="119380" cy="119380"/>
                  <wp:effectExtent l="0" t="0" r="0" b="0"/>
                  <wp:wrapNone/>
                  <wp:docPr id="205568968"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p w14:paraId="6C471F15" w14:textId="52B9F792" w:rsidR="00423DAC" w:rsidRPr="00C515CC" w:rsidRDefault="00423DAC" w:rsidP="00633DB8">
            <w:pPr>
              <w:tabs>
                <w:tab w:val="clear" w:pos="567"/>
              </w:tabs>
              <w:ind w:left="589"/>
            </w:pPr>
            <w:r w:rsidRPr="00C515CC">
              <w:rPr>
                <w:noProof/>
              </w:rPr>
              <w:drawing>
                <wp:anchor distT="0" distB="0" distL="114300" distR="114300" simplePos="0" relativeHeight="251672064" behindDoc="0" locked="0" layoutInCell="1" allowOverlap="1" wp14:anchorId="764C986E" wp14:editId="3E6C5FBE">
                  <wp:simplePos x="0" y="0"/>
                  <wp:positionH relativeFrom="column">
                    <wp:posOffset>-17145</wp:posOffset>
                  </wp:positionH>
                  <wp:positionV relativeFrom="paragraph">
                    <wp:posOffset>35560</wp:posOffset>
                  </wp:positionV>
                  <wp:extent cx="119380" cy="119380"/>
                  <wp:effectExtent l="0" t="0" r="0" b="0"/>
                  <wp:wrapNone/>
                  <wp:docPr id="526079944"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r w:rsidRPr="00C515CC">
              <w:rPr>
                <w:b/>
              </w:rPr>
              <w:t>Ne</w:t>
            </w:r>
            <w:r w:rsidRPr="00C515CC">
              <w:t xml:space="preserve"> próbálja eltávolítani az előretöltött fecskendő átlátszó biztonsági </w:t>
            </w:r>
            <w:r w:rsidR="00964006" w:rsidRPr="00C515CC">
              <w:t>burkolatát</w:t>
            </w:r>
            <w:r w:rsidRPr="00C515CC">
              <w:t xml:space="preserve"> az előretöltött fecskendőről.</w:t>
            </w:r>
          </w:p>
          <w:p w14:paraId="70F3356A" w14:textId="4A2B85DF" w:rsidR="006107A7" w:rsidRPr="00C515CC" w:rsidRDefault="00423DAC" w:rsidP="006107A7">
            <w:pPr>
              <w:tabs>
                <w:tab w:val="clear" w:pos="567"/>
              </w:tabs>
              <w:ind w:left="589"/>
            </w:pPr>
            <w:r w:rsidRPr="00C515CC">
              <w:t xml:space="preserve">Ha kérdése van, forduljon kezelőorvosához vagy a gondozását végző </w:t>
            </w:r>
            <w:r w:rsidR="006107A7">
              <w:t>egészségügyi szakember</w:t>
            </w:r>
            <w:r w:rsidR="006107A7" w:rsidRPr="00C515CC">
              <w:rPr>
                <w:noProof/>
              </w:rPr>
              <w:drawing>
                <wp:anchor distT="0" distB="0" distL="114300" distR="114300" simplePos="0" relativeHeight="251708928" behindDoc="0" locked="0" layoutInCell="1" allowOverlap="1" wp14:anchorId="041FE7B3" wp14:editId="570869A2">
                  <wp:simplePos x="0" y="0"/>
                  <wp:positionH relativeFrom="column">
                    <wp:posOffset>-4445</wp:posOffset>
                  </wp:positionH>
                  <wp:positionV relativeFrom="paragraph">
                    <wp:posOffset>6350</wp:posOffset>
                  </wp:positionV>
                  <wp:extent cx="119380" cy="119380"/>
                  <wp:effectExtent l="0" t="0" r="0" b="0"/>
                  <wp:wrapNone/>
                  <wp:docPr id="243609523"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r w:rsidR="006107A7">
              <w:t>hez.</w:t>
            </w:r>
          </w:p>
          <w:p w14:paraId="1CEAAE14" w14:textId="0EAABD6F" w:rsidR="00FE133E" w:rsidRPr="00C515CC" w:rsidRDefault="00423DAC" w:rsidP="00633DB8">
            <w:pPr>
              <w:tabs>
                <w:tab w:val="clear" w:pos="567"/>
              </w:tabs>
              <w:rPr>
                <w:b/>
                <w:bCs/>
              </w:rPr>
            </w:pPr>
            <w:r w:rsidRPr="00C515CC">
              <w:t>.</w:t>
            </w:r>
          </w:p>
        </w:tc>
      </w:tr>
    </w:tbl>
    <w:p w14:paraId="3F0CF83F" w14:textId="77777777" w:rsidR="00951F81" w:rsidRPr="00C515CC" w:rsidRDefault="00951F81" w:rsidP="00633DB8"/>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9"/>
        <w:gridCol w:w="14"/>
        <w:gridCol w:w="7"/>
        <w:gridCol w:w="8389"/>
      </w:tblGrid>
      <w:tr w:rsidR="00951F81" w:rsidRPr="00C515CC" w14:paraId="5EBABD46" w14:textId="77777777" w:rsidTr="006172AE">
        <w:trPr>
          <w:cantSplit/>
          <w:trHeight w:val="57"/>
        </w:trPr>
        <w:tc>
          <w:tcPr>
            <w:tcW w:w="5000" w:type="pct"/>
            <w:gridSpan w:val="4"/>
            <w:tcBorders>
              <w:top w:val="single" w:sz="4" w:space="0" w:color="auto"/>
            </w:tcBorders>
            <w:tcMar>
              <w:top w:w="28" w:type="dxa"/>
              <w:left w:w="57" w:type="dxa"/>
              <w:bottom w:w="28" w:type="dxa"/>
              <w:right w:w="57" w:type="dxa"/>
            </w:tcMar>
          </w:tcPr>
          <w:p w14:paraId="6F9C6AD1" w14:textId="77777777" w:rsidR="00951F81" w:rsidRPr="00C515CC" w:rsidRDefault="00951F81" w:rsidP="00C515CC">
            <w:pPr>
              <w:keepNext/>
              <w:jc w:val="center"/>
            </w:pPr>
            <w:r w:rsidRPr="00C515CC">
              <w:t xml:space="preserve">1. lépés: </w:t>
            </w:r>
            <w:r w:rsidRPr="00C515CC">
              <w:rPr>
                <w:b/>
              </w:rPr>
              <w:t>Készüljön elő</w:t>
            </w:r>
          </w:p>
        </w:tc>
      </w:tr>
      <w:tr w:rsidR="00951F81" w:rsidRPr="00C515CC" w14:paraId="77616E2E" w14:textId="77777777" w:rsidTr="006172AE">
        <w:trPr>
          <w:cantSplit/>
          <w:trHeight w:val="57"/>
        </w:trPr>
        <w:tc>
          <w:tcPr>
            <w:tcW w:w="313" w:type="pct"/>
            <w:gridSpan w:val="3"/>
            <w:tcBorders>
              <w:bottom w:val="single" w:sz="4" w:space="0" w:color="auto"/>
            </w:tcBorders>
            <w:tcMar>
              <w:top w:w="28" w:type="dxa"/>
              <w:left w:w="57" w:type="dxa"/>
              <w:bottom w:w="28" w:type="dxa"/>
              <w:right w:w="57" w:type="dxa"/>
            </w:tcMar>
          </w:tcPr>
          <w:p w14:paraId="3CFC0F41" w14:textId="77777777" w:rsidR="00951F81" w:rsidRPr="00C515CC" w:rsidRDefault="00951F81" w:rsidP="00C515CC">
            <w:pPr>
              <w:keepNext/>
            </w:pPr>
            <w:r w:rsidRPr="00C515CC">
              <w:t>A</w:t>
            </w:r>
          </w:p>
        </w:tc>
        <w:tc>
          <w:tcPr>
            <w:tcW w:w="4687" w:type="pct"/>
            <w:tcBorders>
              <w:bottom w:val="single" w:sz="4" w:space="0" w:color="auto"/>
            </w:tcBorders>
            <w:tcMar>
              <w:top w:w="28" w:type="dxa"/>
              <w:left w:w="57" w:type="dxa"/>
              <w:bottom w:w="28" w:type="dxa"/>
              <w:right w:w="57" w:type="dxa"/>
            </w:tcMar>
          </w:tcPr>
          <w:p w14:paraId="2CE20EE0" w14:textId="4731F31C" w:rsidR="00951F81" w:rsidRPr="00C515CC" w:rsidRDefault="00951F81" w:rsidP="00C515CC">
            <w:pPr>
              <w:keepNext/>
            </w:pPr>
            <w:r w:rsidRPr="00C515CC">
              <w:t xml:space="preserve">Vegye ki az előretöltött fecskendőt tartalmazó tálcát a csomagolásból, és </w:t>
            </w:r>
            <w:r w:rsidR="006107A7">
              <w:t>készítse elő</w:t>
            </w:r>
            <w:r w:rsidRPr="00C515CC">
              <w:t xml:space="preserve"> az injekció beadásához szükséges kellékeket: </w:t>
            </w:r>
            <w:r w:rsidR="006107A7">
              <w:t xml:space="preserve">az </w:t>
            </w:r>
            <w:r w:rsidRPr="00C515CC">
              <w:t xml:space="preserve">alkoholos törlőkendőket, vattacsomót vagy gézlapot, </w:t>
            </w:r>
            <w:r w:rsidR="006107A7">
              <w:t xml:space="preserve">a </w:t>
            </w:r>
            <w:r w:rsidRPr="00C515CC">
              <w:t xml:space="preserve">ragtapaszt és </w:t>
            </w:r>
            <w:r w:rsidR="006107A7">
              <w:t xml:space="preserve">az </w:t>
            </w:r>
            <w:r w:rsidRPr="00C515CC">
              <w:t>éles tárgyak eldobására szolgáló tartályt (nincs mellékelve).</w:t>
            </w:r>
          </w:p>
        </w:tc>
      </w:tr>
      <w:tr w:rsidR="00951F81" w:rsidRPr="00C515CC" w14:paraId="28B91DBF" w14:textId="77777777" w:rsidTr="006172AE">
        <w:trPr>
          <w:cantSplit/>
          <w:trHeight w:val="57"/>
        </w:trPr>
        <w:tc>
          <w:tcPr>
            <w:tcW w:w="5000" w:type="pct"/>
            <w:gridSpan w:val="4"/>
            <w:tcBorders>
              <w:bottom w:val="nil"/>
            </w:tcBorders>
            <w:tcMar>
              <w:top w:w="28" w:type="dxa"/>
              <w:left w:w="57" w:type="dxa"/>
              <w:bottom w:w="28" w:type="dxa"/>
              <w:right w:w="57" w:type="dxa"/>
            </w:tcMar>
          </w:tcPr>
          <w:p w14:paraId="6FCCCD80" w14:textId="08F7650D" w:rsidR="00951F81" w:rsidRPr="00C515CC" w:rsidRDefault="00951F81" w:rsidP="00C515CC">
            <w:pPr>
              <w:keepNext/>
            </w:pPr>
            <w:r w:rsidRPr="00C515CC">
              <w:t xml:space="preserve">Hogy ne legyen olyan kellemetlen az injekció, az injekció beadása előtt hagyja az előretöltött fecskendőt szobahőmérsékleten </w:t>
            </w:r>
            <w:r w:rsidR="0085509C" w:rsidRPr="00C515CC">
              <w:t>körülbelül</w:t>
            </w:r>
            <w:r w:rsidRPr="00C515CC">
              <w:t xml:space="preserve"> 30 percig. Szappannal és vízzel alaposan mosson kezet.</w:t>
            </w:r>
          </w:p>
          <w:p w14:paraId="1EF48BD5" w14:textId="77777777" w:rsidR="00951F81" w:rsidRPr="00C515CC" w:rsidRDefault="00951F81" w:rsidP="00C515CC">
            <w:pPr>
              <w:keepNext/>
            </w:pPr>
          </w:p>
          <w:p w14:paraId="26A52640" w14:textId="77777777" w:rsidR="00951F81" w:rsidRPr="00C515CC" w:rsidRDefault="00951F81" w:rsidP="00C515CC">
            <w:pPr>
              <w:keepNext/>
            </w:pPr>
            <w:r w:rsidRPr="00C515CC">
              <w:t>Helyezze az új előretöltött fecskendőt és a többi kelléket egy tiszta, jól megvilágított munkafelületre.</w:t>
            </w:r>
          </w:p>
        </w:tc>
      </w:tr>
      <w:tr w:rsidR="00951F81" w:rsidRPr="00C515CC" w14:paraId="336304D2"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60B70093" w14:textId="557A8FBD" w:rsidR="00951F81" w:rsidRPr="00C515CC" w:rsidRDefault="006C76E1" w:rsidP="00C515CC">
            <w:pPr>
              <w:keepNext/>
              <w:suppressAutoHyphens/>
              <w:autoSpaceDE w:val="0"/>
              <w:autoSpaceDN w:val="0"/>
              <w:adjustRightInd w:val="0"/>
              <w:textAlignment w:val="center"/>
            </w:pPr>
            <w:r w:rsidRPr="00C515CC">
              <w:rPr>
                <w:noProof/>
              </w:rPr>
              <w:drawing>
                <wp:anchor distT="0" distB="0" distL="114300" distR="114300" simplePos="0" relativeHeight="251654656" behindDoc="0" locked="0" layoutInCell="1" allowOverlap="1" wp14:anchorId="2E664564" wp14:editId="7A20C034">
                  <wp:simplePos x="0" y="0"/>
                  <wp:positionH relativeFrom="column">
                    <wp:posOffset>14605</wp:posOffset>
                  </wp:positionH>
                  <wp:positionV relativeFrom="paragraph">
                    <wp:posOffset>22225</wp:posOffset>
                  </wp:positionV>
                  <wp:extent cx="119380" cy="119380"/>
                  <wp:effectExtent l="0" t="0" r="0" b="0"/>
                  <wp:wrapNone/>
                  <wp:docPr id="4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3"/>
            <w:tcBorders>
              <w:top w:val="nil"/>
              <w:left w:val="nil"/>
              <w:bottom w:val="nil"/>
            </w:tcBorders>
            <w:tcMar>
              <w:left w:w="0" w:type="dxa"/>
            </w:tcMar>
          </w:tcPr>
          <w:p w14:paraId="679DFF96" w14:textId="77777777" w:rsidR="00951F81" w:rsidRPr="00C515CC" w:rsidRDefault="00951F81" w:rsidP="00C515CC">
            <w:pPr>
              <w:keepNext/>
            </w:pPr>
            <w:r w:rsidRPr="00C515CC">
              <w:rPr>
                <w:b/>
              </w:rPr>
              <w:t>Ne</w:t>
            </w:r>
            <w:r w:rsidRPr="00C515CC">
              <w:t xml:space="preserve"> próbálja melegíteni a fecskendőt hőforrás, például forró víz vagy mikrohullámú sütő használatával!</w:t>
            </w:r>
          </w:p>
        </w:tc>
      </w:tr>
      <w:tr w:rsidR="00951F81" w:rsidRPr="00C515CC" w14:paraId="510DDCD5"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78BCB245" w14:textId="4E2B6817" w:rsidR="00951F81" w:rsidRPr="00C515CC" w:rsidRDefault="006C76E1" w:rsidP="00C515CC">
            <w:pPr>
              <w:keepNext/>
              <w:suppressAutoHyphens/>
              <w:autoSpaceDE w:val="0"/>
              <w:autoSpaceDN w:val="0"/>
              <w:adjustRightInd w:val="0"/>
              <w:textAlignment w:val="center"/>
            </w:pPr>
            <w:r w:rsidRPr="00C515CC">
              <w:rPr>
                <w:noProof/>
              </w:rPr>
              <w:drawing>
                <wp:anchor distT="0" distB="0" distL="114300" distR="114300" simplePos="0" relativeHeight="251655680" behindDoc="0" locked="0" layoutInCell="1" allowOverlap="1" wp14:anchorId="2480C9F2" wp14:editId="351A5493">
                  <wp:simplePos x="0" y="0"/>
                  <wp:positionH relativeFrom="column">
                    <wp:posOffset>14605</wp:posOffset>
                  </wp:positionH>
                  <wp:positionV relativeFrom="paragraph">
                    <wp:posOffset>22225</wp:posOffset>
                  </wp:positionV>
                  <wp:extent cx="119380" cy="119380"/>
                  <wp:effectExtent l="0" t="0" r="0" b="0"/>
                  <wp:wrapNone/>
                  <wp:docPr id="44"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3"/>
            <w:tcBorders>
              <w:top w:val="nil"/>
              <w:left w:val="nil"/>
              <w:bottom w:val="nil"/>
            </w:tcBorders>
            <w:tcMar>
              <w:left w:w="0" w:type="dxa"/>
            </w:tcMar>
          </w:tcPr>
          <w:p w14:paraId="7A0FF3EE" w14:textId="77777777" w:rsidR="00951F81" w:rsidRPr="00C515CC" w:rsidRDefault="00951F81" w:rsidP="00C515CC">
            <w:pPr>
              <w:keepNext/>
            </w:pPr>
            <w:r w:rsidRPr="00C515CC">
              <w:rPr>
                <w:b/>
              </w:rPr>
              <w:t>Ne</w:t>
            </w:r>
            <w:r w:rsidRPr="00C515CC">
              <w:t xml:space="preserve"> tegye ki közvetlen napfény hatásának az előretöltött fecskendőt!</w:t>
            </w:r>
          </w:p>
        </w:tc>
      </w:tr>
      <w:tr w:rsidR="00951F81" w:rsidRPr="00C515CC" w14:paraId="50C51571"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1BDDBC76" w14:textId="2AD37014" w:rsidR="00951F81" w:rsidRPr="00C515CC" w:rsidRDefault="006C76E1" w:rsidP="00C515CC">
            <w:pPr>
              <w:keepNext/>
              <w:suppressAutoHyphens/>
              <w:autoSpaceDE w:val="0"/>
              <w:autoSpaceDN w:val="0"/>
              <w:adjustRightInd w:val="0"/>
              <w:textAlignment w:val="center"/>
            </w:pPr>
            <w:r w:rsidRPr="00C515CC">
              <w:rPr>
                <w:noProof/>
              </w:rPr>
              <w:drawing>
                <wp:anchor distT="0" distB="0" distL="114300" distR="114300" simplePos="0" relativeHeight="251656704" behindDoc="0" locked="0" layoutInCell="1" allowOverlap="1" wp14:anchorId="7BD020BA" wp14:editId="2A020701">
                  <wp:simplePos x="0" y="0"/>
                  <wp:positionH relativeFrom="column">
                    <wp:posOffset>14605</wp:posOffset>
                  </wp:positionH>
                  <wp:positionV relativeFrom="paragraph">
                    <wp:posOffset>22225</wp:posOffset>
                  </wp:positionV>
                  <wp:extent cx="119380" cy="119380"/>
                  <wp:effectExtent l="0" t="0" r="0" b="0"/>
                  <wp:wrapNone/>
                  <wp:docPr id="45"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3"/>
            <w:tcBorders>
              <w:top w:val="nil"/>
              <w:left w:val="nil"/>
              <w:bottom w:val="nil"/>
            </w:tcBorders>
            <w:tcMar>
              <w:left w:w="0" w:type="dxa"/>
            </w:tcMar>
          </w:tcPr>
          <w:p w14:paraId="2493AF9E" w14:textId="77777777" w:rsidR="00951F81" w:rsidRPr="00C515CC" w:rsidRDefault="00951F81" w:rsidP="00C515CC">
            <w:pPr>
              <w:keepNext/>
            </w:pPr>
            <w:r w:rsidRPr="00C515CC">
              <w:rPr>
                <w:b/>
              </w:rPr>
              <w:t>Ne</w:t>
            </w:r>
            <w:r w:rsidRPr="00C515CC">
              <w:t xml:space="preserve"> rázza fel az előretöltött fecskendőt!</w:t>
            </w:r>
          </w:p>
        </w:tc>
      </w:tr>
      <w:tr w:rsidR="00951F81" w:rsidRPr="00C515CC" w14:paraId="0FB959D1" w14:textId="77777777" w:rsidTr="006172AE">
        <w:trPr>
          <w:cantSplit/>
          <w:trHeight w:val="57"/>
        </w:trPr>
        <w:tc>
          <w:tcPr>
            <w:tcW w:w="301" w:type="pct"/>
            <w:tcBorders>
              <w:top w:val="nil"/>
              <w:bottom w:val="single" w:sz="4" w:space="0" w:color="auto"/>
              <w:right w:val="nil"/>
            </w:tcBorders>
            <w:tcMar>
              <w:top w:w="28" w:type="dxa"/>
              <w:left w:w="57" w:type="dxa"/>
              <w:bottom w:w="28" w:type="dxa"/>
              <w:right w:w="57" w:type="dxa"/>
            </w:tcMar>
          </w:tcPr>
          <w:p w14:paraId="33D4701C" w14:textId="77777777" w:rsidR="00951F81" w:rsidRPr="00C515CC" w:rsidRDefault="00951F81" w:rsidP="00C515CC">
            <w:pPr>
              <w:keepNext/>
              <w:numPr>
                <w:ilvl w:val="0"/>
                <w:numId w:val="54"/>
              </w:numPr>
              <w:tabs>
                <w:tab w:val="clear" w:pos="567"/>
              </w:tabs>
              <w:ind w:left="567" w:hanging="567"/>
            </w:pPr>
          </w:p>
        </w:tc>
        <w:tc>
          <w:tcPr>
            <w:tcW w:w="4699" w:type="pct"/>
            <w:gridSpan w:val="3"/>
            <w:tcBorders>
              <w:top w:val="nil"/>
              <w:left w:val="nil"/>
              <w:bottom w:val="single" w:sz="4" w:space="0" w:color="auto"/>
            </w:tcBorders>
            <w:tcMar>
              <w:left w:w="0" w:type="dxa"/>
            </w:tcMar>
          </w:tcPr>
          <w:p w14:paraId="4D5B0D85" w14:textId="77777777" w:rsidR="00951F81" w:rsidRPr="00C515CC" w:rsidRDefault="00951F81" w:rsidP="00C515CC">
            <w:pPr>
              <w:keepNext/>
              <w:rPr>
                <w:b/>
              </w:rPr>
            </w:pPr>
            <w:r w:rsidRPr="00C515CC">
              <w:rPr>
                <w:b/>
              </w:rPr>
              <w:t>Az előretöltött fecskendő gyermekektől elzárva tartandó!</w:t>
            </w:r>
          </w:p>
          <w:p w14:paraId="77DDB6C3" w14:textId="77777777" w:rsidR="00B02DFA" w:rsidRPr="00C515CC" w:rsidRDefault="00B02DFA" w:rsidP="00C515CC">
            <w:pPr>
              <w:keepNext/>
              <w:rPr>
                <w:b/>
                <w:bCs/>
              </w:rPr>
            </w:pPr>
          </w:p>
        </w:tc>
      </w:tr>
      <w:tr w:rsidR="00951F81" w:rsidRPr="00C515CC" w14:paraId="6CC8EC54" w14:textId="77777777" w:rsidTr="006172AE">
        <w:trPr>
          <w:cantSplit/>
          <w:trHeight w:val="57"/>
        </w:trPr>
        <w:tc>
          <w:tcPr>
            <w:tcW w:w="309" w:type="pct"/>
            <w:gridSpan w:val="2"/>
            <w:tcMar>
              <w:top w:w="28" w:type="dxa"/>
              <w:left w:w="57" w:type="dxa"/>
              <w:bottom w:w="28" w:type="dxa"/>
              <w:right w:w="57" w:type="dxa"/>
            </w:tcMar>
          </w:tcPr>
          <w:p w14:paraId="1BFF5178" w14:textId="77777777" w:rsidR="00951F81" w:rsidRPr="00C515CC" w:rsidRDefault="00951F81" w:rsidP="00C515CC">
            <w:pPr>
              <w:keepNext/>
            </w:pPr>
            <w:r w:rsidRPr="00C515CC">
              <w:t>B</w:t>
            </w:r>
          </w:p>
        </w:tc>
        <w:tc>
          <w:tcPr>
            <w:tcW w:w="4691" w:type="pct"/>
            <w:gridSpan w:val="2"/>
            <w:tcMar>
              <w:left w:w="57" w:type="dxa"/>
            </w:tcMar>
          </w:tcPr>
          <w:p w14:paraId="2CE51E52" w14:textId="15EC5807" w:rsidR="00951F81" w:rsidRPr="00C515CC" w:rsidRDefault="00951F81" w:rsidP="00C515CC">
            <w:pPr>
              <w:keepNext/>
            </w:pPr>
            <w:r w:rsidRPr="00C515CC">
              <w:t xml:space="preserve">A fedőlap lehúzásával nyissa ki a tálcát. Az előretöltött fecskendő tálcából történő kivételéhez fogja meg az előretöltött fecskendő biztonsági </w:t>
            </w:r>
            <w:r w:rsidR="00B02DFA" w:rsidRPr="00C515CC">
              <w:t>burkolatát</w:t>
            </w:r>
            <w:r w:rsidRPr="00C515CC">
              <w:t>.</w:t>
            </w:r>
          </w:p>
        </w:tc>
      </w:tr>
      <w:tr w:rsidR="00951F81" w:rsidRPr="00C515CC" w14:paraId="125C3E1D" w14:textId="77777777" w:rsidTr="006172AE">
        <w:trPr>
          <w:cantSplit/>
          <w:trHeight w:val="57"/>
        </w:trPr>
        <w:tc>
          <w:tcPr>
            <w:tcW w:w="5000" w:type="pct"/>
            <w:gridSpan w:val="4"/>
            <w:tcBorders>
              <w:bottom w:val="nil"/>
            </w:tcBorders>
            <w:tcMar>
              <w:top w:w="28" w:type="dxa"/>
              <w:left w:w="57" w:type="dxa"/>
              <w:bottom w:w="28" w:type="dxa"/>
              <w:right w:w="57" w:type="dxa"/>
            </w:tcMar>
          </w:tcPr>
          <w:p w14:paraId="731F49B9" w14:textId="60A44536" w:rsidR="00951F81" w:rsidRPr="00C515CC" w:rsidRDefault="00B02DFA" w:rsidP="00C515CC">
            <w:pPr>
              <w:keepNext/>
              <w:suppressAutoHyphens/>
              <w:autoSpaceDE w:val="0"/>
              <w:autoSpaceDN w:val="0"/>
              <w:adjustRightInd w:val="0"/>
              <w:jc w:val="center"/>
              <w:textAlignment w:val="center"/>
            </w:pPr>
            <w:r w:rsidRPr="00C515CC">
              <w:rPr>
                <w:noProof/>
                <w:lang w:val="pl-PL" w:eastAsia="pl-PL"/>
              </w:rPr>
              <mc:AlternateContent>
                <mc:Choice Requires="wps">
                  <w:drawing>
                    <wp:anchor distT="45720" distB="45720" distL="114300" distR="114300" simplePos="0" relativeHeight="251682304" behindDoc="0" locked="0" layoutInCell="1" allowOverlap="1" wp14:anchorId="3D4C40DC" wp14:editId="5A9E8919">
                      <wp:simplePos x="0" y="0"/>
                      <wp:positionH relativeFrom="column">
                        <wp:posOffset>2412365</wp:posOffset>
                      </wp:positionH>
                      <wp:positionV relativeFrom="paragraph">
                        <wp:posOffset>2544445</wp:posOffset>
                      </wp:positionV>
                      <wp:extent cx="923925" cy="241300"/>
                      <wp:effectExtent l="0" t="0" r="9525" b="1905"/>
                      <wp:wrapSquare wrapText="bothSides"/>
                      <wp:docPr id="862363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74BA073A" w14:textId="66BB13DA" w:rsidR="00B02DFA" w:rsidRPr="0067252F" w:rsidRDefault="00B02DFA" w:rsidP="00B02DFA">
                                  <w:r>
                                    <w:t>Itt fogja meg</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D4C40DC" id="Text Box 8" o:spid="_x0000_s1039" type="#_x0000_t202" style="position:absolute;left:0;text-align:left;margin-left:189.95pt;margin-top:200.35pt;width:72.75pt;height:19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" filled="f" stroked="f">
                      <v:textbox style="mso-fit-shape-to-text:t" inset="0,0,0,0">
                        <w:txbxContent>
                          <w:p w14:paraId="74BA073A" w14:textId="66BB13DA" w:rsidR="00B02DFA" w:rsidRPr="0067252F" w:rsidRDefault="00B02DFA" w:rsidP="00B02DFA">
                            <w:r>
                              <w:t>Itt fogja meg</w:t>
                            </w:r>
                          </w:p>
                        </w:txbxContent>
                      </v:textbox>
                      <w10:wrap type="square"/>
                    </v:shape>
                  </w:pict>
                </mc:Fallback>
              </mc:AlternateContent>
            </w:r>
            <w:r w:rsidRPr="00C515CC">
              <w:rPr>
                <w:noProof/>
                <w:lang w:val="pl-PL" w:eastAsia="pl-PL"/>
              </w:rPr>
              <w:drawing>
                <wp:anchor distT="0" distB="0" distL="114300" distR="114300" simplePos="0" relativeHeight="251680256" behindDoc="1" locked="0" layoutInCell="1" allowOverlap="1" wp14:anchorId="7EE7B3EC" wp14:editId="7FC43BA3">
                  <wp:simplePos x="0" y="0"/>
                  <wp:positionH relativeFrom="margin">
                    <wp:posOffset>1256665</wp:posOffset>
                  </wp:positionH>
                  <wp:positionV relativeFrom="paragraph">
                    <wp:posOffset>0</wp:posOffset>
                  </wp:positionV>
                  <wp:extent cx="3060000" cy="2907646"/>
                  <wp:effectExtent l="0" t="0" r="7620" b="7620"/>
                  <wp:wrapTopAndBottom/>
                  <wp:docPr id="16469899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C515CC" w14:paraId="7D2E33E3" w14:textId="77777777" w:rsidTr="006172AE">
        <w:trPr>
          <w:cantSplit/>
          <w:trHeight w:val="57"/>
        </w:trPr>
        <w:tc>
          <w:tcPr>
            <w:tcW w:w="5000" w:type="pct"/>
            <w:gridSpan w:val="4"/>
            <w:tcBorders>
              <w:top w:val="nil"/>
              <w:left w:val="single" w:sz="4" w:space="0" w:color="auto"/>
              <w:bottom w:val="nil"/>
            </w:tcBorders>
            <w:tcMar>
              <w:top w:w="28" w:type="dxa"/>
              <w:left w:w="57" w:type="dxa"/>
              <w:bottom w:w="28" w:type="dxa"/>
              <w:right w:w="57" w:type="dxa"/>
            </w:tcMar>
          </w:tcPr>
          <w:p w14:paraId="005CA4E2" w14:textId="77777777" w:rsidR="00951F81" w:rsidRPr="00C515CC" w:rsidRDefault="00951F81" w:rsidP="00C515CC">
            <w:pPr>
              <w:keepNext/>
            </w:pPr>
            <w:r w:rsidRPr="00C515CC">
              <w:t>Biztonsági okokból:</w:t>
            </w:r>
          </w:p>
        </w:tc>
      </w:tr>
      <w:tr w:rsidR="00951F81" w:rsidRPr="00C515CC" w14:paraId="36863556" w14:textId="77777777" w:rsidTr="006172AE">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708977BC" w14:textId="2B3DC1E7" w:rsidR="00951F81" w:rsidRPr="00C515CC" w:rsidRDefault="006C76E1" w:rsidP="00C515CC">
            <w:pPr>
              <w:keepNext/>
              <w:suppressAutoHyphens/>
              <w:autoSpaceDE w:val="0"/>
              <w:autoSpaceDN w:val="0"/>
              <w:adjustRightInd w:val="0"/>
              <w:textAlignment w:val="center"/>
            </w:pPr>
            <w:r w:rsidRPr="00C515CC">
              <w:rPr>
                <w:noProof/>
              </w:rPr>
              <w:drawing>
                <wp:anchor distT="0" distB="0" distL="114300" distR="114300" simplePos="0" relativeHeight="251657728" behindDoc="0" locked="0" layoutInCell="1" allowOverlap="1" wp14:anchorId="7A847B46" wp14:editId="56844451">
                  <wp:simplePos x="0" y="0"/>
                  <wp:positionH relativeFrom="column">
                    <wp:posOffset>14605</wp:posOffset>
                  </wp:positionH>
                  <wp:positionV relativeFrom="paragraph">
                    <wp:posOffset>22225</wp:posOffset>
                  </wp:positionV>
                  <wp:extent cx="119380" cy="119380"/>
                  <wp:effectExtent l="0" t="0" r="0" b="0"/>
                  <wp:wrapNone/>
                  <wp:docPr id="46"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3"/>
            <w:tcBorders>
              <w:top w:val="nil"/>
              <w:left w:val="nil"/>
              <w:bottom w:val="nil"/>
            </w:tcBorders>
            <w:tcMar>
              <w:left w:w="0" w:type="dxa"/>
            </w:tcMar>
          </w:tcPr>
          <w:p w14:paraId="64C361A7" w14:textId="77777777" w:rsidR="00951F81" w:rsidRPr="00C515CC" w:rsidRDefault="00951F81" w:rsidP="00C515CC">
            <w:pPr>
              <w:pStyle w:val="ListParagraph"/>
              <w:keepNext/>
              <w:suppressAutoHyphens/>
              <w:autoSpaceDE w:val="0"/>
              <w:autoSpaceDN w:val="0"/>
              <w:adjustRightInd w:val="0"/>
              <w:ind w:left="0"/>
              <w:textAlignment w:val="center"/>
              <w:rPr>
                <w:sz w:val="22"/>
                <w:szCs w:val="22"/>
              </w:rPr>
            </w:pPr>
            <w:r w:rsidRPr="00C515CC">
              <w:rPr>
                <w:b/>
                <w:sz w:val="22"/>
              </w:rPr>
              <w:t>Ne</w:t>
            </w:r>
            <w:r w:rsidRPr="00C515CC">
              <w:rPr>
                <w:sz w:val="22"/>
              </w:rPr>
              <w:t xml:space="preserve"> fogja meg a dugattyút!</w:t>
            </w:r>
          </w:p>
        </w:tc>
      </w:tr>
      <w:tr w:rsidR="00951F81" w:rsidRPr="00C515CC" w14:paraId="30CAFF9F" w14:textId="77777777" w:rsidTr="006172AE">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55B8ECC6" w14:textId="7B62B1B0" w:rsidR="00951F81" w:rsidRPr="00C515CC" w:rsidRDefault="006C76E1" w:rsidP="00C515CC">
            <w:pPr>
              <w:keepNext/>
              <w:suppressAutoHyphens/>
              <w:autoSpaceDE w:val="0"/>
              <w:autoSpaceDN w:val="0"/>
              <w:adjustRightInd w:val="0"/>
              <w:textAlignment w:val="center"/>
            </w:pPr>
            <w:r w:rsidRPr="00C515CC">
              <w:rPr>
                <w:noProof/>
              </w:rPr>
              <w:drawing>
                <wp:anchor distT="0" distB="0" distL="114300" distR="114300" simplePos="0" relativeHeight="251658752" behindDoc="0" locked="0" layoutInCell="1" allowOverlap="1" wp14:anchorId="477A2870" wp14:editId="0AC67AD3">
                  <wp:simplePos x="0" y="0"/>
                  <wp:positionH relativeFrom="column">
                    <wp:posOffset>14605</wp:posOffset>
                  </wp:positionH>
                  <wp:positionV relativeFrom="paragraph">
                    <wp:posOffset>22225</wp:posOffset>
                  </wp:positionV>
                  <wp:extent cx="119380" cy="119380"/>
                  <wp:effectExtent l="0" t="0" r="0" b="0"/>
                  <wp:wrapNone/>
                  <wp:docPr id="47"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3"/>
            <w:tcBorders>
              <w:top w:val="nil"/>
              <w:left w:val="nil"/>
              <w:bottom w:val="single" w:sz="4" w:space="0" w:color="auto"/>
            </w:tcBorders>
            <w:tcMar>
              <w:left w:w="0" w:type="dxa"/>
            </w:tcMar>
          </w:tcPr>
          <w:p w14:paraId="32603B2D" w14:textId="77777777" w:rsidR="00951F81" w:rsidRPr="00C515CC" w:rsidRDefault="00951F81" w:rsidP="00C515CC">
            <w:pPr>
              <w:keepNext/>
              <w:suppressAutoHyphens/>
              <w:autoSpaceDE w:val="0"/>
              <w:autoSpaceDN w:val="0"/>
              <w:adjustRightInd w:val="0"/>
              <w:textAlignment w:val="center"/>
            </w:pPr>
            <w:r w:rsidRPr="00C515CC">
              <w:rPr>
                <w:b/>
              </w:rPr>
              <w:t>Ne</w:t>
            </w:r>
            <w:r w:rsidRPr="00C515CC">
              <w:t xml:space="preserve"> fogja meg a szürke tűvédő kupakot!</w:t>
            </w:r>
          </w:p>
        </w:tc>
      </w:tr>
    </w:tbl>
    <w:p w14:paraId="76BD3B2B" w14:textId="77777777" w:rsidR="00951F81" w:rsidRPr="00C515CC" w:rsidRDefault="00951F81" w:rsidP="00C515CC"/>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4"/>
        <w:gridCol w:w="2688"/>
        <w:gridCol w:w="5677"/>
      </w:tblGrid>
      <w:tr w:rsidR="00951F81" w:rsidRPr="00C515CC" w14:paraId="0684849F" w14:textId="77777777" w:rsidTr="006172AE">
        <w:trPr>
          <w:cantSplit/>
          <w:trHeight w:val="57"/>
        </w:trPr>
        <w:tc>
          <w:tcPr>
            <w:tcW w:w="326" w:type="pct"/>
            <w:tcBorders>
              <w:bottom w:val="single" w:sz="4" w:space="0" w:color="auto"/>
            </w:tcBorders>
            <w:tcMar>
              <w:top w:w="28" w:type="dxa"/>
              <w:left w:w="57" w:type="dxa"/>
              <w:bottom w:w="28" w:type="dxa"/>
              <w:right w:w="57" w:type="dxa"/>
            </w:tcMar>
          </w:tcPr>
          <w:p w14:paraId="5493DA9A" w14:textId="77777777" w:rsidR="00951F81" w:rsidRPr="00C515CC" w:rsidRDefault="00951F81" w:rsidP="00C515CC">
            <w:pPr>
              <w:keepNext/>
            </w:pPr>
            <w:r w:rsidRPr="00C515CC">
              <w:t>C</w:t>
            </w:r>
          </w:p>
        </w:tc>
        <w:tc>
          <w:tcPr>
            <w:tcW w:w="4674" w:type="pct"/>
            <w:gridSpan w:val="2"/>
            <w:tcBorders>
              <w:bottom w:val="single" w:sz="4" w:space="0" w:color="auto"/>
            </w:tcBorders>
            <w:tcMar>
              <w:left w:w="57" w:type="dxa"/>
              <w:right w:w="57" w:type="dxa"/>
            </w:tcMar>
          </w:tcPr>
          <w:p w14:paraId="47363B0F" w14:textId="77777777" w:rsidR="00951F81" w:rsidRPr="00C515CC" w:rsidRDefault="00951F81" w:rsidP="00C515CC">
            <w:pPr>
              <w:keepNext/>
            </w:pPr>
            <w:r w:rsidRPr="00C515CC">
              <w:t>Ellenőrizze a gyógyszert és az előretöltött fecskendőt.</w:t>
            </w:r>
          </w:p>
        </w:tc>
      </w:tr>
      <w:tr w:rsidR="00951F81" w:rsidRPr="00C515CC" w14:paraId="2CA05B1D" w14:textId="77777777" w:rsidTr="006172AE">
        <w:trPr>
          <w:cantSplit/>
          <w:trHeight w:val="57"/>
        </w:trPr>
        <w:tc>
          <w:tcPr>
            <w:tcW w:w="1828" w:type="pct"/>
            <w:gridSpan w:val="2"/>
            <w:tcBorders>
              <w:bottom w:val="nil"/>
              <w:right w:val="nil"/>
            </w:tcBorders>
            <w:tcMar>
              <w:top w:w="28" w:type="dxa"/>
              <w:left w:w="57" w:type="dxa"/>
              <w:bottom w:w="28" w:type="dxa"/>
              <w:right w:w="57" w:type="dxa"/>
            </w:tcMar>
          </w:tcPr>
          <w:p w14:paraId="24E076E5" w14:textId="77777777" w:rsidR="00951F81" w:rsidRPr="00C515CC" w:rsidRDefault="00951F81" w:rsidP="00C515CC">
            <w:pPr>
              <w:keepNext/>
              <w:suppressAutoHyphens/>
              <w:autoSpaceDE w:val="0"/>
              <w:autoSpaceDN w:val="0"/>
              <w:adjustRightInd w:val="0"/>
              <w:textAlignment w:val="center"/>
              <w:rPr>
                <w:lang w:eastAsia="zh-TW"/>
              </w:rPr>
            </w:pPr>
          </w:p>
        </w:tc>
        <w:tc>
          <w:tcPr>
            <w:tcW w:w="3172" w:type="pct"/>
            <w:tcBorders>
              <w:left w:val="nil"/>
              <w:bottom w:val="nil"/>
            </w:tcBorders>
          </w:tcPr>
          <w:p w14:paraId="523DEC55" w14:textId="05D9F28F" w:rsidR="00951F81" w:rsidRPr="00C515CC" w:rsidRDefault="00951F81" w:rsidP="00C515CC">
            <w:pPr>
              <w:keepNext/>
            </w:pPr>
          </w:p>
        </w:tc>
      </w:tr>
      <w:tr w:rsidR="00951F81" w:rsidRPr="00C515CC" w14:paraId="4ADDAB19" w14:textId="77777777" w:rsidTr="006172AE">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1ED42009" w14:textId="15CDBCD1" w:rsidR="00951F81" w:rsidRPr="00C515CC" w:rsidRDefault="00B02DFA" w:rsidP="00C515CC">
            <w:pPr>
              <w:keepNext/>
              <w:suppressAutoHyphens/>
              <w:autoSpaceDE w:val="0"/>
              <w:autoSpaceDN w:val="0"/>
              <w:adjustRightInd w:val="0"/>
              <w:textAlignment w:val="center"/>
            </w:pPr>
            <w:r w:rsidRPr="00C515CC">
              <w:rPr>
                <w:noProof/>
                <w:lang w:val="pl-PL" w:eastAsia="pl-PL"/>
              </w:rPr>
              <mc:AlternateContent>
                <mc:Choice Requires="wps">
                  <w:drawing>
                    <wp:anchor distT="45720" distB="45720" distL="114300" distR="114300" simplePos="0" relativeHeight="251686400" behindDoc="0" locked="0" layoutInCell="1" allowOverlap="1" wp14:anchorId="6CA42169" wp14:editId="5C3186A6">
                      <wp:simplePos x="0" y="0"/>
                      <wp:positionH relativeFrom="column">
                        <wp:posOffset>1854200</wp:posOffset>
                      </wp:positionH>
                      <wp:positionV relativeFrom="paragraph">
                        <wp:posOffset>501650</wp:posOffset>
                      </wp:positionV>
                      <wp:extent cx="711200" cy="241300"/>
                      <wp:effectExtent l="0" t="0" r="12700" b="1905"/>
                      <wp:wrapSquare wrapText="bothSides"/>
                      <wp:docPr id="6442832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41300"/>
                              </a:xfrm>
                              <a:prstGeom prst="rect">
                                <a:avLst/>
                              </a:prstGeom>
                              <a:noFill/>
                              <a:ln w="9525">
                                <a:noFill/>
                                <a:miter lim="800000"/>
                                <a:headEnd/>
                                <a:tailEnd/>
                              </a:ln>
                            </wps:spPr>
                            <wps:txbx>
                              <w:txbxContent>
                                <w:p w14:paraId="4A6AF40A" w14:textId="31F5862F" w:rsidR="00B02DFA" w:rsidRPr="00633DB8" w:rsidRDefault="00B02DFA" w:rsidP="00B02DFA">
                                  <w:r w:rsidRPr="00633DB8">
                                    <w:t>Gyógyszer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CA42169" id="Text Box 11" o:spid="_x0000_s1040" type="#_x0000_t202" style="position:absolute;margin-left:146pt;margin-top:39.5pt;width:56pt;height:19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" filled="f" stroked="f">
                      <v:textbox style="mso-fit-shape-to-text:t" inset="0,0,0,0">
                        <w:txbxContent>
                          <w:p w14:paraId="4A6AF40A" w14:textId="31F5862F" w:rsidR="00B02DFA" w:rsidRPr="00633DB8" w:rsidRDefault="00B02DFA" w:rsidP="00B02DFA">
                            <w:r w:rsidRPr="00633DB8">
                              <w:t>Gyógyszer</w:t>
                            </w:r>
                          </w:p>
                        </w:txbxContent>
                      </v:textbox>
                      <w10:wrap type="square"/>
                    </v:shape>
                  </w:pict>
                </mc:Fallback>
              </mc:AlternateContent>
            </w:r>
            <w:r w:rsidRPr="00C515CC">
              <w:rPr>
                <w:noProof/>
                <w:lang w:val="pl-PL" w:eastAsia="pl-PL"/>
              </w:rPr>
              <mc:AlternateContent>
                <mc:Choice Requires="wps">
                  <w:drawing>
                    <wp:anchor distT="45720" distB="45720" distL="114300" distR="114300" simplePos="0" relativeHeight="251687424" behindDoc="0" locked="0" layoutInCell="1" allowOverlap="1" wp14:anchorId="4BD394F2" wp14:editId="36ED3665">
                      <wp:simplePos x="0" y="0"/>
                      <wp:positionH relativeFrom="column">
                        <wp:posOffset>1978660</wp:posOffset>
                      </wp:positionH>
                      <wp:positionV relativeFrom="paragraph">
                        <wp:posOffset>2287270</wp:posOffset>
                      </wp:positionV>
                      <wp:extent cx="1619250" cy="241300"/>
                      <wp:effectExtent l="0" t="0" r="0" b="1905"/>
                      <wp:wrapSquare wrapText="bothSides"/>
                      <wp:docPr id="16724516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7FB7677D" w14:textId="332999CF" w:rsidR="00B02DFA" w:rsidRPr="00633DB8" w:rsidRDefault="00B02DFA" w:rsidP="00633DB8">
                                  <w:pPr>
                                    <w:jc w:val="center"/>
                                  </w:pPr>
                                  <w:r>
                                    <w:t>Címke és lejárati idő</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BD394F2" id="Text Box 12" o:spid="_x0000_s1041" type="#_x0000_t202" style="position:absolute;margin-left:155.8pt;margin-top:180.1pt;width:127.5pt;height:19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aa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" filled="f" stroked="f">
                      <v:textbox style="mso-fit-shape-to-text:t" inset="0,0,0,0">
                        <w:txbxContent>
                          <w:p w14:paraId="7FB7677D" w14:textId="332999CF" w:rsidR="00B02DFA" w:rsidRPr="00633DB8" w:rsidRDefault="00B02DFA" w:rsidP="00633DB8">
                            <w:pPr>
                              <w:jc w:val="center"/>
                            </w:pPr>
                            <w:r>
                              <w:t>Címke és lejárati idő</w:t>
                            </w:r>
                          </w:p>
                        </w:txbxContent>
                      </v:textbox>
                      <w10:wrap type="square"/>
                    </v:shape>
                  </w:pict>
                </mc:Fallback>
              </mc:AlternateContent>
            </w:r>
            <w:r w:rsidRPr="00C515CC">
              <w:rPr>
                <w:noProof/>
                <w:lang w:val="pl-PL" w:eastAsia="pl-PL"/>
              </w:rPr>
              <mc:AlternateContent>
                <mc:Choice Requires="wps">
                  <w:drawing>
                    <wp:anchor distT="45720" distB="45720" distL="114300" distR="114300" simplePos="0" relativeHeight="251685376" behindDoc="0" locked="0" layoutInCell="1" allowOverlap="1" wp14:anchorId="1D585C4B" wp14:editId="084B3993">
                      <wp:simplePos x="0" y="0"/>
                      <wp:positionH relativeFrom="column">
                        <wp:posOffset>989965</wp:posOffset>
                      </wp:positionH>
                      <wp:positionV relativeFrom="paragraph">
                        <wp:posOffset>1223645</wp:posOffset>
                      </wp:positionV>
                      <wp:extent cx="923925" cy="241300"/>
                      <wp:effectExtent l="0" t="0" r="9525" b="1905"/>
                      <wp:wrapSquare wrapText="bothSides"/>
                      <wp:docPr id="12390888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0DAE292F" w14:textId="5DFE60C8" w:rsidR="00B02DFA" w:rsidRPr="00633DB8" w:rsidRDefault="00B02DFA" w:rsidP="00633DB8">
                                  <w:pPr>
                                    <w:jc w:val="center"/>
                                  </w:pPr>
                                  <w:r w:rsidRPr="00633DB8">
                                    <w:t>Szürke tűvédő kupak</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D585C4B" id="Text Box 10" o:spid="_x0000_s1042" type="#_x0000_t202" style="position:absolute;margin-left:77.95pt;margin-top:96.35pt;width:72.75pt;height:19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" filled="f" stroked="f">
                      <v:textbox style="mso-fit-shape-to-text:t" inset="0,0,0,0">
                        <w:txbxContent>
                          <w:p w14:paraId="0DAE292F" w14:textId="5DFE60C8" w:rsidR="00B02DFA" w:rsidRPr="00633DB8" w:rsidRDefault="00B02DFA" w:rsidP="00633DB8">
                            <w:pPr>
                              <w:jc w:val="center"/>
                            </w:pPr>
                            <w:r w:rsidRPr="00633DB8">
                              <w:t>Szürke tűvédő kupak</w:t>
                            </w:r>
                          </w:p>
                        </w:txbxContent>
                      </v:textbox>
                      <w10:wrap type="square"/>
                    </v:shape>
                  </w:pict>
                </mc:Fallback>
              </mc:AlternateContent>
            </w:r>
            <w:r w:rsidRPr="00C515CC">
              <w:rPr>
                <w:noProof/>
                <w:lang w:val="pl-PL" w:eastAsia="pl-PL"/>
              </w:rPr>
              <w:drawing>
                <wp:anchor distT="0" distB="0" distL="114300" distR="114300" simplePos="0" relativeHeight="251684352" behindDoc="1" locked="0" layoutInCell="1" allowOverlap="1" wp14:anchorId="5C1B225B" wp14:editId="0FA4EAFF">
                  <wp:simplePos x="0" y="0"/>
                  <wp:positionH relativeFrom="margin">
                    <wp:posOffset>1149985</wp:posOffset>
                  </wp:positionH>
                  <wp:positionV relativeFrom="paragraph">
                    <wp:posOffset>0</wp:posOffset>
                  </wp:positionV>
                  <wp:extent cx="3060000" cy="2734396"/>
                  <wp:effectExtent l="0" t="0" r="7620" b="8890"/>
                  <wp:wrapTopAndBottom/>
                  <wp:docPr id="111109716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C515CC" w14:paraId="0854EEE0" w14:textId="77777777" w:rsidTr="006172AE">
        <w:trPr>
          <w:cantSplit/>
          <w:trHeight w:val="57"/>
        </w:trPr>
        <w:tc>
          <w:tcPr>
            <w:tcW w:w="326" w:type="pct"/>
            <w:tcBorders>
              <w:bottom w:val="nil"/>
              <w:right w:val="nil"/>
            </w:tcBorders>
            <w:tcMar>
              <w:top w:w="28" w:type="dxa"/>
              <w:left w:w="57" w:type="dxa"/>
              <w:bottom w:w="28" w:type="dxa"/>
              <w:right w:w="57" w:type="dxa"/>
            </w:tcMar>
          </w:tcPr>
          <w:p w14:paraId="34F9AFE8" w14:textId="7C92BE1A" w:rsidR="00951F81" w:rsidRPr="00C515CC" w:rsidRDefault="006C76E1" w:rsidP="00C515CC">
            <w:pPr>
              <w:keepNext/>
              <w:suppressAutoHyphens/>
              <w:autoSpaceDE w:val="0"/>
              <w:autoSpaceDN w:val="0"/>
              <w:adjustRightInd w:val="0"/>
              <w:textAlignment w:val="center"/>
            </w:pPr>
            <w:r w:rsidRPr="00C515CC">
              <w:rPr>
                <w:noProof/>
              </w:rPr>
              <w:drawing>
                <wp:anchor distT="0" distB="0" distL="114300" distR="114300" simplePos="0" relativeHeight="251659776" behindDoc="0" locked="0" layoutInCell="1" allowOverlap="1" wp14:anchorId="346E1BD7" wp14:editId="08DC0AB0">
                  <wp:simplePos x="0" y="0"/>
                  <wp:positionH relativeFrom="column">
                    <wp:posOffset>14605</wp:posOffset>
                  </wp:positionH>
                  <wp:positionV relativeFrom="paragraph">
                    <wp:posOffset>22225</wp:posOffset>
                  </wp:positionV>
                  <wp:extent cx="119380" cy="119380"/>
                  <wp:effectExtent l="0" t="0" r="0" b="0"/>
                  <wp:wrapNone/>
                  <wp:docPr id="4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74" w:type="pct"/>
            <w:gridSpan w:val="2"/>
            <w:tcBorders>
              <w:left w:val="nil"/>
              <w:bottom w:val="nil"/>
            </w:tcBorders>
            <w:tcMar>
              <w:left w:w="0" w:type="dxa"/>
            </w:tcMar>
          </w:tcPr>
          <w:p w14:paraId="69DE183E" w14:textId="77777777" w:rsidR="00951F81" w:rsidRPr="00C515CC" w:rsidRDefault="00951F81" w:rsidP="00C515CC">
            <w:pPr>
              <w:keepNext/>
            </w:pPr>
            <w:r w:rsidRPr="00C515CC">
              <w:rPr>
                <w:b/>
              </w:rPr>
              <w:t>Ne</w:t>
            </w:r>
            <w:r w:rsidRPr="00C515CC">
              <w:t xml:space="preserve"> használja az előretöltött fecskendőt, ha:</w:t>
            </w:r>
          </w:p>
        </w:tc>
      </w:tr>
      <w:tr w:rsidR="00951F81" w:rsidRPr="00C515CC" w14:paraId="24A0D125" w14:textId="77777777" w:rsidTr="006172AE">
        <w:trPr>
          <w:cantSplit/>
          <w:trHeight w:val="57"/>
        </w:trPr>
        <w:tc>
          <w:tcPr>
            <w:tcW w:w="5000" w:type="pct"/>
            <w:gridSpan w:val="3"/>
            <w:tcBorders>
              <w:top w:val="nil"/>
              <w:bottom w:val="nil"/>
            </w:tcBorders>
            <w:tcMar>
              <w:top w:w="28" w:type="dxa"/>
              <w:left w:w="567" w:type="dxa"/>
              <w:bottom w:w="28" w:type="dxa"/>
              <w:right w:w="57" w:type="dxa"/>
            </w:tcMar>
          </w:tcPr>
          <w:p w14:paraId="3D5CAD84" w14:textId="1AAE15C8" w:rsidR="00951F81" w:rsidRPr="00C515CC" w:rsidRDefault="00951F81" w:rsidP="00633DB8">
            <w:pPr>
              <w:keepNext/>
              <w:numPr>
                <w:ilvl w:val="0"/>
                <w:numId w:val="54"/>
              </w:numPr>
              <w:tabs>
                <w:tab w:val="clear" w:pos="567"/>
              </w:tabs>
              <w:ind w:left="210" w:hanging="567"/>
            </w:pPr>
            <w:r w:rsidRPr="00C515CC">
              <w:t xml:space="preserve">a gyógyszer zavaros vagy </w:t>
            </w:r>
            <w:r w:rsidR="006107A7">
              <w:t xml:space="preserve">látható </w:t>
            </w:r>
            <w:r w:rsidRPr="00C515CC">
              <w:t>szemcsék vannak benne. Tiszta, színtelen vagy enyhén sárga folyadéknak kell lennie.</w:t>
            </w:r>
          </w:p>
          <w:p w14:paraId="277965E4" w14:textId="77777777" w:rsidR="00951F81" w:rsidRPr="00C515CC" w:rsidRDefault="00951F81" w:rsidP="00633DB8">
            <w:pPr>
              <w:keepNext/>
              <w:numPr>
                <w:ilvl w:val="0"/>
                <w:numId w:val="54"/>
              </w:numPr>
              <w:tabs>
                <w:tab w:val="clear" w:pos="567"/>
              </w:tabs>
              <w:ind w:left="210" w:hanging="567"/>
            </w:pPr>
            <w:r w:rsidRPr="00C515CC">
              <w:t>bármelyik része megrepedt vagy eltört.</w:t>
            </w:r>
          </w:p>
          <w:p w14:paraId="7746937F" w14:textId="77777777" w:rsidR="00951F81" w:rsidRPr="00C515CC" w:rsidRDefault="00951F81" w:rsidP="00633DB8">
            <w:pPr>
              <w:keepNext/>
              <w:numPr>
                <w:ilvl w:val="0"/>
                <w:numId w:val="54"/>
              </w:numPr>
              <w:tabs>
                <w:tab w:val="clear" w:pos="567"/>
              </w:tabs>
              <w:ind w:left="210" w:hanging="567"/>
            </w:pPr>
            <w:r w:rsidRPr="00C515CC">
              <w:t>a szürke tűvédő kupak hiányzik vagy nem rögzül szorosan.</w:t>
            </w:r>
          </w:p>
          <w:p w14:paraId="69956DC3" w14:textId="77777777" w:rsidR="00951F81" w:rsidRPr="00C515CC" w:rsidRDefault="00951F81" w:rsidP="00633DB8">
            <w:pPr>
              <w:keepNext/>
              <w:numPr>
                <w:ilvl w:val="0"/>
                <w:numId w:val="54"/>
              </w:numPr>
              <w:tabs>
                <w:tab w:val="clear" w:pos="567"/>
              </w:tabs>
              <w:ind w:left="210" w:hanging="567"/>
            </w:pPr>
            <w:r w:rsidRPr="00C515CC">
              <w:t>már elmúlt a címkén lejárati időként feltüntetett hónap utolsó napja.</w:t>
            </w:r>
          </w:p>
        </w:tc>
      </w:tr>
      <w:tr w:rsidR="00951F81" w:rsidRPr="00C515CC" w14:paraId="15139FD3" w14:textId="77777777" w:rsidTr="006172AE">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48844338" w14:textId="483C92EC" w:rsidR="00951F81" w:rsidRPr="00C515CC" w:rsidRDefault="00951F81" w:rsidP="00C515CC">
            <w:pPr>
              <w:keepNext/>
            </w:pPr>
            <w:r w:rsidRPr="00C515CC">
              <w:t xml:space="preserve">Minden esetben forduljon kezelőorvosához vagy </w:t>
            </w:r>
            <w:r w:rsidR="006107A7">
              <w:t xml:space="preserve">a gondozását végző </w:t>
            </w:r>
            <w:r w:rsidRPr="00C515CC">
              <w:t>egészségügyi szakemberhez.</w:t>
            </w:r>
          </w:p>
        </w:tc>
      </w:tr>
    </w:tbl>
    <w:p w14:paraId="2CE72B62" w14:textId="77777777" w:rsidR="00951F81" w:rsidRPr="00C515CC" w:rsidRDefault="00951F81" w:rsidP="00C515CC"/>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46"/>
        <w:gridCol w:w="8370"/>
      </w:tblGrid>
      <w:tr w:rsidR="00951F81" w:rsidRPr="00C515CC" w14:paraId="0A2D5A51" w14:textId="77777777" w:rsidTr="00633DB8">
        <w:trPr>
          <w:cantSplit/>
          <w:trHeight w:val="57"/>
        </w:trPr>
        <w:tc>
          <w:tcPr>
            <w:tcW w:w="5000" w:type="pct"/>
            <w:gridSpan w:val="3"/>
            <w:tcMar>
              <w:top w:w="28" w:type="dxa"/>
              <w:bottom w:w="28" w:type="dxa"/>
            </w:tcMar>
          </w:tcPr>
          <w:p w14:paraId="3B781E40" w14:textId="508C6CAF" w:rsidR="00951F81" w:rsidRPr="00C515CC" w:rsidRDefault="00951F81" w:rsidP="00C515CC">
            <w:pPr>
              <w:keepNext/>
              <w:jc w:val="center"/>
            </w:pPr>
            <w:r w:rsidRPr="00C515CC">
              <w:t xml:space="preserve">2. lépés: </w:t>
            </w:r>
            <w:r w:rsidRPr="00C515CC">
              <w:rPr>
                <w:b/>
              </w:rPr>
              <w:t>Készüljön fel</w:t>
            </w:r>
          </w:p>
        </w:tc>
      </w:tr>
      <w:tr w:rsidR="002D445D" w:rsidRPr="00C515CC" w14:paraId="5EE05FC4" w14:textId="77777777" w:rsidTr="002D445D">
        <w:trPr>
          <w:cantSplit/>
          <w:trHeight w:val="57"/>
        </w:trPr>
        <w:tc>
          <w:tcPr>
            <w:tcW w:w="314" w:type="pct"/>
            <w:gridSpan w:val="2"/>
            <w:tcBorders>
              <w:bottom w:val="single" w:sz="4" w:space="0" w:color="auto"/>
            </w:tcBorders>
            <w:tcMar>
              <w:left w:w="57" w:type="dxa"/>
            </w:tcMar>
          </w:tcPr>
          <w:p w14:paraId="08EE7978" w14:textId="77777777" w:rsidR="00951F81" w:rsidRPr="00C515CC" w:rsidRDefault="00951F81" w:rsidP="00C515CC">
            <w:pPr>
              <w:keepNext/>
            </w:pPr>
            <w:r w:rsidRPr="00C515CC">
              <w:t>A</w:t>
            </w:r>
          </w:p>
        </w:tc>
        <w:tc>
          <w:tcPr>
            <w:tcW w:w="4686" w:type="pct"/>
            <w:tcBorders>
              <w:bottom w:val="single" w:sz="4" w:space="0" w:color="auto"/>
            </w:tcBorders>
            <w:tcMar>
              <w:top w:w="28" w:type="dxa"/>
              <w:left w:w="57" w:type="dxa"/>
              <w:bottom w:w="28" w:type="dxa"/>
              <w:right w:w="57" w:type="dxa"/>
            </w:tcMar>
          </w:tcPr>
          <w:p w14:paraId="3FB6B23B" w14:textId="77777777" w:rsidR="00951F81" w:rsidRPr="00C515CC" w:rsidRDefault="00951F81" w:rsidP="00C515CC">
            <w:pPr>
              <w:keepNext/>
            </w:pPr>
            <w:r w:rsidRPr="00C515CC">
              <w:t>Alaposan mosson kezet! Készítse elő és tisztítsa meg az injekció beadási helyét.</w:t>
            </w:r>
          </w:p>
        </w:tc>
      </w:tr>
      <w:tr w:rsidR="00B7179A" w:rsidRPr="00C515CC" w14:paraId="03AA76FD" w14:textId="77777777" w:rsidTr="00633DB8">
        <w:trPr>
          <w:cantSplit/>
          <w:trHeight w:val="3218"/>
        </w:trPr>
        <w:tc>
          <w:tcPr>
            <w:tcW w:w="5000" w:type="pct"/>
            <w:gridSpan w:val="3"/>
            <w:tcBorders>
              <w:bottom w:val="nil"/>
              <w:right w:val="single" w:sz="4" w:space="0" w:color="auto"/>
            </w:tcBorders>
            <w:tcMar>
              <w:top w:w="28" w:type="dxa"/>
              <w:left w:w="57" w:type="dxa"/>
              <w:bottom w:w="28" w:type="dxa"/>
              <w:right w:w="57" w:type="dxa"/>
            </w:tcMar>
            <w:vAlign w:val="bottom"/>
          </w:tcPr>
          <w:p w14:paraId="4719B646" w14:textId="4F461626" w:rsidR="00B7179A" w:rsidRPr="00C515CC" w:rsidRDefault="00B7179A" w:rsidP="00C515CC">
            <w:pPr>
              <w:keepNext/>
            </w:pPr>
            <w:r w:rsidRPr="00C515CC">
              <w:rPr>
                <w:rFonts w:eastAsia="Calibri"/>
                <w:noProof/>
                <w:lang w:val="pl-PL" w:eastAsia="pl-PL"/>
              </w:rPr>
              <mc:AlternateContent>
                <mc:Choice Requires="wps">
                  <w:drawing>
                    <wp:anchor distT="45720" distB="45720" distL="114300" distR="114300" simplePos="0" relativeHeight="251694592" behindDoc="0" locked="0" layoutInCell="1" allowOverlap="1" wp14:anchorId="16AC0888" wp14:editId="1D0A36A8">
                      <wp:simplePos x="0" y="0"/>
                      <wp:positionH relativeFrom="column">
                        <wp:posOffset>527685</wp:posOffset>
                      </wp:positionH>
                      <wp:positionV relativeFrom="page">
                        <wp:posOffset>2152650</wp:posOffset>
                      </wp:positionV>
                      <wp:extent cx="1117600" cy="168910"/>
                      <wp:effectExtent l="0" t="0" r="6350" b="19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68910"/>
                              </a:xfrm>
                              <a:prstGeom prst="rect">
                                <a:avLst/>
                              </a:prstGeom>
                              <a:noFill/>
                              <a:ln w="9525">
                                <a:noFill/>
                                <a:miter lim="800000"/>
                                <a:headEnd/>
                                <a:tailEnd/>
                              </a:ln>
                            </wps:spPr>
                            <wps:txbx>
                              <w:txbxContent>
                                <w:p w14:paraId="5A3EB9A8" w14:textId="02D3B68C" w:rsidR="00B7179A" w:rsidRPr="00633DB8" w:rsidRDefault="00B7179A" w:rsidP="00B7179A">
                                  <w:pPr>
                                    <w:rPr>
                                      <w:b/>
                                      <w:bCs/>
                                    </w:rPr>
                                  </w:pPr>
                                  <w:r w:rsidRPr="00633DB8">
                                    <w:rPr>
                                      <w:b/>
                                      <w:bCs/>
                                    </w:rPr>
                                    <w:t>Comb felső része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6AC0888" id="Text Box 19" o:spid="_x0000_s1043" type="#_x0000_t202" style="position:absolute;margin-left:41.55pt;margin-top:169.5pt;width:88pt;height:13.3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" filled="f" stroked="f">
                      <v:textbox style="mso-fit-shape-to-text:t" inset="0,0,0,0">
                        <w:txbxContent>
                          <w:p w14:paraId="5A3EB9A8" w14:textId="02D3B68C" w:rsidR="00B7179A" w:rsidRPr="00633DB8" w:rsidRDefault="00B7179A" w:rsidP="00B7179A">
                            <w:pPr>
                              <w:rPr>
                                <w:b/>
                                <w:bCs/>
                              </w:rPr>
                            </w:pPr>
                            <w:r w:rsidRPr="00633DB8">
                              <w:rPr>
                                <w:b/>
                                <w:bCs/>
                              </w:rPr>
                              <w:t>Comb felső része</w:t>
                            </w:r>
                          </w:p>
                        </w:txbxContent>
                      </v:textbox>
                      <w10:wrap type="square" anchory="page"/>
                    </v:shape>
                  </w:pict>
                </mc:Fallback>
              </mc:AlternateContent>
            </w:r>
            <w:r w:rsidRPr="00C515CC">
              <w:rPr>
                <w:rFonts w:eastAsia="Calibri"/>
                <w:noProof/>
                <w:lang w:val="pl-PL" w:eastAsia="pl-PL"/>
              </w:rPr>
              <mc:AlternateContent>
                <mc:Choice Requires="wps">
                  <w:drawing>
                    <wp:anchor distT="45720" distB="45720" distL="114300" distR="114300" simplePos="0" relativeHeight="251693568" behindDoc="0" locked="0" layoutInCell="1" allowOverlap="1" wp14:anchorId="103B8EE3" wp14:editId="6EB25191">
                      <wp:simplePos x="0" y="0"/>
                      <wp:positionH relativeFrom="column">
                        <wp:posOffset>1232535</wp:posOffset>
                      </wp:positionH>
                      <wp:positionV relativeFrom="page">
                        <wp:posOffset>1511300</wp:posOffset>
                      </wp:positionV>
                      <wp:extent cx="355600" cy="168910"/>
                      <wp:effectExtent l="0" t="0" r="6350" b="190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68910"/>
                              </a:xfrm>
                              <a:prstGeom prst="rect">
                                <a:avLst/>
                              </a:prstGeom>
                              <a:noFill/>
                              <a:ln w="9525">
                                <a:noFill/>
                                <a:miter lim="800000"/>
                                <a:headEnd/>
                                <a:tailEnd/>
                              </a:ln>
                            </wps:spPr>
                            <wps:txbx>
                              <w:txbxContent>
                                <w:p w14:paraId="67CA62D7" w14:textId="0F0EBCD4" w:rsidR="00B7179A" w:rsidRPr="00633DB8" w:rsidRDefault="00B7179A" w:rsidP="00B7179A">
                                  <w:pPr>
                                    <w:rPr>
                                      <w:b/>
                                      <w:bCs/>
                                    </w:rPr>
                                  </w:pPr>
                                  <w:r w:rsidRPr="00633DB8">
                                    <w:rPr>
                                      <w:b/>
                                      <w:bCs/>
                                    </w:rPr>
                                    <w:t>Has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03B8EE3" id="Text Box 18" o:spid="_x0000_s1044" type="#_x0000_t202" style="position:absolute;margin-left:97.05pt;margin-top:119pt;width:28pt;height:13.3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" filled="f" stroked="f">
                      <v:textbox style="mso-fit-shape-to-text:t" inset="0,0,0,0">
                        <w:txbxContent>
                          <w:p w14:paraId="67CA62D7" w14:textId="0F0EBCD4" w:rsidR="00B7179A" w:rsidRPr="00633DB8" w:rsidRDefault="00B7179A" w:rsidP="00B7179A">
                            <w:pPr>
                              <w:rPr>
                                <w:b/>
                                <w:bCs/>
                              </w:rPr>
                            </w:pPr>
                            <w:r w:rsidRPr="00633DB8">
                              <w:rPr>
                                <w:b/>
                                <w:bCs/>
                              </w:rPr>
                              <w:t>Has</w:t>
                            </w:r>
                          </w:p>
                        </w:txbxContent>
                      </v:textbox>
                      <w10:wrap type="square" anchory="page"/>
                    </v:shape>
                  </w:pict>
                </mc:Fallback>
              </mc:AlternateContent>
            </w:r>
            <w:r w:rsidRPr="00C515CC">
              <w:rPr>
                <w:rFonts w:eastAsia="Calibri"/>
                <w:noProof/>
                <w:lang w:val="pl-PL" w:eastAsia="pl-PL"/>
              </w:rPr>
              <mc:AlternateContent>
                <mc:Choice Requires="wps">
                  <w:drawing>
                    <wp:anchor distT="45720" distB="45720" distL="114300" distR="114300" simplePos="0" relativeHeight="251692544" behindDoc="0" locked="0" layoutInCell="1" allowOverlap="1" wp14:anchorId="68E701CB" wp14:editId="74EED4DF">
                      <wp:simplePos x="0" y="0"/>
                      <wp:positionH relativeFrom="column">
                        <wp:posOffset>1104265</wp:posOffset>
                      </wp:positionH>
                      <wp:positionV relativeFrom="page">
                        <wp:posOffset>527050</wp:posOffset>
                      </wp:positionV>
                      <wp:extent cx="577850" cy="168910"/>
                      <wp:effectExtent l="0" t="0" r="12700" b="19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68910"/>
                              </a:xfrm>
                              <a:prstGeom prst="rect">
                                <a:avLst/>
                              </a:prstGeom>
                              <a:noFill/>
                              <a:ln w="9525">
                                <a:noFill/>
                                <a:miter lim="800000"/>
                                <a:headEnd/>
                                <a:tailEnd/>
                              </a:ln>
                            </wps:spPr>
                            <wps:txbx>
                              <w:txbxContent>
                                <w:p w14:paraId="157FED96" w14:textId="436ECBB0" w:rsidR="00B7179A" w:rsidRPr="00633DB8" w:rsidRDefault="00B7179A" w:rsidP="00B7179A">
                                  <w:pPr>
                                    <w:rPr>
                                      <w:b/>
                                      <w:bCs/>
                                    </w:rPr>
                                  </w:pPr>
                                  <w:r w:rsidRPr="00633DB8">
                                    <w:rPr>
                                      <w:b/>
                                      <w:bCs/>
                                    </w:rPr>
                                    <w:t>Felkar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8E701CB" id="Text Box 17" o:spid="_x0000_s1045" type="#_x0000_t202" style="position:absolute;margin-left:86.95pt;margin-top:41.5pt;width:45.5pt;height:13.3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" filled="f" stroked="f">
                      <v:textbox style="mso-fit-shape-to-text:t" inset="0,0,0,0">
                        <w:txbxContent>
                          <w:p w14:paraId="157FED96" w14:textId="436ECBB0" w:rsidR="00B7179A" w:rsidRPr="00633DB8" w:rsidRDefault="00B7179A" w:rsidP="00B7179A">
                            <w:pPr>
                              <w:rPr>
                                <w:b/>
                                <w:bCs/>
                              </w:rPr>
                            </w:pPr>
                            <w:r w:rsidRPr="00633DB8">
                              <w:rPr>
                                <w:b/>
                                <w:bCs/>
                              </w:rPr>
                              <w:t>Felkar</w:t>
                            </w:r>
                          </w:p>
                        </w:txbxContent>
                      </v:textbox>
                      <w10:wrap type="square" anchory="page"/>
                    </v:shape>
                  </w:pict>
                </mc:Fallback>
              </mc:AlternateContent>
            </w:r>
            <w:r w:rsidRPr="00C515CC">
              <w:rPr>
                <w:rFonts w:eastAsia="Calibri"/>
                <w:b/>
                <w:noProof/>
                <w:lang w:val="pl-PL" w:eastAsia="pl-PL"/>
              </w:rPr>
              <w:drawing>
                <wp:anchor distT="0" distB="0" distL="114300" distR="114300" simplePos="0" relativeHeight="251691520" behindDoc="0" locked="0" layoutInCell="1" allowOverlap="1" wp14:anchorId="4DDEE9DF" wp14:editId="262A0EA8">
                  <wp:simplePos x="0" y="0"/>
                  <wp:positionH relativeFrom="margin">
                    <wp:posOffset>1553210</wp:posOffset>
                  </wp:positionH>
                  <wp:positionV relativeFrom="paragraph">
                    <wp:posOffset>19050</wp:posOffset>
                  </wp:positionV>
                  <wp:extent cx="3059430" cy="2919095"/>
                  <wp:effectExtent l="0" t="0" r="7620" b="0"/>
                  <wp:wrapTopAndBottom/>
                  <wp:docPr id="609850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6">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r w:rsidRPr="00C515CC">
              <w:rPr>
                <w:b/>
              </w:rPr>
              <w:t>Beadhatja az injekciót:</w:t>
            </w:r>
          </w:p>
        </w:tc>
      </w:tr>
      <w:tr w:rsidR="002D445D" w:rsidRPr="00C515CC" w14:paraId="0B6F6FAE" w14:textId="77777777" w:rsidTr="002D445D">
        <w:trPr>
          <w:cantSplit/>
          <w:trHeight w:val="57"/>
        </w:trPr>
        <w:tc>
          <w:tcPr>
            <w:tcW w:w="5000" w:type="pct"/>
            <w:gridSpan w:val="3"/>
            <w:tcBorders>
              <w:top w:val="nil"/>
              <w:bottom w:val="nil"/>
            </w:tcBorders>
            <w:tcMar>
              <w:top w:w="28" w:type="dxa"/>
              <w:left w:w="57" w:type="dxa"/>
              <w:bottom w:w="28" w:type="dxa"/>
              <w:right w:w="57" w:type="dxa"/>
            </w:tcMar>
          </w:tcPr>
          <w:p w14:paraId="771FAD43" w14:textId="77777777" w:rsidR="006D7DD6" w:rsidRPr="00C515CC" w:rsidRDefault="006D7DD6" w:rsidP="00C515CC">
            <w:pPr>
              <w:keepNext/>
              <w:numPr>
                <w:ilvl w:val="0"/>
                <w:numId w:val="54"/>
              </w:numPr>
              <w:tabs>
                <w:tab w:val="clear" w:pos="567"/>
              </w:tabs>
              <w:ind w:left="567" w:hanging="567"/>
            </w:pPr>
            <w:r w:rsidRPr="00C515CC">
              <w:t>Combja felső részébe.</w:t>
            </w:r>
          </w:p>
          <w:p w14:paraId="1546E4F8" w14:textId="77777777" w:rsidR="006D7DD6" w:rsidRPr="00C515CC" w:rsidRDefault="006D7DD6" w:rsidP="00C515CC">
            <w:pPr>
              <w:keepNext/>
              <w:numPr>
                <w:ilvl w:val="0"/>
                <w:numId w:val="54"/>
              </w:numPr>
              <w:tabs>
                <w:tab w:val="clear" w:pos="567"/>
              </w:tabs>
              <w:ind w:left="567" w:hanging="567"/>
            </w:pPr>
            <w:r w:rsidRPr="00C515CC">
              <w:t>Hasába, a köldöke körüli 5 cm</w:t>
            </w:r>
            <w:r w:rsidRPr="00C515CC">
              <w:noBreakHyphen/>
              <w:t>es területet kivéve.</w:t>
            </w:r>
          </w:p>
          <w:p w14:paraId="5BCABADC" w14:textId="77777777" w:rsidR="006D7DD6" w:rsidRPr="00C515CC" w:rsidRDefault="006D7DD6" w:rsidP="00C515CC">
            <w:pPr>
              <w:keepNext/>
              <w:numPr>
                <w:ilvl w:val="0"/>
                <w:numId w:val="54"/>
              </w:numPr>
              <w:tabs>
                <w:tab w:val="clear" w:pos="567"/>
              </w:tabs>
              <w:ind w:left="567" w:hanging="567"/>
            </w:pPr>
            <w:r w:rsidRPr="00C515CC">
              <w:t>Felkarja külső felszínébe (amennyiben valaki más adja be Önnek az injekciót).</w:t>
            </w:r>
          </w:p>
        </w:tc>
      </w:tr>
      <w:tr w:rsidR="006D7DD6" w:rsidRPr="00C515CC" w14:paraId="48299C98" w14:textId="77777777" w:rsidTr="00633DB8">
        <w:trPr>
          <w:cantSplit/>
          <w:trHeight w:val="57"/>
        </w:trPr>
        <w:tc>
          <w:tcPr>
            <w:tcW w:w="5000" w:type="pct"/>
            <w:gridSpan w:val="3"/>
            <w:tcBorders>
              <w:top w:val="nil"/>
              <w:bottom w:val="nil"/>
            </w:tcBorders>
            <w:tcMar>
              <w:top w:w="28" w:type="dxa"/>
              <w:left w:w="57" w:type="dxa"/>
              <w:bottom w:w="28" w:type="dxa"/>
              <w:right w:w="57" w:type="dxa"/>
            </w:tcMar>
          </w:tcPr>
          <w:p w14:paraId="08EC6F69" w14:textId="77777777" w:rsidR="00B7179A" w:rsidRPr="00C515CC" w:rsidRDefault="00B7179A" w:rsidP="00C515CC">
            <w:pPr>
              <w:keepNext/>
            </w:pPr>
          </w:p>
          <w:p w14:paraId="4D1C0CF3" w14:textId="31EFC4C5" w:rsidR="006D7DD6" w:rsidRPr="00C515CC" w:rsidRDefault="006D7DD6" w:rsidP="00C515CC">
            <w:pPr>
              <w:keepNext/>
            </w:pPr>
            <w:r w:rsidRPr="00C515CC">
              <w:t>Tisztítsa meg az injekció beadásának helyét alkoholos törlőkendővel. Hagyja bőrét megszáradni.</w:t>
            </w:r>
          </w:p>
        </w:tc>
      </w:tr>
      <w:tr w:rsidR="002D445D" w:rsidRPr="00C515CC" w14:paraId="09CC12CF" w14:textId="77777777" w:rsidTr="002D445D">
        <w:trPr>
          <w:cantSplit/>
          <w:trHeight w:val="57"/>
        </w:trPr>
        <w:tc>
          <w:tcPr>
            <w:tcW w:w="314" w:type="pct"/>
            <w:gridSpan w:val="2"/>
            <w:tcBorders>
              <w:top w:val="nil"/>
              <w:bottom w:val="nil"/>
              <w:right w:val="nil"/>
            </w:tcBorders>
            <w:tcMar>
              <w:top w:w="28" w:type="dxa"/>
              <w:left w:w="57" w:type="dxa"/>
              <w:bottom w:w="28" w:type="dxa"/>
              <w:right w:w="57" w:type="dxa"/>
            </w:tcMar>
          </w:tcPr>
          <w:p w14:paraId="542024F7" w14:textId="76EBECEC" w:rsidR="002D445D" w:rsidRPr="00C515CC" w:rsidRDefault="002D445D" w:rsidP="00C515CC">
            <w:pPr>
              <w:pStyle w:val="BULLETED"/>
              <w:keepNext/>
              <w:widowControl/>
              <w:numPr>
                <w:ilvl w:val="0"/>
                <w:numId w:val="0"/>
              </w:numPr>
              <w:tabs>
                <w:tab w:val="clear" w:pos="810"/>
              </w:tabs>
              <w:spacing w:before="0" w:line="240" w:lineRule="auto"/>
              <w:rPr>
                <w:color w:val="auto"/>
                <w:sz w:val="22"/>
                <w:szCs w:val="22"/>
              </w:rPr>
            </w:pPr>
            <w:r w:rsidRPr="00C515CC">
              <w:rPr>
                <w:noProof/>
                <w:sz w:val="22"/>
              </w:rPr>
              <w:drawing>
                <wp:anchor distT="0" distB="0" distL="114300" distR="114300" simplePos="0" relativeHeight="251689472" behindDoc="0" locked="0" layoutInCell="1" allowOverlap="1" wp14:anchorId="7F2EE80F" wp14:editId="63780826">
                  <wp:simplePos x="0" y="0"/>
                  <wp:positionH relativeFrom="column">
                    <wp:posOffset>8255</wp:posOffset>
                  </wp:positionH>
                  <wp:positionV relativeFrom="paragraph">
                    <wp:posOffset>26035</wp:posOffset>
                  </wp:positionV>
                  <wp:extent cx="119380" cy="119380"/>
                  <wp:effectExtent l="0" t="0" r="0" b="0"/>
                  <wp:wrapNone/>
                  <wp:docPr id="4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p w14:paraId="6B271135" w14:textId="5365D2DC" w:rsidR="002D445D" w:rsidRPr="00C515CC" w:rsidRDefault="002D445D" w:rsidP="00C515CC">
            <w:pPr>
              <w:pStyle w:val="BULLETED"/>
              <w:keepNext/>
              <w:widowControl/>
              <w:numPr>
                <w:ilvl w:val="0"/>
                <w:numId w:val="0"/>
              </w:numPr>
              <w:tabs>
                <w:tab w:val="clear" w:pos="810"/>
              </w:tabs>
              <w:spacing w:before="0" w:line="240" w:lineRule="auto"/>
              <w:rPr>
                <w:color w:val="auto"/>
                <w:sz w:val="22"/>
                <w:szCs w:val="22"/>
              </w:rPr>
            </w:pPr>
          </w:p>
          <w:p w14:paraId="60F2AA6F" w14:textId="2433AA24" w:rsidR="002D445D" w:rsidRPr="00C515CC" w:rsidRDefault="002D445D" w:rsidP="00C515CC">
            <w:pPr>
              <w:pStyle w:val="BULLETED"/>
              <w:keepNext/>
              <w:widowControl/>
              <w:numPr>
                <w:ilvl w:val="0"/>
                <w:numId w:val="0"/>
              </w:numPr>
              <w:tabs>
                <w:tab w:val="clear" w:pos="810"/>
              </w:tabs>
              <w:spacing w:before="0" w:line="240" w:lineRule="auto"/>
              <w:rPr>
                <w:color w:val="auto"/>
                <w:sz w:val="22"/>
                <w:szCs w:val="22"/>
              </w:rPr>
            </w:pPr>
            <w:r w:rsidRPr="00C515CC">
              <w:rPr>
                <w:noProof/>
                <w:color w:val="auto"/>
                <w:sz w:val="22"/>
              </w:rPr>
              <w:drawing>
                <wp:inline distT="0" distB="0" distL="0" distR="0" wp14:anchorId="6D12E21F" wp14:editId="05A7FE07">
                  <wp:extent cx="215900" cy="215900"/>
                  <wp:effectExtent l="0" t="0" r="0" b="0"/>
                  <wp:docPr id="1800493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p>
          <w:p w14:paraId="7F6956A5" w14:textId="087B229F" w:rsidR="006D7DD6" w:rsidRPr="00C515CC" w:rsidRDefault="006D7DD6" w:rsidP="00C515CC">
            <w:pPr>
              <w:pStyle w:val="BULLETED"/>
              <w:keepNext/>
              <w:widowControl/>
              <w:numPr>
                <w:ilvl w:val="0"/>
                <w:numId w:val="0"/>
              </w:numPr>
              <w:tabs>
                <w:tab w:val="clear" w:pos="810"/>
              </w:tabs>
              <w:spacing w:before="0" w:line="240" w:lineRule="auto"/>
              <w:rPr>
                <w:color w:val="auto"/>
                <w:sz w:val="22"/>
                <w:szCs w:val="22"/>
              </w:rPr>
            </w:pPr>
          </w:p>
        </w:tc>
        <w:tc>
          <w:tcPr>
            <w:tcW w:w="4686" w:type="pct"/>
            <w:tcBorders>
              <w:top w:val="nil"/>
              <w:left w:val="nil"/>
              <w:bottom w:val="nil"/>
            </w:tcBorders>
            <w:tcMar>
              <w:left w:w="0" w:type="dxa"/>
            </w:tcMar>
          </w:tcPr>
          <w:p w14:paraId="74DDD475" w14:textId="77777777" w:rsidR="006D7DD6" w:rsidRPr="00C515CC" w:rsidRDefault="006D7DD6" w:rsidP="00C515CC">
            <w:pPr>
              <w:keepNext/>
              <w:ind w:left="107"/>
            </w:pPr>
            <w:r w:rsidRPr="00C515CC">
              <w:rPr>
                <w:b/>
              </w:rPr>
              <w:t>Ne</w:t>
            </w:r>
            <w:r w:rsidRPr="00C515CC">
              <w:t xml:space="preserve"> érintse meg az injekció beadási helyét az injekció beadása előtt.</w:t>
            </w:r>
          </w:p>
          <w:p w14:paraId="04651852" w14:textId="77777777" w:rsidR="002D445D" w:rsidRPr="00C515CC" w:rsidRDefault="002D445D" w:rsidP="00C515CC">
            <w:pPr>
              <w:keepNext/>
              <w:ind w:left="107"/>
            </w:pPr>
          </w:p>
          <w:p w14:paraId="072DF992" w14:textId="004E767A" w:rsidR="002D445D" w:rsidRPr="00C515CC" w:rsidRDefault="002D445D" w:rsidP="00C515CC">
            <w:pPr>
              <w:keepNext/>
              <w:ind w:left="107"/>
            </w:pPr>
            <w:r w:rsidRPr="00C515CC">
              <w:rPr>
                <w:b/>
              </w:rPr>
              <w:t>Ne</w:t>
            </w:r>
            <w:r w:rsidRPr="00C515CC">
              <w:t xml:space="preserve"> adja be az injekciót olyan helyre, ahol a bőr érzékeny, sebes, vörös vagy kemény. Kerülje az injekció beadását olyan helyeken, ahol hegek vagy striák vannak.</w:t>
            </w:r>
          </w:p>
        </w:tc>
      </w:tr>
      <w:tr w:rsidR="00951F81" w:rsidRPr="00C515CC" w14:paraId="66D54B11" w14:textId="77777777" w:rsidTr="00633DB8">
        <w:trPr>
          <w:cantSplit/>
          <w:trHeight w:val="57"/>
        </w:trPr>
        <w:tc>
          <w:tcPr>
            <w:tcW w:w="288" w:type="pct"/>
            <w:tcMar>
              <w:top w:w="28" w:type="dxa"/>
              <w:left w:w="57" w:type="dxa"/>
              <w:bottom w:w="28" w:type="dxa"/>
              <w:right w:w="57" w:type="dxa"/>
            </w:tcMar>
          </w:tcPr>
          <w:p w14:paraId="41C4867F" w14:textId="77777777" w:rsidR="00951F81" w:rsidRPr="00C515CC" w:rsidRDefault="00951F81" w:rsidP="00C515CC">
            <w:pPr>
              <w:keepNext/>
            </w:pPr>
            <w:r w:rsidRPr="00C515CC">
              <w:t>B</w:t>
            </w:r>
          </w:p>
        </w:tc>
        <w:tc>
          <w:tcPr>
            <w:tcW w:w="4712" w:type="pct"/>
            <w:gridSpan w:val="2"/>
            <w:tcMar>
              <w:left w:w="57" w:type="dxa"/>
              <w:right w:w="57" w:type="dxa"/>
            </w:tcMar>
          </w:tcPr>
          <w:p w14:paraId="2B68997E" w14:textId="1815F60F" w:rsidR="00951F81" w:rsidRPr="00C515CC" w:rsidRDefault="00951F81" w:rsidP="00C515CC">
            <w:pPr>
              <w:keepNext/>
            </w:pPr>
            <w:r w:rsidRPr="00C515CC">
              <w:t>Egyenesen, a testétől eltartva, óvatosan húzza le a szürke tűvédő kupakot.</w:t>
            </w:r>
          </w:p>
        </w:tc>
      </w:tr>
      <w:tr w:rsidR="00951F81" w:rsidRPr="00C515CC" w14:paraId="659D253B" w14:textId="77777777" w:rsidTr="00633DB8">
        <w:trPr>
          <w:cantSplit/>
          <w:trHeight w:val="57"/>
        </w:trPr>
        <w:tc>
          <w:tcPr>
            <w:tcW w:w="5000" w:type="pct"/>
            <w:gridSpan w:val="3"/>
            <w:tcBorders>
              <w:bottom w:val="single" w:sz="4" w:space="0" w:color="auto"/>
            </w:tcBorders>
            <w:tcMar>
              <w:top w:w="28" w:type="dxa"/>
              <w:left w:w="57" w:type="dxa"/>
              <w:bottom w:w="28" w:type="dxa"/>
              <w:right w:w="57" w:type="dxa"/>
            </w:tcMar>
          </w:tcPr>
          <w:p w14:paraId="1FADB248" w14:textId="7CD1CF47" w:rsidR="00951F81" w:rsidRPr="00C515CC" w:rsidRDefault="002438F1" w:rsidP="00C515CC">
            <w:pPr>
              <w:pStyle w:val="BULLETED"/>
              <w:keepNext/>
              <w:widowControl/>
              <w:numPr>
                <w:ilvl w:val="0"/>
                <w:numId w:val="0"/>
              </w:numPr>
              <w:tabs>
                <w:tab w:val="clear" w:pos="810"/>
              </w:tabs>
              <w:spacing w:before="0" w:line="240" w:lineRule="auto"/>
              <w:rPr>
                <w:color w:val="auto"/>
                <w:sz w:val="22"/>
                <w:szCs w:val="22"/>
              </w:rPr>
            </w:pPr>
            <w:r w:rsidRPr="00C515CC">
              <w:rPr>
                <w:noProof/>
                <w:sz w:val="22"/>
                <w:lang w:val="pl-PL" w:eastAsia="pl-PL"/>
              </w:rPr>
              <w:drawing>
                <wp:anchor distT="0" distB="0" distL="114300" distR="114300" simplePos="0" relativeHeight="251696640" behindDoc="0" locked="0" layoutInCell="1" allowOverlap="1" wp14:anchorId="56480A6B" wp14:editId="08C2D440">
                  <wp:simplePos x="0" y="0"/>
                  <wp:positionH relativeFrom="margin">
                    <wp:posOffset>1214755</wp:posOffset>
                  </wp:positionH>
                  <wp:positionV relativeFrom="paragraph">
                    <wp:posOffset>74930</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8">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bl>
    <w:p w14:paraId="58AA47A9" w14:textId="77777777" w:rsidR="00951F81" w:rsidRPr="00C515CC" w:rsidRDefault="00951F81" w:rsidP="00C515CC"/>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8"/>
      </w:tblGrid>
      <w:tr w:rsidR="00951F81" w:rsidRPr="00C515CC" w14:paraId="71B8EC25" w14:textId="77777777" w:rsidTr="006172AE">
        <w:trPr>
          <w:cantSplit/>
          <w:trHeight w:val="57"/>
        </w:trPr>
        <w:tc>
          <w:tcPr>
            <w:tcW w:w="331" w:type="pct"/>
            <w:tcMar>
              <w:top w:w="28" w:type="dxa"/>
              <w:left w:w="57" w:type="dxa"/>
              <w:bottom w:w="28" w:type="dxa"/>
              <w:right w:w="57" w:type="dxa"/>
            </w:tcMar>
          </w:tcPr>
          <w:p w14:paraId="178C0892" w14:textId="77777777" w:rsidR="00951F81" w:rsidRPr="00C515CC" w:rsidRDefault="00951F81" w:rsidP="00C515CC">
            <w:pPr>
              <w:keepNext/>
            </w:pPr>
            <w:r w:rsidRPr="00C515CC">
              <w:t>C</w:t>
            </w:r>
          </w:p>
        </w:tc>
        <w:tc>
          <w:tcPr>
            <w:tcW w:w="4669" w:type="pct"/>
            <w:tcMar>
              <w:left w:w="57" w:type="dxa"/>
              <w:right w:w="57" w:type="dxa"/>
            </w:tcMar>
          </w:tcPr>
          <w:p w14:paraId="72318B46" w14:textId="77777777" w:rsidR="00951F81" w:rsidRPr="00C515CC" w:rsidRDefault="00951F81" w:rsidP="00C515CC">
            <w:pPr>
              <w:keepNext/>
            </w:pPr>
            <w:r w:rsidRPr="00C515CC">
              <w:t>Szorítsa össze az injekció beadási helyét, hogy kemény területet hozzon létre.</w:t>
            </w:r>
          </w:p>
        </w:tc>
      </w:tr>
      <w:tr w:rsidR="00951F81" w:rsidRPr="00C515CC" w14:paraId="14F46212" w14:textId="77777777" w:rsidTr="006172AE">
        <w:trPr>
          <w:cantSplit/>
          <w:trHeight w:val="57"/>
        </w:trPr>
        <w:tc>
          <w:tcPr>
            <w:tcW w:w="5000" w:type="pct"/>
            <w:gridSpan w:val="2"/>
            <w:tcBorders>
              <w:bottom w:val="nil"/>
            </w:tcBorders>
            <w:tcMar>
              <w:top w:w="28" w:type="dxa"/>
              <w:left w:w="57" w:type="dxa"/>
              <w:bottom w:w="28" w:type="dxa"/>
              <w:right w:w="57" w:type="dxa"/>
            </w:tcMar>
          </w:tcPr>
          <w:p w14:paraId="5E48410C" w14:textId="660754CD" w:rsidR="00951F81" w:rsidRPr="00C515CC" w:rsidRDefault="00BC6733" w:rsidP="00C515CC">
            <w:pPr>
              <w:pStyle w:val="BULLETED"/>
              <w:keepNext/>
              <w:widowControl/>
              <w:numPr>
                <w:ilvl w:val="0"/>
                <w:numId w:val="0"/>
              </w:numPr>
              <w:tabs>
                <w:tab w:val="clear" w:pos="810"/>
              </w:tabs>
              <w:spacing w:before="0" w:line="240" w:lineRule="auto"/>
              <w:jc w:val="center"/>
              <w:rPr>
                <w:color w:val="auto"/>
                <w:sz w:val="22"/>
                <w:szCs w:val="22"/>
              </w:rPr>
            </w:pPr>
            <w:r w:rsidRPr="00C515CC">
              <w:rPr>
                <w:noProof/>
                <w:sz w:val="22"/>
                <w:lang w:val="pl-PL" w:eastAsia="pl-PL"/>
              </w:rPr>
              <w:drawing>
                <wp:anchor distT="0" distB="0" distL="114300" distR="114300" simplePos="0" relativeHeight="251698688" behindDoc="0" locked="0" layoutInCell="1" allowOverlap="1" wp14:anchorId="1222607F" wp14:editId="50CCC649">
                  <wp:simplePos x="0" y="0"/>
                  <wp:positionH relativeFrom="margin">
                    <wp:posOffset>1265555</wp:posOffset>
                  </wp:positionH>
                  <wp:positionV relativeFrom="paragraph">
                    <wp:posOffset>42545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C515CC" w14:paraId="294C7736" w14:textId="77777777" w:rsidTr="006172AE">
        <w:trPr>
          <w:cantSplit/>
          <w:trHeight w:val="57"/>
        </w:trPr>
        <w:tc>
          <w:tcPr>
            <w:tcW w:w="331" w:type="pct"/>
            <w:tcBorders>
              <w:top w:val="nil"/>
              <w:right w:val="nil"/>
            </w:tcBorders>
            <w:tcMar>
              <w:top w:w="28" w:type="dxa"/>
              <w:left w:w="57" w:type="dxa"/>
              <w:bottom w:w="28" w:type="dxa"/>
              <w:right w:w="57" w:type="dxa"/>
            </w:tcMar>
          </w:tcPr>
          <w:p w14:paraId="7E6317EA" w14:textId="05D75B06" w:rsidR="00951F81" w:rsidRPr="00C515CC" w:rsidRDefault="006C76E1" w:rsidP="00C515CC">
            <w:pPr>
              <w:pStyle w:val="BULLETED"/>
              <w:keepNext/>
              <w:widowControl/>
              <w:numPr>
                <w:ilvl w:val="0"/>
                <w:numId w:val="0"/>
              </w:numPr>
              <w:tabs>
                <w:tab w:val="clear" w:pos="810"/>
              </w:tabs>
              <w:spacing w:before="0" w:line="240" w:lineRule="auto"/>
              <w:rPr>
                <w:color w:val="auto"/>
                <w:sz w:val="22"/>
                <w:szCs w:val="22"/>
              </w:rPr>
            </w:pPr>
            <w:r w:rsidRPr="00C515CC">
              <w:rPr>
                <w:noProof/>
                <w:color w:val="auto"/>
                <w:sz w:val="22"/>
              </w:rPr>
              <w:drawing>
                <wp:inline distT="0" distB="0" distL="0" distR="0" wp14:anchorId="69B141BF" wp14:editId="60FA8544">
                  <wp:extent cx="271780" cy="27178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tc>
        <w:tc>
          <w:tcPr>
            <w:tcW w:w="4669" w:type="pct"/>
            <w:tcBorders>
              <w:top w:val="nil"/>
              <w:left w:val="nil"/>
            </w:tcBorders>
            <w:vAlign w:val="center"/>
          </w:tcPr>
          <w:p w14:paraId="3A9961DF" w14:textId="77777777" w:rsidR="00951F81" w:rsidRPr="00C515CC" w:rsidRDefault="00951F81" w:rsidP="00C515CC">
            <w:pPr>
              <w:keepNext/>
            </w:pPr>
            <w:r w:rsidRPr="00C515CC">
              <w:t>Fontos, hogy az injekció beadása alatt a bőrét mindvégig összeszorítva tartsa.</w:t>
            </w:r>
          </w:p>
        </w:tc>
      </w:tr>
    </w:tbl>
    <w:p w14:paraId="75862C3A" w14:textId="77777777" w:rsidR="00951F81" w:rsidRPr="00C515CC" w:rsidRDefault="00951F81" w:rsidP="00C515CC"/>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70"/>
      </w:tblGrid>
      <w:tr w:rsidR="00951F81" w:rsidRPr="00C515CC" w14:paraId="54779824" w14:textId="77777777" w:rsidTr="006172AE">
        <w:trPr>
          <w:cantSplit/>
          <w:trHeight w:val="57"/>
        </w:trPr>
        <w:tc>
          <w:tcPr>
            <w:tcW w:w="5000" w:type="pct"/>
            <w:gridSpan w:val="2"/>
            <w:tcBorders>
              <w:bottom w:val="single" w:sz="4" w:space="0" w:color="auto"/>
            </w:tcBorders>
            <w:tcMar>
              <w:top w:w="28" w:type="dxa"/>
              <w:left w:w="57" w:type="dxa"/>
              <w:bottom w:w="28" w:type="dxa"/>
            </w:tcMar>
          </w:tcPr>
          <w:p w14:paraId="375BB691" w14:textId="77777777" w:rsidR="00951F81" w:rsidRPr="00C515CC" w:rsidRDefault="00951F81" w:rsidP="00C515CC">
            <w:pPr>
              <w:keepNext/>
              <w:jc w:val="center"/>
            </w:pPr>
            <w:r w:rsidRPr="00C515CC">
              <w:t xml:space="preserve">3. lépés: </w:t>
            </w:r>
            <w:r w:rsidRPr="00C515CC">
              <w:rPr>
                <w:b/>
              </w:rPr>
              <w:t>Adja be</w:t>
            </w:r>
          </w:p>
        </w:tc>
      </w:tr>
      <w:tr w:rsidR="00951F81" w:rsidRPr="00C515CC" w14:paraId="49D890CE" w14:textId="77777777" w:rsidTr="006172AE">
        <w:trPr>
          <w:cantSplit/>
          <w:trHeight w:val="57"/>
        </w:trPr>
        <w:tc>
          <w:tcPr>
            <w:tcW w:w="354" w:type="pct"/>
            <w:tcBorders>
              <w:bottom w:val="single" w:sz="4" w:space="0" w:color="auto"/>
            </w:tcBorders>
            <w:tcMar>
              <w:top w:w="28" w:type="dxa"/>
              <w:left w:w="57" w:type="dxa"/>
              <w:bottom w:w="28" w:type="dxa"/>
            </w:tcMar>
          </w:tcPr>
          <w:p w14:paraId="0B147127" w14:textId="77777777" w:rsidR="00951F81" w:rsidRPr="00C515CC" w:rsidRDefault="00951F81" w:rsidP="00C515CC">
            <w:pPr>
              <w:keepNext/>
            </w:pPr>
            <w:r w:rsidRPr="00C515CC">
              <w:t>A</w:t>
            </w:r>
          </w:p>
        </w:tc>
        <w:tc>
          <w:tcPr>
            <w:tcW w:w="4646" w:type="pct"/>
            <w:tcBorders>
              <w:bottom w:val="single" w:sz="4" w:space="0" w:color="auto"/>
            </w:tcBorders>
            <w:tcMar>
              <w:left w:w="57" w:type="dxa"/>
              <w:right w:w="57" w:type="dxa"/>
            </w:tcMar>
          </w:tcPr>
          <w:p w14:paraId="2A459101" w14:textId="77777777" w:rsidR="00951F81" w:rsidRPr="00C515CC" w:rsidRDefault="00951F81" w:rsidP="00C515CC">
            <w:pPr>
              <w:keepNext/>
            </w:pPr>
            <w:r w:rsidRPr="00C515CC">
              <w:t>Továbbra is tartsa bőrét összeszorítva. SZÚRJA BE a tűt a bőrbe.</w:t>
            </w:r>
          </w:p>
        </w:tc>
      </w:tr>
      <w:tr w:rsidR="00951F81" w:rsidRPr="00C515CC" w14:paraId="44612A24" w14:textId="77777777" w:rsidTr="006172AE">
        <w:trPr>
          <w:cantSplit/>
          <w:trHeight w:val="57"/>
        </w:trPr>
        <w:tc>
          <w:tcPr>
            <w:tcW w:w="5000" w:type="pct"/>
            <w:gridSpan w:val="2"/>
            <w:tcBorders>
              <w:top w:val="single" w:sz="4" w:space="0" w:color="auto"/>
              <w:bottom w:val="nil"/>
            </w:tcBorders>
            <w:tcMar>
              <w:top w:w="28" w:type="dxa"/>
              <w:left w:w="57" w:type="dxa"/>
              <w:bottom w:w="28" w:type="dxa"/>
            </w:tcMar>
          </w:tcPr>
          <w:p w14:paraId="14380694" w14:textId="063B6FD1" w:rsidR="00951F81" w:rsidRPr="00C515CC" w:rsidRDefault="00BC6733" w:rsidP="00C515CC">
            <w:pPr>
              <w:pStyle w:val="BULLETED"/>
              <w:keepNext/>
              <w:widowControl/>
              <w:numPr>
                <w:ilvl w:val="0"/>
                <w:numId w:val="0"/>
              </w:numPr>
              <w:tabs>
                <w:tab w:val="clear" w:pos="810"/>
              </w:tabs>
              <w:spacing w:before="0" w:line="240" w:lineRule="auto"/>
              <w:jc w:val="center"/>
              <w:rPr>
                <w:color w:val="auto"/>
                <w:sz w:val="22"/>
                <w:szCs w:val="22"/>
              </w:rPr>
            </w:pPr>
            <w:r w:rsidRPr="00C515CC">
              <w:rPr>
                <w:noProof/>
                <w:sz w:val="22"/>
                <w:lang w:val="pl-PL" w:eastAsia="pl-PL"/>
              </w:rPr>
              <w:drawing>
                <wp:anchor distT="0" distB="0" distL="114300" distR="114300" simplePos="0" relativeHeight="251700736" behindDoc="0" locked="0" layoutInCell="1" allowOverlap="1" wp14:anchorId="0D060F85" wp14:editId="22A34FAD">
                  <wp:simplePos x="0" y="0"/>
                  <wp:positionH relativeFrom="margin">
                    <wp:posOffset>1265555</wp:posOffset>
                  </wp:positionH>
                  <wp:positionV relativeFrom="paragraph">
                    <wp:posOffset>68580</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30">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C515CC" w14:paraId="1819709B" w14:textId="77777777" w:rsidTr="006172AE">
        <w:trPr>
          <w:cantSplit/>
          <w:trHeight w:val="57"/>
        </w:trPr>
        <w:tc>
          <w:tcPr>
            <w:tcW w:w="354" w:type="pct"/>
            <w:tcBorders>
              <w:top w:val="nil"/>
              <w:bottom w:val="single" w:sz="4" w:space="0" w:color="auto"/>
              <w:right w:val="nil"/>
            </w:tcBorders>
            <w:tcMar>
              <w:top w:w="28" w:type="dxa"/>
              <w:left w:w="57" w:type="dxa"/>
              <w:bottom w:w="28" w:type="dxa"/>
            </w:tcMar>
          </w:tcPr>
          <w:p w14:paraId="5E9A80C4" w14:textId="0920BB0E" w:rsidR="00951F81" w:rsidRPr="00C515CC" w:rsidRDefault="006C76E1" w:rsidP="00C515CC">
            <w:pPr>
              <w:pStyle w:val="BULLETED"/>
              <w:keepNext/>
              <w:widowControl/>
              <w:numPr>
                <w:ilvl w:val="0"/>
                <w:numId w:val="0"/>
              </w:numPr>
              <w:tabs>
                <w:tab w:val="clear" w:pos="810"/>
              </w:tabs>
              <w:spacing w:before="0" w:line="240" w:lineRule="auto"/>
              <w:rPr>
                <w:color w:val="auto"/>
                <w:sz w:val="22"/>
                <w:szCs w:val="22"/>
              </w:rPr>
            </w:pPr>
            <w:r w:rsidRPr="00C515CC">
              <w:rPr>
                <w:noProof/>
                <w:sz w:val="22"/>
              </w:rPr>
              <w:drawing>
                <wp:anchor distT="0" distB="0" distL="114300" distR="114300" simplePos="0" relativeHeight="251661824" behindDoc="0" locked="0" layoutInCell="1" allowOverlap="1" wp14:anchorId="4589894D" wp14:editId="3B536399">
                  <wp:simplePos x="0" y="0"/>
                  <wp:positionH relativeFrom="column">
                    <wp:posOffset>14605</wp:posOffset>
                  </wp:positionH>
                  <wp:positionV relativeFrom="paragraph">
                    <wp:posOffset>22225</wp:posOffset>
                  </wp:positionV>
                  <wp:extent cx="119380" cy="119380"/>
                  <wp:effectExtent l="0" t="0" r="0" b="0"/>
                  <wp:wrapNone/>
                  <wp:docPr id="5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tcPr>
          <w:p w14:paraId="684AC94D" w14:textId="77777777" w:rsidR="00951F81" w:rsidRPr="00C515CC" w:rsidRDefault="00951F81" w:rsidP="00C515CC">
            <w:pPr>
              <w:keepNext/>
            </w:pPr>
            <w:r w:rsidRPr="00C515CC">
              <w:rPr>
                <w:b/>
              </w:rPr>
              <w:t>Ne</w:t>
            </w:r>
            <w:r w:rsidRPr="00C515CC">
              <w:t xml:space="preserve"> érintse meg a megtisztított bőrterületet.</w:t>
            </w:r>
          </w:p>
        </w:tc>
      </w:tr>
    </w:tbl>
    <w:p w14:paraId="2301B7C9" w14:textId="77777777" w:rsidR="00951F81" w:rsidRPr="00C515CC" w:rsidRDefault="00951F81" w:rsidP="00C515CC"/>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347"/>
        <w:gridCol w:w="7981"/>
      </w:tblGrid>
      <w:tr w:rsidR="00951F81" w:rsidRPr="00C515CC" w14:paraId="39960EE3" w14:textId="77777777" w:rsidTr="00633DB8">
        <w:trPr>
          <w:cantSplit/>
          <w:trHeight w:val="57"/>
        </w:trPr>
        <w:tc>
          <w:tcPr>
            <w:tcW w:w="347" w:type="pct"/>
            <w:tcBorders>
              <w:bottom w:val="nil"/>
            </w:tcBorders>
            <w:tcMar>
              <w:top w:w="28" w:type="dxa"/>
              <w:left w:w="57" w:type="dxa"/>
              <w:bottom w:w="28" w:type="dxa"/>
            </w:tcMar>
          </w:tcPr>
          <w:p w14:paraId="13F46CD1" w14:textId="77777777" w:rsidR="00951F81" w:rsidRPr="00C515CC" w:rsidRDefault="00951F81" w:rsidP="00C515CC">
            <w:pPr>
              <w:keepNext/>
            </w:pPr>
            <w:r w:rsidRPr="00C515CC">
              <w:t>B</w:t>
            </w:r>
          </w:p>
        </w:tc>
        <w:tc>
          <w:tcPr>
            <w:tcW w:w="4653" w:type="pct"/>
            <w:gridSpan w:val="2"/>
            <w:tcBorders>
              <w:bottom w:val="nil"/>
            </w:tcBorders>
            <w:tcMar>
              <w:left w:w="57" w:type="dxa"/>
              <w:right w:w="57" w:type="dxa"/>
            </w:tcMar>
          </w:tcPr>
          <w:p w14:paraId="22FF5CC1" w14:textId="14964817" w:rsidR="00951F81" w:rsidRPr="00C515CC" w:rsidRDefault="00951F81" w:rsidP="00C515CC">
            <w:pPr>
              <w:keepNext/>
            </w:pPr>
            <w:r w:rsidRPr="00C515CC">
              <w:t xml:space="preserve">NYOMJA a dugattyút lassú és állandó nyomással, amíg </w:t>
            </w:r>
            <w:r w:rsidR="00BC6733" w:rsidRPr="00C515CC">
              <w:t xml:space="preserve">eléri a fecskendő </w:t>
            </w:r>
            <w:r w:rsidR="009B23CC" w:rsidRPr="00C515CC">
              <w:t>végét</w:t>
            </w:r>
            <w:r w:rsidR="00BC6733" w:rsidRPr="00C515CC">
              <w:t>.</w:t>
            </w:r>
          </w:p>
        </w:tc>
      </w:tr>
      <w:tr w:rsidR="00951F81" w:rsidRPr="00C515CC" w14:paraId="13626A67" w14:textId="77777777" w:rsidTr="00633DB8">
        <w:trPr>
          <w:cantSplit/>
          <w:trHeight w:val="5223"/>
        </w:trPr>
        <w:tc>
          <w:tcPr>
            <w:tcW w:w="541" w:type="pct"/>
            <w:gridSpan w:val="2"/>
            <w:tcBorders>
              <w:top w:val="single" w:sz="4" w:space="0" w:color="auto"/>
              <w:bottom w:val="single" w:sz="4" w:space="0" w:color="auto"/>
              <w:right w:val="nil"/>
            </w:tcBorders>
            <w:tcMar>
              <w:top w:w="28" w:type="dxa"/>
              <w:left w:w="57" w:type="dxa"/>
              <w:bottom w:w="28" w:type="dxa"/>
            </w:tcMar>
          </w:tcPr>
          <w:p w14:paraId="43603F23" w14:textId="645851F3" w:rsidR="00951F81" w:rsidRPr="00C515CC" w:rsidRDefault="00951F81" w:rsidP="00C515CC">
            <w:pPr>
              <w:pStyle w:val="BULLETED"/>
              <w:keepNext/>
              <w:widowControl/>
              <w:numPr>
                <w:ilvl w:val="0"/>
                <w:numId w:val="0"/>
              </w:numPr>
              <w:tabs>
                <w:tab w:val="clear" w:pos="810"/>
              </w:tabs>
              <w:spacing w:before="60" w:line="240" w:lineRule="auto"/>
              <w:rPr>
                <w:color w:val="auto"/>
                <w:sz w:val="22"/>
                <w:szCs w:val="22"/>
              </w:rPr>
            </w:pPr>
          </w:p>
        </w:tc>
        <w:tc>
          <w:tcPr>
            <w:tcW w:w="4459" w:type="pct"/>
            <w:tcBorders>
              <w:top w:val="single" w:sz="4" w:space="0" w:color="auto"/>
              <w:left w:val="nil"/>
              <w:bottom w:val="single" w:sz="4" w:space="0" w:color="auto"/>
            </w:tcBorders>
            <w:vAlign w:val="center"/>
          </w:tcPr>
          <w:p w14:paraId="5E62E7C5" w14:textId="54CDFA8A" w:rsidR="00951F81" w:rsidRPr="00C515CC" w:rsidRDefault="00BC6733" w:rsidP="00C515CC">
            <w:pPr>
              <w:keepNext/>
            </w:pPr>
            <w:r w:rsidRPr="00C515CC">
              <w:rPr>
                <w:noProof/>
                <w:lang w:val="pl-PL" w:eastAsia="pl-PL"/>
              </w:rPr>
              <w:drawing>
                <wp:anchor distT="0" distB="0" distL="114300" distR="114300" simplePos="0" relativeHeight="251702784" behindDoc="0" locked="0" layoutInCell="1" allowOverlap="1" wp14:anchorId="578228B8" wp14:editId="6BD7A95B">
                  <wp:simplePos x="0" y="0"/>
                  <wp:positionH relativeFrom="margin">
                    <wp:posOffset>720090</wp:posOffset>
                  </wp:positionH>
                  <wp:positionV relativeFrom="paragraph">
                    <wp:posOffset>-2307590</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31">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tc>
      </w:tr>
    </w:tbl>
    <w:p w14:paraId="4198B23B" w14:textId="77777777" w:rsidR="00951F81" w:rsidRPr="00C515CC" w:rsidRDefault="00951F81" w:rsidP="00C515CC"/>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315"/>
      </w:tblGrid>
      <w:tr w:rsidR="00951F81" w:rsidRPr="00C515CC" w14:paraId="4ECA202A" w14:textId="77777777" w:rsidTr="006172AE">
        <w:trPr>
          <w:cantSplit/>
          <w:trHeight w:val="57"/>
        </w:trPr>
        <w:tc>
          <w:tcPr>
            <w:tcW w:w="354" w:type="pct"/>
            <w:tcBorders>
              <w:bottom w:val="single" w:sz="4" w:space="0" w:color="auto"/>
            </w:tcBorders>
            <w:tcMar>
              <w:top w:w="28" w:type="dxa"/>
              <w:left w:w="57" w:type="dxa"/>
              <w:bottom w:w="28" w:type="dxa"/>
            </w:tcMar>
            <w:vAlign w:val="center"/>
          </w:tcPr>
          <w:p w14:paraId="19FA5FD9" w14:textId="77777777" w:rsidR="00951F81" w:rsidRPr="00C515CC" w:rsidRDefault="00951F81" w:rsidP="00C515CC">
            <w:pPr>
              <w:keepNext/>
            </w:pPr>
            <w:r w:rsidRPr="00C515CC">
              <w:t>C</w:t>
            </w:r>
          </w:p>
        </w:tc>
        <w:tc>
          <w:tcPr>
            <w:tcW w:w="4646" w:type="pct"/>
            <w:tcBorders>
              <w:bottom w:val="single" w:sz="4" w:space="0" w:color="auto"/>
            </w:tcBorders>
            <w:tcMar>
              <w:top w:w="28" w:type="dxa"/>
              <w:left w:w="57" w:type="dxa"/>
              <w:bottom w:w="28" w:type="dxa"/>
              <w:right w:w="57" w:type="dxa"/>
            </w:tcMar>
            <w:vAlign w:val="center"/>
          </w:tcPr>
          <w:p w14:paraId="353BB637" w14:textId="77777777" w:rsidR="00951F81" w:rsidRPr="00C515CC" w:rsidRDefault="00951F81" w:rsidP="00C515CC">
            <w:pPr>
              <w:keepNext/>
            </w:pPr>
            <w:r w:rsidRPr="00C515CC">
              <w:t>VEGYE EL a hüvelykujját. Azután EMELJE a fecskendőt el a bőrétől.</w:t>
            </w:r>
          </w:p>
        </w:tc>
      </w:tr>
      <w:tr w:rsidR="00951F81" w:rsidRPr="00C515CC" w14:paraId="40854E5B" w14:textId="77777777" w:rsidTr="006172AE">
        <w:trPr>
          <w:cantSplit/>
          <w:trHeight w:val="57"/>
        </w:trPr>
        <w:tc>
          <w:tcPr>
            <w:tcW w:w="5000" w:type="pct"/>
            <w:gridSpan w:val="2"/>
            <w:tcBorders>
              <w:bottom w:val="nil"/>
            </w:tcBorders>
            <w:tcMar>
              <w:top w:w="28" w:type="dxa"/>
              <w:left w:w="57" w:type="dxa"/>
              <w:bottom w:w="28" w:type="dxa"/>
            </w:tcMar>
          </w:tcPr>
          <w:p w14:paraId="3B40D056" w14:textId="2996131C" w:rsidR="00951F81" w:rsidRPr="00C515CC" w:rsidRDefault="00BC6733" w:rsidP="00C515CC">
            <w:pPr>
              <w:pStyle w:val="BULLETED"/>
              <w:keepNext/>
              <w:widowControl/>
              <w:numPr>
                <w:ilvl w:val="0"/>
                <w:numId w:val="0"/>
              </w:numPr>
              <w:tabs>
                <w:tab w:val="clear" w:pos="810"/>
              </w:tabs>
              <w:spacing w:before="0" w:line="240" w:lineRule="auto"/>
              <w:jc w:val="center"/>
              <w:rPr>
                <w:color w:val="auto"/>
                <w:sz w:val="22"/>
                <w:szCs w:val="22"/>
              </w:rPr>
            </w:pPr>
            <w:r w:rsidRPr="00C515CC">
              <w:rPr>
                <w:noProof/>
                <w:sz w:val="22"/>
                <w:lang w:val="pl-PL" w:eastAsia="pl-PL"/>
              </w:rPr>
              <w:drawing>
                <wp:anchor distT="0" distB="0" distL="114300" distR="114300" simplePos="0" relativeHeight="251704832" behindDoc="0" locked="0" layoutInCell="1" allowOverlap="1" wp14:anchorId="38C21C88" wp14:editId="246A574C">
                  <wp:simplePos x="0" y="0"/>
                  <wp:positionH relativeFrom="margin">
                    <wp:posOffset>1189355</wp:posOffset>
                  </wp:positionH>
                  <wp:positionV relativeFrom="paragraph">
                    <wp:posOffset>201295</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32">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C515CC" w14:paraId="26BE9B81" w14:textId="77777777" w:rsidTr="006172AE">
        <w:trPr>
          <w:cantSplit/>
          <w:trHeight w:val="57"/>
        </w:trPr>
        <w:tc>
          <w:tcPr>
            <w:tcW w:w="5000" w:type="pct"/>
            <w:gridSpan w:val="2"/>
            <w:tcBorders>
              <w:top w:val="nil"/>
              <w:bottom w:val="nil"/>
            </w:tcBorders>
            <w:tcMar>
              <w:top w:w="28" w:type="dxa"/>
              <w:left w:w="57" w:type="dxa"/>
              <w:bottom w:w="28" w:type="dxa"/>
            </w:tcMar>
          </w:tcPr>
          <w:p w14:paraId="5325875D" w14:textId="77777777" w:rsidR="00BC6733" w:rsidRPr="00C515CC" w:rsidRDefault="00BC6733" w:rsidP="00C515CC">
            <w:pPr>
              <w:keepNext/>
            </w:pPr>
          </w:p>
          <w:p w14:paraId="16FCDB31" w14:textId="62486451" w:rsidR="00951F81" w:rsidRPr="00C515CC" w:rsidRDefault="00951F81" w:rsidP="00C515CC">
            <w:pPr>
              <w:keepNext/>
            </w:pPr>
            <w:r w:rsidRPr="00C515CC">
              <w:t xml:space="preserve">A dugattyú elengedését követően az előretöltött fecskendő biztonsági </w:t>
            </w:r>
            <w:r w:rsidR="009B23CC" w:rsidRPr="00C515CC">
              <w:t>b</w:t>
            </w:r>
            <w:r w:rsidR="00B94B15">
              <w:t>u</w:t>
            </w:r>
            <w:r w:rsidR="009B23CC" w:rsidRPr="00C515CC">
              <w:t xml:space="preserve">rkolata </w:t>
            </w:r>
            <w:r w:rsidRPr="00C515CC">
              <w:t>biztonságosan be fogja fedni az injekciós tűt.</w:t>
            </w:r>
          </w:p>
          <w:p w14:paraId="551BCE1A" w14:textId="77777777" w:rsidR="00BC6733" w:rsidRPr="00C515CC" w:rsidRDefault="00BC6733" w:rsidP="00C515CC">
            <w:pPr>
              <w:keepNext/>
            </w:pPr>
          </w:p>
        </w:tc>
      </w:tr>
      <w:tr w:rsidR="00951F81" w:rsidRPr="00C515CC" w14:paraId="05702EDC" w14:textId="77777777" w:rsidTr="006172AE">
        <w:trPr>
          <w:cantSplit/>
          <w:trHeight w:val="57"/>
        </w:trPr>
        <w:tc>
          <w:tcPr>
            <w:tcW w:w="354" w:type="pct"/>
            <w:tcBorders>
              <w:top w:val="nil"/>
              <w:bottom w:val="single" w:sz="4" w:space="0" w:color="auto"/>
              <w:right w:val="nil"/>
            </w:tcBorders>
            <w:tcMar>
              <w:top w:w="28" w:type="dxa"/>
              <w:left w:w="57" w:type="dxa"/>
              <w:bottom w:w="28" w:type="dxa"/>
            </w:tcMar>
          </w:tcPr>
          <w:p w14:paraId="79607874" w14:textId="778536CF" w:rsidR="00951F81" w:rsidRPr="00C515CC" w:rsidRDefault="006C76E1" w:rsidP="00C515CC">
            <w:pPr>
              <w:pStyle w:val="BULLETED"/>
              <w:keepNext/>
              <w:widowControl/>
              <w:numPr>
                <w:ilvl w:val="0"/>
                <w:numId w:val="0"/>
              </w:numPr>
              <w:tabs>
                <w:tab w:val="clear" w:pos="810"/>
              </w:tabs>
              <w:spacing w:before="0" w:line="240" w:lineRule="auto"/>
              <w:rPr>
                <w:color w:val="auto"/>
                <w:sz w:val="22"/>
                <w:szCs w:val="22"/>
              </w:rPr>
            </w:pPr>
            <w:r w:rsidRPr="00C515CC">
              <w:rPr>
                <w:noProof/>
                <w:sz w:val="22"/>
              </w:rPr>
              <w:drawing>
                <wp:anchor distT="0" distB="0" distL="114300" distR="114300" simplePos="0" relativeHeight="251662848" behindDoc="0" locked="0" layoutInCell="1" allowOverlap="1" wp14:anchorId="7D51A836" wp14:editId="402C1DEF">
                  <wp:simplePos x="0" y="0"/>
                  <wp:positionH relativeFrom="column">
                    <wp:posOffset>14605</wp:posOffset>
                  </wp:positionH>
                  <wp:positionV relativeFrom="paragraph">
                    <wp:posOffset>22225</wp:posOffset>
                  </wp:positionV>
                  <wp:extent cx="119380" cy="119380"/>
                  <wp:effectExtent l="0" t="0" r="0" b="0"/>
                  <wp:wrapNone/>
                  <wp:docPr id="5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vAlign w:val="center"/>
          </w:tcPr>
          <w:p w14:paraId="04F9FD1F" w14:textId="77777777" w:rsidR="00951F81" w:rsidRPr="00C515CC" w:rsidRDefault="00951F81" w:rsidP="00C515CC">
            <w:pPr>
              <w:keepNext/>
            </w:pPr>
            <w:r w:rsidRPr="00C515CC">
              <w:rPr>
                <w:b/>
              </w:rPr>
              <w:t>Ne</w:t>
            </w:r>
            <w:r w:rsidRPr="00C515CC">
              <w:t xml:space="preserve"> tegye vissza a használt előretöltött fecskendőre a szürke tűvédő kupakot.</w:t>
            </w:r>
          </w:p>
        </w:tc>
      </w:tr>
    </w:tbl>
    <w:p w14:paraId="3BC261EC" w14:textId="77777777" w:rsidR="00951F81" w:rsidRPr="00C515CC" w:rsidRDefault="00951F81" w:rsidP="00C515CC"/>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rsidRPr="00C515CC" w14:paraId="70623931" w14:textId="77777777" w:rsidTr="006172AE">
        <w:trPr>
          <w:cantSplit/>
          <w:trHeight w:val="57"/>
        </w:trPr>
        <w:tc>
          <w:tcPr>
            <w:tcW w:w="5000" w:type="pct"/>
            <w:gridSpan w:val="2"/>
            <w:tcMar>
              <w:top w:w="28" w:type="dxa"/>
              <w:left w:w="57" w:type="dxa"/>
              <w:bottom w:w="28" w:type="dxa"/>
              <w:right w:w="57" w:type="dxa"/>
            </w:tcMar>
          </w:tcPr>
          <w:p w14:paraId="2B3376D3" w14:textId="77777777" w:rsidR="00951F81" w:rsidRPr="00C515CC" w:rsidRDefault="00951F81" w:rsidP="00C515CC">
            <w:pPr>
              <w:keepNext/>
              <w:jc w:val="center"/>
            </w:pPr>
            <w:r w:rsidRPr="00C515CC">
              <w:t xml:space="preserve">4. lépés: </w:t>
            </w:r>
            <w:r w:rsidRPr="00C515CC">
              <w:rPr>
                <w:b/>
              </w:rPr>
              <w:t>Befejezés</w:t>
            </w:r>
          </w:p>
        </w:tc>
      </w:tr>
      <w:tr w:rsidR="00951F81" w:rsidRPr="00C515CC" w14:paraId="03F9BCA8" w14:textId="77777777" w:rsidTr="006172AE">
        <w:trPr>
          <w:cantSplit/>
          <w:trHeight w:val="57"/>
        </w:trPr>
        <w:tc>
          <w:tcPr>
            <w:tcW w:w="294" w:type="pct"/>
            <w:tcBorders>
              <w:bottom w:val="single" w:sz="4" w:space="0" w:color="auto"/>
            </w:tcBorders>
            <w:tcMar>
              <w:top w:w="28" w:type="dxa"/>
              <w:left w:w="57" w:type="dxa"/>
              <w:bottom w:w="28" w:type="dxa"/>
              <w:right w:w="57" w:type="dxa"/>
            </w:tcMar>
          </w:tcPr>
          <w:p w14:paraId="03390404" w14:textId="77777777" w:rsidR="00951F81" w:rsidRPr="00C515CC" w:rsidRDefault="00951F81" w:rsidP="00C515CC">
            <w:pPr>
              <w:keepNext/>
            </w:pPr>
            <w:r w:rsidRPr="00C515CC">
              <w:t>A</w:t>
            </w:r>
          </w:p>
        </w:tc>
        <w:tc>
          <w:tcPr>
            <w:tcW w:w="4706" w:type="pct"/>
            <w:tcBorders>
              <w:bottom w:val="single" w:sz="4" w:space="0" w:color="auto"/>
            </w:tcBorders>
            <w:tcMar>
              <w:left w:w="57" w:type="dxa"/>
              <w:right w:w="57" w:type="dxa"/>
            </w:tcMar>
          </w:tcPr>
          <w:p w14:paraId="3D5BC0A1" w14:textId="77777777" w:rsidR="00951F81" w:rsidRPr="00C515CC" w:rsidRDefault="00951F81" w:rsidP="00C515CC">
            <w:pPr>
              <w:keepNext/>
            </w:pPr>
            <w:r w:rsidRPr="00C515CC">
              <w:t>Dobja ki a használt előretöltött fecskendőt és a többi kelléket egy éles tárgyak megsemmisítésére szolgáló tartályba.</w:t>
            </w:r>
          </w:p>
        </w:tc>
      </w:tr>
      <w:tr w:rsidR="00951F81" w:rsidRPr="00C515CC" w14:paraId="5A1D27BC" w14:textId="77777777" w:rsidTr="006172AE">
        <w:trPr>
          <w:cantSplit/>
          <w:trHeight w:val="57"/>
        </w:trPr>
        <w:tc>
          <w:tcPr>
            <w:tcW w:w="5000" w:type="pct"/>
            <w:gridSpan w:val="2"/>
            <w:tcBorders>
              <w:bottom w:val="nil"/>
            </w:tcBorders>
            <w:tcMar>
              <w:top w:w="28" w:type="dxa"/>
              <w:left w:w="57" w:type="dxa"/>
              <w:bottom w:w="28" w:type="dxa"/>
              <w:right w:w="57" w:type="dxa"/>
            </w:tcMar>
          </w:tcPr>
          <w:p w14:paraId="1EC72D2F" w14:textId="2D81CA3E" w:rsidR="00951F81" w:rsidRPr="00C515CC" w:rsidRDefault="00BC6733" w:rsidP="00C515CC">
            <w:pPr>
              <w:pStyle w:val="BULLETED"/>
              <w:keepNext/>
              <w:widowControl/>
              <w:numPr>
                <w:ilvl w:val="0"/>
                <w:numId w:val="0"/>
              </w:numPr>
              <w:spacing w:before="0" w:line="240" w:lineRule="auto"/>
              <w:jc w:val="center"/>
              <w:rPr>
                <w:color w:val="auto"/>
                <w:sz w:val="22"/>
                <w:szCs w:val="22"/>
              </w:rPr>
            </w:pPr>
            <w:r w:rsidRPr="00C515CC">
              <w:rPr>
                <w:noProof/>
                <w:sz w:val="22"/>
                <w:lang w:val="pl-PL" w:eastAsia="pl-PL"/>
              </w:rPr>
              <w:drawing>
                <wp:anchor distT="0" distB="0" distL="114300" distR="114300" simplePos="0" relativeHeight="251706880" behindDoc="0" locked="0" layoutInCell="1" allowOverlap="1" wp14:anchorId="1EEC62D2" wp14:editId="5403A484">
                  <wp:simplePos x="0" y="0"/>
                  <wp:positionH relativeFrom="margin">
                    <wp:posOffset>1329055</wp:posOffset>
                  </wp:positionH>
                  <wp:positionV relativeFrom="paragraph">
                    <wp:posOffset>212725</wp:posOffset>
                  </wp:positionV>
                  <wp:extent cx="3060000" cy="2906494"/>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3">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tc>
      </w:tr>
      <w:tr w:rsidR="00951F81" w:rsidRPr="00C515CC" w14:paraId="6E63FB83" w14:textId="77777777" w:rsidTr="006172AE">
        <w:trPr>
          <w:cantSplit/>
          <w:trHeight w:val="57"/>
        </w:trPr>
        <w:tc>
          <w:tcPr>
            <w:tcW w:w="5000" w:type="pct"/>
            <w:gridSpan w:val="2"/>
            <w:tcBorders>
              <w:top w:val="nil"/>
              <w:bottom w:val="nil"/>
            </w:tcBorders>
            <w:tcMar>
              <w:top w:w="28" w:type="dxa"/>
              <w:left w:w="57" w:type="dxa"/>
              <w:bottom w:w="28" w:type="dxa"/>
              <w:right w:w="57" w:type="dxa"/>
            </w:tcMar>
          </w:tcPr>
          <w:p w14:paraId="3BA906F5" w14:textId="77777777" w:rsidR="00BC6733" w:rsidRPr="00C515CC" w:rsidRDefault="00BC6733" w:rsidP="00C515CC">
            <w:pPr>
              <w:keepNext/>
            </w:pPr>
          </w:p>
          <w:p w14:paraId="2B8A31F6" w14:textId="0E3D6DE4" w:rsidR="00951F81" w:rsidRPr="00C515CC" w:rsidRDefault="00951F81" w:rsidP="00C515CC">
            <w:pPr>
              <w:keepNext/>
            </w:pPr>
            <w:r w:rsidRPr="00C515CC">
              <w:t xml:space="preserve">A gyógyszereket a </w:t>
            </w:r>
            <w:r w:rsidR="00B94B15">
              <w:t>gyógyszerekre vonatkozó</w:t>
            </w:r>
            <w:r w:rsidRPr="00C515CC">
              <w:t xml:space="preserve"> előírásoknak megfelelően kell megsemmisíteni. Kérdezze meg gyógyszerészét, hogy szükségtelenné vált gyógyszereit miként semmisítse meg. Ezek az intézkedések elősegítik a környezet védelmét.</w:t>
            </w:r>
          </w:p>
          <w:p w14:paraId="6FAB7BF6" w14:textId="77777777" w:rsidR="00951F81" w:rsidRPr="00C515CC" w:rsidRDefault="00951F81" w:rsidP="00C515CC">
            <w:pPr>
              <w:keepNext/>
            </w:pPr>
          </w:p>
          <w:p w14:paraId="20BF8527" w14:textId="77777777" w:rsidR="00951F81" w:rsidRPr="00C515CC" w:rsidRDefault="00951F81" w:rsidP="00C515CC">
            <w:pPr>
              <w:keepNext/>
            </w:pPr>
            <w:r w:rsidRPr="00C515CC">
              <w:t>A használt fecskendők és az éles tárgyak megsemmisítésére szolgáló tartályok gyermekektől elzárva tartandók!</w:t>
            </w:r>
          </w:p>
        </w:tc>
      </w:tr>
      <w:tr w:rsidR="00951F81" w:rsidRPr="00C515CC" w14:paraId="6957461A" w14:textId="77777777" w:rsidTr="006172AE">
        <w:trPr>
          <w:cantSplit/>
          <w:trHeight w:val="57"/>
        </w:trPr>
        <w:tc>
          <w:tcPr>
            <w:tcW w:w="294" w:type="pct"/>
            <w:tcBorders>
              <w:top w:val="nil"/>
              <w:bottom w:val="nil"/>
              <w:right w:val="nil"/>
            </w:tcBorders>
            <w:tcMar>
              <w:top w:w="28" w:type="dxa"/>
              <w:left w:w="57" w:type="dxa"/>
              <w:bottom w:w="28" w:type="dxa"/>
              <w:right w:w="57" w:type="dxa"/>
            </w:tcMar>
          </w:tcPr>
          <w:p w14:paraId="0CB4C256" w14:textId="40879EFB" w:rsidR="00951F81" w:rsidRPr="00C515CC" w:rsidRDefault="006C76E1" w:rsidP="00C515CC">
            <w:pPr>
              <w:pStyle w:val="BULLETED"/>
              <w:keepNext/>
              <w:widowControl/>
              <w:numPr>
                <w:ilvl w:val="0"/>
                <w:numId w:val="0"/>
              </w:numPr>
              <w:spacing w:before="0" w:line="240" w:lineRule="auto"/>
              <w:rPr>
                <w:color w:val="auto"/>
                <w:sz w:val="22"/>
                <w:szCs w:val="22"/>
              </w:rPr>
            </w:pPr>
            <w:r w:rsidRPr="00C515CC">
              <w:rPr>
                <w:noProof/>
                <w:sz w:val="22"/>
              </w:rPr>
              <w:drawing>
                <wp:anchor distT="0" distB="0" distL="114300" distR="114300" simplePos="0" relativeHeight="251663872" behindDoc="0" locked="0" layoutInCell="1" allowOverlap="1" wp14:anchorId="40AF115C" wp14:editId="1729FACF">
                  <wp:simplePos x="0" y="0"/>
                  <wp:positionH relativeFrom="column">
                    <wp:posOffset>14605</wp:posOffset>
                  </wp:positionH>
                  <wp:positionV relativeFrom="paragraph">
                    <wp:posOffset>22225</wp:posOffset>
                  </wp:positionV>
                  <wp:extent cx="119380" cy="119380"/>
                  <wp:effectExtent l="0" t="0" r="0" b="0"/>
                  <wp:wrapNone/>
                  <wp:docPr id="5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0D900688" w14:textId="77777777" w:rsidR="00951F81" w:rsidRPr="00C515CC" w:rsidRDefault="00951F81" w:rsidP="00C515CC">
            <w:pPr>
              <w:keepNext/>
            </w:pPr>
            <w:r w:rsidRPr="00C515CC">
              <w:rPr>
                <w:b/>
              </w:rPr>
              <w:t>Ne</w:t>
            </w:r>
            <w:r w:rsidRPr="00C515CC">
              <w:t xml:space="preserve"> használja újra az előretöltött fecskendőt.</w:t>
            </w:r>
          </w:p>
        </w:tc>
      </w:tr>
      <w:tr w:rsidR="00951F81" w:rsidRPr="00C515CC" w14:paraId="573992BB" w14:textId="77777777" w:rsidTr="006172AE">
        <w:trPr>
          <w:cantSplit/>
          <w:trHeight w:val="57"/>
        </w:trPr>
        <w:tc>
          <w:tcPr>
            <w:tcW w:w="294" w:type="pct"/>
            <w:tcBorders>
              <w:top w:val="nil"/>
              <w:bottom w:val="single" w:sz="4" w:space="0" w:color="auto"/>
              <w:right w:val="nil"/>
            </w:tcBorders>
            <w:tcMar>
              <w:top w:w="28" w:type="dxa"/>
              <w:left w:w="57" w:type="dxa"/>
              <w:bottom w:w="28" w:type="dxa"/>
              <w:right w:w="57" w:type="dxa"/>
            </w:tcMar>
          </w:tcPr>
          <w:p w14:paraId="54294436" w14:textId="3E92707B" w:rsidR="00951F81" w:rsidRPr="00C515CC" w:rsidRDefault="006C76E1" w:rsidP="00C515CC">
            <w:pPr>
              <w:pStyle w:val="BULLETED"/>
              <w:keepNext/>
              <w:widowControl/>
              <w:numPr>
                <w:ilvl w:val="0"/>
                <w:numId w:val="0"/>
              </w:numPr>
              <w:spacing w:before="0" w:line="240" w:lineRule="auto"/>
              <w:rPr>
                <w:color w:val="auto"/>
                <w:sz w:val="22"/>
                <w:szCs w:val="22"/>
              </w:rPr>
            </w:pPr>
            <w:r w:rsidRPr="00C515CC">
              <w:rPr>
                <w:noProof/>
                <w:sz w:val="22"/>
              </w:rPr>
              <w:drawing>
                <wp:anchor distT="0" distB="0" distL="114300" distR="114300" simplePos="0" relativeHeight="251664896" behindDoc="0" locked="0" layoutInCell="1" allowOverlap="1" wp14:anchorId="1739C613" wp14:editId="1DE39331">
                  <wp:simplePos x="0" y="0"/>
                  <wp:positionH relativeFrom="column">
                    <wp:posOffset>14605</wp:posOffset>
                  </wp:positionH>
                  <wp:positionV relativeFrom="paragraph">
                    <wp:posOffset>22225</wp:posOffset>
                  </wp:positionV>
                  <wp:extent cx="119380" cy="119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4E2AB39E" w14:textId="77777777" w:rsidR="00951F81" w:rsidRPr="00C515CC" w:rsidRDefault="00951F81" w:rsidP="00C515CC">
            <w:pPr>
              <w:keepNext/>
            </w:pPr>
            <w:r w:rsidRPr="00C515CC">
              <w:rPr>
                <w:b/>
              </w:rPr>
              <w:t>Ne</w:t>
            </w:r>
            <w:r w:rsidRPr="00C515CC">
              <w:t xml:space="preserve"> dobja az előretöltött fecskendőket az újrahasznosítható vagy a háztartási hulladékba.</w:t>
            </w:r>
          </w:p>
        </w:tc>
      </w:tr>
    </w:tbl>
    <w:p w14:paraId="56BF0412" w14:textId="77777777" w:rsidR="00951F81" w:rsidRPr="00C515CC" w:rsidRDefault="00951F81" w:rsidP="00C515CC"/>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rsidRPr="00C515CC" w14:paraId="2A5E73A4" w14:textId="77777777" w:rsidTr="006172AE">
        <w:trPr>
          <w:cantSplit/>
          <w:trHeight w:val="57"/>
        </w:trPr>
        <w:tc>
          <w:tcPr>
            <w:tcW w:w="294" w:type="pct"/>
            <w:tcMar>
              <w:top w:w="28" w:type="dxa"/>
              <w:left w:w="57" w:type="dxa"/>
              <w:bottom w:w="28" w:type="dxa"/>
              <w:right w:w="57" w:type="dxa"/>
            </w:tcMar>
          </w:tcPr>
          <w:p w14:paraId="790C1534" w14:textId="77777777" w:rsidR="00951F81" w:rsidRPr="00C515CC" w:rsidRDefault="00951F81" w:rsidP="00C515CC">
            <w:pPr>
              <w:keepNext/>
            </w:pPr>
            <w:r w:rsidRPr="00C515CC">
              <w:t>B</w:t>
            </w:r>
          </w:p>
        </w:tc>
        <w:tc>
          <w:tcPr>
            <w:tcW w:w="4706" w:type="pct"/>
            <w:tcMar>
              <w:left w:w="57" w:type="dxa"/>
              <w:right w:w="57" w:type="dxa"/>
            </w:tcMar>
          </w:tcPr>
          <w:p w14:paraId="5F9676F5" w14:textId="77777777" w:rsidR="00951F81" w:rsidRPr="00C515CC" w:rsidRDefault="00951F81" w:rsidP="00C515CC">
            <w:pPr>
              <w:keepNext/>
            </w:pPr>
            <w:r w:rsidRPr="00C515CC">
              <w:t>Vizsgálja meg az injekció beadásának helyét.</w:t>
            </w:r>
          </w:p>
        </w:tc>
      </w:tr>
      <w:tr w:rsidR="00951F81" w:rsidRPr="00C515CC" w14:paraId="4E918578" w14:textId="77777777" w:rsidTr="006172AE">
        <w:trPr>
          <w:cantSplit/>
          <w:trHeight w:val="57"/>
        </w:trPr>
        <w:tc>
          <w:tcPr>
            <w:tcW w:w="5000" w:type="pct"/>
            <w:gridSpan w:val="2"/>
            <w:tcMar>
              <w:top w:w="28" w:type="dxa"/>
              <w:left w:w="57" w:type="dxa"/>
              <w:bottom w:w="28" w:type="dxa"/>
              <w:right w:w="57" w:type="dxa"/>
            </w:tcMar>
          </w:tcPr>
          <w:p w14:paraId="04871DDE" w14:textId="77777777" w:rsidR="00951F81" w:rsidRPr="00C515CC" w:rsidRDefault="00951F81" w:rsidP="00C515CC">
            <w:pPr>
              <w:keepNext/>
            </w:pPr>
            <w:r w:rsidRPr="00C515CC">
              <w:t xml:space="preserve">Ha vért lát, nyomjon vattacsomót vagy gézlapot az injekció beadásának helyére. </w:t>
            </w:r>
            <w:r w:rsidRPr="00C515CC">
              <w:rPr>
                <w:b/>
              </w:rPr>
              <w:t>Ne</w:t>
            </w:r>
            <w:r w:rsidRPr="00C515CC">
              <w:t xml:space="preserve"> dörzsölje az injekció beadásának helyét. Rakjon rá sebtapaszt, ha szükséges.</w:t>
            </w:r>
          </w:p>
        </w:tc>
      </w:tr>
    </w:tbl>
    <w:p w14:paraId="3FBA32CC" w14:textId="77777777" w:rsidR="00951F81" w:rsidRPr="00C515CC" w:rsidRDefault="00951F81" w:rsidP="00C515CC"/>
    <w:p w14:paraId="23B46E07" w14:textId="77777777" w:rsidR="00796DEC" w:rsidRPr="00C515CC" w:rsidRDefault="00796DEC" w:rsidP="00633DB8">
      <w:pPr>
        <w:pStyle w:val="lbltxt"/>
      </w:pPr>
    </w:p>
    <w:sectPr w:rsidR="00796DEC" w:rsidRPr="00C515CC" w:rsidSect="005C3FEA">
      <w:footerReference w:type="default" r:id="rId34"/>
      <w:footerReference w:type="first" r:id="rId35"/>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9A94B" w14:textId="77777777" w:rsidR="009977C8" w:rsidRDefault="009977C8">
      <w:r>
        <w:separator/>
      </w:r>
    </w:p>
  </w:endnote>
  <w:endnote w:type="continuationSeparator" w:id="0">
    <w:p w14:paraId="57D85000" w14:textId="77777777" w:rsidR="009977C8" w:rsidRDefault="0099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2D1296" w:rsidRPr="00463A1B" w:rsidRDefault="002D1296"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Pr="006F6ACA">
      <w:rPr>
        <w:rFonts w:ascii="Arial" w:hAnsi="Arial" w:cs="Arial"/>
        <w:sz w:val="16"/>
      </w:rPr>
      <w:t>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D364A0" w:rsidRDefault="002D1296">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35FB9" w14:textId="77777777" w:rsidR="009977C8" w:rsidRDefault="009977C8">
      <w:r>
        <w:separator/>
      </w:r>
    </w:p>
  </w:footnote>
  <w:footnote w:type="continuationSeparator" w:id="0">
    <w:p w14:paraId="4B33A588" w14:textId="77777777" w:rsidR="009977C8" w:rsidRDefault="00997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6"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8"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8A7AFE"/>
    <w:multiLevelType w:val="hybridMultilevel"/>
    <w:tmpl w:val="8258CBDC"/>
    <w:lvl w:ilvl="0" w:tplc="EACE758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27ECF506"/>
    <w:lvl w:ilvl="0" w:tplc="6D50064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4"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30532133">
    <w:abstractNumId w:val="47"/>
  </w:num>
  <w:num w:numId="2" w16cid:durableId="921333077">
    <w:abstractNumId w:val="32"/>
  </w:num>
  <w:num w:numId="3" w16cid:durableId="68887210">
    <w:abstractNumId w:val="20"/>
  </w:num>
  <w:num w:numId="4" w16cid:durableId="496849323">
    <w:abstractNumId w:val="19"/>
  </w:num>
  <w:num w:numId="5" w16cid:durableId="864248086">
    <w:abstractNumId w:val="13"/>
  </w:num>
  <w:num w:numId="6" w16cid:durableId="811673859">
    <w:abstractNumId w:val="55"/>
  </w:num>
  <w:num w:numId="7" w16cid:durableId="338237799">
    <w:abstractNumId w:val="17"/>
  </w:num>
  <w:num w:numId="8" w16cid:durableId="1713576977">
    <w:abstractNumId w:val="45"/>
  </w:num>
  <w:num w:numId="9" w16cid:durableId="1502354924">
    <w:abstractNumId w:val="25"/>
  </w:num>
  <w:num w:numId="10" w16cid:durableId="808473423">
    <w:abstractNumId w:val="1"/>
  </w:num>
  <w:num w:numId="11" w16cid:durableId="1686785174">
    <w:abstractNumId w:val="0"/>
    <w:lvlOverride w:ilvl="0">
      <w:lvl w:ilvl="0">
        <w:start w:val="1"/>
        <w:numFmt w:val="bullet"/>
        <w:lvlText w:val="-"/>
        <w:legacy w:legacy="1" w:legacySpace="0" w:legacyIndent="360"/>
        <w:lvlJc w:val="left"/>
        <w:pPr>
          <w:ind w:left="360" w:hanging="360"/>
        </w:pPr>
      </w:lvl>
    </w:lvlOverride>
  </w:num>
  <w:num w:numId="12" w16cid:durableId="1497375666">
    <w:abstractNumId w:val="43"/>
  </w:num>
  <w:num w:numId="13" w16cid:durableId="1654067556">
    <w:abstractNumId w:val="29"/>
  </w:num>
  <w:num w:numId="14" w16cid:durableId="2135784883">
    <w:abstractNumId w:val="51"/>
  </w:num>
  <w:num w:numId="15" w16cid:durableId="663246906">
    <w:abstractNumId w:val="14"/>
  </w:num>
  <w:num w:numId="16" w16cid:durableId="1081487886">
    <w:abstractNumId w:val="49"/>
  </w:num>
  <w:num w:numId="17" w16cid:durableId="1450198500">
    <w:abstractNumId w:val="36"/>
  </w:num>
  <w:num w:numId="18" w16cid:durableId="1541360744">
    <w:abstractNumId w:val="16"/>
  </w:num>
  <w:num w:numId="19" w16cid:durableId="1393696662">
    <w:abstractNumId w:val="27"/>
  </w:num>
  <w:num w:numId="20" w16cid:durableId="1827432290">
    <w:abstractNumId w:val="3"/>
  </w:num>
  <w:num w:numId="21" w16cid:durableId="546917420">
    <w:abstractNumId w:val="44"/>
  </w:num>
  <w:num w:numId="22" w16cid:durableId="596063425">
    <w:abstractNumId w:val="22"/>
  </w:num>
  <w:num w:numId="23" w16cid:durableId="2099863900">
    <w:abstractNumId w:val="23"/>
  </w:num>
  <w:num w:numId="24" w16cid:durableId="299967142">
    <w:abstractNumId w:val="48"/>
  </w:num>
  <w:num w:numId="25" w16cid:durableId="159390521">
    <w:abstractNumId w:val="7"/>
  </w:num>
  <w:num w:numId="26" w16cid:durableId="2133549475">
    <w:abstractNumId w:val="8"/>
  </w:num>
  <w:num w:numId="27" w16cid:durableId="1652438293">
    <w:abstractNumId w:val="0"/>
    <w:lvlOverride w:ilvl="0">
      <w:lvl w:ilvl="0">
        <w:start w:val="1"/>
        <w:numFmt w:val="bullet"/>
        <w:lvlText w:val="-"/>
        <w:legacy w:legacy="1" w:legacySpace="0" w:legacyIndent="360"/>
        <w:lvlJc w:val="left"/>
        <w:pPr>
          <w:ind w:left="360" w:hanging="360"/>
        </w:pPr>
      </w:lvl>
    </w:lvlOverride>
  </w:num>
  <w:num w:numId="28" w16cid:durableId="2104913828">
    <w:abstractNumId w:val="38"/>
  </w:num>
  <w:num w:numId="29" w16cid:durableId="1727025477">
    <w:abstractNumId w:val="11"/>
  </w:num>
  <w:num w:numId="30" w16cid:durableId="1592735535">
    <w:abstractNumId w:val="50"/>
  </w:num>
  <w:num w:numId="31" w16cid:durableId="1869678063">
    <w:abstractNumId w:val="9"/>
  </w:num>
  <w:num w:numId="32" w16cid:durableId="1599022517">
    <w:abstractNumId w:val="26"/>
  </w:num>
  <w:num w:numId="33" w16cid:durableId="827667544">
    <w:abstractNumId w:val="42"/>
  </w:num>
  <w:num w:numId="34" w16cid:durableId="825241201">
    <w:abstractNumId w:val="4"/>
  </w:num>
  <w:num w:numId="35" w16cid:durableId="1565026687">
    <w:abstractNumId w:val="10"/>
  </w:num>
  <w:num w:numId="36" w16cid:durableId="1572155949">
    <w:abstractNumId w:val="33"/>
  </w:num>
  <w:num w:numId="37" w16cid:durableId="1305770230">
    <w:abstractNumId w:val="35"/>
  </w:num>
  <w:num w:numId="38" w16cid:durableId="1968854344">
    <w:abstractNumId w:val="46"/>
  </w:num>
  <w:num w:numId="39" w16cid:durableId="2019044628">
    <w:abstractNumId w:val="15"/>
  </w:num>
  <w:num w:numId="40" w16cid:durableId="1294605049">
    <w:abstractNumId w:val="31"/>
  </w:num>
  <w:num w:numId="41" w16cid:durableId="2101750568">
    <w:abstractNumId w:val="21"/>
  </w:num>
  <w:num w:numId="42" w16cid:durableId="1883396771">
    <w:abstractNumId w:val="6"/>
  </w:num>
  <w:num w:numId="43" w16cid:durableId="614868358">
    <w:abstractNumId w:val="54"/>
  </w:num>
  <w:num w:numId="44" w16cid:durableId="68120740">
    <w:abstractNumId w:val="2"/>
  </w:num>
  <w:num w:numId="45" w16cid:durableId="1669016719">
    <w:abstractNumId w:val="34"/>
  </w:num>
  <w:num w:numId="46" w16cid:durableId="1317877584">
    <w:abstractNumId w:val="5"/>
  </w:num>
  <w:num w:numId="47" w16cid:durableId="130903491">
    <w:abstractNumId w:val="39"/>
  </w:num>
  <w:num w:numId="48" w16cid:durableId="1950357357">
    <w:abstractNumId w:val="18"/>
  </w:num>
  <w:num w:numId="49" w16cid:durableId="513998994">
    <w:abstractNumId w:val="53"/>
  </w:num>
  <w:num w:numId="50" w16cid:durableId="71511180">
    <w:abstractNumId w:val="52"/>
  </w:num>
  <w:num w:numId="51" w16cid:durableId="396393528">
    <w:abstractNumId w:val="40"/>
  </w:num>
  <w:num w:numId="52" w16cid:durableId="1215044790">
    <w:abstractNumId w:val="12"/>
  </w:num>
  <w:num w:numId="53" w16cid:durableId="1918243750">
    <w:abstractNumId w:val="30"/>
  </w:num>
  <w:num w:numId="54" w16cid:durableId="1193613249">
    <w:abstractNumId w:val="28"/>
  </w:num>
  <w:num w:numId="55" w16cid:durableId="1636645198">
    <w:abstractNumId w:val="24"/>
  </w:num>
  <w:num w:numId="56" w16cid:durableId="1903369485">
    <w:abstractNumId w:val="41"/>
  </w:num>
  <w:num w:numId="57" w16cid:durableId="1657763979">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GB" w:vendorID="64" w:dllVersion="4096" w:nlCheck="1" w:checkStyle="0"/>
  <w:activeWritingStyle w:appName="MSWord" w:lang="fr-CH" w:vendorID="64" w:dllVersion="0" w:nlCheck="1" w:checkStyle="0"/>
  <w:activeWritingStyle w:appName="MSWord" w:lang="de-DE" w:vendorID="64" w:dllVersion="0" w:nlCheck="1" w:checkStyle="0"/>
  <w:activeWritingStyle w:appName="MSWord" w:lang="sv-SE" w:vendorID="64" w:dllVersion="0" w:nlCheck="1" w:checkStyle="0"/>
  <w:activeWritingStyle w:appName="MSWord" w:lang="da-DK" w:vendorID="64" w:dllVersion="0" w:nlCheck="1" w:checkStyle="0"/>
  <w:activeWritingStyle w:appName="MSWord" w:lang="nl-NL" w:vendorID="64" w:dllVersion="0" w:nlCheck="1" w:checkStyle="0"/>
  <w:activeWritingStyle w:appName="MSWord" w:lang="pl-PL" w:vendorID="64" w:dllVersion="0" w:nlCheck="1" w:checkStyle="0"/>
  <w:activeWritingStyle w:appName="MSWord" w:lang="pt-PT" w:vendorID="64" w:dllVersion="0" w:nlCheck="1" w:checkStyle="0"/>
  <w:activeWritingStyle w:appName="MSWord" w:lang="hu-HU" w:vendorID="64" w:dllVersion="0" w:nlCheck="1" w:checkStyle="0"/>
  <w:activeWritingStyle w:appName="MSWord" w:lang="hu-HU"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07A8C"/>
    <w:rsid w:val="00010746"/>
    <w:rsid w:val="00012633"/>
    <w:rsid w:val="000139CB"/>
    <w:rsid w:val="00014F4A"/>
    <w:rsid w:val="00016C89"/>
    <w:rsid w:val="0001794F"/>
    <w:rsid w:val="00017D88"/>
    <w:rsid w:val="00020257"/>
    <w:rsid w:val="0002185E"/>
    <w:rsid w:val="00022A78"/>
    <w:rsid w:val="00022F7A"/>
    <w:rsid w:val="0002325D"/>
    <w:rsid w:val="000239F8"/>
    <w:rsid w:val="00023BE0"/>
    <w:rsid w:val="00024B36"/>
    <w:rsid w:val="000267A0"/>
    <w:rsid w:val="00027E6B"/>
    <w:rsid w:val="000304BA"/>
    <w:rsid w:val="00030536"/>
    <w:rsid w:val="000308F1"/>
    <w:rsid w:val="00030FC6"/>
    <w:rsid w:val="0003165E"/>
    <w:rsid w:val="000331D8"/>
    <w:rsid w:val="00033F55"/>
    <w:rsid w:val="00037989"/>
    <w:rsid w:val="00042245"/>
    <w:rsid w:val="000423FE"/>
    <w:rsid w:val="00042C47"/>
    <w:rsid w:val="0004321A"/>
    <w:rsid w:val="00043BA2"/>
    <w:rsid w:val="000442FF"/>
    <w:rsid w:val="000451A6"/>
    <w:rsid w:val="00046171"/>
    <w:rsid w:val="000471F1"/>
    <w:rsid w:val="00047748"/>
    <w:rsid w:val="000500EA"/>
    <w:rsid w:val="00053150"/>
    <w:rsid w:val="00053CE5"/>
    <w:rsid w:val="000563FD"/>
    <w:rsid w:val="0005683F"/>
    <w:rsid w:val="000575DA"/>
    <w:rsid w:val="000636A8"/>
    <w:rsid w:val="0006658D"/>
    <w:rsid w:val="000675CA"/>
    <w:rsid w:val="000702E8"/>
    <w:rsid w:val="0007045F"/>
    <w:rsid w:val="00070483"/>
    <w:rsid w:val="00071108"/>
    <w:rsid w:val="00073A3B"/>
    <w:rsid w:val="000743B6"/>
    <w:rsid w:val="00074A66"/>
    <w:rsid w:val="00074AA9"/>
    <w:rsid w:val="00074BAC"/>
    <w:rsid w:val="0007656E"/>
    <w:rsid w:val="00076B25"/>
    <w:rsid w:val="0008020A"/>
    <w:rsid w:val="000806DD"/>
    <w:rsid w:val="00080C15"/>
    <w:rsid w:val="00081A47"/>
    <w:rsid w:val="000828BF"/>
    <w:rsid w:val="0008478A"/>
    <w:rsid w:val="00084EAB"/>
    <w:rsid w:val="00084ED6"/>
    <w:rsid w:val="00085792"/>
    <w:rsid w:val="00086B9E"/>
    <w:rsid w:val="00086F4D"/>
    <w:rsid w:val="00087883"/>
    <w:rsid w:val="00091513"/>
    <w:rsid w:val="0009329A"/>
    <w:rsid w:val="00096097"/>
    <w:rsid w:val="000A1C5A"/>
    <w:rsid w:val="000A6641"/>
    <w:rsid w:val="000A7A9A"/>
    <w:rsid w:val="000A7D42"/>
    <w:rsid w:val="000B1429"/>
    <w:rsid w:val="000B4520"/>
    <w:rsid w:val="000B7C9E"/>
    <w:rsid w:val="000C454F"/>
    <w:rsid w:val="000C6AB1"/>
    <w:rsid w:val="000C7CBE"/>
    <w:rsid w:val="000D121E"/>
    <w:rsid w:val="000D29E9"/>
    <w:rsid w:val="000D3F93"/>
    <w:rsid w:val="000D5B3E"/>
    <w:rsid w:val="000D5C39"/>
    <w:rsid w:val="000D6409"/>
    <w:rsid w:val="000D6C0B"/>
    <w:rsid w:val="000D72F1"/>
    <w:rsid w:val="000E0610"/>
    <w:rsid w:val="000E129B"/>
    <w:rsid w:val="000E1563"/>
    <w:rsid w:val="000E3DC2"/>
    <w:rsid w:val="000E4004"/>
    <w:rsid w:val="000E4C92"/>
    <w:rsid w:val="000E53BA"/>
    <w:rsid w:val="000E57A6"/>
    <w:rsid w:val="000F0F39"/>
    <w:rsid w:val="000F2042"/>
    <w:rsid w:val="000F3A5B"/>
    <w:rsid w:val="000F3E57"/>
    <w:rsid w:val="001019D8"/>
    <w:rsid w:val="00101E2E"/>
    <w:rsid w:val="00104562"/>
    <w:rsid w:val="001046DF"/>
    <w:rsid w:val="00105FE9"/>
    <w:rsid w:val="00106C0F"/>
    <w:rsid w:val="00110044"/>
    <w:rsid w:val="0011117C"/>
    <w:rsid w:val="0011220E"/>
    <w:rsid w:val="00112E0B"/>
    <w:rsid w:val="001176A6"/>
    <w:rsid w:val="00120834"/>
    <w:rsid w:val="001218D8"/>
    <w:rsid w:val="00121DEE"/>
    <w:rsid w:val="00123F5B"/>
    <w:rsid w:val="0012465F"/>
    <w:rsid w:val="00130DA4"/>
    <w:rsid w:val="00130E73"/>
    <w:rsid w:val="00131255"/>
    <w:rsid w:val="0013214E"/>
    <w:rsid w:val="00132CCE"/>
    <w:rsid w:val="00135677"/>
    <w:rsid w:val="00140BD1"/>
    <w:rsid w:val="00142605"/>
    <w:rsid w:val="001434DB"/>
    <w:rsid w:val="001444F9"/>
    <w:rsid w:val="001445B0"/>
    <w:rsid w:val="00145F0F"/>
    <w:rsid w:val="00145F24"/>
    <w:rsid w:val="00146B38"/>
    <w:rsid w:val="00151538"/>
    <w:rsid w:val="00151B64"/>
    <w:rsid w:val="00153917"/>
    <w:rsid w:val="001541F7"/>
    <w:rsid w:val="00154ABB"/>
    <w:rsid w:val="001550AA"/>
    <w:rsid w:val="00155A9E"/>
    <w:rsid w:val="001571D5"/>
    <w:rsid w:val="00157DA9"/>
    <w:rsid w:val="00161EEB"/>
    <w:rsid w:val="00164B93"/>
    <w:rsid w:val="001704E7"/>
    <w:rsid w:val="00170558"/>
    <w:rsid w:val="001712A0"/>
    <w:rsid w:val="0017147C"/>
    <w:rsid w:val="00171B00"/>
    <w:rsid w:val="001725E0"/>
    <w:rsid w:val="001735EA"/>
    <w:rsid w:val="001746CE"/>
    <w:rsid w:val="00174ABF"/>
    <w:rsid w:val="00176FD0"/>
    <w:rsid w:val="001773B9"/>
    <w:rsid w:val="001778E4"/>
    <w:rsid w:val="00177EBD"/>
    <w:rsid w:val="0018177D"/>
    <w:rsid w:val="00181C4E"/>
    <w:rsid w:val="001828BA"/>
    <w:rsid w:val="00183F7E"/>
    <w:rsid w:val="0018450B"/>
    <w:rsid w:val="00184CA5"/>
    <w:rsid w:val="0018530D"/>
    <w:rsid w:val="0018683C"/>
    <w:rsid w:val="00190E15"/>
    <w:rsid w:val="0019129C"/>
    <w:rsid w:val="00192094"/>
    <w:rsid w:val="00192516"/>
    <w:rsid w:val="0019272C"/>
    <w:rsid w:val="00194A98"/>
    <w:rsid w:val="001A06C8"/>
    <w:rsid w:val="001A0B55"/>
    <w:rsid w:val="001A2A51"/>
    <w:rsid w:val="001A371B"/>
    <w:rsid w:val="001A52A5"/>
    <w:rsid w:val="001A5931"/>
    <w:rsid w:val="001A5A88"/>
    <w:rsid w:val="001A6831"/>
    <w:rsid w:val="001A6F24"/>
    <w:rsid w:val="001B2529"/>
    <w:rsid w:val="001B2B97"/>
    <w:rsid w:val="001B3E6F"/>
    <w:rsid w:val="001B6C45"/>
    <w:rsid w:val="001B7319"/>
    <w:rsid w:val="001B7BA5"/>
    <w:rsid w:val="001C1CAB"/>
    <w:rsid w:val="001C2651"/>
    <w:rsid w:val="001C27D0"/>
    <w:rsid w:val="001C6D37"/>
    <w:rsid w:val="001C704C"/>
    <w:rsid w:val="001D03FE"/>
    <w:rsid w:val="001D053D"/>
    <w:rsid w:val="001D13A5"/>
    <w:rsid w:val="001D16D5"/>
    <w:rsid w:val="001D1E25"/>
    <w:rsid w:val="001D2430"/>
    <w:rsid w:val="001D26E4"/>
    <w:rsid w:val="001D272E"/>
    <w:rsid w:val="001D47FC"/>
    <w:rsid w:val="001D5DBA"/>
    <w:rsid w:val="001D7336"/>
    <w:rsid w:val="001D7EBF"/>
    <w:rsid w:val="001E1124"/>
    <w:rsid w:val="001E1D64"/>
    <w:rsid w:val="001E29D0"/>
    <w:rsid w:val="001E5F45"/>
    <w:rsid w:val="001E6648"/>
    <w:rsid w:val="001F01DB"/>
    <w:rsid w:val="001F24BD"/>
    <w:rsid w:val="001F27C0"/>
    <w:rsid w:val="00200E31"/>
    <w:rsid w:val="00202DF8"/>
    <w:rsid w:val="00203018"/>
    <w:rsid w:val="0021038D"/>
    <w:rsid w:val="00210844"/>
    <w:rsid w:val="00216211"/>
    <w:rsid w:val="00216A2F"/>
    <w:rsid w:val="002176A4"/>
    <w:rsid w:val="00220C70"/>
    <w:rsid w:val="00222B2B"/>
    <w:rsid w:val="00223986"/>
    <w:rsid w:val="00224831"/>
    <w:rsid w:val="00225894"/>
    <w:rsid w:val="00226016"/>
    <w:rsid w:val="00226058"/>
    <w:rsid w:val="00227A8E"/>
    <w:rsid w:val="00233AD2"/>
    <w:rsid w:val="00233FFD"/>
    <w:rsid w:val="00235543"/>
    <w:rsid w:val="00237B97"/>
    <w:rsid w:val="002409B1"/>
    <w:rsid w:val="00240EDC"/>
    <w:rsid w:val="00241EEB"/>
    <w:rsid w:val="002438F1"/>
    <w:rsid w:val="0024391D"/>
    <w:rsid w:val="00243D11"/>
    <w:rsid w:val="002476C3"/>
    <w:rsid w:val="002479B4"/>
    <w:rsid w:val="00250AC1"/>
    <w:rsid w:val="00252372"/>
    <w:rsid w:val="0025247B"/>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50BD"/>
    <w:rsid w:val="0026611A"/>
    <w:rsid w:val="002667F4"/>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6DF"/>
    <w:rsid w:val="002A140E"/>
    <w:rsid w:val="002A1CA5"/>
    <w:rsid w:val="002A385F"/>
    <w:rsid w:val="002A40AD"/>
    <w:rsid w:val="002A5F7F"/>
    <w:rsid w:val="002B01ED"/>
    <w:rsid w:val="002B1704"/>
    <w:rsid w:val="002B1BE3"/>
    <w:rsid w:val="002B1D4E"/>
    <w:rsid w:val="002B4B55"/>
    <w:rsid w:val="002B525F"/>
    <w:rsid w:val="002B7455"/>
    <w:rsid w:val="002C07EC"/>
    <w:rsid w:val="002C1D27"/>
    <w:rsid w:val="002C23AB"/>
    <w:rsid w:val="002C2616"/>
    <w:rsid w:val="002C455F"/>
    <w:rsid w:val="002C7BCD"/>
    <w:rsid w:val="002C7CAF"/>
    <w:rsid w:val="002D003E"/>
    <w:rsid w:val="002D1296"/>
    <w:rsid w:val="002D1FE1"/>
    <w:rsid w:val="002D27AA"/>
    <w:rsid w:val="002D445D"/>
    <w:rsid w:val="002D45C7"/>
    <w:rsid w:val="002D5916"/>
    <w:rsid w:val="002D682E"/>
    <w:rsid w:val="002E1AF1"/>
    <w:rsid w:val="002E1C81"/>
    <w:rsid w:val="002E2281"/>
    <w:rsid w:val="002E3196"/>
    <w:rsid w:val="002E540C"/>
    <w:rsid w:val="002E5861"/>
    <w:rsid w:val="002E5C1E"/>
    <w:rsid w:val="002E5DBA"/>
    <w:rsid w:val="002E75F7"/>
    <w:rsid w:val="002E7CDB"/>
    <w:rsid w:val="002F141B"/>
    <w:rsid w:val="002F1576"/>
    <w:rsid w:val="002F357A"/>
    <w:rsid w:val="002F463A"/>
    <w:rsid w:val="002F5859"/>
    <w:rsid w:val="002F61D8"/>
    <w:rsid w:val="002F6B21"/>
    <w:rsid w:val="00300F45"/>
    <w:rsid w:val="00301C6B"/>
    <w:rsid w:val="003023C8"/>
    <w:rsid w:val="00303011"/>
    <w:rsid w:val="003050CD"/>
    <w:rsid w:val="00306FD3"/>
    <w:rsid w:val="00307BCD"/>
    <w:rsid w:val="00311824"/>
    <w:rsid w:val="00311899"/>
    <w:rsid w:val="003123D9"/>
    <w:rsid w:val="0031467B"/>
    <w:rsid w:val="0031662B"/>
    <w:rsid w:val="003206F5"/>
    <w:rsid w:val="00323A98"/>
    <w:rsid w:val="00324752"/>
    <w:rsid w:val="00325458"/>
    <w:rsid w:val="00325472"/>
    <w:rsid w:val="00326529"/>
    <w:rsid w:val="00330331"/>
    <w:rsid w:val="00333488"/>
    <w:rsid w:val="003343C1"/>
    <w:rsid w:val="00334F3C"/>
    <w:rsid w:val="0033590D"/>
    <w:rsid w:val="00336B20"/>
    <w:rsid w:val="00341752"/>
    <w:rsid w:val="003420D3"/>
    <w:rsid w:val="0034359F"/>
    <w:rsid w:val="00344426"/>
    <w:rsid w:val="003445BC"/>
    <w:rsid w:val="0034537A"/>
    <w:rsid w:val="00346342"/>
    <w:rsid w:val="0034742F"/>
    <w:rsid w:val="0034753A"/>
    <w:rsid w:val="00347980"/>
    <w:rsid w:val="003535E0"/>
    <w:rsid w:val="00356435"/>
    <w:rsid w:val="00356AD0"/>
    <w:rsid w:val="00357068"/>
    <w:rsid w:val="00365253"/>
    <w:rsid w:val="00365A14"/>
    <w:rsid w:val="003661F1"/>
    <w:rsid w:val="00367DB5"/>
    <w:rsid w:val="0037058C"/>
    <w:rsid w:val="00370D00"/>
    <w:rsid w:val="00370F37"/>
    <w:rsid w:val="003737E8"/>
    <w:rsid w:val="00375FAA"/>
    <w:rsid w:val="003769EE"/>
    <w:rsid w:val="0038171B"/>
    <w:rsid w:val="00382BC2"/>
    <w:rsid w:val="003839D5"/>
    <w:rsid w:val="00384A9E"/>
    <w:rsid w:val="00384B6F"/>
    <w:rsid w:val="00385059"/>
    <w:rsid w:val="003856CA"/>
    <w:rsid w:val="003867BE"/>
    <w:rsid w:val="00386DFE"/>
    <w:rsid w:val="00387068"/>
    <w:rsid w:val="0038750B"/>
    <w:rsid w:val="003901DF"/>
    <w:rsid w:val="003909DE"/>
    <w:rsid w:val="00390BD1"/>
    <w:rsid w:val="00390CB7"/>
    <w:rsid w:val="00390D1C"/>
    <w:rsid w:val="00391BDF"/>
    <w:rsid w:val="00392382"/>
    <w:rsid w:val="00392653"/>
    <w:rsid w:val="003936C8"/>
    <w:rsid w:val="003946CC"/>
    <w:rsid w:val="00394CCD"/>
    <w:rsid w:val="00395165"/>
    <w:rsid w:val="00395FD8"/>
    <w:rsid w:val="0039643F"/>
    <w:rsid w:val="003974A9"/>
    <w:rsid w:val="00397619"/>
    <w:rsid w:val="003A0EB1"/>
    <w:rsid w:val="003B0291"/>
    <w:rsid w:val="003B1662"/>
    <w:rsid w:val="003B271B"/>
    <w:rsid w:val="003B39F4"/>
    <w:rsid w:val="003B4B70"/>
    <w:rsid w:val="003B4DE8"/>
    <w:rsid w:val="003B7343"/>
    <w:rsid w:val="003B7A5C"/>
    <w:rsid w:val="003C0814"/>
    <w:rsid w:val="003C0DAF"/>
    <w:rsid w:val="003C3DA0"/>
    <w:rsid w:val="003C410D"/>
    <w:rsid w:val="003C508C"/>
    <w:rsid w:val="003C6810"/>
    <w:rsid w:val="003C6C78"/>
    <w:rsid w:val="003C7EFB"/>
    <w:rsid w:val="003D00E6"/>
    <w:rsid w:val="003D0970"/>
    <w:rsid w:val="003D0FA7"/>
    <w:rsid w:val="003D35FA"/>
    <w:rsid w:val="003D5E2C"/>
    <w:rsid w:val="003D5F37"/>
    <w:rsid w:val="003E0906"/>
    <w:rsid w:val="003E0F64"/>
    <w:rsid w:val="003E24B7"/>
    <w:rsid w:val="003E2C78"/>
    <w:rsid w:val="003E3A13"/>
    <w:rsid w:val="003E3A3B"/>
    <w:rsid w:val="003E6568"/>
    <w:rsid w:val="003F0642"/>
    <w:rsid w:val="003F0A34"/>
    <w:rsid w:val="003F26F6"/>
    <w:rsid w:val="003F2741"/>
    <w:rsid w:val="003F5BA9"/>
    <w:rsid w:val="003F62C9"/>
    <w:rsid w:val="003F6D0C"/>
    <w:rsid w:val="003F6E34"/>
    <w:rsid w:val="003F6F18"/>
    <w:rsid w:val="0040061E"/>
    <w:rsid w:val="00402AAF"/>
    <w:rsid w:val="00403517"/>
    <w:rsid w:val="004039DB"/>
    <w:rsid w:val="0040450D"/>
    <w:rsid w:val="004050DB"/>
    <w:rsid w:val="00405385"/>
    <w:rsid w:val="004103A2"/>
    <w:rsid w:val="0041270A"/>
    <w:rsid w:val="004144B8"/>
    <w:rsid w:val="00414EF3"/>
    <w:rsid w:val="00415D15"/>
    <w:rsid w:val="00415DB2"/>
    <w:rsid w:val="004207B8"/>
    <w:rsid w:val="00420B9A"/>
    <w:rsid w:val="00423D1F"/>
    <w:rsid w:val="00423DAC"/>
    <w:rsid w:val="00426451"/>
    <w:rsid w:val="00427567"/>
    <w:rsid w:val="00427F72"/>
    <w:rsid w:val="004308B6"/>
    <w:rsid w:val="00431758"/>
    <w:rsid w:val="00434AA6"/>
    <w:rsid w:val="00434EFF"/>
    <w:rsid w:val="00435442"/>
    <w:rsid w:val="004374A8"/>
    <w:rsid w:val="0043765E"/>
    <w:rsid w:val="0044133D"/>
    <w:rsid w:val="004439BF"/>
    <w:rsid w:val="00443D59"/>
    <w:rsid w:val="004444D9"/>
    <w:rsid w:val="004466EA"/>
    <w:rsid w:val="004469C3"/>
    <w:rsid w:val="00447E6B"/>
    <w:rsid w:val="0045537A"/>
    <w:rsid w:val="00455EE8"/>
    <w:rsid w:val="0045645D"/>
    <w:rsid w:val="00456592"/>
    <w:rsid w:val="00457FDF"/>
    <w:rsid w:val="004609FB"/>
    <w:rsid w:val="00460A0C"/>
    <w:rsid w:val="0046107E"/>
    <w:rsid w:val="0046214E"/>
    <w:rsid w:val="00463A1B"/>
    <w:rsid w:val="0046448E"/>
    <w:rsid w:val="00467221"/>
    <w:rsid w:val="0047019C"/>
    <w:rsid w:val="00470735"/>
    <w:rsid w:val="0047673E"/>
    <w:rsid w:val="00477822"/>
    <w:rsid w:val="00480F37"/>
    <w:rsid w:val="00482FB2"/>
    <w:rsid w:val="00483CD6"/>
    <w:rsid w:val="004861AE"/>
    <w:rsid w:val="00486695"/>
    <w:rsid w:val="00487369"/>
    <w:rsid w:val="004917C4"/>
    <w:rsid w:val="00492B8B"/>
    <w:rsid w:val="0049304B"/>
    <w:rsid w:val="0049304D"/>
    <w:rsid w:val="00494A5A"/>
    <w:rsid w:val="00496A2F"/>
    <w:rsid w:val="004971CF"/>
    <w:rsid w:val="004A1202"/>
    <w:rsid w:val="004A1EC5"/>
    <w:rsid w:val="004A23FC"/>
    <w:rsid w:val="004A31C2"/>
    <w:rsid w:val="004A417F"/>
    <w:rsid w:val="004A4658"/>
    <w:rsid w:val="004A5CC6"/>
    <w:rsid w:val="004A61B9"/>
    <w:rsid w:val="004A70D0"/>
    <w:rsid w:val="004B015E"/>
    <w:rsid w:val="004B09C5"/>
    <w:rsid w:val="004B2367"/>
    <w:rsid w:val="004B39BB"/>
    <w:rsid w:val="004B5455"/>
    <w:rsid w:val="004B7A56"/>
    <w:rsid w:val="004C046F"/>
    <w:rsid w:val="004C1DEE"/>
    <w:rsid w:val="004C2642"/>
    <w:rsid w:val="004C37A6"/>
    <w:rsid w:val="004C4930"/>
    <w:rsid w:val="004C4976"/>
    <w:rsid w:val="004C582F"/>
    <w:rsid w:val="004D05A3"/>
    <w:rsid w:val="004D1912"/>
    <w:rsid w:val="004D4AE0"/>
    <w:rsid w:val="004D5985"/>
    <w:rsid w:val="004D7E06"/>
    <w:rsid w:val="004E0B94"/>
    <w:rsid w:val="004E0DE6"/>
    <w:rsid w:val="004E2181"/>
    <w:rsid w:val="004E300A"/>
    <w:rsid w:val="004E3BD3"/>
    <w:rsid w:val="004E4D49"/>
    <w:rsid w:val="004E6103"/>
    <w:rsid w:val="004E7E55"/>
    <w:rsid w:val="004F1E02"/>
    <w:rsid w:val="004F7580"/>
    <w:rsid w:val="00502193"/>
    <w:rsid w:val="00502346"/>
    <w:rsid w:val="00502A61"/>
    <w:rsid w:val="00503EAF"/>
    <w:rsid w:val="0050412D"/>
    <w:rsid w:val="0050626B"/>
    <w:rsid w:val="0050635E"/>
    <w:rsid w:val="00506539"/>
    <w:rsid w:val="005071E2"/>
    <w:rsid w:val="00511EFE"/>
    <w:rsid w:val="0051227B"/>
    <w:rsid w:val="00512B71"/>
    <w:rsid w:val="00512CAD"/>
    <w:rsid w:val="00513A66"/>
    <w:rsid w:val="00513AC0"/>
    <w:rsid w:val="00513D77"/>
    <w:rsid w:val="00513F9D"/>
    <w:rsid w:val="00515D72"/>
    <w:rsid w:val="005163F3"/>
    <w:rsid w:val="005207CE"/>
    <w:rsid w:val="0052167B"/>
    <w:rsid w:val="00521E30"/>
    <w:rsid w:val="00523406"/>
    <w:rsid w:val="005239E8"/>
    <w:rsid w:val="00525AAC"/>
    <w:rsid w:val="005300A6"/>
    <w:rsid w:val="00531950"/>
    <w:rsid w:val="00531E6E"/>
    <w:rsid w:val="00531FCD"/>
    <w:rsid w:val="00532614"/>
    <w:rsid w:val="0053262B"/>
    <w:rsid w:val="0053394E"/>
    <w:rsid w:val="00534818"/>
    <w:rsid w:val="00537D4D"/>
    <w:rsid w:val="00540270"/>
    <w:rsid w:val="00540CC2"/>
    <w:rsid w:val="00541997"/>
    <w:rsid w:val="00542618"/>
    <w:rsid w:val="00543A49"/>
    <w:rsid w:val="0054401F"/>
    <w:rsid w:val="00545E71"/>
    <w:rsid w:val="00546236"/>
    <w:rsid w:val="0054637A"/>
    <w:rsid w:val="00546B5A"/>
    <w:rsid w:val="0055112C"/>
    <w:rsid w:val="0055215B"/>
    <w:rsid w:val="005527CB"/>
    <w:rsid w:val="00553ECF"/>
    <w:rsid w:val="005542A6"/>
    <w:rsid w:val="00555733"/>
    <w:rsid w:val="005564EF"/>
    <w:rsid w:val="00556CD9"/>
    <w:rsid w:val="00556EDC"/>
    <w:rsid w:val="00557EB8"/>
    <w:rsid w:val="005600A8"/>
    <w:rsid w:val="00565075"/>
    <w:rsid w:val="005660AA"/>
    <w:rsid w:val="00570BE6"/>
    <w:rsid w:val="00570F8A"/>
    <w:rsid w:val="005712B1"/>
    <w:rsid w:val="005713C3"/>
    <w:rsid w:val="00572031"/>
    <w:rsid w:val="005727E1"/>
    <w:rsid w:val="00573A7B"/>
    <w:rsid w:val="005748C1"/>
    <w:rsid w:val="0057506B"/>
    <w:rsid w:val="005765CB"/>
    <w:rsid w:val="00576EF9"/>
    <w:rsid w:val="005773C3"/>
    <w:rsid w:val="00577D3D"/>
    <w:rsid w:val="00580267"/>
    <w:rsid w:val="0058246E"/>
    <w:rsid w:val="00583511"/>
    <w:rsid w:val="00584322"/>
    <w:rsid w:val="005844F0"/>
    <w:rsid w:val="00590205"/>
    <w:rsid w:val="0059029C"/>
    <w:rsid w:val="005912A2"/>
    <w:rsid w:val="005943F9"/>
    <w:rsid w:val="00595BBB"/>
    <w:rsid w:val="00597CB3"/>
    <w:rsid w:val="005A07F5"/>
    <w:rsid w:val="005A10E5"/>
    <w:rsid w:val="005A40DA"/>
    <w:rsid w:val="005A4886"/>
    <w:rsid w:val="005A4963"/>
    <w:rsid w:val="005A78C9"/>
    <w:rsid w:val="005B20A3"/>
    <w:rsid w:val="005B3367"/>
    <w:rsid w:val="005B3534"/>
    <w:rsid w:val="005B3BA7"/>
    <w:rsid w:val="005B5976"/>
    <w:rsid w:val="005B6E10"/>
    <w:rsid w:val="005B768D"/>
    <w:rsid w:val="005B7A51"/>
    <w:rsid w:val="005B7D63"/>
    <w:rsid w:val="005C041F"/>
    <w:rsid w:val="005C2D22"/>
    <w:rsid w:val="005C2D3B"/>
    <w:rsid w:val="005C305E"/>
    <w:rsid w:val="005C3FEA"/>
    <w:rsid w:val="005C41B7"/>
    <w:rsid w:val="005C47A5"/>
    <w:rsid w:val="005D370F"/>
    <w:rsid w:val="005D69CC"/>
    <w:rsid w:val="005D70A2"/>
    <w:rsid w:val="005D7ABD"/>
    <w:rsid w:val="005E5A84"/>
    <w:rsid w:val="005F56DE"/>
    <w:rsid w:val="005F6B3F"/>
    <w:rsid w:val="005F719A"/>
    <w:rsid w:val="005F7D81"/>
    <w:rsid w:val="00600C45"/>
    <w:rsid w:val="00601A36"/>
    <w:rsid w:val="00603171"/>
    <w:rsid w:val="0060439F"/>
    <w:rsid w:val="00605B82"/>
    <w:rsid w:val="00606261"/>
    <w:rsid w:val="006079AB"/>
    <w:rsid w:val="00607A0C"/>
    <w:rsid w:val="00607C10"/>
    <w:rsid w:val="00610748"/>
    <w:rsid w:val="006107A7"/>
    <w:rsid w:val="006110DC"/>
    <w:rsid w:val="006119B3"/>
    <w:rsid w:val="006126B7"/>
    <w:rsid w:val="006138A2"/>
    <w:rsid w:val="006167DC"/>
    <w:rsid w:val="00617973"/>
    <w:rsid w:val="00617D01"/>
    <w:rsid w:val="00620328"/>
    <w:rsid w:val="00620EB8"/>
    <w:rsid w:val="00621A05"/>
    <w:rsid w:val="00630A19"/>
    <w:rsid w:val="00630E37"/>
    <w:rsid w:val="006312C3"/>
    <w:rsid w:val="00631948"/>
    <w:rsid w:val="00632169"/>
    <w:rsid w:val="00633DB8"/>
    <w:rsid w:val="00635CB3"/>
    <w:rsid w:val="00635E3F"/>
    <w:rsid w:val="006369FF"/>
    <w:rsid w:val="00637AAB"/>
    <w:rsid w:val="006401D2"/>
    <w:rsid w:val="0064292F"/>
    <w:rsid w:val="00645A91"/>
    <w:rsid w:val="00650335"/>
    <w:rsid w:val="00653314"/>
    <w:rsid w:val="00654166"/>
    <w:rsid w:val="006553D0"/>
    <w:rsid w:val="00655A32"/>
    <w:rsid w:val="006606E8"/>
    <w:rsid w:val="00660D79"/>
    <w:rsid w:val="0066191A"/>
    <w:rsid w:val="00662C55"/>
    <w:rsid w:val="0066367F"/>
    <w:rsid w:val="00663B5E"/>
    <w:rsid w:val="006644BB"/>
    <w:rsid w:val="006658CD"/>
    <w:rsid w:val="00666C7C"/>
    <w:rsid w:val="00666F4D"/>
    <w:rsid w:val="0066757E"/>
    <w:rsid w:val="00667DFA"/>
    <w:rsid w:val="0067031D"/>
    <w:rsid w:val="00670FB0"/>
    <w:rsid w:val="00673029"/>
    <w:rsid w:val="00675C43"/>
    <w:rsid w:val="00676E1B"/>
    <w:rsid w:val="00677126"/>
    <w:rsid w:val="00680B23"/>
    <w:rsid w:val="00681668"/>
    <w:rsid w:val="00681E81"/>
    <w:rsid w:val="00682756"/>
    <w:rsid w:val="00682758"/>
    <w:rsid w:val="0068312B"/>
    <w:rsid w:val="00683555"/>
    <w:rsid w:val="0068384A"/>
    <w:rsid w:val="00683D37"/>
    <w:rsid w:val="00683F11"/>
    <w:rsid w:val="006842DA"/>
    <w:rsid w:val="00685410"/>
    <w:rsid w:val="0069202F"/>
    <w:rsid w:val="00692E63"/>
    <w:rsid w:val="0069335B"/>
    <w:rsid w:val="00695E1B"/>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70C1"/>
    <w:rsid w:val="006B79BF"/>
    <w:rsid w:val="006C0A4C"/>
    <w:rsid w:val="006C15EE"/>
    <w:rsid w:val="006C2300"/>
    <w:rsid w:val="006C4A6F"/>
    <w:rsid w:val="006C5D21"/>
    <w:rsid w:val="006C6ECE"/>
    <w:rsid w:val="006C6FD9"/>
    <w:rsid w:val="006C76E1"/>
    <w:rsid w:val="006D023A"/>
    <w:rsid w:val="006D19EB"/>
    <w:rsid w:val="006D3004"/>
    <w:rsid w:val="006D6245"/>
    <w:rsid w:val="006D7371"/>
    <w:rsid w:val="006D7DD6"/>
    <w:rsid w:val="006E0369"/>
    <w:rsid w:val="006E2DD1"/>
    <w:rsid w:val="006E30D3"/>
    <w:rsid w:val="006E32CF"/>
    <w:rsid w:val="006E4997"/>
    <w:rsid w:val="006E6621"/>
    <w:rsid w:val="006E69E2"/>
    <w:rsid w:val="006F14FC"/>
    <w:rsid w:val="006F42B1"/>
    <w:rsid w:val="006F5587"/>
    <w:rsid w:val="006F5C0A"/>
    <w:rsid w:val="006F6052"/>
    <w:rsid w:val="006F60B2"/>
    <w:rsid w:val="006F6ACA"/>
    <w:rsid w:val="006F777D"/>
    <w:rsid w:val="00701B19"/>
    <w:rsid w:val="00702A4F"/>
    <w:rsid w:val="00702B67"/>
    <w:rsid w:val="007039B1"/>
    <w:rsid w:val="00705215"/>
    <w:rsid w:val="007064D1"/>
    <w:rsid w:val="007067D5"/>
    <w:rsid w:val="00707432"/>
    <w:rsid w:val="00710638"/>
    <w:rsid w:val="00715473"/>
    <w:rsid w:val="00717976"/>
    <w:rsid w:val="007212E3"/>
    <w:rsid w:val="00724C4A"/>
    <w:rsid w:val="00725A2D"/>
    <w:rsid w:val="007274D8"/>
    <w:rsid w:val="00732C80"/>
    <w:rsid w:val="007340B6"/>
    <w:rsid w:val="0073453F"/>
    <w:rsid w:val="00736455"/>
    <w:rsid w:val="00741A7D"/>
    <w:rsid w:val="007429AD"/>
    <w:rsid w:val="0074341B"/>
    <w:rsid w:val="0074576A"/>
    <w:rsid w:val="0074665A"/>
    <w:rsid w:val="00746F16"/>
    <w:rsid w:val="00750787"/>
    <w:rsid w:val="00751313"/>
    <w:rsid w:val="00753546"/>
    <w:rsid w:val="00753EA5"/>
    <w:rsid w:val="00754990"/>
    <w:rsid w:val="0076008C"/>
    <w:rsid w:val="00764AFE"/>
    <w:rsid w:val="00764FAF"/>
    <w:rsid w:val="00765B7F"/>
    <w:rsid w:val="00767E83"/>
    <w:rsid w:val="00771809"/>
    <w:rsid w:val="00772E28"/>
    <w:rsid w:val="007746E7"/>
    <w:rsid w:val="00775CD9"/>
    <w:rsid w:val="00776FB8"/>
    <w:rsid w:val="00781071"/>
    <w:rsid w:val="00782678"/>
    <w:rsid w:val="00782929"/>
    <w:rsid w:val="00782D78"/>
    <w:rsid w:val="00783401"/>
    <w:rsid w:val="00783F3E"/>
    <w:rsid w:val="00785D5A"/>
    <w:rsid w:val="00786674"/>
    <w:rsid w:val="00787154"/>
    <w:rsid w:val="00787EB8"/>
    <w:rsid w:val="0079026B"/>
    <w:rsid w:val="007910B9"/>
    <w:rsid w:val="007930BD"/>
    <w:rsid w:val="00793B5C"/>
    <w:rsid w:val="00793CD9"/>
    <w:rsid w:val="007947DA"/>
    <w:rsid w:val="007967F0"/>
    <w:rsid w:val="00796DEC"/>
    <w:rsid w:val="007A07AF"/>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6D02"/>
    <w:rsid w:val="007B7D22"/>
    <w:rsid w:val="007C1429"/>
    <w:rsid w:val="007C1A83"/>
    <w:rsid w:val="007C1B45"/>
    <w:rsid w:val="007C4974"/>
    <w:rsid w:val="007C4F37"/>
    <w:rsid w:val="007D1A60"/>
    <w:rsid w:val="007D2F3D"/>
    <w:rsid w:val="007D3CC0"/>
    <w:rsid w:val="007D7AF6"/>
    <w:rsid w:val="007E1C60"/>
    <w:rsid w:val="007E2131"/>
    <w:rsid w:val="007E2950"/>
    <w:rsid w:val="007E35DB"/>
    <w:rsid w:val="007E3A1A"/>
    <w:rsid w:val="007E53D0"/>
    <w:rsid w:val="007E5A93"/>
    <w:rsid w:val="007F18D8"/>
    <w:rsid w:val="007F4444"/>
    <w:rsid w:val="007F49ED"/>
    <w:rsid w:val="007F4A78"/>
    <w:rsid w:val="007F615E"/>
    <w:rsid w:val="007F6CA6"/>
    <w:rsid w:val="007F7749"/>
    <w:rsid w:val="008005FB"/>
    <w:rsid w:val="0080087F"/>
    <w:rsid w:val="008011D6"/>
    <w:rsid w:val="00801635"/>
    <w:rsid w:val="008038D4"/>
    <w:rsid w:val="0081033D"/>
    <w:rsid w:val="008111A8"/>
    <w:rsid w:val="008132C0"/>
    <w:rsid w:val="008141AE"/>
    <w:rsid w:val="00814343"/>
    <w:rsid w:val="00814BDE"/>
    <w:rsid w:val="0081632F"/>
    <w:rsid w:val="00816FE9"/>
    <w:rsid w:val="0082029B"/>
    <w:rsid w:val="008203F7"/>
    <w:rsid w:val="00821A88"/>
    <w:rsid w:val="00822173"/>
    <w:rsid w:val="0082295E"/>
    <w:rsid w:val="0082430B"/>
    <w:rsid w:val="00825B2E"/>
    <w:rsid w:val="00826491"/>
    <w:rsid w:val="008320CE"/>
    <w:rsid w:val="008332E9"/>
    <w:rsid w:val="00834859"/>
    <w:rsid w:val="00834B99"/>
    <w:rsid w:val="0083571E"/>
    <w:rsid w:val="00835F12"/>
    <w:rsid w:val="00836604"/>
    <w:rsid w:val="0084221F"/>
    <w:rsid w:val="00842464"/>
    <w:rsid w:val="00842C98"/>
    <w:rsid w:val="00842F0F"/>
    <w:rsid w:val="00844BC4"/>
    <w:rsid w:val="008450AE"/>
    <w:rsid w:val="00845B88"/>
    <w:rsid w:val="00845C42"/>
    <w:rsid w:val="00846E74"/>
    <w:rsid w:val="00847B2B"/>
    <w:rsid w:val="008506B2"/>
    <w:rsid w:val="00854732"/>
    <w:rsid w:val="0085509C"/>
    <w:rsid w:val="008550DA"/>
    <w:rsid w:val="00857CFA"/>
    <w:rsid w:val="008603DE"/>
    <w:rsid w:val="008604A5"/>
    <w:rsid w:val="0086160B"/>
    <w:rsid w:val="0086249C"/>
    <w:rsid w:val="00866169"/>
    <w:rsid w:val="00866C7D"/>
    <w:rsid w:val="00866E26"/>
    <w:rsid w:val="008701A6"/>
    <w:rsid w:val="00870635"/>
    <w:rsid w:val="00871423"/>
    <w:rsid w:val="0087200F"/>
    <w:rsid w:val="00872484"/>
    <w:rsid w:val="0087371C"/>
    <w:rsid w:val="00876575"/>
    <w:rsid w:val="008766C5"/>
    <w:rsid w:val="00877662"/>
    <w:rsid w:val="00880B13"/>
    <w:rsid w:val="008814A7"/>
    <w:rsid w:val="008825E1"/>
    <w:rsid w:val="008828A9"/>
    <w:rsid w:val="0088377F"/>
    <w:rsid w:val="0088390B"/>
    <w:rsid w:val="0088443E"/>
    <w:rsid w:val="00884E6E"/>
    <w:rsid w:val="00885203"/>
    <w:rsid w:val="00886ECF"/>
    <w:rsid w:val="008870FE"/>
    <w:rsid w:val="0088725D"/>
    <w:rsid w:val="0089083C"/>
    <w:rsid w:val="00892389"/>
    <w:rsid w:val="00894085"/>
    <w:rsid w:val="00896B0E"/>
    <w:rsid w:val="00897E79"/>
    <w:rsid w:val="008A3961"/>
    <w:rsid w:val="008A39EB"/>
    <w:rsid w:val="008A4E04"/>
    <w:rsid w:val="008A5448"/>
    <w:rsid w:val="008A73A7"/>
    <w:rsid w:val="008B4ED7"/>
    <w:rsid w:val="008B6872"/>
    <w:rsid w:val="008B68D7"/>
    <w:rsid w:val="008B6BBF"/>
    <w:rsid w:val="008C3202"/>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6A1D"/>
    <w:rsid w:val="00907BCD"/>
    <w:rsid w:val="009125CD"/>
    <w:rsid w:val="00915994"/>
    <w:rsid w:val="00915A41"/>
    <w:rsid w:val="00915A56"/>
    <w:rsid w:val="00920631"/>
    <w:rsid w:val="00920C0C"/>
    <w:rsid w:val="009214A2"/>
    <w:rsid w:val="00922EB1"/>
    <w:rsid w:val="009247D4"/>
    <w:rsid w:val="00925343"/>
    <w:rsid w:val="00926A1A"/>
    <w:rsid w:val="00926B2A"/>
    <w:rsid w:val="0092748E"/>
    <w:rsid w:val="00927DFC"/>
    <w:rsid w:val="0093094E"/>
    <w:rsid w:val="0093516D"/>
    <w:rsid w:val="00935D11"/>
    <w:rsid w:val="00940216"/>
    <w:rsid w:val="0094110B"/>
    <w:rsid w:val="00941359"/>
    <w:rsid w:val="00941571"/>
    <w:rsid w:val="00942BF7"/>
    <w:rsid w:val="009436C7"/>
    <w:rsid w:val="00943A8E"/>
    <w:rsid w:val="00946139"/>
    <w:rsid w:val="00946823"/>
    <w:rsid w:val="00946B73"/>
    <w:rsid w:val="00947CF3"/>
    <w:rsid w:val="00950629"/>
    <w:rsid w:val="00951F81"/>
    <w:rsid w:val="00952113"/>
    <w:rsid w:val="00952BCE"/>
    <w:rsid w:val="009530D5"/>
    <w:rsid w:val="00960173"/>
    <w:rsid w:val="0096019B"/>
    <w:rsid w:val="009608FC"/>
    <w:rsid w:val="00962743"/>
    <w:rsid w:val="00964006"/>
    <w:rsid w:val="00971888"/>
    <w:rsid w:val="0097208F"/>
    <w:rsid w:val="00972A53"/>
    <w:rsid w:val="009732F7"/>
    <w:rsid w:val="00973357"/>
    <w:rsid w:val="00983B38"/>
    <w:rsid w:val="00985DD9"/>
    <w:rsid w:val="009872DC"/>
    <w:rsid w:val="009921A0"/>
    <w:rsid w:val="009921F2"/>
    <w:rsid w:val="00992811"/>
    <w:rsid w:val="00992A6A"/>
    <w:rsid w:val="00997081"/>
    <w:rsid w:val="009970B7"/>
    <w:rsid w:val="009977C8"/>
    <w:rsid w:val="009A1AD8"/>
    <w:rsid w:val="009A3971"/>
    <w:rsid w:val="009A3D9B"/>
    <w:rsid w:val="009A6895"/>
    <w:rsid w:val="009A72A7"/>
    <w:rsid w:val="009B0D43"/>
    <w:rsid w:val="009B23CC"/>
    <w:rsid w:val="009B2AE2"/>
    <w:rsid w:val="009B4759"/>
    <w:rsid w:val="009B727C"/>
    <w:rsid w:val="009C1C4D"/>
    <w:rsid w:val="009C2622"/>
    <w:rsid w:val="009C46BE"/>
    <w:rsid w:val="009C6C95"/>
    <w:rsid w:val="009D2A31"/>
    <w:rsid w:val="009D2BE6"/>
    <w:rsid w:val="009D2C70"/>
    <w:rsid w:val="009D2E14"/>
    <w:rsid w:val="009D3B7C"/>
    <w:rsid w:val="009D4537"/>
    <w:rsid w:val="009D45F1"/>
    <w:rsid w:val="009D6983"/>
    <w:rsid w:val="009E151E"/>
    <w:rsid w:val="009E337B"/>
    <w:rsid w:val="009E53AD"/>
    <w:rsid w:val="009E7A9E"/>
    <w:rsid w:val="009F00A4"/>
    <w:rsid w:val="009F1093"/>
    <w:rsid w:val="009F3780"/>
    <w:rsid w:val="009F3EB0"/>
    <w:rsid w:val="009F617D"/>
    <w:rsid w:val="009F6344"/>
    <w:rsid w:val="009F71BA"/>
    <w:rsid w:val="009F7844"/>
    <w:rsid w:val="009F7BC4"/>
    <w:rsid w:val="00A00D43"/>
    <w:rsid w:val="00A0183F"/>
    <w:rsid w:val="00A02FB5"/>
    <w:rsid w:val="00A0539D"/>
    <w:rsid w:val="00A058A4"/>
    <w:rsid w:val="00A0700F"/>
    <w:rsid w:val="00A076AD"/>
    <w:rsid w:val="00A10A47"/>
    <w:rsid w:val="00A115D1"/>
    <w:rsid w:val="00A117AB"/>
    <w:rsid w:val="00A1208F"/>
    <w:rsid w:val="00A13BD6"/>
    <w:rsid w:val="00A147EB"/>
    <w:rsid w:val="00A14BC4"/>
    <w:rsid w:val="00A17190"/>
    <w:rsid w:val="00A240EB"/>
    <w:rsid w:val="00A25636"/>
    <w:rsid w:val="00A30743"/>
    <w:rsid w:val="00A3163F"/>
    <w:rsid w:val="00A31D4E"/>
    <w:rsid w:val="00A32FA9"/>
    <w:rsid w:val="00A35900"/>
    <w:rsid w:val="00A36F4E"/>
    <w:rsid w:val="00A37B08"/>
    <w:rsid w:val="00A42278"/>
    <w:rsid w:val="00A42F14"/>
    <w:rsid w:val="00A463D4"/>
    <w:rsid w:val="00A47120"/>
    <w:rsid w:val="00A47BFC"/>
    <w:rsid w:val="00A500E9"/>
    <w:rsid w:val="00A517BF"/>
    <w:rsid w:val="00A51C83"/>
    <w:rsid w:val="00A523B2"/>
    <w:rsid w:val="00A526D6"/>
    <w:rsid w:val="00A54747"/>
    <w:rsid w:val="00A55898"/>
    <w:rsid w:val="00A56542"/>
    <w:rsid w:val="00A56E01"/>
    <w:rsid w:val="00A6016E"/>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4AF1"/>
    <w:rsid w:val="00A85945"/>
    <w:rsid w:val="00A85DC6"/>
    <w:rsid w:val="00A86FFE"/>
    <w:rsid w:val="00A93501"/>
    <w:rsid w:val="00A936C3"/>
    <w:rsid w:val="00A95B56"/>
    <w:rsid w:val="00A95DA0"/>
    <w:rsid w:val="00A96604"/>
    <w:rsid w:val="00A9674B"/>
    <w:rsid w:val="00A96A0B"/>
    <w:rsid w:val="00A96BB4"/>
    <w:rsid w:val="00A96EB8"/>
    <w:rsid w:val="00A97078"/>
    <w:rsid w:val="00AA48CF"/>
    <w:rsid w:val="00AA6DD1"/>
    <w:rsid w:val="00AB1319"/>
    <w:rsid w:val="00AB22CF"/>
    <w:rsid w:val="00AB3641"/>
    <w:rsid w:val="00AB50C7"/>
    <w:rsid w:val="00AB5662"/>
    <w:rsid w:val="00AC0184"/>
    <w:rsid w:val="00AC24E6"/>
    <w:rsid w:val="00AC25E1"/>
    <w:rsid w:val="00AC40D3"/>
    <w:rsid w:val="00AD2606"/>
    <w:rsid w:val="00AE18D6"/>
    <w:rsid w:val="00AE5429"/>
    <w:rsid w:val="00AF0488"/>
    <w:rsid w:val="00AF0909"/>
    <w:rsid w:val="00AF18CA"/>
    <w:rsid w:val="00AF2389"/>
    <w:rsid w:val="00AF2F8B"/>
    <w:rsid w:val="00AF3664"/>
    <w:rsid w:val="00AF455B"/>
    <w:rsid w:val="00AF46E4"/>
    <w:rsid w:val="00AF6E41"/>
    <w:rsid w:val="00B02DFA"/>
    <w:rsid w:val="00B10CAE"/>
    <w:rsid w:val="00B16069"/>
    <w:rsid w:val="00B1658B"/>
    <w:rsid w:val="00B20AB2"/>
    <w:rsid w:val="00B227C6"/>
    <w:rsid w:val="00B22B6B"/>
    <w:rsid w:val="00B23D47"/>
    <w:rsid w:val="00B26E3A"/>
    <w:rsid w:val="00B30AD1"/>
    <w:rsid w:val="00B33475"/>
    <w:rsid w:val="00B3489F"/>
    <w:rsid w:val="00B34C76"/>
    <w:rsid w:val="00B35DF8"/>
    <w:rsid w:val="00B4004B"/>
    <w:rsid w:val="00B401CC"/>
    <w:rsid w:val="00B40929"/>
    <w:rsid w:val="00B4276E"/>
    <w:rsid w:val="00B42DC6"/>
    <w:rsid w:val="00B44840"/>
    <w:rsid w:val="00B45714"/>
    <w:rsid w:val="00B45A6D"/>
    <w:rsid w:val="00B45EBE"/>
    <w:rsid w:val="00B52BA7"/>
    <w:rsid w:val="00B5435E"/>
    <w:rsid w:val="00B55F81"/>
    <w:rsid w:val="00B56935"/>
    <w:rsid w:val="00B57CCC"/>
    <w:rsid w:val="00B60469"/>
    <w:rsid w:val="00B60519"/>
    <w:rsid w:val="00B60617"/>
    <w:rsid w:val="00B615B2"/>
    <w:rsid w:val="00B61A24"/>
    <w:rsid w:val="00B62158"/>
    <w:rsid w:val="00B63DB1"/>
    <w:rsid w:val="00B63F39"/>
    <w:rsid w:val="00B67848"/>
    <w:rsid w:val="00B7179A"/>
    <w:rsid w:val="00B730DD"/>
    <w:rsid w:val="00B738DE"/>
    <w:rsid w:val="00B73E17"/>
    <w:rsid w:val="00B751E6"/>
    <w:rsid w:val="00B75396"/>
    <w:rsid w:val="00B81A21"/>
    <w:rsid w:val="00B81A38"/>
    <w:rsid w:val="00B82A76"/>
    <w:rsid w:val="00B85D78"/>
    <w:rsid w:val="00B85EBE"/>
    <w:rsid w:val="00B90D5A"/>
    <w:rsid w:val="00B9145E"/>
    <w:rsid w:val="00B922CF"/>
    <w:rsid w:val="00B93C59"/>
    <w:rsid w:val="00B947F4"/>
    <w:rsid w:val="00B94B15"/>
    <w:rsid w:val="00B9660B"/>
    <w:rsid w:val="00B97978"/>
    <w:rsid w:val="00B97BCE"/>
    <w:rsid w:val="00BA1C6C"/>
    <w:rsid w:val="00BA347A"/>
    <w:rsid w:val="00BA5733"/>
    <w:rsid w:val="00BA71B6"/>
    <w:rsid w:val="00BB2B95"/>
    <w:rsid w:val="00BB50DC"/>
    <w:rsid w:val="00BB527A"/>
    <w:rsid w:val="00BC1E60"/>
    <w:rsid w:val="00BC29D2"/>
    <w:rsid w:val="00BC617A"/>
    <w:rsid w:val="00BC6733"/>
    <w:rsid w:val="00BC6FC7"/>
    <w:rsid w:val="00BC7CF7"/>
    <w:rsid w:val="00BD0A91"/>
    <w:rsid w:val="00BD3D36"/>
    <w:rsid w:val="00BD493B"/>
    <w:rsid w:val="00BD5DEE"/>
    <w:rsid w:val="00BD6E48"/>
    <w:rsid w:val="00BD765D"/>
    <w:rsid w:val="00BD7EB3"/>
    <w:rsid w:val="00BE0489"/>
    <w:rsid w:val="00BE0FAD"/>
    <w:rsid w:val="00BE114A"/>
    <w:rsid w:val="00BE318D"/>
    <w:rsid w:val="00BE4A6A"/>
    <w:rsid w:val="00BE5A7E"/>
    <w:rsid w:val="00BE5B95"/>
    <w:rsid w:val="00BE67EE"/>
    <w:rsid w:val="00BE776A"/>
    <w:rsid w:val="00BE7AB1"/>
    <w:rsid w:val="00BF0C34"/>
    <w:rsid w:val="00BF1C5E"/>
    <w:rsid w:val="00BF2579"/>
    <w:rsid w:val="00BF395F"/>
    <w:rsid w:val="00BF5188"/>
    <w:rsid w:val="00BF54D8"/>
    <w:rsid w:val="00BF7EB6"/>
    <w:rsid w:val="00C0019C"/>
    <w:rsid w:val="00C02775"/>
    <w:rsid w:val="00C04E53"/>
    <w:rsid w:val="00C05A87"/>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0D37"/>
    <w:rsid w:val="00C216D2"/>
    <w:rsid w:val="00C223B7"/>
    <w:rsid w:val="00C2322D"/>
    <w:rsid w:val="00C24067"/>
    <w:rsid w:val="00C244D9"/>
    <w:rsid w:val="00C24D93"/>
    <w:rsid w:val="00C307A4"/>
    <w:rsid w:val="00C30A92"/>
    <w:rsid w:val="00C31260"/>
    <w:rsid w:val="00C31BD2"/>
    <w:rsid w:val="00C32397"/>
    <w:rsid w:val="00C33C96"/>
    <w:rsid w:val="00C345B1"/>
    <w:rsid w:val="00C36B40"/>
    <w:rsid w:val="00C36C15"/>
    <w:rsid w:val="00C37052"/>
    <w:rsid w:val="00C41E1E"/>
    <w:rsid w:val="00C41F95"/>
    <w:rsid w:val="00C42CB7"/>
    <w:rsid w:val="00C442AB"/>
    <w:rsid w:val="00C44C25"/>
    <w:rsid w:val="00C45987"/>
    <w:rsid w:val="00C45C7F"/>
    <w:rsid w:val="00C46641"/>
    <w:rsid w:val="00C467BA"/>
    <w:rsid w:val="00C51021"/>
    <w:rsid w:val="00C515CC"/>
    <w:rsid w:val="00C526DB"/>
    <w:rsid w:val="00C5397F"/>
    <w:rsid w:val="00C54D68"/>
    <w:rsid w:val="00C5731C"/>
    <w:rsid w:val="00C57400"/>
    <w:rsid w:val="00C60143"/>
    <w:rsid w:val="00C60392"/>
    <w:rsid w:val="00C609B1"/>
    <w:rsid w:val="00C60CA0"/>
    <w:rsid w:val="00C60D71"/>
    <w:rsid w:val="00C6227F"/>
    <w:rsid w:val="00C646B5"/>
    <w:rsid w:val="00C70305"/>
    <w:rsid w:val="00C7200D"/>
    <w:rsid w:val="00C7330E"/>
    <w:rsid w:val="00C749CD"/>
    <w:rsid w:val="00C756E9"/>
    <w:rsid w:val="00C75B20"/>
    <w:rsid w:val="00C825FE"/>
    <w:rsid w:val="00C82A54"/>
    <w:rsid w:val="00C851DF"/>
    <w:rsid w:val="00C854C1"/>
    <w:rsid w:val="00C85791"/>
    <w:rsid w:val="00C87D2B"/>
    <w:rsid w:val="00C9073C"/>
    <w:rsid w:val="00C90B94"/>
    <w:rsid w:val="00C9342A"/>
    <w:rsid w:val="00C942BE"/>
    <w:rsid w:val="00C94696"/>
    <w:rsid w:val="00C9738C"/>
    <w:rsid w:val="00C975BD"/>
    <w:rsid w:val="00C97948"/>
    <w:rsid w:val="00CA080E"/>
    <w:rsid w:val="00CA567A"/>
    <w:rsid w:val="00CA6F89"/>
    <w:rsid w:val="00CA70B1"/>
    <w:rsid w:val="00CB04D0"/>
    <w:rsid w:val="00CB050D"/>
    <w:rsid w:val="00CB07A6"/>
    <w:rsid w:val="00CB2868"/>
    <w:rsid w:val="00CB3A6D"/>
    <w:rsid w:val="00CB627A"/>
    <w:rsid w:val="00CB6286"/>
    <w:rsid w:val="00CB6357"/>
    <w:rsid w:val="00CB648D"/>
    <w:rsid w:val="00CB6EC3"/>
    <w:rsid w:val="00CB7033"/>
    <w:rsid w:val="00CC1555"/>
    <w:rsid w:val="00CC211E"/>
    <w:rsid w:val="00CC3A37"/>
    <w:rsid w:val="00CC4376"/>
    <w:rsid w:val="00CC5509"/>
    <w:rsid w:val="00CD0319"/>
    <w:rsid w:val="00CD19B2"/>
    <w:rsid w:val="00CD25F7"/>
    <w:rsid w:val="00CD4AAE"/>
    <w:rsid w:val="00CD7841"/>
    <w:rsid w:val="00CE1174"/>
    <w:rsid w:val="00CE16C7"/>
    <w:rsid w:val="00CE1A50"/>
    <w:rsid w:val="00CE2764"/>
    <w:rsid w:val="00CE3B33"/>
    <w:rsid w:val="00CE4691"/>
    <w:rsid w:val="00CE46F0"/>
    <w:rsid w:val="00CE4ADA"/>
    <w:rsid w:val="00CE5943"/>
    <w:rsid w:val="00CE5DCE"/>
    <w:rsid w:val="00CE6442"/>
    <w:rsid w:val="00CF047C"/>
    <w:rsid w:val="00CF052D"/>
    <w:rsid w:val="00CF203D"/>
    <w:rsid w:val="00CF26EF"/>
    <w:rsid w:val="00CF358D"/>
    <w:rsid w:val="00CF470B"/>
    <w:rsid w:val="00CF4D27"/>
    <w:rsid w:val="00CF53D4"/>
    <w:rsid w:val="00D004A8"/>
    <w:rsid w:val="00D02CFC"/>
    <w:rsid w:val="00D02E77"/>
    <w:rsid w:val="00D0743B"/>
    <w:rsid w:val="00D1549F"/>
    <w:rsid w:val="00D15FBC"/>
    <w:rsid w:val="00D16E20"/>
    <w:rsid w:val="00D17A14"/>
    <w:rsid w:val="00D20D4D"/>
    <w:rsid w:val="00D24EB2"/>
    <w:rsid w:val="00D2663C"/>
    <w:rsid w:val="00D305B4"/>
    <w:rsid w:val="00D3188E"/>
    <w:rsid w:val="00D329A6"/>
    <w:rsid w:val="00D329DB"/>
    <w:rsid w:val="00D337AB"/>
    <w:rsid w:val="00D33E81"/>
    <w:rsid w:val="00D364A0"/>
    <w:rsid w:val="00D36FA8"/>
    <w:rsid w:val="00D45170"/>
    <w:rsid w:val="00D475CF"/>
    <w:rsid w:val="00D501D7"/>
    <w:rsid w:val="00D51225"/>
    <w:rsid w:val="00D51524"/>
    <w:rsid w:val="00D5172C"/>
    <w:rsid w:val="00D5306E"/>
    <w:rsid w:val="00D54165"/>
    <w:rsid w:val="00D5523B"/>
    <w:rsid w:val="00D55BAB"/>
    <w:rsid w:val="00D55DAF"/>
    <w:rsid w:val="00D55E30"/>
    <w:rsid w:val="00D62F9F"/>
    <w:rsid w:val="00D65C15"/>
    <w:rsid w:val="00D65D1E"/>
    <w:rsid w:val="00D66BC5"/>
    <w:rsid w:val="00D67D34"/>
    <w:rsid w:val="00D700AF"/>
    <w:rsid w:val="00D711D8"/>
    <w:rsid w:val="00D77D63"/>
    <w:rsid w:val="00D80954"/>
    <w:rsid w:val="00D821C6"/>
    <w:rsid w:val="00D85058"/>
    <w:rsid w:val="00D87845"/>
    <w:rsid w:val="00D95E57"/>
    <w:rsid w:val="00D97D29"/>
    <w:rsid w:val="00DA0DFA"/>
    <w:rsid w:val="00DA5AD9"/>
    <w:rsid w:val="00DA5DEC"/>
    <w:rsid w:val="00DA60FC"/>
    <w:rsid w:val="00DA6115"/>
    <w:rsid w:val="00DA6977"/>
    <w:rsid w:val="00DB05D8"/>
    <w:rsid w:val="00DB223B"/>
    <w:rsid w:val="00DB3BE5"/>
    <w:rsid w:val="00DB4F1D"/>
    <w:rsid w:val="00DB780B"/>
    <w:rsid w:val="00DC117E"/>
    <w:rsid w:val="00DC16E0"/>
    <w:rsid w:val="00DC2499"/>
    <w:rsid w:val="00DC31C9"/>
    <w:rsid w:val="00DC5842"/>
    <w:rsid w:val="00DC64FB"/>
    <w:rsid w:val="00DC68AC"/>
    <w:rsid w:val="00DC68CE"/>
    <w:rsid w:val="00DD1080"/>
    <w:rsid w:val="00DD1675"/>
    <w:rsid w:val="00DD1B84"/>
    <w:rsid w:val="00DD1B9B"/>
    <w:rsid w:val="00DD644A"/>
    <w:rsid w:val="00DE0863"/>
    <w:rsid w:val="00DE153E"/>
    <w:rsid w:val="00DE1BD6"/>
    <w:rsid w:val="00DE3232"/>
    <w:rsid w:val="00DE5209"/>
    <w:rsid w:val="00DE7858"/>
    <w:rsid w:val="00DE7911"/>
    <w:rsid w:val="00DF0760"/>
    <w:rsid w:val="00DF2089"/>
    <w:rsid w:val="00DF26AB"/>
    <w:rsid w:val="00DF3394"/>
    <w:rsid w:val="00DF6C5A"/>
    <w:rsid w:val="00DF7168"/>
    <w:rsid w:val="00DF7D6E"/>
    <w:rsid w:val="00E004AB"/>
    <w:rsid w:val="00E01BF7"/>
    <w:rsid w:val="00E03BB4"/>
    <w:rsid w:val="00E03C73"/>
    <w:rsid w:val="00E04223"/>
    <w:rsid w:val="00E0591C"/>
    <w:rsid w:val="00E066C9"/>
    <w:rsid w:val="00E070C4"/>
    <w:rsid w:val="00E10E42"/>
    <w:rsid w:val="00E113CC"/>
    <w:rsid w:val="00E11EEA"/>
    <w:rsid w:val="00E12724"/>
    <w:rsid w:val="00E127C0"/>
    <w:rsid w:val="00E12EE0"/>
    <w:rsid w:val="00E155B8"/>
    <w:rsid w:val="00E166B3"/>
    <w:rsid w:val="00E169E3"/>
    <w:rsid w:val="00E16AD0"/>
    <w:rsid w:val="00E226DF"/>
    <w:rsid w:val="00E22803"/>
    <w:rsid w:val="00E22884"/>
    <w:rsid w:val="00E23394"/>
    <w:rsid w:val="00E23C7E"/>
    <w:rsid w:val="00E24BBD"/>
    <w:rsid w:val="00E265B0"/>
    <w:rsid w:val="00E26AA3"/>
    <w:rsid w:val="00E2734C"/>
    <w:rsid w:val="00E27684"/>
    <w:rsid w:val="00E27EC3"/>
    <w:rsid w:val="00E30845"/>
    <w:rsid w:val="00E30E15"/>
    <w:rsid w:val="00E317CF"/>
    <w:rsid w:val="00E339D4"/>
    <w:rsid w:val="00E35051"/>
    <w:rsid w:val="00E35252"/>
    <w:rsid w:val="00E35DF6"/>
    <w:rsid w:val="00E37371"/>
    <w:rsid w:val="00E4039C"/>
    <w:rsid w:val="00E40BA3"/>
    <w:rsid w:val="00E41528"/>
    <w:rsid w:val="00E41DB2"/>
    <w:rsid w:val="00E46559"/>
    <w:rsid w:val="00E46943"/>
    <w:rsid w:val="00E47B85"/>
    <w:rsid w:val="00E50EED"/>
    <w:rsid w:val="00E51971"/>
    <w:rsid w:val="00E51D93"/>
    <w:rsid w:val="00E54693"/>
    <w:rsid w:val="00E55912"/>
    <w:rsid w:val="00E603A1"/>
    <w:rsid w:val="00E702D8"/>
    <w:rsid w:val="00E703DD"/>
    <w:rsid w:val="00E72251"/>
    <w:rsid w:val="00E731DC"/>
    <w:rsid w:val="00E74FC9"/>
    <w:rsid w:val="00E752B3"/>
    <w:rsid w:val="00E75EA6"/>
    <w:rsid w:val="00E7662C"/>
    <w:rsid w:val="00E76D1C"/>
    <w:rsid w:val="00E77AC7"/>
    <w:rsid w:val="00E80A56"/>
    <w:rsid w:val="00E80DE9"/>
    <w:rsid w:val="00E854D4"/>
    <w:rsid w:val="00E85628"/>
    <w:rsid w:val="00E87B41"/>
    <w:rsid w:val="00E9030C"/>
    <w:rsid w:val="00E93E2B"/>
    <w:rsid w:val="00E94328"/>
    <w:rsid w:val="00E949E3"/>
    <w:rsid w:val="00E969ED"/>
    <w:rsid w:val="00E97749"/>
    <w:rsid w:val="00EA15F1"/>
    <w:rsid w:val="00EA1DCD"/>
    <w:rsid w:val="00EA44AB"/>
    <w:rsid w:val="00EA44AD"/>
    <w:rsid w:val="00EA4EF2"/>
    <w:rsid w:val="00EA58CC"/>
    <w:rsid w:val="00EA7233"/>
    <w:rsid w:val="00EA742A"/>
    <w:rsid w:val="00EB0B79"/>
    <w:rsid w:val="00EB13A5"/>
    <w:rsid w:val="00EB1F77"/>
    <w:rsid w:val="00EB3260"/>
    <w:rsid w:val="00EB4EE8"/>
    <w:rsid w:val="00EB4F13"/>
    <w:rsid w:val="00EC032B"/>
    <w:rsid w:val="00EC0578"/>
    <w:rsid w:val="00EC118F"/>
    <w:rsid w:val="00ED14D1"/>
    <w:rsid w:val="00ED391C"/>
    <w:rsid w:val="00ED7A0A"/>
    <w:rsid w:val="00EE1606"/>
    <w:rsid w:val="00EE2C00"/>
    <w:rsid w:val="00EE3AB1"/>
    <w:rsid w:val="00EE3E2E"/>
    <w:rsid w:val="00EE695D"/>
    <w:rsid w:val="00EF0ABE"/>
    <w:rsid w:val="00EF16FD"/>
    <w:rsid w:val="00EF2D6C"/>
    <w:rsid w:val="00EF3DB7"/>
    <w:rsid w:val="00EF42C2"/>
    <w:rsid w:val="00EF4A9D"/>
    <w:rsid w:val="00EF508B"/>
    <w:rsid w:val="00EF5968"/>
    <w:rsid w:val="00F00B70"/>
    <w:rsid w:val="00F024F0"/>
    <w:rsid w:val="00F0590E"/>
    <w:rsid w:val="00F05BE6"/>
    <w:rsid w:val="00F05C25"/>
    <w:rsid w:val="00F10C30"/>
    <w:rsid w:val="00F1348C"/>
    <w:rsid w:val="00F16704"/>
    <w:rsid w:val="00F169FF"/>
    <w:rsid w:val="00F16AEC"/>
    <w:rsid w:val="00F16BEF"/>
    <w:rsid w:val="00F17AA3"/>
    <w:rsid w:val="00F20747"/>
    <w:rsid w:val="00F21E83"/>
    <w:rsid w:val="00F23292"/>
    <w:rsid w:val="00F24300"/>
    <w:rsid w:val="00F30A8A"/>
    <w:rsid w:val="00F31D40"/>
    <w:rsid w:val="00F33051"/>
    <w:rsid w:val="00F3370F"/>
    <w:rsid w:val="00F33D07"/>
    <w:rsid w:val="00F347F7"/>
    <w:rsid w:val="00F36A30"/>
    <w:rsid w:val="00F37451"/>
    <w:rsid w:val="00F41B80"/>
    <w:rsid w:val="00F41C50"/>
    <w:rsid w:val="00F41DF9"/>
    <w:rsid w:val="00F42C5F"/>
    <w:rsid w:val="00F42C74"/>
    <w:rsid w:val="00F4340B"/>
    <w:rsid w:val="00F43642"/>
    <w:rsid w:val="00F4474B"/>
    <w:rsid w:val="00F51D48"/>
    <w:rsid w:val="00F51F01"/>
    <w:rsid w:val="00F51F12"/>
    <w:rsid w:val="00F526DD"/>
    <w:rsid w:val="00F548D5"/>
    <w:rsid w:val="00F54E93"/>
    <w:rsid w:val="00F54EEB"/>
    <w:rsid w:val="00F57D48"/>
    <w:rsid w:val="00F6279B"/>
    <w:rsid w:val="00F62824"/>
    <w:rsid w:val="00F6661F"/>
    <w:rsid w:val="00F66A14"/>
    <w:rsid w:val="00F671A4"/>
    <w:rsid w:val="00F67825"/>
    <w:rsid w:val="00F70093"/>
    <w:rsid w:val="00F71582"/>
    <w:rsid w:val="00F72305"/>
    <w:rsid w:val="00F759FC"/>
    <w:rsid w:val="00F81F44"/>
    <w:rsid w:val="00F823A9"/>
    <w:rsid w:val="00F825C3"/>
    <w:rsid w:val="00F82CBC"/>
    <w:rsid w:val="00F86F7D"/>
    <w:rsid w:val="00F87D43"/>
    <w:rsid w:val="00F90CB2"/>
    <w:rsid w:val="00F90D17"/>
    <w:rsid w:val="00F91032"/>
    <w:rsid w:val="00F915F4"/>
    <w:rsid w:val="00F940B8"/>
    <w:rsid w:val="00F97182"/>
    <w:rsid w:val="00F9767C"/>
    <w:rsid w:val="00F976B8"/>
    <w:rsid w:val="00FA19A8"/>
    <w:rsid w:val="00FA6870"/>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26DD"/>
    <w:rsid w:val="00FD4614"/>
    <w:rsid w:val="00FD54C0"/>
    <w:rsid w:val="00FE032D"/>
    <w:rsid w:val="00FE060E"/>
    <w:rsid w:val="00FE1158"/>
    <w:rsid w:val="00FE133E"/>
    <w:rsid w:val="00FE2985"/>
    <w:rsid w:val="00FE29AF"/>
    <w:rsid w:val="00FE4860"/>
    <w:rsid w:val="00FF0CBD"/>
    <w:rsid w:val="00FF0F3D"/>
    <w:rsid w:val="00FF1C16"/>
    <w:rsid w:val="00FF28F7"/>
    <w:rsid w:val="00FF415C"/>
    <w:rsid w:val="00FF5B4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E34"/>
    <w:pPr>
      <w:tabs>
        <w:tab w:val="left" w:pos="567"/>
      </w:tabs>
    </w:pPr>
    <w:rPr>
      <w:rFonts w:eastAsia="PMingLiU"/>
      <w:sz w:val="22"/>
      <w:szCs w:val="22"/>
      <w:lang w:val="hu-HU"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hu-HU"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hu-HU"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hu-HU" w:eastAsia="en-US"/>
    </w:rPr>
  </w:style>
  <w:style w:type="character" w:customStyle="1" w:styleId="SidhuvudChar1">
    <w:name w:val="Sidhuvud Char1"/>
    <w:rPr>
      <w:rFonts w:ascii="Helvetica" w:hAnsi="Helvetica"/>
      <w:lang w:val="hu-HU"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hu-HU"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hu-HU"/>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hu-HU"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hu-HU"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hu-HU" w:eastAsia="en-US"/>
    </w:rPr>
  </w:style>
  <w:style w:type="character" w:customStyle="1" w:styleId="z3988">
    <w:name w:val="z3988"/>
    <w:basedOn w:val="DefaultParagraphFont"/>
  </w:style>
  <w:style w:type="character" w:customStyle="1" w:styleId="SidhuvudChar2">
    <w:name w:val="Sidhuvud Char2"/>
    <w:rPr>
      <w:rFonts w:ascii="Helvetica" w:hAnsi="Helvetica"/>
      <w:lang w:val="hu-HU"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hu-HU"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hu-HU"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hu-HU"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hu-HU"/>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hu-HU" w:eastAsia="en-US"/>
    </w:rPr>
  </w:style>
  <w:style w:type="character" w:customStyle="1" w:styleId="Heading2Char">
    <w:name w:val="Heading 2 Char"/>
    <w:link w:val="Heading2"/>
    <w:rsid w:val="00951F81"/>
    <w:rPr>
      <w:rFonts w:ascii="Helvetica" w:eastAsia="PMingLiU" w:hAnsi="Helvetica"/>
      <w:b/>
      <w:i/>
      <w:sz w:val="24"/>
      <w:szCs w:val="22"/>
      <w:lang w:val="hu-HU" w:eastAsia="en-US"/>
    </w:rPr>
  </w:style>
  <w:style w:type="character" w:customStyle="1" w:styleId="Heading3Char">
    <w:name w:val="Heading 3 Char"/>
    <w:link w:val="Heading3"/>
    <w:rsid w:val="00951F81"/>
    <w:rPr>
      <w:rFonts w:eastAsia="PMingLiU"/>
      <w:b/>
      <w:kern w:val="28"/>
      <w:sz w:val="24"/>
      <w:szCs w:val="22"/>
      <w:lang w:val="hu-HU" w:eastAsia="en-US"/>
    </w:rPr>
  </w:style>
  <w:style w:type="character" w:customStyle="1" w:styleId="Heading4Char">
    <w:name w:val="Heading 4 Char"/>
    <w:link w:val="Heading4"/>
    <w:rsid w:val="00951F81"/>
    <w:rPr>
      <w:rFonts w:eastAsia="PMingLiU"/>
      <w:b/>
      <w:noProof/>
      <w:sz w:val="22"/>
      <w:szCs w:val="22"/>
      <w:lang w:val="hu-HU" w:eastAsia="en-US"/>
    </w:rPr>
  </w:style>
  <w:style w:type="character" w:customStyle="1" w:styleId="Heading5Char">
    <w:name w:val="Heading 5 Char"/>
    <w:link w:val="Heading5"/>
    <w:rsid w:val="00951F81"/>
    <w:rPr>
      <w:rFonts w:eastAsia="PMingLiU"/>
      <w:noProof/>
      <w:sz w:val="22"/>
      <w:szCs w:val="22"/>
      <w:lang w:val="hu-HU" w:eastAsia="en-US"/>
    </w:rPr>
  </w:style>
  <w:style w:type="character" w:customStyle="1" w:styleId="Heading6Char">
    <w:name w:val="Heading 6 Char"/>
    <w:link w:val="Heading6"/>
    <w:rsid w:val="00951F81"/>
    <w:rPr>
      <w:rFonts w:eastAsia="PMingLiU"/>
      <w:i/>
      <w:sz w:val="22"/>
      <w:szCs w:val="22"/>
      <w:lang w:val="hu-HU" w:eastAsia="en-US"/>
    </w:rPr>
  </w:style>
  <w:style w:type="character" w:customStyle="1" w:styleId="Heading7Char">
    <w:name w:val="Heading 7 Char"/>
    <w:link w:val="Heading7"/>
    <w:rsid w:val="00951F81"/>
    <w:rPr>
      <w:rFonts w:eastAsia="PMingLiU"/>
      <w:i/>
      <w:sz w:val="22"/>
      <w:szCs w:val="22"/>
      <w:lang w:val="hu-HU" w:eastAsia="en-US"/>
    </w:rPr>
  </w:style>
  <w:style w:type="character" w:customStyle="1" w:styleId="Heading8Char">
    <w:name w:val="Heading 8 Char"/>
    <w:link w:val="Heading8"/>
    <w:rsid w:val="00951F81"/>
    <w:rPr>
      <w:rFonts w:eastAsia="PMingLiU"/>
      <w:b/>
      <w:i/>
      <w:sz w:val="22"/>
      <w:szCs w:val="22"/>
      <w:lang w:val="hu-HU" w:eastAsia="en-US"/>
    </w:rPr>
  </w:style>
  <w:style w:type="character" w:customStyle="1" w:styleId="Heading9Char">
    <w:name w:val="Heading 9 Char"/>
    <w:link w:val="Heading9"/>
    <w:rsid w:val="00951F81"/>
    <w:rPr>
      <w:rFonts w:eastAsia="PMingLiU"/>
      <w:b/>
      <w:i/>
      <w:sz w:val="22"/>
      <w:szCs w:val="22"/>
      <w:lang w:val="hu-HU" w:eastAsia="en-US"/>
    </w:rPr>
  </w:style>
  <w:style w:type="character" w:customStyle="1" w:styleId="HeaderChar">
    <w:name w:val="Header Char"/>
    <w:link w:val="Header"/>
    <w:rsid w:val="00951F81"/>
    <w:rPr>
      <w:rFonts w:ascii="Helvetica" w:eastAsia="PMingLiU" w:hAnsi="Helvetica"/>
      <w:szCs w:val="22"/>
      <w:lang w:val="hu-HU" w:eastAsia="en-US"/>
    </w:rPr>
  </w:style>
  <w:style w:type="character" w:customStyle="1" w:styleId="FooterChar">
    <w:name w:val="Footer Char"/>
    <w:link w:val="Footer"/>
    <w:rsid w:val="00951F81"/>
    <w:rPr>
      <w:rFonts w:eastAsia="PMingLiU"/>
      <w:sz w:val="22"/>
      <w:szCs w:val="22"/>
      <w:lang w:val="hu-HU" w:eastAsia="en-US"/>
    </w:rPr>
  </w:style>
  <w:style w:type="character" w:customStyle="1" w:styleId="BodyTextIndentChar">
    <w:name w:val="Body Text Indent Char"/>
    <w:link w:val="BodyTextIndent"/>
    <w:rsid w:val="00951F81"/>
    <w:rPr>
      <w:rFonts w:eastAsia="PMingLiU"/>
      <w:sz w:val="22"/>
      <w:szCs w:val="22"/>
      <w:lang w:val="hu-HU" w:eastAsia="en-GB"/>
    </w:rPr>
  </w:style>
  <w:style w:type="character" w:customStyle="1" w:styleId="BodyText3Char">
    <w:name w:val="Body Text 3 Char"/>
    <w:link w:val="BodyText3"/>
    <w:rsid w:val="00951F81"/>
    <w:rPr>
      <w:rFonts w:eastAsia="PMingLiU"/>
      <w:color w:val="0000FF"/>
      <w:sz w:val="22"/>
      <w:szCs w:val="22"/>
      <w:lang w:val="hu-HU" w:eastAsia="en-GB"/>
    </w:rPr>
  </w:style>
  <w:style w:type="character" w:customStyle="1" w:styleId="BodyTextIndent2Char">
    <w:name w:val="Body Text Indent 2 Char"/>
    <w:link w:val="BodyTextIndent2"/>
    <w:rsid w:val="00951F81"/>
    <w:rPr>
      <w:rFonts w:eastAsia="PMingLiU"/>
      <w:b/>
      <w:bCs/>
      <w:color w:val="0000FF"/>
      <w:sz w:val="22"/>
      <w:szCs w:val="22"/>
      <w:lang w:val="hu-HU" w:eastAsia="en-US"/>
    </w:rPr>
  </w:style>
  <w:style w:type="character" w:customStyle="1" w:styleId="BodyTextChar">
    <w:name w:val="Body Text Char"/>
    <w:link w:val="BodyText"/>
    <w:rsid w:val="00951F81"/>
    <w:rPr>
      <w:rFonts w:eastAsia="PMingLiU"/>
      <w:i/>
      <w:color w:val="008000"/>
      <w:sz w:val="22"/>
      <w:szCs w:val="22"/>
      <w:lang w:val="hu-HU" w:eastAsia="en-US"/>
    </w:rPr>
  </w:style>
  <w:style w:type="character" w:customStyle="1" w:styleId="BodyText2Char">
    <w:name w:val="Body Text 2 Char"/>
    <w:link w:val="BodyText2"/>
    <w:rsid w:val="00951F81"/>
    <w:rPr>
      <w:rFonts w:eastAsia="PMingLiU"/>
      <w:b/>
      <w:bCs/>
      <w:color w:val="0000FF"/>
      <w:sz w:val="22"/>
      <w:szCs w:val="22"/>
      <w:u w:val="single"/>
      <w:lang w:val="hu-HU"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hu-HU" w:eastAsia="en-US"/>
    </w:rPr>
  </w:style>
  <w:style w:type="character" w:customStyle="1" w:styleId="BodyTextIndent3Char">
    <w:name w:val="Body Text Indent 3 Char"/>
    <w:link w:val="BodyTextIndent3"/>
    <w:rsid w:val="00951F81"/>
    <w:rPr>
      <w:rFonts w:eastAsia="PMingLiU"/>
      <w:sz w:val="22"/>
      <w:szCs w:val="21"/>
      <w:lang w:val="hu-HU" w:eastAsia="en-US"/>
    </w:rPr>
  </w:style>
  <w:style w:type="character" w:customStyle="1" w:styleId="BalloonTextChar">
    <w:name w:val="Balloon Text Char"/>
    <w:link w:val="BalloonText"/>
    <w:semiHidden/>
    <w:rsid w:val="00951F81"/>
    <w:rPr>
      <w:rFonts w:ascii="Tahoma" w:eastAsia="PMingLiU" w:hAnsi="Tahoma" w:cs="Tahoma"/>
      <w:sz w:val="16"/>
      <w:szCs w:val="16"/>
      <w:lang w:val="hu-HU"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hu-HU" w:eastAsia="en-US"/>
    </w:rPr>
  </w:style>
  <w:style w:type="character" w:customStyle="1" w:styleId="CommentSubjectChar">
    <w:name w:val="Comment Subject Char"/>
    <w:link w:val="CommentSubject"/>
    <w:semiHidden/>
    <w:rsid w:val="00951F81"/>
    <w:rPr>
      <w:rFonts w:eastAsia="PMingLiU"/>
      <w:b/>
      <w:bCs/>
      <w:szCs w:val="22"/>
      <w:lang w:val="hu-HU"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hu-HU" w:eastAsia="en-US"/>
    </w:rPr>
  </w:style>
  <w:style w:type="table" w:customStyle="1" w:styleId="TableGrid0">
    <w:name w:val="TableGrid"/>
    <w:rsid w:val="00FE133E"/>
    <w:rPr>
      <w:rFonts w:ascii="Calibri" w:eastAsia="SimSun" w:hAnsi="Calibri" w:cs="Cordia New"/>
      <w:kern w:val="2"/>
      <w:sz w:val="22"/>
      <w:szCs w:val="22"/>
      <w:lang w:val="de-DE" w:eastAsia="de-DE"/>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30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1602350">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192972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ma.europa.eu/" TargetMode="External"/><Relationship Id="rId26" Type="http://schemas.openxmlformats.org/officeDocument/2006/relationships/image" Target="media/image8.png"/><Relationship Id="rId21" Type="http://schemas.openxmlformats.org/officeDocument/2006/relationships/image" Target="media/image4.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3.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5.jpeg"/><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EMADOC-1700519818-2967110</_dlc_DocId>
    <_dlc_DocIdUrl xmlns="a034c160-bfb7-45f5-8632-2eb7e0508071">
      <Url>https://euema.sharepoint.com/sites/CRM/_layouts/15/DocIdRedir.aspx?ID=EMADOC-1700519818-2967110</Url>
      <Description>EMADOC-1700519818-2967110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EDE827-405B-4875-B3FE-5D8170167AE3}">
  <ds:schemaRefs>
    <ds:schemaRef ds:uri="http://schemas.openxmlformats.org/officeDocument/2006/bibliography"/>
  </ds:schemaRefs>
</ds:datastoreItem>
</file>

<file path=customXml/itemProps2.xml><?xml version="1.0" encoding="utf-8"?>
<ds:datastoreItem xmlns:ds="http://schemas.openxmlformats.org/officeDocument/2006/customXml" ds:itemID="{BF264C66-EB91-4915-9D40-21151DA56A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43B0D9F-CA63-44DD-BF38-0654EC0D3962}">
  <ds:schemaRefs>
    <ds:schemaRef ds:uri="http://schemas.microsoft.com/sharepoint/v3/contenttype/forms"/>
  </ds:schemaRefs>
</ds:datastoreItem>
</file>

<file path=customXml/itemProps4.xml><?xml version="1.0" encoding="utf-8"?>
<ds:datastoreItem xmlns:ds="http://schemas.openxmlformats.org/officeDocument/2006/customXml" ds:itemID="{7B908069-579B-4BC1-B45A-79E77B18332F}"/>
</file>

<file path=customXml/itemProps5.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FA67F324-48D1-4A0F-9525-709695CDBB21}"/>
</file>

<file path=docProps/app.xml><?xml version="1.0" encoding="utf-8"?>
<Properties xmlns="http://schemas.openxmlformats.org/officeDocument/2006/extended-properties" xmlns:vt="http://schemas.openxmlformats.org/officeDocument/2006/docPropsVTypes">
  <Template>Normal.dotm</Template>
  <TotalTime>0</TotalTime>
  <Pages>3</Pages>
  <Words>9910</Words>
  <Characters>69867</Characters>
  <Application>Microsoft Office Word</Application>
  <DocSecurity>0</DocSecurity>
  <Lines>2054</Lines>
  <Paragraphs>886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Manager/>
  <Company/>
  <LinksUpToDate>false</LinksUpToDate>
  <CharactersWithSpaces>78891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2026-02-17T15:05:00Z</dcterms:created>
  <dcterms:modified xsi:type="dcterms:W3CDTF">2026-02-17T15:05:00Z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27e7acc1-b4f0-4ab3-9c18-da8e5fa1cb79</vt:lpwstr>
  </property>
</Properties>
</file>