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FECE" w14:textId="77777777" w:rsidR="004E2230" w:rsidRDefault="004E2230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D9D9D9"/>
        <w:ind w:right="-215"/>
        <w:jc w:val="left"/>
        <w:rPr>
          <w:noProof/>
          <w:lang w:val="hu-HU"/>
        </w:rPr>
      </w:pPr>
      <w:r>
        <w:rPr>
          <w:noProof/>
          <w:lang w:val="hu-HU"/>
        </w:rPr>
        <w:t xml:space="preserve">HUNGARIAN </w:t>
      </w:r>
    </w:p>
    <w:p w14:paraId="4BCCFEE7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</w:p>
    <w:p w14:paraId="125BAF99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</w:p>
    <w:p w14:paraId="626C4597" w14:textId="77777777" w:rsidR="004E2230" w:rsidRDefault="004E2230">
      <w:pPr>
        <w:rPr>
          <w:b/>
          <w:noProof/>
          <w:lang w:val="hu-HU"/>
        </w:rPr>
      </w:pPr>
      <w:r>
        <w:rPr>
          <w:b/>
          <w:noProof/>
          <w:lang w:val="hu-HU"/>
        </w:rPr>
        <w:t>ALKALMAZÁSI ELŐÍRÁS</w:t>
      </w:r>
    </w:p>
    <w:p w14:paraId="6EB696DB" w14:textId="77777777" w:rsidR="004E2230" w:rsidRDefault="004E2230">
      <w:pPr>
        <w:ind w:left="567" w:hanging="567"/>
        <w:rPr>
          <w:b/>
          <w:noProof/>
          <w:lang w:val="hu-HU"/>
        </w:rPr>
      </w:pPr>
    </w:p>
    <w:p w14:paraId="6DC64A10" w14:textId="77777777" w:rsidR="004E2230" w:rsidRDefault="004E2230">
      <w:pPr>
        <w:ind w:left="567" w:hanging="567"/>
        <w:rPr>
          <w:noProof/>
          <w:lang w:val="hu-HU"/>
        </w:rPr>
      </w:pPr>
      <w:r>
        <w:rPr>
          <w:b/>
          <w:noProof/>
          <w:lang w:val="hu-HU"/>
        </w:rPr>
        <w:t>6.4</w:t>
      </w:r>
      <w:r>
        <w:rPr>
          <w:b/>
          <w:noProof/>
          <w:lang w:val="hu-HU"/>
        </w:rPr>
        <w:tab/>
        <w:t>Különleges tárolási előírások</w:t>
      </w:r>
    </w:p>
    <w:p w14:paraId="6B14476A" w14:textId="77777777" w:rsidR="004E2230" w:rsidRDefault="004E2230">
      <w:pPr>
        <w:rPr>
          <w:noProof/>
          <w:lang w:val="hu-HU"/>
        </w:rPr>
      </w:pPr>
    </w:p>
    <w:p w14:paraId="0404943D" w14:textId="64977576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&lt;Legfeljebb</w:t>
      </w:r>
      <w:r>
        <w:rPr>
          <w:b/>
          <w:noProof/>
          <w:lang w:val="hu-HU"/>
        </w:rPr>
        <w:t xml:space="preserve"> </w:t>
      </w:r>
      <w:r>
        <w:rPr>
          <w:noProof/>
          <w:lang w:val="hu-HU"/>
        </w:rPr>
        <w:t>&lt;25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C&gt;&lt;30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C&gt;-on tárolandó.&gt;</w:t>
      </w:r>
    </w:p>
    <w:p w14:paraId="3EB79CD6" w14:textId="1997DE6E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&lt;Hűtőszekrényben (2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 – 8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C) tárolandó.&gt;</w:t>
      </w:r>
    </w:p>
    <w:p w14:paraId="25088BD2" w14:textId="258F7BEF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&lt;Hűtve (2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 – 8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C) tárolandó és szállítandó.&gt;*</w:t>
      </w:r>
    </w:p>
    <w:p w14:paraId="53E8B51B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&lt;Mélyhűtőben {hőmérsékleti intervallum} tárolandó.&gt;</w:t>
      </w:r>
    </w:p>
    <w:p w14:paraId="2178A108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&lt;Mélyhűtve {hőmérsékleti intervallum} tárolandó és szállítandó.&gt;**</w:t>
      </w:r>
    </w:p>
    <w:p w14:paraId="2BC669AD" w14:textId="77777777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&lt;&lt;Hűtőszekrényben nem tárolható!&gt; &lt;Nem fagyasztható!&gt;&gt;</w:t>
      </w:r>
    </w:p>
    <w:p w14:paraId="75D0ED68" w14:textId="7CD177B0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8416BE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az eredeti csomagolásban tárolandó.&gt;****</w:t>
      </w:r>
    </w:p>
    <w:p w14:paraId="6B30ADA2" w14:textId="0AE9A02A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8416BE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 {tartályt}*** tartsa jól lezárva.&gt;****</w:t>
      </w:r>
    </w:p>
    <w:p w14:paraId="45820D9F" w14:textId="3FB21D3C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8416BE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 {tartályt}*** tartsa a dobozában.&gt;****</w:t>
      </w:r>
    </w:p>
    <w:p w14:paraId="29516AA6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&lt;Ez a gyógyszer nem igényel különleges tárolást.&gt;</w:t>
      </w:r>
    </w:p>
    <w:p w14:paraId="33752CA2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&lt;Ez a gyógyszer különleges tárolási hőmérsékletet nem igényel.&gt;*****</w:t>
      </w:r>
    </w:p>
    <w:p w14:paraId="37F3778F" w14:textId="562334AB" w:rsidR="004E2230" w:rsidRDefault="004E2230">
      <w:pPr>
        <w:rPr>
          <w:noProof/>
          <w:lang w:val="hu-HU"/>
        </w:rPr>
      </w:pPr>
    </w:p>
    <w:p w14:paraId="123E765A" w14:textId="77777777" w:rsidR="004E2230" w:rsidRDefault="004E2230">
      <w:pPr>
        <w:pBdr>
          <w:bottom w:val="single" w:sz="12" w:space="1" w:color="auto"/>
        </w:pBdr>
        <w:rPr>
          <w:noProof/>
          <w:lang w:val="hu-HU"/>
        </w:rPr>
      </w:pPr>
    </w:p>
    <w:p w14:paraId="014F2687" w14:textId="77777777" w:rsidR="004E2230" w:rsidRDefault="004E2230">
      <w:pPr>
        <w:rPr>
          <w:b/>
          <w:noProof/>
          <w:lang w:val="hu-HU"/>
        </w:rPr>
      </w:pPr>
    </w:p>
    <w:p w14:paraId="5485B5A0" w14:textId="77777777" w:rsidR="004E2230" w:rsidRDefault="004E2230">
      <w:pPr>
        <w:rPr>
          <w:b/>
          <w:noProof/>
          <w:lang w:val="hu-HU"/>
        </w:rPr>
      </w:pPr>
    </w:p>
    <w:p w14:paraId="289597E4" w14:textId="77777777" w:rsidR="004E2230" w:rsidRDefault="004E2230">
      <w:pPr>
        <w:rPr>
          <w:b/>
          <w:noProof/>
          <w:lang w:val="hu-HU"/>
        </w:rPr>
      </w:pPr>
      <w:r>
        <w:rPr>
          <w:b/>
          <w:noProof/>
          <w:lang w:val="hu-HU"/>
        </w:rPr>
        <w:t>A. CÍMKESZÖVEG</w:t>
      </w:r>
    </w:p>
    <w:p w14:paraId="0DF0BFD3" w14:textId="77777777" w:rsidR="004E2230" w:rsidRDefault="004E2230">
      <w:pPr>
        <w:tabs>
          <w:tab w:val="left" w:pos="13608"/>
        </w:tabs>
        <w:jc w:val="center"/>
        <w:rPr>
          <w:b/>
          <w:noProof/>
          <w:lang w:val="hu-HU"/>
        </w:rPr>
      </w:pPr>
    </w:p>
    <w:tbl>
      <w:tblPr>
        <w:tblW w:w="6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5"/>
      </w:tblGrid>
      <w:tr w:rsidR="00754785" w14:paraId="41C49D9B" w14:textId="77777777">
        <w:trPr>
          <w:trHeight w:val="319"/>
        </w:trPr>
        <w:tc>
          <w:tcPr>
            <w:tcW w:w="6255" w:type="dxa"/>
          </w:tcPr>
          <w:p w14:paraId="67FBCBC1" w14:textId="77777777" w:rsidR="004E2230" w:rsidRDefault="004E2230">
            <w:pPr>
              <w:tabs>
                <w:tab w:val="left" w:pos="142"/>
                <w:tab w:val="left" w:pos="5245"/>
              </w:tabs>
              <w:ind w:left="567" w:hanging="567"/>
              <w:rPr>
                <w:noProof/>
                <w:lang w:val="hu-HU"/>
              </w:rPr>
            </w:pPr>
            <w:r>
              <w:rPr>
                <w:b/>
                <w:noProof/>
                <w:lang w:val="hu-HU"/>
              </w:rPr>
              <w:t>9.</w:t>
            </w:r>
            <w:r>
              <w:rPr>
                <w:b/>
                <w:noProof/>
                <w:lang w:val="hu-HU"/>
              </w:rPr>
              <w:tab/>
              <w:t>KÜLÖNLEGES TÁROLÁSI ELŐÍRÁSOK</w:t>
            </w:r>
          </w:p>
        </w:tc>
      </w:tr>
    </w:tbl>
    <w:p w14:paraId="2EDF0BC4" w14:textId="77777777" w:rsidR="004E2230" w:rsidRDefault="004E2230">
      <w:pPr>
        <w:rPr>
          <w:noProof/>
          <w:lang w:val="hu-HU"/>
        </w:rPr>
      </w:pPr>
    </w:p>
    <w:p w14:paraId="3DD32A7B" w14:textId="1C0C36CE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&lt;Legfeljebb</w:t>
      </w:r>
      <w:r>
        <w:rPr>
          <w:b/>
          <w:noProof/>
          <w:lang w:val="hu-HU"/>
        </w:rPr>
        <w:t xml:space="preserve"> </w:t>
      </w:r>
      <w:r>
        <w:rPr>
          <w:noProof/>
          <w:lang w:val="hu-HU"/>
        </w:rPr>
        <w:t>&lt;25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C&gt;&lt;30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C&gt;-on tárolandó.&gt;</w:t>
      </w:r>
    </w:p>
    <w:p w14:paraId="69118713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&lt;Hűtőszekrényben tárolandó.&gt;</w:t>
      </w:r>
    </w:p>
    <w:p w14:paraId="6077CE4D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&lt;Hűtve tárolandó és szállítandó.&gt;*</w:t>
      </w:r>
    </w:p>
    <w:p w14:paraId="6F32371D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&lt;Mélyhűtőben tárolandó.&gt;</w:t>
      </w:r>
    </w:p>
    <w:p w14:paraId="747936E3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&lt;Mélyhűtve tárolandó és szállítandó.&gt;**</w:t>
      </w:r>
    </w:p>
    <w:p w14:paraId="693B9D45" w14:textId="77777777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&lt;&lt;Hűtőszekrényben nem tárolható!&gt; &lt;Nem fagyasztható!&gt;&gt;</w:t>
      </w:r>
    </w:p>
    <w:p w14:paraId="2F0D552E" w14:textId="27CF345E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8416BE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az eredeti csomagolásban tárolandó.&gt;****</w:t>
      </w:r>
    </w:p>
    <w:p w14:paraId="2D899BE1" w14:textId="5318C4B4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8416BE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 {tartályt}*** tartsa jól lezárva.&gt;****</w:t>
      </w:r>
    </w:p>
    <w:p w14:paraId="132DDC3C" w14:textId="783EFCF6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8416BE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 {tartályt}*** tartsa a dobozában.&gt;****</w:t>
      </w:r>
    </w:p>
    <w:p w14:paraId="583812BB" w14:textId="77777777" w:rsidR="004E2230" w:rsidRDefault="004E2230">
      <w:pPr>
        <w:pBdr>
          <w:bottom w:val="single" w:sz="12" w:space="1" w:color="auto"/>
        </w:pBdr>
        <w:rPr>
          <w:noProof/>
          <w:lang w:val="hu-HU"/>
        </w:rPr>
      </w:pPr>
    </w:p>
    <w:p w14:paraId="7A33681F" w14:textId="77777777" w:rsidR="004E2230" w:rsidRDefault="004E2230">
      <w:pPr>
        <w:rPr>
          <w:b/>
          <w:noProof/>
          <w:lang w:val="hu-HU"/>
        </w:rPr>
      </w:pPr>
    </w:p>
    <w:p w14:paraId="212E6573" w14:textId="77777777" w:rsidR="004E2230" w:rsidRDefault="004E2230">
      <w:pPr>
        <w:rPr>
          <w:b/>
          <w:noProof/>
          <w:lang w:val="hu-HU"/>
        </w:rPr>
      </w:pPr>
    </w:p>
    <w:p w14:paraId="0BF6ADBE" w14:textId="77777777" w:rsidR="004E2230" w:rsidRDefault="004E2230">
      <w:pPr>
        <w:rPr>
          <w:b/>
          <w:noProof/>
          <w:lang w:val="hu-HU"/>
        </w:rPr>
      </w:pPr>
      <w:r>
        <w:rPr>
          <w:b/>
          <w:noProof/>
          <w:lang w:val="hu-HU"/>
        </w:rPr>
        <w:t>B. BETEGTÁJÉKOZTATÓ</w:t>
      </w:r>
    </w:p>
    <w:p w14:paraId="11741802" w14:textId="77777777" w:rsidR="004E2230" w:rsidRDefault="004E2230">
      <w:pPr>
        <w:jc w:val="center"/>
        <w:rPr>
          <w:noProof/>
          <w:lang w:val="hu-HU"/>
        </w:rPr>
      </w:pPr>
    </w:p>
    <w:p w14:paraId="2DC9D13B" w14:textId="4FFE1E40" w:rsidR="004E2230" w:rsidRDefault="004E2230">
      <w:pPr>
        <w:numPr>
          <w:ilvl w:val="12"/>
          <w:numId w:val="0"/>
        </w:numPr>
        <w:ind w:left="567" w:right="-2" w:hanging="567"/>
        <w:rPr>
          <w:noProof/>
          <w:lang w:val="hu-HU"/>
        </w:rPr>
      </w:pPr>
      <w:r>
        <w:rPr>
          <w:b/>
          <w:noProof/>
          <w:lang w:val="hu-HU"/>
        </w:rPr>
        <w:t>5.</w:t>
      </w:r>
      <w:r>
        <w:rPr>
          <w:b/>
          <w:noProof/>
          <w:lang w:val="hu-HU"/>
        </w:rPr>
        <w:tab/>
      </w:r>
      <w:r w:rsidR="00E12497">
        <w:rPr>
          <w:b/>
          <w:noProof/>
          <w:lang w:val="hu-HU"/>
        </w:rPr>
        <w:t>H</w:t>
      </w:r>
      <w:r w:rsidR="00242A6C">
        <w:rPr>
          <w:b/>
          <w:noProof/>
          <w:lang w:val="hu-HU"/>
        </w:rPr>
        <w:t xml:space="preserve">ogyan kell a(z) </w:t>
      </w:r>
      <w:r w:rsidR="00E12497">
        <w:rPr>
          <w:b/>
          <w:noProof/>
          <w:lang w:val="hu-HU"/>
        </w:rPr>
        <w:t>X</w:t>
      </w:r>
      <w:r w:rsidR="00242A6C">
        <w:rPr>
          <w:b/>
          <w:noProof/>
          <w:lang w:val="hu-HU"/>
        </w:rPr>
        <w:t>-et tárolni</w:t>
      </w:r>
      <w:r w:rsidR="00E12497">
        <w:rPr>
          <w:b/>
          <w:noProof/>
          <w:lang w:val="hu-HU"/>
        </w:rPr>
        <w:t>?</w:t>
      </w:r>
    </w:p>
    <w:p w14:paraId="326C895E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</w:p>
    <w:p w14:paraId="08DEB930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</w:p>
    <w:p w14:paraId="63731857" w14:textId="16C51B35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&lt;Legfeljebb</w:t>
      </w:r>
      <w:r>
        <w:rPr>
          <w:b/>
          <w:noProof/>
          <w:lang w:val="hu-HU"/>
        </w:rPr>
        <w:t xml:space="preserve"> </w:t>
      </w:r>
      <w:r>
        <w:rPr>
          <w:noProof/>
          <w:lang w:val="hu-HU"/>
        </w:rPr>
        <w:t>&lt;25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C&gt;&lt;30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C&gt;-on tárolandó.&gt;</w:t>
      </w:r>
    </w:p>
    <w:p w14:paraId="51799A65" w14:textId="0E07AF38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&lt;Hűtőszekrényben (2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 – 8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C) tárolandó.&gt;</w:t>
      </w:r>
    </w:p>
    <w:p w14:paraId="4124F7E6" w14:textId="55A8DE61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&lt;Hűtve (2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 – 8</w:t>
      </w:r>
      <w:r w:rsidR="006A02D0">
        <w:rPr>
          <w:noProof/>
          <w:lang w:val="hu-HU"/>
        </w:rPr>
        <w:t> °</w:t>
      </w:r>
      <w:r>
        <w:rPr>
          <w:noProof/>
          <w:lang w:val="hu-HU"/>
        </w:rPr>
        <w:t>C) tárolandó és szállítandó.&gt;*</w:t>
      </w:r>
    </w:p>
    <w:p w14:paraId="4246F8EA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&lt;Mélyhűtőben {hőmérsékleti intervallum} tárolandó.&gt;</w:t>
      </w:r>
    </w:p>
    <w:p w14:paraId="37C7F1FD" w14:textId="77777777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&lt;Mélyhűtve {hőmérsékleti intervallum} tárolandó és szállítandó.&gt;**</w:t>
      </w:r>
    </w:p>
    <w:p w14:paraId="0C9B4D9B" w14:textId="77777777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&lt;&lt;Hűtőszekrényben nem tárolható!&gt; &lt;Nem fagyasztható!&gt;&gt;</w:t>
      </w:r>
    </w:p>
    <w:p w14:paraId="3CFCECDB" w14:textId="17FB97E4" w:rsidR="004E2230" w:rsidRDefault="004E2230">
      <w:pPr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8416BE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az eredeti csomagolásban tárolandó.&gt;****</w:t>
      </w:r>
    </w:p>
    <w:p w14:paraId="4E175437" w14:textId="29FEC299" w:rsidR="004E2230" w:rsidRDefault="004E2230">
      <w:pPr>
        <w:pStyle w:val="Vgjegyzetszvege"/>
        <w:tabs>
          <w:tab w:val="clear" w:pos="567"/>
        </w:tabs>
        <w:spacing w:line="260" w:lineRule="atLeast"/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960DBD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 {tartályt}*** tartsa jól lezárva.&gt;****</w:t>
      </w:r>
    </w:p>
    <w:p w14:paraId="7006A6D5" w14:textId="2D7C26F9" w:rsidR="004E2230" w:rsidRDefault="004E2230">
      <w:pPr>
        <w:rPr>
          <w:noProof/>
          <w:lang w:val="hu-HU"/>
        </w:rPr>
      </w:pPr>
      <w:r>
        <w:rPr>
          <w:noProof/>
          <w:lang w:val="hu-HU"/>
        </w:rPr>
        <w:t>&lt;</w:t>
      </w:r>
      <w:r w:rsidR="00246DF2">
        <w:rPr>
          <w:noProof/>
          <w:lang w:val="hu-HU"/>
        </w:rPr>
        <w:t>A &lt;fénytől&gt; &lt;és a&gt; &lt;nedvességtől&gt;</w:t>
      </w:r>
      <w:r w:rsidR="00960DBD">
        <w:rPr>
          <w:noProof/>
          <w:lang w:val="hu-HU"/>
        </w:rPr>
        <w:t xml:space="preserve"> való védelem érdekében </w:t>
      </w:r>
      <w:r>
        <w:rPr>
          <w:noProof/>
          <w:lang w:val="hu-HU"/>
        </w:rPr>
        <w:t>a {tartályt}*** tartsa a dobozában.&gt;****</w:t>
      </w:r>
    </w:p>
    <w:p w14:paraId="4A3B25F3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  <w:r>
        <w:rPr>
          <w:noProof/>
          <w:lang w:val="hu-HU"/>
        </w:rPr>
        <w:t>&lt;Ez a gyógyszer nem igényel különleges tárolást.&gt;</w:t>
      </w:r>
    </w:p>
    <w:p w14:paraId="5A2BBCC2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  <w:r>
        <w:rPr>
          <w:noProof/>
          <w:lang w:val="hu-HU"/>
        </w:rPr>
        <w:t>&lt;Ez a gyógyszer különleges tárolási hőmérsékletet nem igényel.&gt;*****</w:t>
      </w:r>
    </w:p>
    <w:p w14:paraId="3EA929DE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</w:p>
    <w:p w14:paraId="7AB80DD3" w14:textId="77777777" w:rsidR="004E2230" w:rsidRDefault="004E2230">
      <w:pPr>
        <w:pBdr>
          <w:bottom w:val="single" w:sz="12" w:space="1" w:color="auto"/>
        </w:pBdr>
        <w:rPr>
          <w:noProof/>
          <w:lang w:val="hu-HU"/>
        </w:rPr>
      </w:pPr>
    </w:p>
    <w:p w14:paraId="01F7523D" w14:textId="77777777" w:rsidR="004E2230" w:rsidRDefault="004E2230">
      <w:pPr>
        <w:jc w:val="center"/>
        <w:rPr>
          <w:b/>
          <w:noProof/>
          <w:lang w:val="hu-HU"/>
        </w:rPr>
      </w:pPr>
    </w:p>
    <w:p w14:paraId="081AA7EF" w14:textId="2E92AD99" w:rsidR="004E2230" w:rsidRDefault="004E2230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 The stability data generated at 25</w:t>
      </w:r>
      <w:r w:rsidR="00960DBD">
        <w:rPr>
          <w:noProof/>
        </w:rPr>
        <w:t> </w:t>
      </w:r>
      <w:r>
        <w:rPr>
          <w:rFonts w:ascii="Symbol" w:hAnsi="Symbol"/>
          <w:noProof/>
        </w:rPr>
        <w:t></w:t>
      </w:r>
      <w:r>
        <w:rPr>
          <w:noProof/>
        </w:rPr>
        <w:t>C/60%RH (acc) should be taken into account when deciding whether or not transport under refrigeration is necessary. The statement should only be used in exceptional cases.</w:t>
      </w:r>
    </w:p>
    <w:p w14:paraId="01A93108" w14:textId="77777777" w:rsidR="004E2230" w:rsidRDefault="004E2230">
      <w:pPr>
        <w:numPr>
          <w:ilvl w:val="12"/>
          <w:numId w:val="0"/>
        </w:numPr>
        <w:ind w:right="-2"/>
        <w:rPr>
          <w:noProof/>
        </w:rPr>
      </w:pPr>
    </w:p>
    <w:p w14:paraId="52CAA2AA" w14:textId="77777777" w:rsidR="004E2230" w:rsidRDefault="004E2230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 The statement should be used only when critical.</w:t>
      </w:r>
    </w:p>
    <w:p w14:paraId="42CF2921" w14:textId="77777777" w:rsidR="004E2230" w:rsidRDefault="004E2230">
      <w:pPr>
        <w:numPr>
          <w:ilvl w:val="12"/>
          <w:numId w:val="0"/>
        </w:numPr>
        <w:ind w:right="-2"/>
        <w:rPr>
          <w:noProof/>
        </w:rPr>
      </w:pPr>
    </w:p>
    <w:p w14:paraId="2069BF71" w14:textId="328F0A2C" w:rsidR="004E2230" w:rsidRDefault="004E2230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*** The actual name of the container should be used (e.g. bottle, blister, etc.)</w:t>
      </w:r>
      <w:r w:rsidR="00960DBD">
        <w:rPr>
          <w:noProof/>
        </w:rPr>
        <w:t>.</w:t>
      </w:r>
    </w:p>
    <w:p w14:paraId="13E20D79" w14:textId="77777777" w:rsidR="004E2230" w:rsidRDefault="004E2230">
      <w:pPr>
        <w:numPr>
          <w:ilvl w:val="12"/>
          <w:numId w:val="0"/>
        </w:numPr>
        <w:ind w:right="-2"/>
        <w:rPr>
          <w:noProof/>
          <w:lang w:val="cs-CZ"/>
        </w:rPr>
      </w:pPr>
    </w:p>
    <w:p w14:paraId="622B9001" w14:textId="77777777" w:rsidR="004E2230" w:rsidRDefault="004E2230">
      <w:pPr>
        <w:numPr>
          <w:ilvl w:val="12"/>
          <w:numId w:val="0"/>
        </w:numPr>
        <w:ind w:right="-2"/>
      </w:pPr>
      <w:r>
        <w:t>**** It should be specified if the product is sensitive to light and/or moisture.</w:t>
      </w:r>
    </w:p>
    <w:p w14:paraId="3C406748" w14:textId="77777777" w:rsidR="004E2230" w:rsidRDefault="004E2230">
      <w:pPr>
        <w:numPr>
          <w:ilvl w:val="12"/>
          <w:numId w:val="0"/>
        </w:numPr>
        <w:ind w:right="-2"/>
      </w:pPr>
    </w:p>
    <w:p w14:paraId="0DC704BC" w14:textId="77777777" w:rsidR="004E2230" w:rsidRDefault="004E2230">
      <w:pPr>
        <w:numPr>
          <w:ilvl w:val="12"/>
          <w:numId w:val="0"/>
        </w:numPr>
        <w:ind w:right="-2"/>
      </w:pPr>
      <w:r>
        <w:t xml:space="preserve">***** </w:t>
      </w:r>
      <w:r>
        <w:rPr>
          <w:lang w:val="en-US"/>
        </w:rPr>
        <w:t xml:space="preserve">Depending on the pharmaceutical form and the properties of the product, there may be a risk of deterioration due to physical changes if subjected to low temperatures. Low temperatures may also </w:t>
      </w:r>
      <w:proofErr w:type="gramStart"/>
      <w:r>
        <w:rPr>
          <w:lang w:val="en-US"/>
        </w:rPr>
        <w:t>have an effect on</w:t>
      </w:r>
      <w:proofErr w:type="gramEnd"/>
      <w:r>
        <w:rPr>
          <w:lang w:val="en-US"/>
        </w:rPr>
        <w:t xml:space="preserve"> the packaging in certain cases. An additional statement may be necessary to take account of this possibility.</w:t>
      </w:r>
    </w:p>
    <w:p w14:paraId="270D5007" w14:textId="77777777" w:rsidR="004E2230" w:rsidRDefault="004E2230">
      <w:pPr>
        <w:numPr>
          <w:ilvl w:val="12"/>
          <w:numId w:val="0"/>
        </w:numPr>
        <w:ind w:right="-2"/>
        <w:rPr>
          <w:noProof/>
          <w:lang w:val="hu-HU"/>
        </w:rPr>
      </w:pPr>
    </w:p>
    <w:sectPr w:rsidR="004E2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737" w:footer="737" w:gutter="0"/>
      <w:cols w:sep="1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18D2" w14:textId="77777777" w:rsidR="00597C16" w:rsidRDefault="00597C16">
      <w:r>
        <w:separator/>
      </w:r>
    </w:p>
  </w:endnote>
  <w:endnote w:type="continuationSeparator" w:id="0">
    <w:p w14:paraId="069A16CF" w14:textId="77777777" w:rsidR="00597C16" w:rsidRDefault="0059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61B2" w14:textId="77777777" w:rsidR="007E28EB" w:rsidRDefault="007E28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59BB" w14:textId="77777777" w:rsidR="007E28EB" w:rsidRDefault="007E28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B5D4" w14:textId="77777777" w:rsidR="007E28EB" w:rsidRDefault="007E28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9D45" w14:textId="77777777" w:rsidR="00597C16" w:rsidRDefault="00597C16">
      <w:r>
        <w:separator/>
      </w:r>
    </w:p>
  </w:footnote>
  <w:footnote w:type="continuationSeparator" w:id="0">
    <w:p w14:paraId="49E1CD8A" w14:textId="77777777" w:rsidR="00597C16" w:rsidRDefault="0059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378C" w14:textId="77777777" w:rsidR="007E28EB" w:rsidRDefault="007E28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D1B3" w14:textId="77777777" w:rsidR="007E28EB" w:rsidRDefault="007E28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88EB" w14:textId="77777777" w:rsidR="007E28EB" w:rsidRDefault="007E28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9F824FB"/>
    <w:multiLevelType w:val="singleLevel"/>
    <w:tmpl w:val="F9C4A0C2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55062014"/>
    <w:multiLevelType w:val="singleLevel"/>
    <w:tmpl w:val="90A82058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CBB3924"/>
    <w:multiLevelType w:val="multilevel"/>
    <w:tmpl w:val="7F4CFBB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0D6D2D"/>
    <w:multiLevelType w:val="singleLevel"/>
    <w:tmpl w:val="6AF4786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19343789">
    <w:abstractNumId w:val="0"/>
  </w:num>
  <w:num w:numId="2" w16cid:durableId="984818343">
    <w:abstractNumId w:val="5"/>
  </w:num>
  <w:num w:numId="3" w16cid:durableId="685250187">
    <w:abstractNumId w:val="2"/>
  </w:num>
  <w:num w:numId="4" w16cid:durableId="2059277460">
    <w:abstractNumId w:val="3"/>
  </w:num>
  <w:num w:numId="5" w16cid:durableId="365253698">
    <w:abstractNumId w:val="1"/>
  </w:num>
  <w:num w:numId="6" w16cid:durableId="1043674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82A6E"/>
    <w:rsid w:val="000105F6"/>
    <w:rsid w:val="00062737"/>
    <w:rsid w:val="000D6F19"/>
    <w:rsid w:val="000E79CC"/>
    <w:rsid w:val="000F454C"/>
    <w:rsid w:val="001402D8"/>
    <w:rsid w:val="001E430E"/>
    <w:rsid w:val="00242A6C"/>
    <w:rsid w:val="00246DF2"/>
    <w:rsid w:val="00265022"/>
    <w:rsid w:val="002A0007"/>
    <w:rsid w:val="002E0590"/>
    <w:rsid w:val="002F3D77"/>
    <w:rsid w:val="0031797A"/>
    <w:rsid w:val="00356236"/>
    <w:rsid w:val="003A1830"/>
    <w:rsid w:val="003E133F"/>
    <w:rsid w:val="004A667D"/>
    <w:rsid w:val="004E2230"/>
    <w:rsid w:val="00597C16"/>
    <w:rsid w:val="005B41DD"/>
    <w:rsid w:val="005E2AD3"/>
    <w:rsid w:val="00603EA9"/>
    <w:rsid w:val="006A02D0"/>
    <w:rsid w:val="00750639"/>
    <w:rsid w:val="00754785"/>
    <w:rsid w:val="00763D0B"/>
    <w:rsid w:val="007E28EB"/>
    <w:rsid w:val="008416BE"/>
    <w:rsid w:val="00873098"/>
    <w:rsid w:val="008C0DFA"/>
    <w:rsid w:val="00960DBD"/>
    <w:rsid w:val="00A82A6E"/>
    <w:rsid w:val="00AF21DB"/>
    <w:rsid w:val="00C12AEC"/>
    <w:rsid w:val="00CC6EEA"/>
    <w:rsid w:val="00CE376B"/>
    <w:rsid w:val="00DB7597"/>
    <w:rsid w:val="00DE666E"/>
    <w:rsid w:val="00E12497"/>
    <w:rsid w:val="00ED50C1"/>
    <w:rsid w:val="00EE2EC3"/>
    <w:rsid w:val="00F20B12"/>
    <w:rsid w:val="00F370B0"/>
    <w:rsid w:val="00F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ED8D6"/>
  <w15:chartTrackingRefBased/>
  <w15:docId w15:val="{B0859BEC-007A-43F3-BF6C-20CA6D4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lang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color w:val="000000"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lfej">
    <w:name w:val="header"/>
    <w:basedOn w:val="Norm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"/>
    <w:next w:val="Norm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Szvegtrzsbehzssal">
    <w:name w:val="Body Text Indent"/>
    <w:basedOn w:val="Norml"/>
    <w:semiHidden/>
    <w:pPr>
      <w:ind w:left="567"/>
    </w:pPr>
    <w:rPr>
      <w:i/>
    </w:rPr>
  </w:style>
  <w:style w:type="paragraph" w:customStyle="1" w:styleId="EMEAEnBodyText">
    <w:name w:val="EMEA En Body Text"/>
    <w:basedOn w:val="Norml"/>
    <w:pPr>
      <w:spacing w:before="120" w:after="120"/>
      <w:jc w:val="both"/>
    </w:pPr>
    <w:rPr>
      <w:lang w:val="en-US"/>
    </w:rPr>
  </w:style>
  <w:style w:type="paragraph" w:customStyle="1" w:styleId="EMEAEnHeading1">
    <w:name w:val="EMEA En Heading 1"/>
    <w:basedOn w:val="EMEAEnBodyText"/>
    <w:next w:val="EMEAEnBodyText"/>
    <w:pPr>
      <w:keepNext/>
      <w:keepLines/>
      <w:suppressLineNumbers/>
      <w:spacing w:before="360"/>
      <w:ind w:left="567" w:hanging="567"/>
    </w:pPr>
    <w:rPr>
      <w:b/>
      <w:caps/>
    </w:rPr>
  </w:style>
  <w:style w:type="paragraph" w:customStyle="1" w:styleId="subhead">
    <w:name w:val="subhead"/>
    <w:basedOn w:val="Norml"/>
    <w:next w:val="Norml"/>
    <w:pPr>
      <w:tabs>
        <w:tab w:val="left" w:pos="567"/>
        <w:tab w:val="left" w:pos="1134"/>
      </w:tabs>
    </w:pPr>
    <w:rPr>
      <w:rFonts w:ascii="Arial" w:hAnsi="Arial"/>
      <w:b/>
      <w:caps/>
    </w:rPr>
  </w:style>
  <w:style w:type="paragraph" w:customStyle="1" w:styleId="mainhead">
    <w:name w:val="main head"/>
    <w:basedOn w:val="Norml"/>
    <w:next w:val="subhead"/>
    <w:pPr>
      <w:tabs>
        <w:tab w:val="left" w:pos="567"/>
        <w:tab w:val="left" w:pos="1134"/>
      </w:tabs>
      <w:spacing w:after="240"/>
    </w:pPr>
    <w:rPr>
      <w:rFonts w:ascii="Arial" w:hAnsi="Arial"/>
      <w:b/>
      <w:caps/>
      <w:sz w:val="28"/>
    </w:rPr>
  </w:style>
  <w:style w:type="paragraph" w:styleId="Szvegtrzs3">
    <w:name w:val="Body Text 3"/>
    <w:basedOn w:val="Norml"/>
    <w:semiHidden/>
    <w:pPr>
      <w:jc w:val="both"/>
    </w:pPr>
    <w:rPr>
      <w:lang w:val="en-US"/>
    </w:rPr>
  </w:style>
  <w:style w:type="paragraph" w:styleId="Vgjegyzetszvege">
    <w:name w:val="endnote text"/>
    <w:basedOn w:val="Norml"/>
    <w:semiHidden/>
    <w:pPr>
      <w:tabs>
        <w:tab w:val="left" w:pos="567"/>
      </w:tabs>
    </w:pPr>
  </w:style>
  <w:style w:type="paragraph" w:styleId="Jegyzetszveg">
    <w:name w:val="annotation text"/>
    <w:basedOn w:val="Norml"/>
    <w:link w:val="JegyzetszvegChar"/>
    <w:semiHidden/>
    <w:rPr>
      <w:sz w:val="20"/>
      <w:lang w:val="en-US"/>
    </w:rPr>
  </w:style>
  <w:style w:type="paragraph" w:customStyle="1" w:styleId="Uberschrift2">
    <w:name w:val="Uberschrift 2"/>
    <w:basedOn w:val="Norml"/>
    <w:pPr>
      <w:keepNext/>
      <w:tabs>
        <w:tab w:val="left" w:pos="567"/>
      </w:tabs>
      <w:spacing w:before="240" w:after="120"/>
    </w:pPr>
    <w:rPr>
      <w:rFonts w:ascii="Courier" w:hAnsi="Courier"/>
      <w:b/>
      <w:kern w:val="28"/>
    </w:rPr>
  </w:style>
  <w:style w:type="paragraph" w:customStyle="1" w:styleId="EMEABodyText">
    <w:name w:val="EMEA Body Text"/>
    <w:basedOn w:val="Norml"/>
  </w:style>
  <w:style w:type="paragraph" w:customStyle="1" w:styleId="EMEAHeading1">
    <w:name w:val="EMEA Heading 1"/>
    <w:basedOn w:val="EMEABodyText"/>
    <w:next w:val="EMEABodyText"/>
    <w:pPr>
      <w:keepNext/>
      <w:keepLines/>
      <w:ind w:left="567" w:hanging="567"/>
      <w:outlineLvl w:val="0"/>
    </w:pPr>
    <w:rPr>
      <w:b/>
      <w:cap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2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A02D0"/>
    <w:rPr>
      <w:rFonts w:ascii="Segoe UI" w:hAnsi="Segoe UI" w:cs="Segoe UI"/>
      <w:sz w:val="18"/>
      <w:szCs w:val="18"/>
      <w:lang w:val="en-GB" w:eastAsia="en-US"/>
    </w:rPr>
  </w:style>
  <w:style w:type="character" w:styleId="Jegyzethivatkozs">
    <w:name w:val="annotation reference"/>
    <w:uiPriority w:val="99"/>
    <w:semiHidden/>
    <w:unhideWhenUsed/>
    <w:rsid w:val="000105F6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05F6"/>
    <w:rPr>
      <w:b/>
      <w:bCs/>
      <w:lang w:val="en-GB"/>
    </w:rPr>
  </w:style>
  <w:style w:type="character" w:customStyle="1" w:styleId="JegyzetszvegChar">
    <w:name w:val="Jegyzetszöveg Char"/>
    <w:link w:val="Jegyzetszveg"/>
    <w:semiHidden/>
    <w:rsid w:val="000105F6"/>
    <w:rPr>
      <w:lang w:val="en-US"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0105F6"/>
    <w:rPr>
      <w:b/>
      <w:bCs/>
      <w:lang w:val="en-GB" w:eastAsia="en-US"/>
    </w:rPr>
  </w:style>
  <w:style w:type="paragraph" w:styleId="Vltozat">
    <w:name w:val="Revision"/>
    <w:hidden/>
    <w:uiPriority w:val="99"/>
    <w:semiHidden/>
    <w:rsid w:val="00763D0B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HappendixIIIhu</vt:lpstr>
      <vt:lpstr>HappendixIIIhu</vt:lpstr>
    </vt:vector>
  </TitlesOfParts>
  <Company>EMEA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2026-03-07T11:34:00Z</dcterms:created>
  <dc:creator>European Medicines Agency</dc:creator>
  <cp:lastModifiedBy>HU_NNGYK_56.2</cp:lastModifiedBy>
  <cp:lastPrinted>2003-06-06T09:28:00Z</cp:lastPrinted>
  <dcterms:modified xsi:type="dcterms:W3CDTF">2026-03-07T11:34:00Z</dcterms:modified>
  <cp:revision>2</cp:revision>
  <dc:subject>General-EMEA/288379/2007</dc:subject>
  <dc:title>HappendixIIIhu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288379</vt:lpwstr>
  </property>
  <property fmtid="{D5CDD505-2E9C-101B-9397-08002B2CF9AE}" pid="14" name="DM_emea_from">
    <vt:lpwstr/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2007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7" name="DM_Owner">
    <vt:lpwstr>Prizzi Monica</vt:lpwstr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pid="44" fmtid="{D5CDD505-2E9C-101B-9397-08002B2CF9AE}" name="DM_Creation_Date">
    <vt:lpwstr>17/03/26</vt:lpwstr>
  </property>
  <property pid="45" fmtid="{D5CDD505-2E9C-101B-9397-08002B2CF9AE}" name="DM_Creator_Name">
    <vt:lpwstr>Duicu Isabella-Ana</vt:lpwstr>
  </property>
  <property pid="46" fmtid="{D5CDD505-2E9C-101B-9397-08002B2CF9AE}" name="DM_DocRefId">
    <vt:lpwstr>EMA/64842/2026</vt:lpwstr>
  </property>
  <property pid="47" fmtid="{D5CDD505-2E9C-101B-9397-08002B2CF9AE}" name="DM_emea_doc_ref_id">
    <vt:lpwstr>EMA/64842/2026</vt:lpwstr>
  </property>
  <property pid="48" fmtid="{D5CDD505-2E9C-101B-9397-08002B2CF9AE}" name="DM_Modifer_Name">
    <vt:lpwstr>Duicu Isabella-Ana</vt:lpwstr>
  </property>
  <property pid="49" fmtid="{D5CDD505-2E9C-101B-9397-08002B2CF9AE}" name="DM_Modified_Date">
    <vt:lpwstr>17/03/26</vt:lpwstr>
  </property>
  <property pid="50" fmtid="{D5CDD505-2E9C-101B-9397-08002B2CF9AE}" name="DM_Modifier_Name">
    <vt:lpwstr>Duicu Isabella-Ana</vt:lpwstr>
  </property>
  <property pid="51" fmtid="{D5CDD505-2E9C-101B-9397-08002B2CF9AE}" name="DM_Modify_Date">
    <vt:lpwstr>17/03/26</vt:lpwstr>
  </property>
  <property pid="52" fmtid="{D5CDD505-2E9C-101B-9397-08002B2CF9AE}" name="DM_Name">
    <vt:lpwstr>HappendixIIIhu_final_clean.docx</vt:lpwstr>
  </property>
  <property pid="53" fmtid="{D5CDD505-2E9C-101B-9397-08002B2CF9AE}" name="DM_Path">
    <vt:lpwstr>/02b. Administration of Scientific Meeting/WPs SAGs DGs and other WGs/CxMP - QRD/3. Other activities/02. Procedures/02. Annexes and appendices/02. Appendices/App III Storage/Human/Revision 01-2026/03-2026 Clean</vt:lpwstr>
  </property>
  <property pid="54" fmtid="{D5CDD505-2E9C-101B-9397-08002B2CF9AE}" name="DM_Status">
    <vt:lpwstr>Draft</vt:lpwstr>
  </property>
</Properties>
</file>