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Look w:val="04A0" w:firstRow="1" w:lastRow="0" w:firstColumn="1" w:lastColumn="0" w:noHBand="0" w:noVBand="1"/>
      </w:tblPr>
      <w:tblGrid>
        <w:gridCol w:w="9286"/>
      </w:tblGrid>
      <w:tr w:rsidR="009F2015" w14:paraId="7CC579C3" w14:textId="77777777" w:rsidTr="009F2015">
        <w:tc>
          <w:tcPr>
            <w:tcW w:w="9286" w:type="dxa"/>
          </w:tcPr>
          <w:p w14:paraId="1B88303E" w14:textId="5B277441" w:rsidR="00E43369" w:rsidRPr="00220238" w:rsidRDefault="00E43369" w:rsidP="00D27553">
            <w:pPr>
              <w:widowControl w:val="0"/>
              <w:spacing w:after="0" w:line="240" w:lineRule="auto"/>
              <w:ind w:left="0" w:firstLine="0"/>
            </w:pPr>
            <w:proofErr w:type="spellStart"/>
            <w:r w:rsidRPr="00220238">
              <w:t>Þetta</w:t>
            </w:r>
            <w:proofErr w:type="spellEnd"/>
            <w:r w:rsidRPr="00220238">
              <w:t xml:space="preserve"> </w:t>
            </w:r>
            <w:proofErr w:type="spellStart"/>
            <w:r w:rsidRPr="00220238">
              <w:t>skjal</w:t>
            </w:r>
            <w:proofErr w:type="spellEnd"/>
            <w:r w:rsidRPr="00220238">
              <w:t xml:space="preserve"> </w:t>
            </w:r>
            <w:proofErr w:type="spellStart"/>
            <w:r w:rsidRPr="00220238">
              <w:t>inniheldur</w:t>
            </w:r>
            <w:proofErr w:type="spellEnd"/>
            <w:r w:rsidRPr="00220238">
              <w:t xml:space="preserve"> </w:t>
            </w:r>
            <w:proofErr w:type="spellStart"/>
            <w:r w:rsidRPr="00220238">
              <w:t>samþykktar</w:t>
            </w:r>
            <w:proofErr w:type="spellEnd"/>
            <w:r w:rsidRPr="00220238">
              <w:t xml:space="preserve"> </w:t>
            </w:r>
            <w:r w:rsidRPr="00220238">
              <w:rPr>
                <w:lang w:val="is-IS"/>
              </w:rPr>
              <w:t>lyfjaupplýsingar</w:t>
            </w:r>
            <w:r w:rsidRPr="00220238">
              <w:t xml:space="preserve"> </w:t>
            </w:r>
            <w:proofErr w:type="spellStart"/>
            <w:r w:rsidRPr="00220238">
              <w:t>fyrir</w:t>
            </w:r>
            <w:proofErr w:type="spellEnd"/>
            <w:r w:rsidRPr="00220238">
              <w:t xml:space="preserve"> </w:t>
            </w:r>
            <w:r>
              <w:t>Mvasi</w:t>
            </w:r>
            <w:r w:rsidRPr="00220238">
              <w:t xml:space="preserve">, </w:t>
            </w:r>
            <w:r w:rsidRPr="00220238">
              <w:rPr>
                <w:lang w:val="is-IS"/>
              </w:rPr>
              <w:t xml:space="preserve">þar sem </w:t>
            </w:r>
            <w:proofErr w:type="spellStart"/>
            <w:r w:rsidRPr="00220238">
              <w:t>breyting</w:t>
            </w:r>
            <w:proofErr w:type="spellEnd"/>
            <w:r w:rsidRPr="00220238">
              <w:rPr>
                <w:lang w:val="is-IS"/>
              </w:rPr>
              <w:t>ar</w:t>
            </w:r>
            <w:r w:rsidRPr="00220238">
              <w:t xml:space="preserve"> </w:t>
            </w:r>
            <w:proofErr w:type="spellStart"/>
            <w:r w:rsidRPr="00220238">
              <w:t>frá</w:t>
            </w:r>
            <w:proofErr w:type="spellEnd"/>
            <w:r w:rsidRPr="00220238">
              <w:t xml:space="preserve"> </w:t>
            </w:r>
            <w:r w:rsidRPr="00220238">
              <w:rPr>
                <w:lang w:val="is-IS"/>
              </w:rPr>
              <w:t>fyrra ferli</w:t>
            </w:r>
            <w:r w:rsidRPr="00220238">
              <w:t xml:space="preserve"> </w:t>
            </w:r>
            <w:proofErr w:type="spellStart"/>
            <w:r w:rsidRPr="00220238">
              <w:t>sem</w:t>
            </w:r>
            <w:proofErr w:type="spellEnd"/>
            <w:r w:rsidRPr="00220238">
              <w:t xml:space="preserve"> </w:t>
            </w:r>
            <w:r w:rsidRPr="00220238">
              <w:rPr>
                <w:lang w:val="is-IS"/>
              </w:rPr>
              <w:t>hafa</w:t>
            </w:r>
            <w:r w:rsidRPr="00220238">
              <w:t xml:space="preserve"> </w:t>
            </w:r>
            <w:proofErr w:type="spellStart"/>
            <w:r w:rsidRPr="00220238">
              <w:t>áhrif</w:t>
            </w:r>
            <w:proofErr w:type="spellEnd"/>
            <w:r w:rsidRPr="00220238">
              <w:t xml:space="preserve"> á </w:t>
            </w:r>
            <w:r w:rsidRPr="00220238">
              <w:rPr>
                <w:lang w:val="is-IS"/>
              </w:rPr>
              <w:t>lyfjaupplýsingarnar</w:t>
            </w:r>
            <w:r w:rsidRPr="00220238">
              <w:t xml:space="preserve"> (</w:t>
            </w:r>
            <w:r w:rsidRPr="00E43369">
              <w:rPr>
                <w:lang w:val="en-IN"/>
              </w:rPr>
              <w:t>EMEA/H/C/PSUSA/00000403/202202</w:t>
            </w:r>
            <w:r w:rsidRPr="00220238">
              <w:t xml:space="preserve">) </w:t>
            </w:r>
            <w:r w:rsidRPr="00220238">
              <w:rPr>
                <w:lang w:val="is-IS"/>
              </w:rPr>
              <w:t xml:space="preserve">eru </w:t>
            </w:r>
            <w:proofErr w:type="spellStart"/>
            <w:r w:rsidRPr="00220238">
              <w:t>auðkenndar</w:t>
            </w:r>
            <w:proofErr w:type="spellEnd"/>
            <w:r w:rsidRPr="00220238">
              <w:t>.</w:t>
            </w:r>
          </w:p>
          <w:p w14:paraId="52AF738B" w14:textId="77777777" w:rsidR="00E43369" w:rsidRPr="00220238" w:rsidRDefault="00E43369" w:rsidP="00D27553">
            <w:pPr>
              <w:widowControl w:val="0"/>
              <w:spacing w:after="0" w:line="240" w:lineRule="auto"/>
              <w:ind w:left="0" w:firstLine="0"/>
              <w:rPr>
                <w:lang w:val="en-GB"/>
              </w:rPr>
            </w:pPr>
          </w:p>
          <w:p w14:paraId="76D24C49" w14:textId="4FE2E577" w:rsidR="009F2015" w:rsidRDefault="00E43369" w:rsidP="00D27553">
            <w:pPr>
              <w:suppressAutoHyphens/>
              <w:spacing w:after="0" w:line="240" w:lineRule="auto"/>
              <w:ind w:left="0" w:firstLine="0"/>
              <w:rPr>
                <w:b/>
                <w:color w:val="auto"/>
                <w:lang w:val="is-IS"/>
              </w:rPr>
            </w:pPr>
            <w:r w:rsidRPr="00220238">
              <w:t xml:space="preserve">Nánari </w:t>
            </w:r>
            <w:proofErr w:type="spellStart"/>
            <w:r w:rsidRPr="00220238">
              <w:t>upplýsingar</w:t>
            </w:r>
            <w:proofErr w:type="spellEnd"/>
            <w:r w:rsidRPr="00220238">
              <w:t xml:space="preserve"> er </w:t>
            </w:r>
            <w:proofErr w:type="spellStart"/>
            <w:r w:rsidRPr="00220238">
              <w:t>að</w:t>
            </w:r>
            <w:proofErr w:type="spellEnd"/>
            <w:r w:rsidRPr="00220238">
              <w:t xml:space="preserve"> finna á </w:t>
            </w:r>
            <w:proofErr w:type="spellStart"/>
            <w:r w:rsidRPr="00220238">
              <w:t>vefsíðu</w:t>
            </w:r>
            <w:proofErr w:type="spellEnd"/>
            <w:r w:rsidRPr="00220238">
              <w:t xml:space="preserve"> </w:t>
            </w:r>
            <w:proofErr w:type="spellStart"/>
            <w:r w:rsidRPr="00220238">
              <w:t>Lyfjastofnunar</w:t>
            </w:r>
            <w:proofErr w:type="spellEnd"/>
            <w:r w:rsidRPr="00220238">
              <w:t xml:space="preserve"> </w:t>
            </w:r>
            <w:proofErr w:type="spellStart"/>
            <w:r w:rsidRPr="00220238">
              <w:t>Evrópu</w:t>
            </w:r>
            <w:proofErr w:type="spellEnd"/>
            <w:r w:rsidRPr="00220238">
              <w:t xml:space="preserve">: </w:t>
            </w:r>
            <w:hyperlink r:id="rId10" w:history="1">
              <w:r w:rsidR="00D27553" w:rsidRPr="006312BD">
                <w:rPr>
                  <w:rStyle w:val="Hyperlink"/>
                </w:rPr>
                <w:t>https://www.ema.europa.eu/en/medicine</w:t>
              </w:r>
              <w:r w:rsidR="00D27553" w:rsidRPr="006312BD">
                <w:rPr>
                  <w:rStyle w:val="Hyperlink"/>
                </w:rPr>
                <w:t>s</w:t>
              </w:r>
              <w:r w:rsidR="00D27553" w:rsidRPr="006312BD">
                <w:rPr>
                  <w:rStyle w:val="Hyperlink"/>
                </w:rPr>
                <w:t>/</w:t>
              </w:r>
              <w:r w:rsidR="00D27553" w:rsidRPr="006312BD">
                <w:rPr>
                  <w:rStyle w:val="Hyperlink"/>
                </w:rPr>
                <w:t>human/EPAR/</w:t>
              </w:r>
              <w:r w:rsidR="00D27553" w:rsidRPr="006312BD">
                <w:rPr>
                  <w:rStyle w:val="Hyperlink"/>
                </w:rPr>
                <w:t>mvasi</w:t>
              </w:r>
            </w:hyperlink>
          </w:p>
        </w:tc>
      </w:tr>
    </w:tbl>
    <w:p w14:paraId="35C98C12" w14:textId="77777777" w:rsidR="005F36F3" w:rsidRPr="009F7642" w:rsidRDefault="005F36F3" w:rsidP="008B60B2">
      <w:pPr>
        <w:suppressAutoHyphens/>
        <w:spacing w:after="0" w:line="240" w:lineRule="auto"/>
        <w:ind w:left="0" w:firstLine="0"/>
        <w:jc w:val="center"/>
        <w:rPr>
          <w:b/>
          <w:color w:val="auto"/>
          <w:lang w:val="is-IS"/>
        </w:rPr>
      </w:pPr>
    </w:p>
    <w:p w14:paraId="100F574C" w14:textId="77777777" w:rsidR="005F36F3" w:rsidRPr="009F7642" w:rsidRDefault="005F36F3" w:rsidP="008B60B2">
      <w:pPr>
        <w:suppressAutoHyphens/>
        <w:spacing w:after="0" w:line="240" w:lineRule="auto"/>
        <w:ind w:left="0" w:firstLine="0"/>
        <w:jc w:val="center"/>
        <w:rPr>
          <w:b/>
          <w:color w:val="auto"/>
          <w:lang w:val="is-IS"/>
        </w:rPr>
      </w:pPr>
    </w:p>
    <w:p w14:paraId="3794C066" w14:textId="77777777" w:rsidR="005F36F3" w:rsidRPr="009F7642" w:rsidRDefault="005F36F3" w:rsidP="008B60B2">
      <w:pPr>
        <w:suppressAutoHyphens/>
        <w:spacing w:after="0" w:line="240" w:lineRule="auto"/>
        <w:ind w:left="0" w:firstLine="0"/>
        <w:jc w:val="center"/>
        <w:rPr>
          <w:b/>
          <w:color w:val="auto"/>
          <w:lang w:val="is-IS"/>
        </w:rPr>
      </w:pPr>
    </w:p>
    <w:p w14:paraId="60A5CEF6" w14:textId="77777777" w:rsidR="005F36F3" w:rsidRPr="009F7642" w:rsidRDefault="005F36F3" w:rsidP="008B60B2">
      <w:pPr>
        <w:suppressAutoHyphens/>
        <w:spacing w:after="0" w:line="240" w:lineRule="auto"/>
        <w:ind w:left="0" w:firstLine="0"/>
        <w:jc w:val="center"/>
        <w:rPr>
          <w:b/>
          <w:color w:val="auto"/>
          <w:lang w:val="is-IS"/>
        </w:rPr>
      </w:pPr>
    </w:p>
    <w:p w14:paraId="54019F43" w14:textId="77777777" w:rsidR="005F36F3" w:rsidRPr="009F7642" w:rsidRDefault="005F36F3" w:rsidP="008B60B2">
      <w:pPr>
        <w:suppressAutoHyphens/>
        <w:spacing w:after="0" w:line="240" w:lineRule="auto"/>
        <w:ind w:left="0" w:firstLine="0"/>
        <w:jc w:val="center"/>
        <w:rPr>
          <w:b/>
          <w:color w:val="auto"/>
          <w:lang w:val="is-IS"/>
        </w:rPr>
      </w:pPr>
    </w:p>
    <w:p w14:paraId="5D47BCC2" w14:textId="77777777" w:rsidR="005F36F3" w:rsidRPr="009F7642" w:rsidRDefault="005F36F3" w:rsidP="008B60B2">
      <w:pPr>
        <w:suppressAutoHyphens/>
        <w:spacing w:after="0" w:line="240" w:lineRule="auto"/>
        <w:ind w:left="0" w:firstLine="0"/>
        <w:jc w:val="center"/>
        <w:rPr>
          <w:b/>
          <w:color w:val="auto"/>
          <w:lang w:val="is-IS"/>
        </w:rPr>
      </w:pPr>
    </w:p>
    <w:p w14:paraId="24213C24" w14:textId="77777777" w:rsidR="005F36F3" w:rsidRPr="009F7642" w:rsidRDefault="005F36F3" w:rsidP="008B60B2">
      <w:pPr>
        <w:suppressAutoHyphens/>
        <w:spacing w:after="0" w:line="240" w:lineRule="auto"/>
        <w:ind w:left="0" w:firstLine="0"/>
        <w:jc w:val="center"/>
        <w:rPr>
          <w:b/>
          <w:color w:val="auto"/>
          <w:lang w:val="is-IS"/>
        </w:rPr>
      </w:pPr>
    </w:p>
    <w:p w14:paraId="2A0CE681" w14:textId="77777777" w:rsidR="005F36F3" w:rsidRPr="009F7642" w:rsidRDefault="005F36F3" w:rsidP="008B60B2">
      <w:pPr>
        <w:suppressAutoHyphens/>
        <w:spacing w:after="0" w:line="240" w:lineRule="auto"/>
        <w:ind w:left="0" w:firstLine="0"/>
        <w:jc w:val="center"/>
        <w:rPr>
          <w:b/>
          <w:color w:val="auto"/>
          <w:lang w:val="is-IS"/>
        </w:rPr>
      </w:pPr>
    </w:p>
    <w:p w14:paraId="4BF3A9E5" w14:textId="77777777" w:rsidR="005F36F3" w:rsidRPr="009F7642" w:rsidRDefault="005F36F3" w:rsidP="008B60B2">
      <w:pPr>
        <w:suppressAutoHyphens/>
        <w:spacing w:after="0" w:line="240" w:lineRule="auto"/>
        <w:ind w:left="0" w:firstLine="0"/>
        <w:jc w:val="center"/>
        <w:rPr>
          <w:b/>
          <w:color w:val="auto"/>
          <w:lang w:val="is-IS"/>
        </w:rPr>
      </w:pPr>
    </w:p>
    <w:p w14:paraId="5DC99786" w14:textId="77777777" w:rsidR="005F36F3" w:rsidRPr="009F7642" w:rsidRDefault="005F36F3" w:rsidP="008B60B2">
      <w:pPr>
        <w:suppressAutoHyphens/>
        <w:spacing w:after="0" w:line="240" w:lineRule="auto"/>
        <w:ind w:left="0" w:firstLine="0"/>
        <w:jc w:val="center"/>
        <w:rPr>
          <w:b/>
          <w:color w:val="auto"/>
          <w:lang w:val="is-IS"/>
        </w:rPr>
      </w:pPr>
    </w:p>
    <w:p w14:paraId="61CBA879" w14:textId="77777777" w:rsidR="005F36F3" w:rsidRPr="009F7642" w:rsidRDefault="005F36F3" w:rsidP="008B60B2">
      <w:pPr>
        <w:pStyle w:val="TitleA"/>
        <w:suppressAutoHyphens/>
        <w:spacing w:line="240" w:lineRule="auto"/>
        <w:ind w:left="0"/>
        <w:jc w:val="center"/>
        <w:rPr>
          <w:color w:val="auto"/>
          <w:lang w:val="is-IS"/>
        </w:rPr>
      </w:pPr>
    </w:p>
    <w:p w14:paraId="5D0B0272" w14:textId="77777777" w:rsidR="005F36F3" w:rsidRPr="009F7642" w:rsidRDefault="005F36F3" w:rsidP="008B60B2">
      <w:pPr>
        <w:suppressAutoHyphens/>
        <w:spacing w:after="0" w:line="240" w:lineRule="auto"/>
        <w:ind w:left="0" w:firstLine="0"/>
        <w:jc w:val="center"/>
        <w:rPr>
          <w:b/>
          <w:color w:val="auto"/>
          <w:lang w:val="is-IS"/>
        </w:rPr>
      </w:pPr>
    </w:p>
    <w:p w14:paraId="0A69BD1D" w14:textId="77777777" w:rsidR="005F36F3" w:rsidRPr="009F7642" w:rsidRDefault="005F36F3" w:rsidP="008B60B2">
      <w:pPr>
        <w:suppressAutoHyphens/>
        <w:spacing w:after="0" w:line="240" w:lineRule="auto"/>
        <w:ind w:left="0" w:firstLine="0"/>
        <w:jc w:val="center"/>
        <w:rPr>
          <w:b/>
          <w:color w:val="auto"/>
          <w:lang w:val="is-IS"/>
        </w:rPr>
      </w:pPr>
    </w:p>
    <w:p w14:paraId="1588B204" w14:textId="77777777" w:rsidR="005F36F3" w:rsidRPr="009F7642" w:rsidRDefault="005F36F3" w:rsidP="008B60B2">
      <w:pPr>
        <w:suppressAutoHyphens/>
        <w:spacing w:after="0" w:line="240" w:lineRule="auto"/>
        <w:ind w:left="0" w:firstLine="0"/>
        <w:jc w:val="center"/>
        <w:rPr>
          <w:b/>
          <w:color w:val="auto"/>
          <w:lang w:val="is-IS"/>
        </w:rPr>
      </w:pPr>
    </w:p>
    <w:p w14:paraId="38220AEF" w14:textId="77777777" w:rsidR="005F36F3" w:rsidRPr="009F7642" w:rsidRDefault="005F36F3" w:rsidP="008B60B2">
      <w:pPr>
        <w:suppressAutoHyphens/>
        <w:spacing w:after="0" w:line="240" w:lineRule="auto"/>
        <w:ind w:left="0" w:firstLine="0"/>
        <w:jc w:val="center"/>
        <w:rPr>
          <w:b/>
          <w:color w:val="auto"/>
          <w:lang w:val="is-IS"/>
        </w:rPr>
      </w:pPr>
    </w:p>
    <w:p w14:paraId="0D0A579B" w14:textId="77777777" w:rsidR="005F36F3" w:rsidRPr="009F7642" w:rsidRDefault="005F36F3" w:rsidP="008B60B2">
      <w:pPr>
        <w:suppressAutoHyphens/>
        <w:spacing w:after="0" w:line="240" w:lineRule="auto"/>
        <w:ind w:left="0" w:firstLine="0"/>
        <w:jc w:val="center"/>
        <w:rPr>
          <w:b/>
          <w:color w:val="auto"/>
          <w:lang w:val="is-IS"/>
        </w:rPr>
      </w:pPr>
    </w:p>
    <w:p w14:paraId="60CF948C" w14:textId="77777777" w:rsidR="005F36F3" w:rsidRPr="009F7642" w:rsidRDefault="005F36F3" w:rsidP="008B60B2">
      <w:pPr>
        <w:suppressAutoHyphens/>
        <w:spacing w:after="0" w:line="240" w:lineRule="auto"/>
        <w:ind w:left="0" w:firstLine="0"/>
        <w:jc w:val="center"/>
        <w:rPr>
          <w:b/>
          <w:color w:val="auto"/>
          <w:lang w:val="is-IS"/>
        </w:rPr>
      </w:pPr>
    </w:p>
    <w:p w14:paraId="1682A464" w14:textId="77777777" w:rsidR="00747516" w:rsidRPr="009F7642" w:rsidRDefault="00747516" w:rsidP="008B60B2">
      <w:pPr>
        <w:suppressAutoHyphens/>
        <w:spacing w:after="0" w:line="240" w:lineRule="auto"/>
        <w:ind w:left="0" w:firstLine="0"/>
        <w:jc w:val="center"/>
        <w:rPr>
          <w:b/>
          <w:color w:val="auto"/>
          <w:lang w:val="is-IS"/>
        </w:rPr>
      </w:pPr>
    </w:p>
    <w:p w14:paraId="2CE94887" w14:textId="77777777" w:rsidR="006C06D6" w:rsidRPr="009F7642" w:rsidRDefault="00564614" w:rsidP="008B60B2">
      <w:pPr>
        <w:suppressAutoHyphens/>
        <w:spacing w:after="0" w:line="240" w:lineRule="auto"/>
        <w:ind w:left="0" w:firstLine="0"/>
        <w:jc w:val="center"/>
        <w:rPr>
          <w:b/>
          <w:color w:val="auto"/>
          <w:lang w:val="is-IS"/>
        </w:rPr>
      </w:pPr>
      <w:r w:rsidRPr="009F7642">
        <w:rPr>
          <w:b/>
          <w:color w:val="auto"/>
          <w:lang w:val="is-IS"/>
        </w:rPr>
        <w:t>VIÐAUKI I</w:t>
      </w:r>
    </w:p>
    <w:p w14:paraId="0C901F5D" w14:textId="77777777" w:rsidR="005F36F3" w:rsidRPr="009F7642" w:rsidRDefault="005F36F3" w:rsidP="008B60B2">
      <w:pPr>
        <w:suppressAutoHyphens/>
        <w:spacing w:after="0" w:line="240" w:lineRule="auto"/>
        <w:ind w:left="0" w:firstLine="0"/>
        <w:jc w:val="center"/>
        <w:rPr>
          <w:b/>
          <w:color w:val="auto"/>
          <w:lang w:val="is-IS"/>
        </w:rPr>
      </w:pPr>
    </w:p>
    <w:p w14:paraId="100FEEBB" w14:textId="77777777" w:rsidR="005F36F3" w:rsidRPr="009F7642" w:rsidRDefault="00564614" w:rsidP="00491003">
      <w:pPr>
        <w:pStyle w:val="TitleA"/>
        <w:spacing w:line="240" w:lineRule="auto"/>
        <w:ind w:left="0"/>
        <w:jc w:val="center"/>
        <w:rPr>
          <w:color w:val="auto"/>
          <w:lang w:val="is-IS"/>
        </w:rPr>
      </w:pPr>
      <w:r w:rsidRPr="009F7642">
        <w:rPr>
          <w:color w:val="auto"/>
          <w:lang w:val="is-IS"/>
        </w:rPr>
        <w:t>SAMANTEKT Á EIGINLEIKUM LYFS</w:t>
      </w:r>
    </w:p>
    <w:p w14:paraId="4E463B66" w14:textId="77777777" w:rsidR="005F36F3" w:rsidRPr="009F7642" w:rsidRDefault="005F36F3" w:rsidP="00491003">
      <w:pPr>
        <w:spacing w:after="0" w:line="240" w:lineRule="auto"/>
        <w:ind w:left="0" w:firstLine="0"/>
        <w:jc w:val="center"/>
        <w:rPr>
          <w:b/>
          <w:color w:val="auto"/>
          <w:lang w:val="is-IS"/>
        </w:rPr>
      </w:pPr>
    </w:p>
    <w:p w14:paraId="62DDBD67" w14:textId="17D1EF23" w:rsidR="006C06D6" w:rsidRPr="009F7642" w:rsidRDefault="00564614" w:rsidP="008B60B2">
      <w:pPr>
        <w:keepNext/>
        <w:tabs>
          <w:tab w:val="left" w:pos="567"/>
        </w:tabs>
        <w:suppressAutoHyphens/>
        <w:spacing w:after="0" w:line="240" w:lineRule="auto"/>
        <w:ind w:left="567" w:hanging="567"/>
        <w:rPr>
          <w:b/>
          <w:color w:val="auto"/>
          <w:lang w:val="is-IS"/>
        </w:rPr>
      </w:pPr>
      <w:r w:rsidRPr="009F7642">
        <w:rPr>
          <w:color w:val="auto"/>
          <w:lang w:val="is-IS"/>
        </w:rPr>
        <w:br w:type="page"/>
      </w:r>
      <w:r w:rsidR="0001299A" w:rsidRPr="009F7642">
        <w:rPr>
          <w:b/>
          <w:color w:val="auto"/>
          <w:lang w:val="is-IS"/>
        </w:rPr>
        <w:lastRenderedPageBreak/>
        <w:t>1.</w:t>
      </w:r>
      <w:r w:rsidRPr="009F7642">
        <w:rPr>
          <w:b/>
          <w:color w:val="auto"/>
          <w:lang w:val="is-IS"/>
        </w:rPr>
        <w:tab/>
        <w:t>HEITI LYFS</w:t>
      </w:r>
    </w:p>
    <w:p w14:paraId="6FB81000" w14:textId="77777777" w:rsidR="005F36F3" w:rsidRPr="009F7642" w:rsidRDefault="005F36F3" w:rsidP="008B60B2">
      <w:pPr>
        <w:keepNext/>
        <w:suppressAutoHyphens/>
        <w:spacing w:after="0" w:line="240" w:lineRule="auto"/>
        <w:ind w:left="0" w:firstLine="0"/>
        <w:rPr>
          <w:color w:val="auto"/>
          <w:lang w:val="is-IS"/>
        </w:rPr>
      </w:pPr>
    </w:p>
    <w:p w14:paraId="034ACC4F"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01299A" w:rsidRPr="009F7642">
        <w:rPr>
          <w:color w:val="auto"/>
          <w:lang w:val="is-IS"/>
        </w:rPr>
        <w:t xml:space="preserve"> 25 </w:t>
      </w:r>
      <w:r w:rsidR="00564614" w:rsidRPr="009F7642">
        <w:rPr>
          <w:color w:val="auto"/>
          <w:lang w:val="is-IS"/>
        </w:rPr>
        <w:t>mg/ml innrennslisþykkni, lausn.</w:t>
      </w:r>
    </w:p>
    <w:p w14:paraId="678CB35C" w14:textId="77777777" w:rsidR="005F36F3" w:rsidRPr="009F7642" w:rsidRDefault="005F36F3" w:rsidP="008B60B2">
      <w:pPr>
        <w:suppressAutoHyphens/>
        <w:spacing w:after="0" w:line="240" w:lineRule="auto"/>
        <w:ind w:left="0" w:firstLine="0"/>
        <w:rPr>
          <w:color w:val="auto"/>
          <w:lang w:val="is-IS"/>
        </w:rPr>
      </w:pPr>
    </w:p>
    <w:p w14:paraId="1BC9C743" w14:textId="77777777" w:rsidR="005F36F3" w:rsidRPr="009F7642" w:rsidRDefault="005F36F3" w:rsidP="008B60B2">
      <w:pPr>
        <w:suppressAutoHyphens/>
        <w:spacing w:after="0" w:line="240" w:lineRule="auto"/>
        <w:ind w:left="0" w:firstLine="0"/>
        <w:rPr>
          <w:color w:val="auto"/>
          <w:lang w:val="is-IS"/>
        </w:rPr>
      </w:pPr>
    </w:p>
    <w:p w14:paraId="26EE22F8" w14:textId="77777777" w:rsidR="005F36F3" w:rsidRPr="009F7642" w:rsidRDefault="0001299A" w:rsidP="008B60B2">
      <w:pPr>
        <w:keepNext/>
        <w:tabs>
          <w:tab w:val="left" w:pos="567"/>
        </w:tabs>
        <w:suppressAutoHyphens/>
        <w:spacing w:after="0" w:line="240" w:lineRule="auto"/>
        <w:ind w:left="567" w:hanging="567"/>
        <w:rPr>
          <w:b/>
          <w:color w:val="auto"/>
          <w:lang w:val="is-IS"/>
        </w:rPr>
      </w:pPr>
      <w:r w:rsidRPr="009F7642">
        <w:rPr>
          <w:b/>
          <w:color w:val="auto"/>
          <w:lang w:val="is-IS"/>
        </w:rPr>
        <w:t>2.</w:t>
      </w:r>
      <w:r w:rsidR="00564614" w:rsidRPr="009F7642">
        <w:rPr>
          <w:b/>
          <w:color w:val="auto"/>
          <w:lang w:val="is-IS"/>
        </w:rPr>
        <w:tab/>
        <w:t>INNIHALDSLÝSING</w:t>
      </w:r>
    </w:p>
    <w:p w14:paraId="18C03E77" w14:textId="77777777" w:rsidR="005F36F3" w:rsidRPr="009F7642" w:rsidRDefault="005F36F3" w:rsidP="008B60B2">
      <w:pPr>
        <w:keepNext/>
        <w:suppressAutoHyphens/>
        <w:spacing w:after="0" w:line="240" w:lineRule="auto"/>
        <w:ind w:left="0" w:firstLine="0"/>
        <w:rPr>
          <w:color w:val="auto"/>
          <w:lang w:val="is-IS"/>
        </w:rPr>
      </w:pPr>
    </w:p>
    <w:p w14:paraId="222921D1" w14:textId="77777777" w:rsidR="006C06D6" w:rsidRPr="009F7642" w:rsidRDefault="00136917" w:rsidP="008B60B2">
      <w:pPr>
        <w:suppressAutoHyphens/>
        <w:spacing w:after="0" w:line="240" w:lineRule="auto"/>
        <w:ind w:left="0" w:firstLine="0"/>
        <w:rPr>
          <w:color w:val="auto"/>
          <w:lang w:val="is-IS"/>
        </w:rPr>
      </w:pPr>
      <w:r w:rsidRPr="009F7642">
        <w:rPr>
          <w:color w:val="auto"/>
          <w:lang w:val="is-IS"/>
        </w:rPr>
        <w:t>Hver ml af þykkni inniheldur 25 </w:t>
      </w:r>
      <w:r w:rsidR="00564614" w:rsidRPr="009F7642">
        <w:rPr>
          <w:color w:val="auto"/>
          <w:lang w:val="is-IS"/>
        </w:rPr>
        <w:t>mg af bevacízúmabi*.</w:t>
      </w:r>
    </w:p>
    <w:p w14:paraId="1F030673" w14:textId="77777777" w:rsidR="00EB6EDF" w:rsidRPr="009F7642" w:rsidRDefault="00EB6EDF" w:rsidP="008B60B2">
      <w:pPr>
        <w:suppressAutoHyphens/>
        <w:spacing w:after="0" w:line="240" w:lineRule="auto"/>
        <w:ind w:left="0" w:firstLine="0"/>
        <w:rPr>
          <w:color w:val="auto"/>
          <w:lang w:val="is-IS"/>
        </w:rPr>
      </w:pPr>
    </w:p>
    <w:p w14:paraId="521B341B"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Hver</w:t>
      </w:r>
      <w:r w:rsidR="001B731E" w:rsidRPr="009F7642">
        <w:rPr>
          <w:color w:val="auto"/>
          <w:lang w:val="is-IS"/>
        </w:rPr>
        <w:t>t 4 </w:t>
      </w:r>
      <w:r w:rsidR="00136917" w:rsidRPr="009F7642">
        <w:rPr>
          <w:color w:val="auto"/>
          <w:lang w:val="is-IS"/>
        </w:rPr>
        <w:t>ml hettuglas</w:t>
      </w:r>
      <w:r w:rsidR="0017518A">
        <w:rPr>
          <w:color w:val="auto"/>
          <w:lang w:val="is-IS"/>
        </w:rPr>
        <w:t xml:space="preserve"> með þykkni</w:t>
      </w:r>
      <w:r w:rsidR="00136917" w:rsidRPr="009F7642">
        <w:rPr>
          <w:color w:val="auto"/>
          <w:lang w:val="is-IS"/>
        </w:rPr>
        <w:t xml:space="preserve"> inniheldur 100 </w:t>
      </w:r>
      <w:r w:rsidRPr="009F7642">
        <w:rPr>
          <w:color w:val="auto"/>
          <w:lang w:val="is-IS"/>
        </w:rPr>
        <w:t>mg af bevacízúmabi.</w:t>
      </w:r>
    </w:p>
    <w:p w14:paraId="78AAD0D6"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Hvert</w:t>
      </w:r>
      <w:r w:rsidR="00136917" w:rsidRPr="009F7642">
        <w:rPr>
          <w:color w:val="auto"/>
          <w:lang w:val="is-IS"/>
        </w:rPr>
        <w:t xml:space="preserve"> 16</w:t>
      </w:r>
      <w:r w:rsidR="001B731E" w:rsidRPr="009F7642">
        <w:rPr>
          <w:color w:val="auto"/>
          <w:lang w:val="is-IS"/>
        </w:rPr>
        <w:t> </w:t>
      </w:r>
      <w:r w:rsidR="00136917" w:rsidRPr="009F7642">
        <w:rPr>
          <w:color w:val="auto"/>
          <w:lang w:val="is-IS"/>
        </w:rPr>
        <w:t xml:space="preserve">ml hettuglas </w:t>
      </w:r>
      <w:r w:rsidR="0017518A">
        <w:rPr>
          <w:color w:val="auto"/>
          <w:lang w:val="is-IS"/>
        </w:rPr>
        <w:t xml:space="preserve">með þykkni </w:t>
      </w:r>
      <w:r w:rsidR="00136917" w:rsidRPr="009F7642">
        <w:rPr>
          <w:color w:val="auto"/>
          <w:lang w:val="is-IS"/>
        </w:rPr>
        <w:t>inniheldur 400 </w:t>
      </w:r>
      <w:r w:rsidRPr="009F7642">
        <w:rPr>
          <w:color w:val="auto"/>
          <w:lang w:val="is-IS"/>
        </w:rPr>
        <w:t>mg af bevacízúmabi.</w:t>
      </w:r>
    </w:p>
    <w:p w14:paraId="4C1AAA90" w14:textId="77777777" w:rsidR="00EB6EDF" w:rsidRPr="009F7642" w:rsidRDefault="00EB6EDF" w:rsidP="008B60B2">
      <w:pPr>
        <w:suppressAutoHyphens/>
        <w:spacing w:after="0" w:line="240" w:lineRule="auto"/>
        <w:ind w:left="0" w:firstLine="0"/>
        <w:rPr>
          <w:color w:val="auto"/>
          <w:lang w:val="is-IS"/>
        </w:rPr>
      </w:pPr>
    </w:p>
    <w:p w14:paraId="360E23DD"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Sjá leiðbeiningar um þynningu og aðra meðhöndlun í kafla 6.6.</w:t>
      </w:r>
    </w:p>
    <w:p w14:paraId="5782AF0C" w14:textId="77777777" w:rsidR="005F36F3" w:rsidRPr="009F7642" w:rsidRDefault="005F36F3" w:rsidP="008B60B2">
      <w:pPr>
        <w:suppressAutoHyphens/>
        <w:spacing w:after="0" w:line="240" w:lineRule="auto"/>
        <w:ind w:left="0" w:firstLine="0"/>
        <w:rPr>
          <w:color w:val="auto"/>
          <w:lang w:val="is-IS"/>
        </w:rPr>
      </w:pPr>
    </w:p>
    <w:p w14:paraId="4B82506D"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*Bevacízúmab er raðbrigða, manngert, einstofna mótefni framleitt með DNA tækni í eggjastokkafrumum úr kínverskum hömstrum.</w:t>
      </w:r>
    </w:p>
    <w:p w14:paraId="6154431B" w14:textId="77777777" w:rsidR="005C6A86" w:rsidRPr="00F578E5" w:rsidRDefault="005C6A86" w:rsidP="005C6A86">
      <w:pPr>
        <w:tabs>
          <w:tab w:val="left" w:pos="567"/>
        </w:tabs>
        <w:spacing w:after="0" w:line="240" w:lineRule="auto"/>
        <w:ind w:left="0" w:firstLine="0"/>
        <w:rPr>
          <w:color w:val="auto"/>
          <w:szCs w:val="20"/>
          <w:lang w:val="is-IS"/>
        </w:rPr>
      </w:pPr>
    </w:p>
    <w:p w14:paraId="789F5705" w14:textId="77777777" w:rsidR="005C6A86" w:rsidRPr="00B0370E" w:rsidRDefault="005C6A86" w:rsidP="005C6A86">
      <w:pPr>
        <w:tabs>
          <w:tab w:val="left" w:pos="567"/>
        </w:tabs>
        <w:spacing w:after="0" w:line="240" w:lineRule="auto"/>
        <w:ind w:left="0" w:firstLine="0"/>
        <w:rPr>
          <w:color w:val="auto"/>
          <w:szCs w:val="20"/>
          <w:u w:val="single"/>
          <w:lang w:val="is-IS"/>
        </w:rPr>
      </w:pPr>
      <w:r w:rsidRPr="00B0370E">
        <w:rPr>
          <w:color w:val="auto"/>
          <w:szCs w:val="20"/>
          <w:u w:val="single"/>
          <w:lang w:val="is-IS"/>
        </w:rPr>
        <w:t>Hjálparefni með þekkta verkun</w:t>
      </w:r>
    </w:p>
    <w:p w14:paraId="13DA5075" w14:textId="77777777" w:rsidR="005C6A86" w:rsidRPr="00B0370E" w:rsidRDefault="005C6A86" w:rsidP="005C6A86">
      <w:pPr>
        <w:tabs>
          <w:tab w:val="left" w:pos="567"/>
        </w:tabs>
        <w:spacing w:after="0" w:line="240" w:lineRule="auto"/>
        <w:ind w:left="0" w:firstLine="0"/>
        <w:rPr>
          <w:i/>
          <w:color w:val="auto"/>
          <w:szCs w:val="20"/>
          <w:u w:val="single"/>
          <w:lang w:val="is-IS"/>
        </w:rPr>
      </w:pPr>
    </w:p>
    <w:p w14:paraId="667121F5" w14:textId="056E3419" w:rsidR="005C6A86" w:rsidRPr="00215918" w:rsidRDefault="005C6A86" w:rsidP="005C6A86">
      <w:pPr>
        <w:tabs>
          <w:tab w:val="left" w:pos="567"/>
        </w:tabs>
        <w:spacing w:after="0" w:line="240" w:lineRule="auto"/>
        <w:ind w:left="0" w:firstLine="0"/>
        <w:rPr>
          <w:color w:val="auto"/>
          <w:szCs w:val="20"/>
          <w:lang w:val="is-IS"/>
        </w:rPr>
      </w:pPr>
      <w:r w:rsidRPr="00215918">
        <w:rPr>
          <w:color w:val="auto"/>
          <w:szCs w:val="20"/>
          <w:lang w:val="is-IS"/>
        </w:rPr>
        <w:t xml:space="preserve">Hvert </w:t>
      </w:r>
      <w:r w:rsidR="004262B4" w:rsidRPr="00215918">
        <w:rPr>
          <w:color w:val="auto"/>
          <w:szCs w:val="20"/>
          <w:lang w:val="is-IS"/>
        </w:rPr>
        <w:t>4</w:t>
      </w:r>
      <w:r w:rsidR="002F522D" w:rsidRPr="00215918">
        <w:rPr>
          <w:color w:val="auto"/>
          <w:szCs w:val="20"/>
          <w:lang w:val="is-IS"/>
        </w:rPr>
        <w:t> </w:t>
      </w:r>
      <w:r w:rsidR="004262B4" w:rsidRPr="00215918">
        <w:rPr>
          <w:color w:val="auto"/>
          <w:szCs w:val="20"/>
          <w:lang w:val="is-IS"/>
        </w:rPr>
        <w:t xml:space="preserve">ml </w:t>
      </w:r>
      <w:r w:rsidRPr="00215918">
        <w:rPr>
          <w:color w:val="auto"/>
          <w:szCs w:val="20"/>
          <w:lang w:val="is-IS"/>
        </w:rPr>
        <w:t xml:space="preserve">hettuglas inniheldur </w:t>
      </w:r>
      <w:r w:rsidR="00C12DBB" w:rsidRPr="00215918">
        <w:rPr>
          <w:color w:val="auto"/>
          <w:szCs w:val="20"/>
          <w:lang w:val="is-IS"/>
        </w:rPr>
        <w:t>5,4</w:t>
      </w:r>
      <w:r w:rsidRPr="00215918">
        <w:rPr>
          <w:color w:val="auto"/>
          <w:szCs w:val="20"/>
          <w:lang w:val="is-IS"/>
        </w:rPr>
        <w:t> mg natríum.</w:t>
      </w:r>
    </w:p>
    <w:p w14:paraId="68AEB990" w14:textId="4B57701D" w:rsidR="005C6A86" w:rsidRPr="00B0370E" w:rsidRDefault="005C6A86" w:rsidP="005C6A86">
      <w:pPr>
        <w:tabs>
          <w:tab w:val="left" w:pos="567"/>
        </w:tabs>
        <w:spacing w:after="0" w:line="240" w:lineRule="auto"/>
        <w:ind w:left="0" w:firstLine="0"/>
        <w:rPr>
          <w:color w:val="auto"/>
          <w:szCs w:val="20"/>
          <w:lang w:val="sv-SE"/>
        </w:rPr>
      </w:pPr>
      <w:r w:rsidRPr="00B0370E">
        <w:rPr>
          <w:color w:val="auto"/>
          <w:szCs w:val="20"/>
          <w:lang w:val="sv-SE"/>
        </w:rPr>
        <w:t xml:space="preserve">Hvert </w:t>
      </w:r>
      <w:r w:rsidR="004262B4">
        <w:rPr>
          <w:color w:val="auto"/>
          <w:szCs w:val="20"/>
          <w:lang w:val="sv-SE"/>
        </w:rPr>
        <w:t>16</w:t>
      </w:r>
      <w:r w:rsidR="002F522D">
        <w:rPr>
          <w:color w:val="auto"/>
          <w:szCs w:val="20"/>
          <w:lang w:val="sv-SE"/>
        </w:rPr>
        <w:t> </w:t>
      </w:r>
      <w:r w:rsidR="004262B4">
        <w:rPr>
          <w:color w:val="auto"/>
          <w:szCs w:val="20"/>
          <w:lang w:val="sv-SE"/>
        </w:rPr>
        <w:t xml:space="preserve">ml </w:t>
      </w:r>
      <w:r w:rsidRPr="00B0370E">
        <w:rPr>
          <w:color w:val="auto"/>
          <w:szCs w:val="20"/>
          <w:lang w:val="sv-SE"/>
        </w:rPr>
        <w:t xml:space="preserve">hettuglas inniheldur </w:t>
      </w:r>
      <w:r w:rsidR="00C12DBB" w:rsidRPr="00B0370E">
        <w:rPr>
          <w:color w:val="auto"/>
          <w:szCs w:val="20"/>
          <w:lang w:val="sv-SE"/>
        </w:rPr>
        <w:t>21,7</w:t>
      </w:r>
      <w:r w:rsidRPr="00B0370E">
        <w:rPr>
          <w:color w:val="auto"/>
          <w:szCs w:val="20"/>
          <w:lang w:val="sv-SE"/>
        </w:rPr>
        <w:t> mg natríum.</w:t>
      </w:r>
    </w:p>
    <w:p w14:paraId="1211ABD9" w14:textId="77777777" w:rsidR="005F36F3" w:rsidRPr="009F7642" w:rsidRDefault="005F36F3" w:rsidP="008B60B2">
      <w:pPr>
        <w:suppressAutoHyphens/>
        <w:spacing w:after="0" w:line="240" w:lineRule="auto"/>
        <w:ind w:left="0" w:firstLine="0"/>
        <w:rPr>
          <w:color w:val="auto"/>
          <w:lang w:val="is-IS"/>
        </w:rPr>
      </w:pPr>
    </w:p>
    <w:p w14:paraId="4AFA51D6"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Sjá lista yfir öll hjálparefni í kafla 6.1.</w:t>
      </w:r>
    </w:p>
    <w:p w14:paraId="00226CD1" w14:textId="77777777" w:rsidR="005F36F3" w:rsidRPr="009F7642" w:rsidRDefault="005F36F3" w:rsidP="008B60B2">
      <w:pPr>
        <w:suppressAutoHyphens/>
        <w:spacing w:after="0" w:line="240" w:lineRule="auto"/>
        <w:ind w:left="0" w:firstLine="0"/>
        <w:rPr>
          <w:color w:val="auto"/>
          <w:lang w:val="is-IS"/>
        </w:rPr>
      </w:pPr>
    </w:p>
    <w:p w14:paraId="43B53AE2" w14:textId="77777777" w:rsidR="005F36F3" w:rsidRPr="009F7642" w:rsidRDefault="005F36F3" w:rsidP="008B60B2">
      <w:pPr>
        <w:suppressAutoHyphens/>
        <w:spacing w:after="0" w:line="240" w:lineRule="auto"/>
        <w:ind w:left="0" w:firstLine="0"/>
        <w:rPr>
          <w:color w:val="auto"/>
          <w:lang w:val="is-IS"/>
        </w:rPr>
      </w:pPr>
    </w:p>
    <w:p w14:paraId="1AA0C958" w14:textId="77777777" w:rsidR="006C06D6" w:rsidRPr="009F7642" w:rsidRDefault="0001299A" w:rsidP="008B60B2">
      <w:pPr>
        <w:keepNext/>
        <w:tabs>
          <w:tab w:val="left" w:pos="567"/>
        </w:tabs>
        <w:suppressAutoHyphens/>
        <w:spacing w:after="0" w:line="240" w:lineRule="auto"/>
        <w:ind w:left="567" w:hanging="567"/>
        <w:rPr>
          <w:b/>
          <w:color w:val="auto"/>
          <w:lang w:val="is-IS"/>
        </w:rPr>
      </w:pPr>
      <w:r w:rsidRPr="009F7642">
        <w:rPr>
          <w:b/>
          <w:color w:val="auto"/>
          <w:lang w:val="is-IS"/>
        </w:rPr>
        <w:t>3.</w:t>
      </w:r>
      <w:r w:rsidR="00564614" w:rsidRPr="009F7642">
        <w:rPr>
          <w:b/>
          <w:color w:val="auto"/>
          <w:lang w:val="is-IS"/>
        </w:rPr>
        <w:tab/>
        <w:t>LYFJAFORM</w:t>
      </w:r>
    </w:p>
    <w:p w14:paraId="255903A5" w14:textId="77777777" w:rsidR="005F36F3" w:rsidRPr="009F7642" w:rsidRDefault="005F36F3" w:rsidP="008B60B2">
      <w:pPr>
        <w:keepNext/>
        <w:suppressAutoHyphens/>
        <w:spacing w:after="0" w:line="240" w:lineRule="auto"/>
        <w:ind w:left="0" w:firstLine="0"/>
        <w:rPr>
          <w:color w:val="auto"/>
          <w:lang w:val="is-IS"/>
        </w:rPr>
      </w:pPr>
    </w:p>
    <w:p w14:paraId="62EDA024" w14:textId="5FDD9EB7" w:rsidR="006C06D6" w:rsidRPr="009F7642" w:rsidRDefault="00564614" w:rsidP="008B60B2">
      <w:pPr>
        <w:suppressAutoHyphens/>
        <w:spacing w:after="0" w:line="240" w:lineRule="auto"/>
        <w:ind w:left="0" w:firstLine="0"/>
        <w:rPr>
          <w:color w:val="auto"/>
          <w:lang w:val="is-IS"/>
        </w:rPr>
      </w:pPr>
      <w:r w:rsidRPr="009F7642">
        <w:rPr>
          <w:color w:val="auto"/>
          <w:lang w:val="is-IS"/>
        </w:rPr>
        <w:t>Innrennslisþykkni, lausn</w:t>
      </w:r>
      <w:r w:rsidR="004262B4">
        <w:rPr>
          <w:color w:val="auto"/>
          <w:lang w:val="is-IS"/>
        </w:rPr>
        <w:t xml:space="preserve"> (</w:t>
      </w:r>
      <w:r w:rsidR="00CE4144">
        <w:rPr>
          <w:color w:val="auto"/>
          <w:lang w:val="is-IS"/>
        </w:rPr>
        <w:t>sæft</w:t>
      </w:r>
      <w:r w:rsidR="004262B4">
        <w:rPr>
          <w:color w:val="auto"/>
          <w:lang w:val="is-IS"/>
        </w:rPr>
        <w:t xml:space="preserve"> þykkni)</w:t>
      </w:r>
      <w:r w:rsidRPr="009F7642">
        <w:rPr>
          <w:color w:val="auto"/>
          <w:lang w:val="is-IS"/>
        </w:rPr>
        <w:t>.</w:t>
      </w:r>
    </w:p>
    <w:p w14:paraId="51255EB1" w14:textId="77777777" w:rsidR="005F36F3" w:rsidRPr="009F7642" w:rsidRDefault="005F36F3" w:rsidP="008B60B2">
      <w:pPr>
        <w:suppressAutoHyphens/>
        <w:spacing w:after="0" w:line="240" w:lineRule="auto"/>
        <w:ind w:left="0" w:firstLine="0"/>
        <w:rPr>
          <w:color w:val="auto"/>
          <w:lang w:val="is-IS"/>
        </w:rPr>
      </w:pPr>
    </w:p>
    <w:p w14:paraId="21AE8F6F"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Tær eða örlítið mjólkurlitaður, litlaus eða </w:t>
      </w:r>
      <w:r w:rsidR="00FE4386">
        <w:rPr>
          <w:color w:val="auto"/>
          <w:lang w:val="is-IS"/>
        </w:rPr>
        <w:t>gulleitur</w:t>
      </w:r>
      <w:r w:rsidR="0017518A" w:rsidRPr="009F7642">
        <w:rPr>
          <w:color w:val="auto"/>
          <w:lang w:val="is-IS"/>
        </w:rPr>
        <w:t xml:space="preserve"> </w:t>
      </w:r>
      <w:r w:rsidRPr="009F7642">
        <w:rPr>
          <w:color w:val="auto"/>
          <w:lang w:val="is-IS"/>
        </w:rPr>
        <w:t>vökvi.</w:t>
      </w:r>
    </w:p>
    <w:p w14:paraId="40C154B7" w14:textId="77777777" w:rsidR="005F36F3" w:rsidRPr="009F7642" w:rsidRDefault="005F36F3" w:rsidP="008B60B2">
      <w:pPr>
        <w:suppressAutoHyphens/>
        <w:spacing w:after="0" w:line="240" w:lineRule="auto"/>
        <w:ind w:left="0" w:firstLine="0"/>
        <w:rPr>
          <w:color w:val="auto"/>
          <w:lang w:val="is-IS"/>
        </w:rPr>
      </w:pPr>
    </w:p>
    <w:p w14:paraId="53DBBD95" w14:textId="77777777" w:rsidR="005F36F3" w:rsidRPr="009F7642" w:rsidRDefault="005F36F3" w:rsidP="008B60B2">
      <w:pPr>
        <w:suppressAutoHyphens/>
        <w:spacing w:after="0" w:line="240" w:lineRule="auto"/>
        <w:ind w:left="0" w:firstLine="0"/>
        <w:rPr>
          <w:color w:val="auto"/>
          <w:lang w:val="is-IS"/>
        </w:rPr>
      </w:pPr>
    </w:p>
    <w:p w14:paraId="3004D373" w14:textId="77777777" w:rsidR="006C06D6" w:rsidRPr="009F7642" w:rsidRDefault="0001299A" w:rsidP="008B60B2">
      <w:pPr>
        <w:keepNext/>
        <w:tabs>
          <w:tab w:val="left" w:pos="567"/>
        </w:tabs>
        <w:suppressAutoHyphens/>
        <w:spacing w:after="0" w:line="240" w:lineRule="auto"/>
        <w:ind w:left="567" w:hanging="567"/>
        <w:rPr>
          <w:b/>
          <w:color w:val="auto"/>
          <w:lang w:val="is-IS"/>
        </w:rPr>
      </w:pPr>
      <w:r w:rsidRPr="009F7642">
        <w:rPr>
          <w:b/>
          <w:color w:val="auto"/>
          <w:lang w:val="is-IS"/>
        </w:rPr>
        <w:t>4.</w:t>
      </w:r>
      <w:r w:rsidR="00564614" w:rsidRPr="009F7642">
        <w:rPr>
          <w:b/>
          <w:color w:val="auto"/>
          <w:lang w:val="is-IS"/>
        </w:rPr>
        <w:tab/>
        <w:t>KLÍNÍSKAR UPPLÝSINGAR</w:t>
      </w:r>
    </w:p>
    <w:p w14:paraId="44309FD8" w14:textId="77777777" w:rsidR="005F36F3" w:rsidRPr="009F7642" w:rsidRDefault="005F36F3" w:rsidP="008B60B2">
      <w:pPr>
        <w:keepNext/>
        <w:suppressAutoHyphens/>
        <w:spacing w:after="0" w:line="240" w:lineRule="auto"/>
        <w:ind w:left="0" w:firstLine="0"/>
        <w:rPr>
          <w:color w:val="auto"/>
          <w:lang w:val="is-IS"/>
        </w:rPr>
      </w:pPr>
    </w:p>
    <w:p w14:paraId="1870FCBC" w14:textId="77777777" w:rsidR="006C06D6" w:rsidRPr="009F7642" w:rsidRDefault="0001299A" w:rsidP="008B60B2">
      <w:pPr>
        <w:keepNext/>
        <w:tabs>
          <w:tab w:val="left" w:pos="567"/>
        </w:tabs>
        <w:suppressAutoHyphens/>
        <w:spacing w:after="0" w:line="240" w:lineRule="auto"/>
        <w:ind w:left="567" w:hanging="567"/>
        <w:rPr>
          <w:color w:val="auto"/>
          <w:lang w:val="is-IS"/>
        </w:rPr>
      </w:pPr>
      <w:r w:rsidRPr="009F7642">
        <w:rPr>
          <w:b/>
          <w:color w:val="auto"/>
          <w:lang w:val="is-IS"/>
        </w:rPr>
        <w:t>4.1</w:t>
      </w:r>
      <w:r w:rsidR="00564614" w:rsidRPr="009F7642">
        <w:rPr>
          <w:b/>
          <w:color w:val="auto"/>
          <w:lang w:val="is-IS"/>
        </w:rPr>
        <w:tab/>
        <w:t>Ábendingar</w:t>
      </w:r>
    </w:p>
    <w:p w14:paraId="419C74EA" w14:textId="77777777" w:rsidR="005F36F3" w:rsidRPr="009F7642" w:rsidRDefault="005F36F3" w:rsidP="008B60B2">
      <w:pPr>
        <w:keepNext/>
        <w:suppressAutoHyphens/>
        <w:spacing w:after="0" w:line="240" w:lineRule="auto"/>
        <w:ind w:left="0" w:firstLine="0"/>
        <w:rPr>
          <w:color w:val="auto"/>
          <w:lang w:val="is-IS"/>
        </w:rPr>
      </w:pPr>
    </w:p>
    <w:p w14:paraId="2A3E0CD3"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ásamt krabbameinslyfjameðferð með flúorópýrímídínsamböndum er ætlað til meðferðar hjá fullorðnum sjúklingum með krabbamein í ristli eða endaþarmi með meinvörpum.</w:t>
      </w:r>
    </w:p>
    <w:p w14:paraId="297ECFFF" w14:textId="77777777" w:rsidR="005F36F3" w:rsidRPr="009F7642" w:rsidRDefault="005F36F3" w:rsidP="008B60B2">
      <w:pPr>
        <w:suppressAutoHyphens/>
        <w:spacing w:after="0" w:line="240" w:lineRule="auto"/>
        <w:ind w:left="0" w:firstLine="0"/>
        <w:rPr>
          <w:color w:val="auto"/>
          <w:lang w:val="is-IS"/>
        </w:rPr>
      </w:pPr>
    </w:p>
    <w:p w14:paraId="00FE3F36"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ásamt paklítaxeli er ætlað sem fyrsta val við meðferð hjá fullorðnum sjúklingum með brjóstakrabbamein með meinvörpum. Sjá kafla 5.1 varðandi frekari upplýsingar um vaxtarþáttarviðtaka þekjufruma af tegund</w:t>
      </w:r>
      <w:r w:rsidR="009210ED">
        <w:rPr>
          <w:color w:val="auto"/>
          <w:lang w:val="is-IS"/>
        </w:rPr>
        <w:t> </w:t>
      </w:r>
      <w:r w:rsidR="00564614" w:rsidRPr="009F7642">
        <w:rPr>
          <w:color w:val="auto"/>
          <w:lang w:val="is-IS"/>
        </w:rPr>
        <w:t>2 (human epidermal growth factor receptor</w:t>
      </w:r>
      <w:r w:rsidR="009210ED">
        <w:rPr>
          <w:color w:val="auto"/>
          <w:lang w:val="is-IS"/>
        </w:rPr>
        <w:t> </w:t>
      </w:r>
      <w:r w:rsidR="00564614" w:rsidRPr="009F7642">
        <w:rPr>
          <w:color w:val="auto"/>
          <w:lang w:val="is-IS"/>
        </w:rPr>
        <w:t>2, HER2) stöðu.</w:t>
      </w:r>
    </w:p>
    <w:p w14:paraId="34CB985D" w14:textId="77777777" w:rsidR="005F36F3" w:rsidRDefault="005F36F3" w:rsidP="008B60B2">
      <w:pPr>
        <w:suppressAutoHyphens/>
        <w:spacing w:after="0" w:line="240" w:lineRule="auto"/>
        <w:ind w:left="0" w:firstLine="0"/>
        <w:rPr>
          <w:color w:val="auto"/>
          <w:lang w:val="is-IS"/>
        </w:rPr>
      </w:pPr>
    </w:p>
    <w:p w14:paraId="01A105E7" w14:textId="77777777" w:rsidR="002B1AF0" w:rsidRPr="00B64117" w:rsidRDefault="00A66D27" w:rsidP="008B60B2">
      <w:pPr>
        <w:suppressAutoHyphens/>
        <w:spacing w:after="0" w:line="240" w:lineRule="auto"/>
        <w:ind w:left="0" w:firstLine="0"/>
        <w:rPr>
          <w:lang w:val="is-IS"/>
        </w:rPr>
      </w:pPr>
      <w:r>
        <w:rPr>
          <w:lang w:val="is-IS"/>
        </w:rPr>
        <w:t>MVASI</w:t>
      </w:r>
      <w:r w:rsidR="002B1AF0" w:rsidRPr="00B64117">
        <w:rPr>
          <w:lang w:val="is-IS"/>
        </w:rPr>
        <w:t xml:space="preserve"> ásamt capecítabíni er ætlað sem fyrsta val við meðferð hjá fullorðnum sjúklingum með brjóstakrabbamein með meinvörpum þar sem meðferð með öðrum krabbameinslyfjum, þ.m.t. taxan- eða antrasýklínlyfjum, er ekki talin viðeigandi. MVASI ásamt capecítabíni á ekki að gefa sjúklingum, sem fengið hafa taxan- eða antrasýklínlyf sem viðbótarmeðferð á undanförnum 12</w:t>
      </w:r>
      <w:r w:rsidR="00E100AA" w:rsidRPr="00B64117">
        <w:rPr>
          <w:lang w:val="is-IS"/>
        </w:rPr>
        <w:t> </w:t>
      </w:r>
      <w:r w:rsidR="002B1AF0" w:rsidRPr="00B64117">
        <w:rPr>
          <w:lang w:val="is-IS"/>
        </w:rPr>
        <w:t>mánuðum. Sjá kafla</w:t>
      </w:r>
      <w:r w:rsidR="00E100AA">
        <w:rPr>
          <w:lang w:val="is-IS"/>
        </w:rPr>
        <w:t> </w:t>
      </w:r>
      <w:r w:rsidR="002B1AF0" w:rsidRPr="00B64117">
        <w:rPr>
          <w:lang w:val="is-IS"/>
        </w:rPr>
        <w:t>5.1 varðandi frekari upplýsingar um HER2 stöðu.</w:t>
      </w:r>
    </w:p>
    <w:p w14:paraId="196C0CEE" w14:textId="77777777" w:rsidR="002B1AF0" w:rsidRPr="009F7642" w:rsidRDefault="002B1AF0" w:rsidP="008B60B2">
      <w:pPr>
        <w:suppressAutoHyphens/>
        <w:spacing w:after="0" w:line="240" w:lineRule="auto"/>
        <w:ind w:left="0" w:firstLine="0"/>
        <w:rPr>
          <w:color w:val="auto"/>
          <w:lang w:val="is-IS"/>
        </w:rPr>
      </w:pPr>
    </w:p>
    <w:p w14:paraId="6138C36A" w14:textId="77777777" w:rsidR="006C06D6"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sem viðbót við krabbameinslyfjameðferð með platínusamböndum, er ætlað sem fyrsta val við meðferð hjá fullorðnum sjúklingum með óskurðtækt langt gengið lungnakrabbamein með meinvörpum eða endurtekið lungnakrabbamein sem ekki er af smáfrumugerð. Þetta á samt ekki við ef um er að ræða krabbamein sem er aðallega af flöguþekjugerð.</w:t>
      </w:r>
    </w:p>
    <w:p w14:paraId="59ADA900" w14:textId="77777777" w:rsidR="002B1AF0" w:rsidRDefault="002B1AF0" w:rsidP="008B60B2">
      <w:pPr>
        <w:suppressAutoHyphens/>
        <w:spacing w:after="0" w:line="240" w:lineRule="auto"/>
        <w:ind w:left="0" w:firstLine="0"/>
        <w:rPr>
          <w:color w:val="auto"/>
          <w:lang w:val="is-IS"/>
        </w:rPr>
      </w:pPr>
    </w:p>
    <w:p w14:paraId="763949A0" w14:textId="4DB46933" w:rsidR="002B1AF0" w:rsidRPr="009F7642" w:rsidRDefault="002B1AF0" w:rsidP="008B60B2">
      <w:pPr>
        <w:suppressAutoHyphens/>
        <w:spacing w:after="0" w:line="240" w:lineRule="auto"/>
        <w:ind w:left="0" w:firstLine="0"/>
        <w:rPr>
          <w:color w:val="auto"/>
          <w:lang w:val="is-IS"/>
        </w:rPr>
      </w:pPr>
      <w:r w:rsidRPr="00B64117">
        <w:rPr>
          <w:lang w:val="is-IS"/>
        </w:rPr>
        <w:t xml:space="preserve">MVASI ásamt erlótíníbi er ætlað sem fyrsta val við meðferð hjá fullorðnum sjúklingum með óskurðtækt, langt gengið lungnakrabbamein, endurkomið eða með meinvörpum, sem ekki er af </w:t>
      </w:r>
      <w:r w:rsidRPr="00B64117">
        <w:rPr>
          <w:lang w:val="is-IS"/>
        </w:rPr>
        <w:lastRenderedPageBreak/>
        <w:t>flöguþekjugerð eða smáfrumugerð og er með virkjandi stökkbreytingar í EGFR (</w:t>
      </w:r>
      <w:r w:rsidR="004262B4">
        <w:rPr>
          <w:lang w:val="is-IS"/>
        </w:rPr>
        <w:t xml:space="preserve">e. </w:t>
      </w:r>
      <w:r w:rsidRPr="007566FC">
        <w:rPr>
          <w:i/>
          <w:lang w:val="is-IS"/>
        </w:rPr>
        <w:t>epidermal growth factor receptor</w:t>
      </w:r>
      <w:r w:rsidRPr="00B64117">
        <w:rPr>
          <w:lang w:val="is-IS"/>
        </w:rPr>
        <w:t>, viðtaki fyrir þekjufrumuvaxtarþátt) (sjá kafla</w:t>
      </w:r>
      <w:r w:rsidR="00E100AA">
        <w:rPr>
          <w:lang w:val="is-IS"/>
        </w:rPr>
        <w:t> </w:t>
      </w:r>
      <w:r w:rsidRPr="00B64117">
        <w:rPr>
          <w:lang w:val="is-IS"/>
        </w:rPr>
        <w:t>5.1).</w:t>
      </w:r>
    </w:p>
    <w:p w14:paraId="0ECA7D28" w14:textId="77777777" w:rsidR="005F36F3" w:rsidRPr="009F7642" w:rsidRDefault="005F36F3" w:rsidP="008B60B2">
      <w:pPr>
        <w:suppressAutoHyphens/>
        <w:spacing w:after="0" w:line="240" w:lineRule="auto"/>
        <w:ind w:left="0" w:firstLine="0"/>
        <w:rPr>
          <w:color w:val="auto"/>
          <w:lang w:val="is-IS"/>
        </w:rPr>
      </w:pPr>
    </w:p>
    <w:p w14:paraId="09302F17"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ásamt interferón alfa-2a er ætlað sem fyrsta val við meðferð hjá fullorðnum sjúklingum með nýrnafrumukrabbamein sem er langt gengið og/eða með meinvörpum.</w:t>
      </w:r>
    </w:p>
    <w:p w14:paraId="188B4ABE" w14:textId="77777777" w:rsidR="005F36F3" w:rsidRPr="009F7642" w:rsidRDefault="005F36F3" w:rsidP="008B60B2">
      <w:pPr>
        <w:suppressAutoHyphens/>
        <w:spacing w:after="0" w:line="240" w:lineRule="auto"/>
        <w:ind w:left="0" w:firstLine="0"/>
        <w:rPr>
          <w:color w:val="auto"/>
          <w:lang w:val="is-IS"/>
        </w:rPr>
      </w:pPr>
    </w:p>
    <w:p w14:paraId="32BF1625" w14:textId="096EA7AD"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ásamt carboplatíni og paklítaxeli er ætlað sem </w:t>
      </w:r>
      <w:r w:rsidR="0050617C" w:rsidRPr="0050617C">
        <w:rPr>
          <w:color w:val="auto"/>
          <w:lang w:val="is-IS"/>
        </w:rPr>
        <w:t>fyrsta</w:t>
      </w:r>
      <w:r w:rsidR="0050617C">
        <w:rPr>
          <w:color w:val="auto"/>
          <w:lang w:val="is-IS"/>
        </w:rPr>
        <w:t xml:space="preserve"> </w:t>
      </w:r>
      <w:r w:rsidR="00564614" w:rsidRPr="009F7642">
        <w:rPr>
          <w:color w:val="auto"/>
          <w:lang w:val="is-IS"/>
        </w:rPr>
        <w:t>meðferð hjá fullorðnum sjúklingum með langt gengið</w:t>
      </w:r>
      <w:r w:rsidR="0050617C" w:rsidRPr="00B72D20">
        <w:rPr>
          <w:lang w:val="is-IS"/>
        </w:rPr>
        <w:t xml:space="preserve"> </w:t>
      </w:r>
      <w:r w:rsidR="0050617C" w:rsidRPr="0050617C">
        <w:rPr>
          <w:color w:val="auto"/>
          <w:lang w:val="is-IS"/>
        </w:rPr>
        <w:t>þekjufrumukrabbamein í eggjastokkum, krabbamein í eggjaleiðurum eða krabbamein í lífhimnu</w:t>
      </w:r>
      <w:r w:rsidR="00564614" w:rsidRPr="009F7642">
        <w:rPr>
          <w:color w:val="auto"/>
          <w:lang w:val="is-IS"/>
        </w:rPr>
        <w:t xml:space="preserve"> (</w:t>
      </w:r>
      <w:r w:rsidR="0050617C" w:rsidRPr="0050617C">
        <w:rPr>
          <w:color w:val="auto"/>
          <w:lang w:val="is-IS"/>
        </w:rPr>
        <w:t xml:space="preserve">af stigi III B, III C eða IV </w:t>
      </w:r>
      <w:r w:rsidR="00564614" w:rsidRPr="009F7642">
        <w:rPr>
          <w:color w:val="auto"/>
          <w:lang w:val="is-IS"/>
        </w:rPr>
        <w:t xml:space="preserve">samkvæmt Alþjóðasamtökum kvensjúkdóma- og fæðingarlækna (International Federation of Gynecology and Obstetrics </w:t>
      </w:r>
      <w:r w:rsidR="004262B4">
        <w:rPr>
          <w:color w:val="auto"/>
          <w:lang w:val="is-IS"/>
        </w:rPr>
        <w:t>[</w:t>
      </w:r>
      <w:r w:rsidR="00564614" w:rsidRPr="009F7642">
        <w:rPr>
          <w:color w:val="auto"/>
          <w:lang w:val="is-IS"/>
        </w:rPr>
        <w:t>FIGO</w:t>
      </w:r>
      <w:r w:rsidR="004262B4">
        <w:rPr>
          <w:color w:val="auto"/>
          <w:lang w:val="is-IS"/>
        </w:rPr>
        <w:t>]</w:t>
      </w:r>
      <w:r w:rsidR="004262B4" w:rsidRPr="009F7642">
        <w:rPr>
          <w:color w:val="auto"/>
          <w:lang w:val="is-IS"/>
        </w:rPr>
        <w:t xml:space="preserve">) </w:t>
      </w:r>
      <w:r w:rsidR="00564614" w:rsidRPr="009F7642">
        <w:rPr>
          <w:color w:val="auto"/>
          <w:lang w:val="is-IS"/>
        </w:rPr>
        <w:t>(sjá kafla 5.1).</w:t>
      </w:r>
    </w:p>
    <w:p w14:paraId="67C148FA" w14:textId="77777777" w:rsidR="005F36F3" w:rsidRPr="009F7642" w:rsidRDefault="005F36F3" w:rsidP="008B60B2">
      <w:pPr>
        <w:suppressAutoHyphens/>
        <w:spacing w:after="0" w:line="240" w:lineRule="auto"/>
        <w:ind w:left="0" w:firstLine="0"/>
        <w:rPr>
          <w:color w:val="auto"/>
          <w:lang w:val="is-IS"/>
        </w:rPr>
      </w:pPr>
    </w:p>
    <w:p w14:paraId="7D19A038"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ásamt carboplatíni og gemcítabíni eða ásamt carboplatíni og paklítaxeli er ætlað til meðferðar hjá fullorðnum sjúklingum með fyrstu endurkomu þekjufrumukrabbameins í eggjastokkum, krabbameins í eggjaleiðurum og krabbameins í lífhimnu, sem eru næm fyrir platínusamböndum og hafa ekki áður fengið meðferð með bevacízúmabi eða öðrum VEGF hemlum eða lyfjum sem beinast að VEGF viðtökum.</w:t>
      </w:r>
    </w:p>
    <w:p w14:paraId="5B2478C8" w14:textId="77777777" w:rsidR="005F36F3" w:rsidRPr="009F7642" w:rsidRDefault="005F36F3" w:rsidP="008B60B2">
      <w:pPr>
        <w:suppressAutoHyphens/>
        <w:spacing w:after="0" w:line="240" w:lineRule="auto"/>
        <w:ind w:left="0" w:firstLine="0"/>
        <w:rPr>
          <w:color w:val="auto"/>
          <w:lang w:val="is-IS"/>
        </w:rPr>
      </w:pPr>
    </w:p>
    <w:p w14:paraId="213A74FD"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ásamt </w:t>
      </w:r>
      <w:r w:rsidR="00032D57">
        <w:rPr>
          <w:color w:val="auto"/>
          <w:lang w:val="is-IS"/>
        </w:rPr>
        <w:t xml:space="preserve">paklítaxeli, </w:t>
      </w:r>
      <w:r w:rsidR="00564614" w:rsidRPr="009F7642">
        <w:rPr>
          <w:color w:val="auto"/>
          <w:lang w:val="is-IS"/>
        </w:rPr>
        <w:t>tópótekani eða pegýleruðu doxórúbicíni í lípósómum er ætlað til meðferðar hjá fullorðnum sjúklingum með endurkomu þekjufrumukrabbameins í eggjastokkum, krabbameins í eggjaleiðurum og krabbameins, sem eiga upptök í lífhimnu og eru ónæm fyrir platínusamböndum og hafa ekki áður fengið fleiri en tvær samsetningar krabbameinslyfjameðferðar og hafa ekki áður fengið meðferð með bevacízúmabi eða öðrum VEGF hemlum eða lyfjum sem beinast að VEGF viðtökum (sjá kafla 5.1).</w:t>
      </w:r>
    </w:p>
    <w:p w14:paraId="5AA6C9B4" w14:textId="77777777" w:rsidR="005F36F3" w:rsidRPr="009F7642" w:rsidRDefault="005F36F3" w:rsidP="008B60B2">
      <w:pPr>
        <w:suppressAutoHyphens/>
        <w:spacing w:after="0" w:line="240" w:lineRule="auto"/>
        <w:ind w:left="0" w:firstLine="0"/>
        <w:rPr>
          <w:color w:val="auto"/>
          <w:lang w:val="is-IS"/>
        </w:rPr>
      </w:pPr>
    </w:p>
    <w:p w14:paraId="4B94D648"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ásamt paklítaxeli og cisplatíni, eða paklítaxeli og tópótekani hjá sjúklingum sem ekki geta fengið meðferð með platínusamböndum, er ætlað til meðferðar hjá fullorðnum sjúklingum með krabbamein í leghálsi sem er þrálátt, endurkomið eða með meinvörpum (sjá kafla 5.1).</w:t>
      </w:r>
    </w:p>
    <w:p w14:paraId="27ED6478" w14:textId="77777777" w:rsidR="005F36F3" w:rsidRPr="009F7642" w:rsidRDefault="005F36F3" w:rsidP="008B60B2">
      <w:pPr>
        <w:suppressAutoHyphens/>
        <w:spacing w:after="0" w:line="240" w:lineRule="auto"/>
        <w:ind w:left="0" w:firstLine="0"/>
        <w:rPr>
          <w:color w:val="auto"/>
          <w:lang w:val="is-IS"/>
        </w:rPr>
      </w:pPr>
    </w:p>
    <w:p w14:paraId="5934210A" w14:textId="77777777" w:rsidR="006C06D6" w:rsidRPr="009F7642" w:rsidRDefault="0001299A" w:rsidP="008B60B2">
      <w:pPr>
        <w:keepNext/>
        <w:tabs>
          <w:tab w:val="left" w:pos="567"/>
        </w:tabs>
        <w:suppressAutoHyphens/>
        <w:spacing w:after="0" w:line="240" w:lineRule="auto"/>
        <w:ind w:left="567" w:hanging="567"/>
        <w:rPr>
          <w:color w:val="auto"/>
          <w:lang w:val="is-IS"/>
        </w:rPr>
      </w:pPr>
      <w:r w:rsidRPr="009F7642">
        <w:rPr>
          <w:b/>
          <w:color w:val="auto"/>
          <w:lang w:val="is-IS"/>
        </w:rPr>
        <w:t>4.2</w:t>
      </w:r>
      <w:r w:rsidR="00564614" w:rsidRPr="009F7642">
        <w:rPr>
          <w:b/>
          <w:color w:val="auto"/>
          <w:lang w:val="is-IS"/>
        </w:rPr>
        <w:tab/>
        <w:t>Skammtar og lyfjagjöf</w:t>
      </w:r>
    </w:p>
    <w:p w14:paraId="3FE4677B" w14:textId="77777777" w:rsidR="005F36F3" w:rsidRPr="009F7642" w:rsidRDefault="005F36F3" w:rsidP="008B60B2">
      <w:pPr>
        <w:keepNext/>
        <w:suppressAutoHyphens/>
        <w:spacing w:after="0" w:line="240" w:lineRule="auto"/>
        <w:ind w:left="0" w:firstLine="0"/>
        <w:rPr>
          <w:color w:val="auto"/>
          <w:lang w:val="is-IS"/>
        </w:rPr>
      </w:pPr>
    </w:p>
    <w:p w14:paraId="3862B446" w14:textId="400A536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Læknir með reynslu af notkun krabbameinslyfja verður að hafa umsjón með gjöf </w:t>
      </w:r>
      <w:r w:rsidR="001764F7" w:rsidRPr="00F2274F">
        <w:rPr>
          <w:lang w:val="is-IS"/>
        </w:rPr>
        <w:t>MVASI</w:t>
      </w:r>
      <w:r w:rsidRPr="009F7642">
        <w:rPr>
          <w:color w:val="auto"/>
          <w:lang w:val="is-IS"/>
        </w:rPr>
        <w:t>.</w:t>
      </w:r>
    </w:p>
    <w:p w14:paraId="3DAAAC0F" w14:textId="77777777" w:rsidR="005F36F3" w:rsidRPr="009F7642" w:rsidRDefault="005F36F3" w:rsidP="008B60B2">
      <w:pPr>
        <w:suppressAutoHyphens/>
        <w:spacing w:after="0" w:line="240" w:lineRule="auto"/>
        <w:ind w:left="0" w:firstLine="0"/>
        <w:rPr>
          <w:color w:val="auto"/>
          <w:lang w:val="is-IS"/>
        </w:rPr>
      </w:pPr>
    </w:p>
    <w:p w14:paraId="579791FE" w14:textId="77777777" w:rsidR="006C06D6" w:rsidRPr="00F2274F" w:rsidRDefault="00564614" w:rsidP="008B60B2">
      <w:pPr>
        <w:keepNext/>
        <w:suppressAutoHyphens/>
        <w:spacing w:after="0" w:line="240" w:lineRule="auto"/>
        <w:ind w:left="0" w:firstLine="0"/>
        <w:rPr>
          <w:color w:val="auto"/>
          <w:u w:val="single"/>
          <w:lang w:val="is-IS"/>
        </w:rPr>
      </w:pPr>
      <w:r w:rsidRPr="00F2274F">
        <w:rPr>
          <w:color w:val="auto"/>
          <w:u w:val="single"/>
          <w:lang w:val="is-IS"/>
        </w:rPr>
        <w:t>Skammtar</w:t>
      </w:r>
    </w:p>
    <w:p w14:paraId="6CC88F3E" w14:textId="77777777" w:rsidR="005F36F3" w:rsidRPr="009F7642" w:rsidRDefault="005F36F3" w:rsidP="008B60B2">
      <w:pPr>
        <w:keepNext/>
        <w:suppressAutoHyphens/>
        <w:spacing w:after="0" w:line="240" w:lineRule="auto"/>
        <w:ind w:left="0" w:firstLine="0"/>
        <w:rPr>
          <w:color w:val="auto"/>
          <w:lang w:val="is-IS"/>
        </w:rPr>
      </w:pPr>
    </w:p>
    <w:p w14:paraId="652C32C9"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u w:val="single" w:color="000000"/>
          <w:lang w:val="is-IS"/>
        </w:rPr>
        <w:t>Krabbamein í ristli eða endaþarmi með meinvörpum</w:t>
      </w:r>
    </w:p>
    <w:p w14:paraId="6BA52D32" w14:textId="77777777" w:rsidR="005F36F3" w:rsidRPr="009F7642" w:rsidRDefault="005F36F3" w:rsidP="008B60B2">
      <w:pPr>
        <w:keepNext/>
        <w:suppressAutoHyphens/>
        <w:spacing w:after="0" w:line="240" w:lineRule="auto"/>
        <w:ind w:left="0" w:firstLine="0"/>
        <w:rPr>
          <w:color w:val="auto"/>
          <w:lang w:val="is-IS"/>
        </w:rPr>
      </w:pPr>
    </w:p>
    <w:p w14:paraId="3AC3D1BF"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Ráðlagður skammtur af </w:t>
      </w:r>
      <w:r w:rsidR="001764F7" w:rsidRPr="00F2274F">
        <w:rPr>
          <w:lang w:val="is-IS"/>
        </w:rPr>
        <w:t>MVASI</w:t>
      </w:r>
      <w:r w:rsidR="006D3BE4">
        <w:rPr>
          <w:lang w:val="is-IS"/>
        </w:rPr>
        <w:t xml:space="preserve"> </w:t>
      </w:r>
      <w:r w:rsidRPr="009F7642">
        <w:rPr>
          <w:color w:val="auto"/>
          <w:lang w:val="is-IS"/>
        </w:rPr>
        <w:t>gefinn sem inn</w:t>
      </w:r>
      <w:r w:rsidR="001B731E" w:rsidRPr="009F7642">
        <w:rPr>
          <w:color w:val="auto"/>
          <w:lang w:val="is-IS"/>
        </w:rPr>
        <w:t>rennsli í bláæð er annaðhvort 5 mg/kg eða 10 </w:t>
      </w:r>
      <w:r w:rsidRPr="009F7642">
        <w:rPr>
          <w:color w:val="auto"/>
          <w:lang w:val="is-IS"/>
        </w:rPr>
        <w:t xml:space="preserve">mg/kg líkamsþyngdar gefinn einu sinni á </w:t>
      </w:r>
      <w:r w:rsidRPr="009F7642">
        <w:rPr>
          <w:color w:val="auto"/>
          <w:u w:val="single" w:color="000000"/>
          <w:lang w:val="is-IS"/>
        </w:rPr>
        <w:t>2</w:t>
      </w:r>
      <w:r w:rsidR="009210ED">
        <w:rPr>
          <w:color w:val="auto"/>
          <w:u w:val="single" w:color="000000"/>
          <w:lang w:val="is-IS"/>
        </w:rPr>
        <w:t> </w:t>
      </w:r>
      <w:r w:rsidRPr="009F7642">
        <w:rPr>
          <w:color w:val="auto"/>
          <w:u w:val="single" w:color="000000"/>
          <w:lang w:val="is-IS"/>
        </w:rPr>
        <w:t>vikna fresti</w:t>
      </w:r>
      <w:r w:rsidR="001B731E" w:rsidRPr="009F7642">
        <w:rPr>
          <w:color w:val="auto"/>
          <w:lang w:val="is-IS"/>
        </w:rPr>
        <w:t xml:space="preserve"> eða 7,5 </w:t>
      </w:r>
      <w:r w:rsidRPr="009F7642">
        <w:rPr>
          <w:color w:val="auto"/>
          <w:lang w:val="is-IS"/>
        </w:rPr>
        <w:t xml:space="preserve">mg/kg eða </w:t>
      </w:r>
      <w:r w:rsidR="001B731E" w:rsidRPr="009F7642">
        <w:rPr>
          <w:color w:val="auto"/>
          <w:lang w:val="is-IS"/>
        </w:rPr>
        <w:t>15 </w:t>
      </w:r>
      <w:r w:rsidRPr="009F7642">
        <w:rPr>
          <w:color w:val="auto"/>
          <w:lang w:val="is-IS"/>
        </w:rPr>
        <w:t xml:space="preserve">mg/kg líkamsþyngdar gefinn einu sinni á </w:t>
      </w:r>
      <w:r w:rsidRPr="009F7642">
        <w:rPr>
          <w:color w:val="auto"/>
          <w:u w:val="single" w:color="000000"/>
          <w:lang w:val="is-IS"/>
        </w:rPr>
        <w:t>3</w:t>
      </w:r>
      <w:r w:rsidR="009210ED">
        <w:rPr>
          <w:color w:val="auto"/>
          <w:u w:val="single" w:color="000000"/>
          <w:lang w:val="is-IS"/>
        </w:rPr>
        <w:t> </w:t>
      </w:r>
      <w:r w:rsidRPr="009F7642">
        <w:rPr>
          <w:color w:val="auto"/>
          <w:u w:val="single" w:color="000000"/>
          <w:lang w:val="is-IS"/>
        </w:rPr>
        <w:t>vikna fresti</w:t>
      </w:r>
      <w:r w:rsidRPr="009F7642">
        <w:rPr>
          <w:color w:val="auto"/>
          <w:lang w:val="is-IS"/>
        </w:rPr>
        <w:t>.</w:t>
      </w:r>
    </w:p>
    <w:p w14:paraId="05526C86" w14:textId="77777777" w:rsidR="00550FA4" w:rsidRPr="009F7642" w:rsidRDefault="00550FA4" w:rsidP="008B60B2">
      <w:pPr>
        <w:suppressAutoHyphens/>
        <w:spacing w:after="0" w:line="240" w:lineRule="auto"/>
        <w:ind w:left="0" w:firstLine="0"/>
        <w:rPr>
          <w:color w:val="auto"/>
          <w:lang w:val="is-IS"/>
        </w:rPr>
      </w:pPr>
    </w:p>
    <w:p w14:paraId="461A05E1"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Mælt er með því að meðferð sé haldið áfram þar til sjúkdómurinn ágerist eða þar til eituráhrif verða óásættanleg.</w:t>
      </w:r>
    </w:p>
    <w:p w14:paraId="6F60613A" w14:textId="77777777" w:rsidR="005F36F3" w:rsidRPr="009F7642" w:rsidRDefault="005F36F3" w:rsidP="008B60B2">
      <w:pPr>
        <w:suppressAutoHyphens/>
        <w:spacing w:after="0" w:line="240" w:lineRule="auto"/>
        <w:ind w:left="0" w:firstLine="0"/>
        <w:rPr>
          <w:color w:val="auto"/>
          <w:lang w:val="is-IS"/>
        </w:rPr>
      </w:pPr>
    </w:p>
    <w:p w14:paraId="5F7EDBC4"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u w:val="single" w:color="000000"/>
          <w:lang w:val="is-IS"/>
        </w:rPr>
        <w:t>Brjóstakrabbamein með meinvörpum</w:t>
      </w:r>
    </w:p>
    <w:p w14:paraId="20C1C50C" w14:textId="77777777" w:rsidR="005F36F3" w:rsidRPr="009F7642" w:rsidRDefault="005F36F3" w:rsidP="008B60B2">
      <w:pPr>
        <w:keepNext/>
        <w:suppressAutoHyphens/>
        <w:spacing w:after="0" w:line="240" w:lineRule="auto"/>
        <w:ind w:left="0" w:firstLine="0"/>
        <w:rPr>
          <w:color w:val="auto"/>
          <w:lang w:val="is-IS"/>
        </w:rPr>
      </w:pPr>
    </w:p>
    <w:p w14:paraId="44B124D7" w14:textId="3867047A" w:rsidR="006C06D6" w:rsidRPr="009F7642" w:rsidRDefault="00564614" w:rsidP="008B60B2">
      <w:pPr>
        <w:suppressAutoHyphens/>
        <w:spacing w:after="0" w:line="240" w:lineRule="auto"/>
        <w:ind w:left="0" w:firstLine="0"/>
        <w:rPr>
          <w:color w:val="auto"/>
          <w:lang w:val="is-IS"/>
        </w:rPr>
      </w:pPr>
      <w:r w:rsidRPr="009F7642">
        <w:rPr>
          <w:color w:val="auto"/>
          <w:lang w:val="is-IS"/>
        </w:rPr>
        <w:t>Ráðl</w:t>
      </w:r>
      <w:r w:rsidR="001B731E" w:rsidRPr="009F7642">
        <w:rPr>
          <w:color w:val="auto"/>
          <w:lang w:val="is-IS"/>
        </w:rPr>
        <w:t xml:space="preserve">agður skammtur af </w:t>
      </w:r>
      <w:r w:rsidR="001764F7" w:rsidRPr="00F2274F">
        <w:rPr>
          <w:lang w:val="is-IS"/>
        </w:rPr>
        <w:t>MVASI</w:t>
      </w:r>
      <w:r w:rsidR="00C522CB" w:rsidRPr="00F2274F">
        <w:rPr>
          <w:lang w:val="is-IS"/>
        </w:rPr>
        <w:t xml:space="preserve"> </w:t>
      </w:r>
      <w:r w:rsidR="001B731E" w:rsidRPr="00796078">
        <w:rPr>
          <w:color w:val="auto"/>
          <w:lang w:val="is-IS"/>
        </w:rPr>
        <w:t>er</w:t>
      </w:r>
      <w:r w:rsidR="001B731E" w:rsidRPr="009F7642">
        <w:rPr>
          <w:color w:val="auto"/>
          <w:lang w:val="is-IS"/>
        </w:rPr>
        <w:t xml:space="preserve"> 10 </w:t>
      </w:r>
      <w:r w:rsidRPr="009F7642">
        <w:rPr>
          <w:color w:val="auto"/>
          <w:lang w:val="is-IS"/>
        </w:rPr>
        <w:t>mg/kg líkamsþyngdar</w:t>
      </w:r>
      <w:r w:rsidR="001B731E" w:rsidRPr="009F7642">
        <w:rPr>
          <w:color w:val="auto"/>
          <w:lang w:val="is-IS"/>
        </w:rPr>
        <w:t xml:space="preserve"> gefinn </w:t>
      </w:r>
      <w:r w:rsidR="0050617C" w:rsidRPr="0050617C">
        <w:rPr>
          <w:color w:val="auto"/>
          <w:lang w:val="is-IS"/>
        </w:rPr>
        <w:t xml:space="preserve">einu sinni </w:t>
      </w:r>
      <w:r w:rsidR="001B731E" w:rsidRPr="009F7642">
        <w:rPr>
          <w:color w:val="auto"/>
          <w:lang w:val="is-IS"/>
        </w:rPr>
        <w:t>á 2</w:t>
      </w:r>
      <w:r w:rsidR="009210ED">
        <w:rPr>
          <w:color w:val="auto"/>
          <w:lang w:val="is-IS"/>
        </w:rPr>
        <w:t> </w:t>
      </w:r>
      <w:r w:rsidR="001B731E" w:rsidRPr="009F7642">
        <w:rPr>
          <w:color w:val="auto"/>
          <w:lang w:val="is-IS"/>
        </w:rPr>
        <w:t>vikna fresti eða 15 </w:t>
      </w:r>
      <w:r w:rsidRPr="009F7642">
        <w:rPr>
          <w:color w:val="auto"/>
          <w:lang w:val="is-IS"/>
        </w:rPr>
        <w:t xml:space="preserve">mg/kg líkamsþyngdar gefinn </w:t>
      </w:r>
      <w:r w:rsidR="0050617C" w:rsidRPr="0050617C">
        <w:rPr>
          <w:color w:val="auto"/>
          <w:lang w:val="is-IS"/>
        </w:rPr>
        <w:t xml:space="preserve">einu sinni </w:t>
      </w:r>
      <w:r w:rsidRPr="009F7642">
        <w:rPr>
          <w:color w:val="auto"/>
          <w:lang w:val="is-IS"/>
        </w:rPr>
        <w:t>á 3</w:t>
      </w:r>
      <w:r w:rsidR="009210ED">
        <w:rPr>
          <w:color w:val="auto"/>
          <w:lang w:val="is-IS"/>
        </w:rPr>
        <w:t> </w:t>
      </w:r>
      <w:r w:rsidRPr="009F7642">
        <w:rPr>
          <w:color w:val="auto"/>
          <w:lang w:val="is-IS"/>
        </w:rPr>
        <w:t>vikna fresti sem innrennsli í bláæð.</w:t>
      </w:r>
    </w:p>
    <w:p w14:paraId="5ADF30E2" w14:textId="77777777" w:rsidR="00550FA4" w:rsidRPr="009F7642" w:rsidRDefault="00550FA4" w:rsidP="008B60B2">
      <w:pPr>
        <w:suppressAutoHyphens/>
        <w:spacing w:after="0" w:line="240" w:lineRule="auto"/>
        <w:ind w:left="0" w:firstLine="0"/>
        <w:rPr>
          <w:color w:val="auto"/>
          <w:lang w:val="is-IS"/>
        </w:rPr>
      </w:pPr>
    </w:p>
    <w:p w14:paraId="3F6333B4"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Mælt er með því að meðferð sé haldið áfram þar til sjúkdómurinn ágerist eða þar til eituráhrif verða óásættanleg.</w:t>
      </w:r>
    </w:p>
    <w:p w14:paraId="5BC365EB" w14:textId="77777777" w:rsidR="005F36F3" w:rsidRPr="009F7642" w:rsidRDefault="005F36F3" w:rsidP="008B60B2">
      <w:pPr>
        <w:suppressAutoHyphens/>
        <w:spacing w:after="0" w:line="240" w:lineRule="auto"/>
        <w:ind w:left="0" w:firstLine="0"/>
        <w:rPr>
          <w:color w:val="auto"/>
          <w:lang w:val="is-IS"/>
        </w:rPr>
      </w:pPr>
    </w:p>
    <w:p w14:paraId="7229C6EE"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u w:val="single" w:color="000000"/>
          <w:lang w:val="is-IS"/>
        </w:rPr>
        <w:lastRenderedPageBreak/>
        <w:t>Lungnakrabbamein sem er ekki af smáfrumugerð</w:t>
      </w:r>
    </w:p>
    <w:p w14:paraId="47C17B24" w14:textId="77777777" w:rsidR="005F36F3" w:rsidRPr="009F7642" w:rsidRDefault="005F36F3" w:rsidP="008B60B2">
      <w:pPr>
        <w:keepNext/>
        <w:suppressAutoHyphens/>
        <w:spacing w:after="0" w:line="240" w:lineRule="auto"/>
        <w:ind w:left="0" w:firstLine="0"/>
        <w:rPr>
          <w:color w:val="auto"/>
          <w:lang w:val="is-IS"/>
        </w:rPr>
      </w:pPr>
    </w:p>
    <w:p w14:paraId="649DF675" w14:textId="77777777" w:rsidR="006C06D6" w:rsidRPr="009F7642" w:rsidRDefault="00564614" w:rsidP="00A23670">
      <w:pPr>
        <w:keepNext/>
        <w:suppressAutoHyphens/>
        <w:spacing w:after="0" w:line="240" w:lineRule="auto"/>
        <w:ind w:left="0" w:firstLine="0"/>
        <w:rPr>
          <w:i/>
          <w:color w:val="auto"/>
          <w:lang w:val="is-IS"/>
        </w:rPr>
      </w:pPr>
      <w:r w:rsidRPr="009F7642">
        <w:rPr>
          <w:i/>
          <w:color w:val="auto"/>
          <w:u w:color="000000"/>
          <w:lang w:val="is-IS"/>
        </w:rPr>
        <w:t>Fyrsta meðferð við lungnakrabbameini sem ekki er af smáfrumugerð eða flöguþekjugerð, ásamt</w:t>
      </w:r>
      <w:r w:rsidRPr="009F7642">
        <w:rPr>
          <w:i/>
          <w:color w:val="auto"/>
          <w:lang w:val="is-IS"/>
        </w:rPr>
        <w:t xml:space="preserve"> </w:t>
      </w:r>
      <w:r w:rsidRPr="009F7642">
        <w:rPr>
          <w:i/>
          <w:color w:val="auto"/>
          <w:u w:color="000000"/>
          <w:lang w:val="is-IS"/>
        </w:rPr>
        <w:t>krabbameinslyfjum sem innihalda platínusambönd</w:t>
      </w:r>
    </w:p>
    <w:p w14:paraId="1B04D34D" w14:textId="77777777" w:rsidR="005F36F3" w:rsidRPr="009F7642" w:rsidRDefault="005F36F3" w:rsidP="00A23670">
      <w:pPr>
        <w:keepNext/>
        <w:suppressAutoHyphens/>
        <w:spacing w:after="0" w:line="240" w:lineRule="auto"/>
        <w:ind w:left="0" w:firstLine="0"/>
        <w:rPr>
          <w:color w:val="auto"/>
          <w:lang w:val="is-IS"/>
        </w:rPr>
      </w:pPr>
    </w:p>
    <w:p w14:paraId="232B00EC"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er gefið sem viðbót við krabbameinslyfjameðferð með platínusamböndum í allt að 6</w:t>
      </w:r>
      <w:r w:rsidR="009210ED">
        <w:rPr>
          <w:color w:val="auto"/>
          <w:lang w:val="is-IS"/>
        </w:rPr>
        <w:t> </w:t>
      </w:r>
      <w:r w:rsidR="00564614" w:rsidRPr="009F7642">
        <w:rPr>
          <w:color w:val="auto"/>
          <w:lang w:val="is-IS"/>
        </w:rPr>
        <w:t xml:space="preserve">meðferðarlotur fylgt eftir með </w:t>
      </w:r>
      <w:r w:rsidRPr="00F2274F">
        <w:rPr>
          <w:lang w:val="is-IS"/>
        </w:rPr>
        <w:t>MVASI</w:t>
      </w:r>
      <w:r w:rsidR="00564614" w:rsidRPr="009F7642">
        <w:rPr>
          <w:color w:val="auto"/>
          <w:lang w:val="is-IS"/>
        </w:rPr>
        <w:t xml:space="preserve"> einlyfja meðferð fram að versnun sjúkdóms.</w:t>
      </w:r>
    </w:p>
    <w:p w14:paraId="43CF304E" w14:textId="77777777" w:rsidR="00D661CA" w:rsidRPr="009F7642" w:rsidRDefault="00D661CA" w:rsidP="008B60B2">
      <w:pPr>
        <w:suppressAutoHyphens/>
        <w:spacing w:after="0" w:line="240" w:lineRule="auto"/>
        <w:ind w:left="0" w:firstLine="0"/>
        <w:rPr>
          <w:color w:val="auto"/>
          <w:lang w:val="is-IS"/>
        </w:rPr>
      </w:pPr>
    </w:p>
    <w:p w14:paraId="7E7D009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Ráðla</w:t>
      </w:r>
      <w:r w:rsidR="001B731E" w:rsidRPr="009F7642">
        <w:rPr>
          <w:color w:val="auto"/>
          <w:lang w:val="is-IS"/>
        </w:rPr>
        <w:t xml:space="preserve">gður skammtur af </w:t>
      </w:r>
      <w:r w:rsidR="001764F7" w:rsidRPr="00F2274F">
        <w:rPr>
          <w:lang w:val="is-IS"/>
        </w:rPr>
        <w:t>MVASI</w:t>
      </w:r>
      <w:r w:rsidR="001B731E" w:rsidRPr="009F7642">
        <w:rPr>
          <w:color w:val="auto"/>
          <w:lang w:val="is-IS"/>
        </w:rPr>
        <w:t xml:space="preserve"> er 7,5 mg/kg eða 15 </w:t>
      </w:r>
      <w:r w:rsidRPr="009F7642">
        <w:rPr>
          <w:color w:val="auto"/>
          <w:lang w:val="is-IS"/>
        </w:rPr>
        <w:t>mg/kg líkamsþyngdar, gefið einu sinni á 3</w:t>
      </w:r>
      <w:r w:rsidR="009210ED">
        <w:rPr>
          <w:color w:val="auto"/>
          <w:lang w:val="is-IS"/>
        </w:rPr>
        <w:t> </w:t>
      </w:r>
      <w:r w:rsidRPr="009F7642">
        <w:rPr>
          <w:color w:val="auto"/>
          <w:lang w:val="is-IS"/>
        </w:rPr>
        <w:t>vikna fresti sem innrennsli í bláæð.</w:t>
      </w:r>
    </w:p>
    <w:p w14:paraId="1C8D96E6" w14:textId="77777777" w:rsidR="00D661CA" w:rsidRPr="009F7642" w:rsidRDefault="00D661CA" w:rsidP="008B60B2">
      <w:pPr>
        <w:suppressAutoHyphens/>
        <w:spacing w:after="0" w:line="240" w:lineRule="auto"/>
        <w:ind w:left="0" w:firstLine="0"/>
        <w:rPr>
          <w:color w:val="auto"/>
          <w:lang w:val="is-IS"/>
        </w:rPr>
      </w:pPr>
    </w:p>
    <w:p w14:paraId="7EE2C5CD"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Sýnt hefur verið fram á klínískan ávinning hjá sjúklingum með lungnakrabbamein sem ekki er af smáfr</w:t>
      </w:r>
      <w:r w:rsidR="001B731E" w:rsidRPr="009F7642">
        <w:rPr>
          <w:color w:val="auto"/>
          <w:lang w:val="is-IS"/>
        </w:rPr>
        <w:t>umugerð bæði með skömmtunum 7,5 mg/kg og 15 </w:t>
      </w:r>
      <w:r w:rsidRPr="009F7642">
        <w:rPr>
          <w:color w:val="auto"/>
          <w:lang w:val="is-IS"/>
        </w:rPr>
        <w:t>mg/kg (sjá kafla 5.1)</w:t>
      </w:r>
      <w:r w:rsidRPr="009F7642">
        <w:rPr>
          <w:i/>
          <w:color w:val="auto"/>
          <w:lang w:val="is-IS"/>
        </w:rPr>
        <w:t>.</w:t>
      </w:r>
    </w:p>
    <w:p w14:paraId="5CCB37EA" w14:textId="77777777" w:rsidR="004F670B" w:rsidRPr="009F7642" w:rsidRDefault="004F670B" w:rsidP="008B60B2">
      <w:pPr>
        <w:suppressAutoHyphens/>
        <w:spacing w:after="0" w:line="240" w:lineRule="auto"/>
        <w:ind w:left="0" w:firstLine="0"/>
        <w:rPr>
          <w:color w:val="auto"/>
          <w:lang w:val="is-IS"/>
        </w:rPr>
      </w:pPr>
    </w:p>
    <w:p w14:paraId="7B2D0251" w14:textId="77777777" w:rsidR="006C06D6" w:rsidRDefault="00564614" w:rsidP="008B60B2">
      <w:pPr>
        <w:suppressAutoHyphens/>
        <w:spacing w:after="0" w:line="240" w:lineRule="auto"/>
        <w:ind w:left="0" w:firstLine="0"/>
        <w:rPr>
          <w:color w:val="auto"/>
          <w:lang w:val="is-IS"/>
        </w:rPr>
      </w:pPr>
      <w:r w:rsidRPr="009F7642">
        <w:rPr>
          <w:color w:val="auto"/>
          <w:lang w:val="is-IS"/>
        </w:rPr>
        <w:t>Mælt er með því að meðferð sé haldið áfram þar til sjúkdómurinn ágerist eða þar til eituráhrif verða óásættanleg.</w:t>
      </w:r>
    </w:p>
    <w:p w14:paraId="08BED65D" w14:textId="77777777" w:rsidR="008D3CCB" w:rsidRDefault="008D3CCB" w:rsidP="008B60B2">
      <w:pPr>
        <w:suppressAutoHyphens/>
        <w:spacing w:after="0" w:line="240" w:lineRule="auto"/>
        <w:ind w:left="0" w:firstLine="0"/>
        <w:rPr>
          <w:color w:val="auto"/>
          <w:lang w:val="is-IS"/>
        </w:rPr>
      </w:pPr>
    </w:p>
    <w:p w14:paraId="1C3267DB" w14:textId="77777777" w:rsidR="008D3CCB" w:rsidRPr="00B64117" w:rsidRDefault="008D3CCB" w:rsidP="008D3CCB">
      <w:pPr>
        <w:pStyle w:val="Default"/>
        <w:rPr>
          <w:i/>
          <w:iCs/>
          <w:sz w:val="22"/>
          <w:szCs w:val="22"/>
          <w:lang w:val="is-IS"/>
        </w:rPr>
      </w:pPr>
      <w:r w:rsidRPr="00B64117">
        <w:rPr>
          <w:i/>
          <w:iCs/>
          <w:sz w:val="22"/>
          <w:szCs w:val="22"/>
          <w:lang w:val="is-IS"/>
        </w:rPr>
        <w:t xml:space="preserve">Fyrsta meðferð við lungnakrabbameini sem ekki er af smáfrumugerð eða flöguþekjugerð og er með EGFR-virkjandi stökkbreytingar, ásamt erlótiníbi </w:t>
      </w:r>
    </w:p>
    <w:p w14:paraId="54C70DA1" w14:textId="77777777" w:rsidR="008D3CCB" w:rsidRPr="00B64117" w:rsidRDefault="008D3CCB" w:rsidP="008D3CCB">
      <w:pPr>
        <w:pStyle w:val="Default"/>
        <w:rPr>
          <w:sz w:val="22"/>
          <w:szCs w:val="22"/>
          <w:lang w:val="is-IS"/>
        </w:rPr>
      </w:pPr>
    </w:p>
    <w:p w14:paraId="7362C7DB" w14:textId="77777777" w:rsidR="008D3CCB" w:rsidRPr="00B64117" w:rsidRDefault="008D3CCB" w:rsidP="008D3CCB">
      <w:pPr>
        <w:pStyle w:val="Default"/>
        <w:rPr>
          <w:sz w:val="22"/>
          <w:szCs w:val="22"/>
          <w:lang w:val="is-IS"/>
        </w:rPr>
      </w:pPr>
      <w:r w:rsidRPr="00B64117">
        <w:rPr>
          <w:sz w:val="22"/>
          <w:szCs w:val="22"/>
          <w:lang w:val="is-IS"/>
        </w:rPr>
        <w:t xml:space="preserve">Áður en samsett meðferð með MVASI og erlótiníbi er hafin á að kanna hvort stökkbreytingar eru í EGFR. Mikilvægt er að velja gildaðar og öruggar aðferðir til að forðast falskar neikvæðar eða falskar jákvæðar niðurstöður. </w:t>
      </w:r>
    </w:p>
    <w:p w14:paraId="2F9A0BC1" w14:textId="77777777" w:rsidR="008D3CCB" w:rsidRPr="00B64117" w:rsidRDefault="008D3CCB" w:rsidP="008D3CCB">
      <w:pPr>
        <w:pStyle w:val="Default"/>
        <w:rPr>
          <w:sz w:val="22"/>
          <w:szCs w:val="22"/>
          <w:lang w:val="is-IS"/>
        </w:rPr>
      </w:pPr>
    </w:p>
    <w:p w14:paraId="43C1B3DE" w14:textId="77777777" w:rsidR="008D3CCB" w:rsidRPr="00B64117" w:rsidRDefault="008D3CCB" w:rsidP="008D3CCB">
      <w:pPr>
        <w:pStyle w:val="Default"/>
        <w:rPr>
          <w:sz w:val="22"/>
          <w:szCs w:val="22"/>
          <w:lang w:val="is-IS"/>
        </w:rPr>
      </w:pPr>
      <w:r w:rsidRPr="00B64117">
        <w:rPr>
          <w:sz w:val="22"/>
          <w:szCs w:val="22"/>
          <w:lang w:val="is-IS"/>
        </w:rPr>
        <w:t xml:space="preserve">Ráðlagður skammtur af MVASI við notkun ásamt erlótíníbi er 15 mg/kg líkamsþyngdar, gefið einu sinni á 3 vikna fresti sem innrennsli í bláæð. </w:t>
      </w:r>
    </w:p>
    <w:p w14:paraId="791E33CC" w14:textId="77777777" w:rsidR="008D3CCB" w:rsidRPr="00B64117" w:rsidRDefault="008D3CCB" w:rsidP="008D3CCB">
      <w:pPr>
        <w:pStyle w:val="Default"/>
        <w:rPr>
          <w:sz w:val="22"/>
          <w:szCs w:val="22"/>
          <w:lang w:val="is-IS"/>
        </w:rPr>
      </w:pPr>
    </w:p>
    <w:p w14:paraId="16B60562" w14:textId="77777777" w:rsidR="008D3CCB" w:rsidRPr="00B64117" w:rsidRDefault="008D3CCB" w:rsidP="008D3CCB">
      <w:pPr>
        <w:pStyle w:val="Default"/>
        <w:rPr>
          <w:sz w:val="22"/>
          <w:szCs w:val="22"/>
          <w:lang w:val="is-IS"/>
        </w:rPr>
      </w:pPr>
      <w:r w:rsidRPr="00B64117">
        <w:rPr>
          <w:sz w:val="22"/>
          <w:szCs w:val="22"/>
          <w:lang w:val="is-IS"/>
        </w:rPr>
        <w:t xml:space="preserve">Ráðlagt er að halda meðferð með MVASI ásamt erlótíníbi áfram þar til sjúkdómurinn versnar. </w:t>
      </w:r>
    </w:p>
    <w:p w14:paraId="5FF94635" w14:textId="77777777" w:rsidR="008D3CCB" w:rsidRPr="00B64117" w:rsidRDefault="008D3CCB" w:rsidP="008D3CCB">
      <w:pPr>
        <w:pStyle w:val="Default"/>
        <w:rPr>
          <w:sz w:val="22"/>
          <w:szCs w:val="22"/>
          <w:lang w:val="is-IS"/>
        </w:rPr>
      </w:pPr>
    </w:p>
    <w:p w14:paraId="790755A3" w14:textId="77777777" w:rsidR="008D3CCB" w:rsidRPr="009F7642" w:rsidRDefault="008D3CCB" w:rsidP="008D3CCB">
      <w:pPr>
        <w:suppressAutoHyphens/>
        <w:spacing w:after="0" w:line="240" w:lineRule="auto"/>
        <w:ind w:left="0" w:firstLine="0"/>
        <w:rPr>
          <w:color w:val="auto"/>
          <w:lang w:val="is-IS"/>
        </w:rPr>
      </w:pPr>
      <w:r w:rsidRPr="00B64117">
        <w:rPr>
          <w:lang w:val="is-IS"/>
        </w:rPr>
        <w:t>Sjá lyfjaupplýsingar erlótíníbs varðandi skömmtun og gjöf erlótiníbs.</w:t>
      </w:r>
    </w:p>
    <w:p w14:paraId="296D4E1F" w14:textId="77777777" w:rsidR="005F36F3" w:rsidRPr="009F7642" w:rsidRDefault="005F36F3" w:rsidP="008B60B2">
      <w:pPr>
        <w:suppressAutoHyphens/>
        <w:spacing w:after="0" w:line="240" w:lineRule="auto"/>
        <w:ind w:left="0" w:firstLine="0"/>
        <w:rPr>
          <w:color w:val="auto"/>
          <w:lang w:val="is-IS"/>
        </w:rPr>
      </w:pPr>
    </w:p>
    <w:p w14:paraId="615AB122"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u w:val="single" w:color="000000"/>
          <w:lang w:val="is-IS"/>
        </w:rPr>
        <w:t>Nýrnafrumukrabbamein sem er langt gengið og/eða með meinvörpum</w:t>
      </w:r>
    </w:p>
    <w:p w14:paraId="6F4A5631" w14:textId="77777777" w:rsidR="005F36F3" w:rsidRPr="009F7642" w:rsidRDefault="005F36F3" w:rsidP="008B60B2">
      <w:pPr>
        <w:keepNext/>
        <w:suppressAutoHyphens/>
        <w:spacing w:after="0" w:line="240" w:lineRule="auto"/>
        <w:ind w:left="0" w:firstLine="0"/>
        <w:rPr>
          <w:color w:val="auto"/>
          <w:lang w:val="is-IS"/>
        </w:rPr>
      </w:pPr>
    </w:p>
    <w:p w14:paraId="11D984C6" w14:textId="08ABCBE2" w:rsidR="005F36F3" w:rsidRPr="009F7642" w:rsidRDefault="00564614" w:rsidP="008B60B2">
      <w:pPr>
        <w:suppressAutoHyphens/>
        <w:spacing w:after="0" w:line="240" w:lineRule="auto"/>
        <w:ind w:left="0" w:firstLine="0"/>
        <w:rPr>
          <w:color w:val="auto"/>
          <w:lang w:val="is-IS"/>
        </w:rPr>
      </w:pPr>
      <w:r w:rsidRPr="009F7642">
        <w:rPr>
          <w:color w:val="auto"/>
          <w:lang w:val="is-IS"/>
        </w:rPr>
        <w:t>Ráðl</w:t>
      </w:r>
      <w:r w:rsidR="001B731E" w:rsidRPr="009F7642">
        <w:rPr>
          <w:color w:val="auto"/>
          <w:lang w:val="is-IS"/>
        </w:rPr>
        <w:t xml:space="preserve">agður skammtur af </w:t>
      </w:r>
      <w:r w:rsidR="001764F7" w:rsidRPr="00F2274F">
        <w:rPr>
          <w:lang w:val="is-IS"/>
        </w:rPr>
        <w:t>MVASI</w:t>
      </w:r>
      <w:r w:rsidR="001B731E" w:rsidRPr="009F7642">
        <w:rPr>
          <w:color w:val="auto"/>
          <w:lang w:val="is-IS"/>
        </w:rPr>
        <w:t xml:space="preserve"> er 10 </w:t>
      </w:r>
      <w:r w:rsidRPr="009F7642">
        <w:rPr>
          <w:color w:val="auto"/>
          <w:lang w:val="is-IS"/>
        </w:rPr>
        <w:t xml:space="preserve">mg/kg líkamsþyngdar gefinn </w:t>
      </w:r>
      <w:r w:rsidR="008B12C1" w:rsidRPr="008B12C1">
        <w:rPr>
          <w:color w:val="auto"/>
          <w:lang w:val="is-IS"/>
        </w:rPr>
        <w:t xml:space="preserve">einu sinni </w:t>
      </w:r>
      <w:r w:rsidRPr="009F7642">
        <w:rPr>
          <w:color w:val="auto"/>
          <w:lang w:val="is-IS"/>
        </w:rPr>
        <w:t>á 2</w:t>
      </w:r>
      <w:r w:rsidR="009210ED">
        <w:rPr>
          <w:color w:val="auto"/>
          <w:lang w:val="is-IS"/>
        </w:rPr>
        <w:t> </w:t>
      </w:r>
      <w:r w:rsidRPr="009F7642">
        <w:rPr>
          <w:color w:val="auto"/>
          <w:lang w:val="is-IS"/>
        </w:rPr>
        <w:t>vikna</w:t>
      </w:r>
      <w:r w:rsidR="0001299A" w:rsidRPr="009F7642">
        <w:rPr>
          <w:color w:val="auto"/>
          <w:lang w:val="is-IS"/>
        </w:rPr>
        <w:t xml:space="preserve"> fresti sem innrennsli í bláæð.</w:t>
      </w:r>
    </w:p>
    <w:p w14:paraId="60C753DA" w14:textId="77777777" w:rsidR="004F670B" w:rsidRPr="009F7642" w:rsidRDefault="004F670B" w:rsidP="008B60B2">
      <w:pPr>
        <w:suppressAutoHyphens/>
        <w:spacing w:after="0" w:line="240" w:lineRule="auto"/>
        <w:ind w:left="0" w:firstLine="0"/>
        <w:rPr>
          <w:color w:val="auto"/>
          <w:lang w:val="is-IS"/>
        </w:rPr>
      </w:pPr>
    </w:p>
    <w:p w14:paraId="59E8CDAD"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Mælt er með því að meðferð sé haldið áfram þar til sjúkdómurinn ágerist eða þar til eituráhrif verða óásættanleg.</w:t>
      </w:r>
    </w:p>
    <w:p w14:paraId="53274CE0" w14:textId="77777777" w:rsidR="005F36F3" w:rsidRPr="009F7642" w:rsidRDefault="005F36F3" w:rsidP="008B60B2">
      <w:pPr>
        <w:suppressAutoHyphens/>
        <w:spacing w:after="0" w:line="240" w:lineRule="auto"/>
        <w:ind w:left="0" w:firstLine="0"/>
        <w:rPr>
          <w:color w:val="auto"/>
          <w:lang w:val="is-IS"/>
        </w:rPr>
      </w:pPr>
    </w:p>
    <w:p w14:paraId="25BCFDDA"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u w:val="single" w:color="000000"/>
          <w:lang w:val="is-IS"/>
        </w:rPr>
        <w:t>Þekjufrumukrabbamein í eggjastokkum, krabbamein í eggjaleiðurum og krabbamein í lífhimnu</w:t>
      </w:r>
    </w:p>
    <w:p w14:paraId="5E634AD1" w14:textId="77777777" w:rsidR="005F36F3" w:rsidRPr="009F7642" w:rsidRDefault="005F36F3" w:rsidP="008B60B2">
      <w:pPr>
        <w:keepNext/>
        <w:suppressAutoHyphens/>
        <w:spacing w:after="0" w:line="240" w:lineRule="auto"/>
        <w:ind w:left="0" w:firstLine="0"/>
        <w:rPr>
          <w:color w:val="auto"/>
          <w:lang w:val="is-IS"/>
        </w:rPr>
      </w:pPr>
    </w:p>
    <w:p w14:paraId="223A1DBA" w14:textId="6F9A7133" w:rsidR="006C06D6" w:rsidRPr="009F7642" w:rsidRDefault="008B12C1" w:rsidP="008B60B2">
      <w:pPr>
        <w:suppressAutoHyphens/>
        <w:spacing w:after="0" w:line="240" w:lineRule="auto"/>
        <w:ind w:left="0" w:firstLine="0"/>
        <w:rPr>
          <w:i/>
          <w:color w:val="auto"/>
          <w:lang w:val="is-IS"/>
        </w:rPr>
      </w:pPr>
      <w:r w:rsidRPr="008B12C1">
        <w:rPr>
          <w:i/>
          <w:color w:val="auto"/>
          <w:u w:color="000000"/>
          <w:lang w:val="is-IS"/>
        </w:rPr>
        <w:t>Fyrsta</w:t>
      </w:r>
      <w:r w:rsidRPr="008B12C1" w:rsidDel="008B12C1">
        <w:rPr>
          <w:i/>
          <w:color w:val="auto"/>
          <w:u w:color="000000"/>
          <w:lang w:val="is-IS"/>
        </w:rPr>
        <w:t xml:space="preserve"> </w:t>
      </w:r>
      <w:r w:rsidR="00564614" w:rsidRPr="009F7642">
        <w:rPr>
          <w:i/>
          <w:color w:val="auto"/>
          <w:u w:color="000000"/>
          <w:lang w:val="is-IS"/>
        </w:rPr>
        <w:t>meðferð:</w:t>
      </w:r>
      <w:r w:rsidR="00564614" w:rsidRPr="009F7642">
        <w:rPr>
          <w:i/>
          <w:color w:val="auto"/>
          <w:lang w:val="is-IS"/>
        </w:rPr>
        <w:t xml:space="preserve"> </w:t>
      </w:r>
      <w:r w:rsidR="001764F7" w:rsidRPr="00F2274F">
        <w:rPr>
          <w:lang w:val="is-IS"/>
        </w:rPr>
        <w:t>MVASI</w:t>
      </w:r>
      <w:r w:rsidR="00564614" w:rsidRPr="009F7642">
        <w:rPr>
          <w:color w:val="auto"/>
          <w:lang w:val="is-IS"/>
        </w:rPr>
        <w:t xml:space="preserve"> er gefið ásamt carboplatíni og paklítaxeli í allt að 6</w:t>
      </w:r>
      <w:r w:rsidR="009210ED">
        <w:rPr>
          <w:color w:val="auto"/>
          <w:lang w:val="is-IS"/>
        </w:rPr>
        <w:t> </w:t>
      </w:r>
      <w:r w:rsidR="00564614" w:rsidRPr="009F7642">
        <w:rPr>
          <w:color w:val="auto"/>
          <w:lang w:val="is-IS"/>
        </w:rPr>
        <w:t xml:space="preserve">meðferðarlotur og síðan fylgt eftir með </w:t>
      </w:r>
      <w:r w:rsidR="001764F7" w:rsidRPr="00F2274F">
        <w:rPr>
          <w:lang w:val="is-IS"/>
        </w:rPr>
        <w:t>MVASI</w:t>
      </w:r>
      <w:r w:rsidR="00564614" w:rsidRPr="009F7642">
        <w:rPr>
          <w:color w:val="auto"/>
          <w:lang w:val="is-IS"/>
        </w:rPr>
        <w:t xml:space="preserve"> einu sér þar til sjúkdómurinn ágerist, eða að hámarki í 15 mánuði, eða þar til eituráhrif verða óásættanleg, hvert af þessu sem verður fyrst.</w:t>
      </w:r>
    </w:p>
    <w:p w14:paraId="2A932E55" w14:textId="77777777" w:rsidR="00F11DA9" w:rsidRPr="009F7642" w:rsidRDefault="00F11DA9" w:rsidP="008B60B2">
      <w:pPr>
        <w:suppressAutoHyphens/>
        <w:spacing w:after="0" w:line="240" w:lineRule="auto"/>
        <w:ind w:left="0" w:firstLine="0"/>
        <w:rPr>
          <w:color w:val="auto"/>
          <w:lang w:val="is-IS"/>
        </w:rPr>
      </w:pPr>
    </w:p>
    <w:p w14:paraId="6B652A79"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Ráðl</w:t>
      </w:r>
      <w:r w:rsidR="001B731E" w:rsidRPr="009F7642">
        <w:rPr>
          <w:color w:val="auto"/>
          <w:lang w:val="is-IS"/>
        </w:rPr>
        <w:t xml:space="preserve">agður skammtur af </w:t>
      </w:r>
      <w:r w:rsidR="001764F7" w:rsidRPr="00F2274F">
        <w:rPr>
          <w:lang w:val="is-IS"/>
        </w:rPr>
        <w:t>MVASI</w:t>
      </w:r>
      <w:r w:rsidR="001B731E" w:rsidRPr="009F7642">
        <w:rPr>
          <w:color w:val="auto"/>
          <w:lang w:val="is-IS"/>
        </w:rPr>
        <w:t xml:space="preserve"> er 15 </w:t>
      </w:r>
      <w:r w:rsidRPr="009F7642">
        <w:rPr>
          <w:color w:val="auto"/>
          <w:lang w:val="is-IS"/>
        </w:rPr>
        <w:t>mg/kg líkamsþyngdar, gefið einu sinni á 3</w:t>
      </w:r>
      <w:r w:rsidR="009210ED">
        <w:rPr>
          <w:color w:val="auto"/>
          <w:lang w:val="is-IS"/>
        </w:rPr>
        <w:t> </w:t>
      </w:r>
      <w:r w:rsidRPr="009F7642">
        <w:rPr>
          <w:color w:val="auto"/>
          <w:lang w:val="is-IS"/>
        </w:rPr>
        <w:t>vikna fresti sem innrennsli í bláæð.</w:t>
      </w:r>
    </w:p>
    <w:p w14:paraId="231B5B9F" w14:textId="77777777" w:rsidR="005F36F3" w:rsidRPr="009F7642" w:rsidRDefault="005F36F3" w:rsidP="008B60B2">
      <w:pPr>
        <w:suppressAutoHyphens/>
        <w:spacing w:after="0" w:line="240" w:lineRule="auto"/>
        <w:ind w:left="0" w:firstLine="0"/>
        <w:rPr>
          <w:color w:val="auto"/>
          <w:lang w:val="is-IS"/>
        </w:rPr>
      </w:pPr>
    </w:p>
    <w:p w14:paraId="6B969962" w14:textId="77777777" w:rsidR="006C06D6" w:rsidRPr="009F7642" w:rsidRDefault="00564614" w:rsidP="008B60B2">
      <w:pPr>
        <w:suppressAutoHyphens/>
        <w:spacing w:after="0" w:line="240" w:lineRule="auto"/>
        <w:ind w:left="0" w:firstLine="0"/>
        <w:rPr>
          <w:color w:val="auto"/>
          <w:lang w:val="is-IS"/>
        </w:rPr>
      </w:pPr>
      <w:r w:rsidRPr="009F7642">
        <w:rPr>
          <w:i/>
          <w:color w:val="auto"/>
          <w:u w:color="000000"/>
          <w:lang w:val="is-IS"/>
        </w:rPr>
        <w:t>Meðhöndlun endurkomins sjúkdóms</w:t>
      </w:r>
      <w:r w:rsidRPr="009F7642">
        <w:rPr>
          <w:i/>
          <w:color w:val="auto"/>
          <w:lang w:val="is-IS"/>
        </w:rPr>
        <w:t xml:space="preserve"> </w:t>
      </w:r>
      <w:r w:rsidRPr="009F7642">
        <w:rPr>
          <w:i/>
          <w:color w:val="auto"/>
          <w:u w:color="000000"/>
          <w:lang w:val="is-IS"/>
        </w:rPr>
        <w:t>sem er næmur fyrir platínusamböndum</w:t>
      </w:r>
      <w:r w:rsidRPr="009F7642">
        <w:rPr>
          <w:color w:val="auto"/>
          <w:lang w:val="is-IS"/>
        </w:rPr>
        <w:t xml:space="preserve">: </w:t>
      </w:r>
      <w:r w:rsidR="001764F7" w:rsidRPr="00F2274F">
        <w:rPr>
          <w:lang w:val="is-IS"/>
        </w:rPr>
        <w:t>MVASI</w:t>
      </w:r>
      <w:r w:rsidRPr="009F7642">
        <w:rPr>
          <w:color w:val="auto"/>
          <w:lang w:val="is-IS"/>
        </w:rPr>
        <w:t xml:space="preserve"> er gefið ásamt </w:t>
      </w:r>
      <w:r w:rsidRPr="00796078">
        <w:rPr>
          <w:color w:val="auto"/>
          <w:lang w:val="is-IS"/>
        </w:rPr>
        <w:t>annaðhvort</w:t>
      </w:r>
      <w:r w:rsidRPr="009F7642">
        <w:rPr>
          <w:color w:val="auto"/>
          <w:lang w:val="is-IS"/>
        </w:rPr>
        <w:t xml:space="preserve"> carboplatíni og gemcitabíni í 6 meðferðarlotur og í allt að 10</w:t>
      </w:r>
      <w:r w:rsidR="009210ED">
        <w:rPr>
          <w:color w:val="auto"/>
          <w:lang w:val="is-IS"/>
        </w:rPr>
        <w:t> </w:t>
      </w:r>
      <w:r w:rsidRPr="009F7642">
        <w:rPr>
          <w:color w:val="auto"/>
          <w:lang w:val="is-IS"/>
        </w:rPr>
        <w:t>meðferðarlotur eða ásamt carboplatíni og paklítaxeli í 6</w:t>
      </w:r>
      <w:r w:rsidR="009210ED">
        <w:rPr>
          <w:color w:val="auto"/>
          <w:lang w:val="is-IS"/>
        </w:rPr>
        <w:t> </w:t>
      </w:r>
      <w:r w:rsidRPr="009F7642">
        <w:rPr>
          <w:color w:val="auto"/>
          <w:lang w:val="is-IS"/>
        </w:rPr>
        <w:t>meðferðarlotur og í allt að 8</w:t>
      </w:r>
      <w:r w:rsidR="009210ED">
        <w:rPr>
          <w:color w:val="auto"/>
          <w:lang w:val="is-IS"/>
        </w:rPr>
        <w:t> </w:t>
      </w:r>
      <w:r w:rsidRPr="009F7642">
        <w:rPr>
          <w:color w:val="auto"/>
          <w:lang w:val="is-IS"/>
        </w:rPr>
        <w:t xml:space="preserve">meðferðarlotur og síðan fylgt eftir með </w:t>
      </w:r>
      <w:r w:rsidR="001764F7" w:rsidRPr="00F2274F">
        <w:rPr>
          <w:lang w:val="is-IS"/>
        </w:rPr>
        <w:t>MVASI</w:t>
      </w:r>
      <w:r w:rsidRPr="009F7642">
        <w:rPr>
          <w:color w:val="auto"/>
          <w:lang w:val="is-IS"/>
        </w:rPr>
        <w:t xml:space="preserve"> einu sér þar til sjúkdómurinn ágerist. Ráðlagður skammtur af </w:t>
      </w:r>
      <w:r w:rsidR="001764F7" w:rsidRPr="00F2274F">
        <w:rPr>
          <w:lang w:val="is-IS"/>
        </w:rPr>
        <w:t>MVASI</w:t>
      </w:r>
      <w:r w:rsidRPr="009F7642">
        <w:rPr>
          <w:color w:val="auto"/>
          <w:lang w:val="is-IS"/>
        </w:rPr>
        <w:t xml:space="preserve"> er</w:t>
      </w:r>
      <w:r w:rsidR="001B731E" w:rsidRPr="009F7642">
        <w:rPr>
          <w:color w:val="auto"/>
          <w:lang w:val="is-IS"/>
        </w:rPr>
        <w:t xml:space="preserve"> 15 </w:t>
      </w:r>
      <w:r w:rsidRPr="009F7642">
        <w:rPr>
          <w:color w:val="auto"/>
          <w:lang w:val="is-IS"/>
        </w:rPr>
        <w:t>mg/kg líkamsþyngdar, gefið einu sinni á 3</w:t>
      </w:r>
      <w:r w:rsidR="009210ED">
        <w:rPr>
          <w:color w:val="auto"/>
          <w:lang w:val="is-IS"/>
        </w:rPr>
        <w:t> </w:t>
      </w:r>
      <w:r w:rsidRPr="009F7642">
        <w:rPr>
          <w:color w:val="auto"/>
          <w:lang w:val="is-IS"/>
        </w:rPr>
        <w:t>vikna fresti sem innrennsli í bláæð.</w:t>
      </w:r>
    </w:p>
    <w:p w14:paraId="0B872E67" w14:textId="77777777" w:rsidR="005F36F3" w:rsidRPr="009F7642" w:rsidRDefault="005F36F3" w:rsidP="008B60B2">
      <w:pPr>
        <w:suppressAutoHyphens/>
        <w:spacing w:after="0" w:line="240" w:lineRule="auto"/>
        <w:ind w:left="0" w:firstLine="0"/>
        <w:rPr>
          <w:color w:val="auto"/>
          <w:lang w:val="is-IS"/>
        </w:rPr>
      </w:pPr>
    </w:p>
    <w:p w14:paraId="5C0BEB2D" w14:textId="1CF63F53" w:rsidR="006C06D6" w:rsidRPr="009F7642" w:rsidRDefault="007E5FBD" w:rsidP="008B60B2">
      <w:pPr>
        <w:suppressAutoHyphens/>
        <w:spacing w:after="0" w:line="240" w:lineRule="auto"/>
        <w:ind w:left="0" w:firstLine="0"/>
        <w:rPr>
          <w:color w:val="auto"/>
          <w:lang w:val="is-IS"/>
        </w:rPr>
      </w:pPr>
      <w:r w:rsidRPr="00796078">
        <w:rPr>
          <w:i/>
          <w:color w:val="auto"/>
          <w:u w:color="000000"/>
          <w:lang w:val="is-IS"/>
        </w:rPr>
        <w:t>Meðferð</w:t>
      </w:r>
      <w:r w:rsidRPr="009F7642">
        <w:rPr>
          <w:i/>
          <w:color w:val="auto"/>
          <w:u w:color="000000"/>
          <w:lang w:val="is-IS"/>
        </w:rPr>
        <w:t xml:space="preserve"> </w:t>
      </w:r>
      <w:r w:rsidR="00564614" w:rsidRPr="009F7642">
        <w:rPr>
          <w:i/>
          <w:color w:val="auto"/>
          <w:u w:color="000000"/>
          <w:lang w:val="is-IS"/>
        </w:rPr>
        <w:t>endurkomins sjúkdóms sem er ónæmur fyrir platínusamböndum</w:t>
      </w:r>
      <w:r w:rsidR="00564614" w:rsidRPr="009F7642">
        <w:rPr>
          <w:i/>
          <w:color w:val="auto"/>
          <w:lang w:val="is-IS"/>
        </w:rPr>
        <w:t xml:space="preserve">: </w:t>
      </w:r>
      <w:r w:rsidR="001764F7" w:rsidRPr="00F2274F">
        <w:rPr>
          <w:lang w:val="is-IS"/>
        </w:rPr>
        <w:t>MVASI</w:t>
      </w:r>
      <w:r w:rsidR="00564614" w:rsidRPr="009F7642">
        <w:rPr>
          <w:color w:val="auto"/>
          <w:lang w:val="is-IS"/>
        </w:rPr>
        <w:t xml:space="preserve"> er gefið ásamt einu eftirtalinna lyfja –</w:t>
      </w:r>
      <w:r w:rsidR="00160676">
        <w:rPr>
          <w:color w:val="auto"/>
          <w:lang w:val="is-IS"/>
        </w:rPr>
        <w:t xml:space="preserve"> </w:t>
      </w:r>
      <w:r w:rsidR="00032D57">
        <w:rPr>
          <w:color w:val="auto"/>
          <w:lang w:val="is-IS"/>
        </w:rPr>
        <w:t xml:space="preserve">paklítaxeli, </w:t>
      </w:r>
      <w:r w:rsidR="00564614" w:rsidRPr="009F7642">
        <w:rPr>
          <w:color w:val="auto"/>
          <w:lang w:val="is-IS"/>
        </w:rPr>
        <w:t>tópótekani (gefið einu sinni í viku) eða pegýleruðu doxórúbicíni í lípósómum. Ráðl</w:t>
      </w:r>
      <w:r w:rsidR="001B731E" w:rsidRPr="009F7642">
        <w:rPr>
          <w:color w:val="auto"/>
          <w:lang w:val="is-IS"/>
        </w:rPr>
        <w:t xml:space="preserve">agður skammtur af </w:t>
      </w:r>
      <w:r w:rsidR="001764F7" w:rsidRPr="00F2274F">
        <w:rPr>
          <w:lang w:val="is-IS"/>
        </w:rPr>
        <w:t>MVASI</w:t>
      </w:r>
      <w:r w:rsidR="001B731E" w:rsidRPr="009F7642">
        <w:rPr>
          <w:color w:val="auto"/>
          <w:lang w:val="is-IS"/>
        </w:rPr>
        <w:t xml:space="preserve"> er 10 </w:t>
      </w:r>
      <w:r w:rsidR="00564614" w:rsidRPr="009F7642">
        <w:rPr>
          <w:color w:val="auto"/>
          <w:lang w:val="is-IS"/>
        </w:rPr>
        <w:t>mg/kg líkamsþyngdar, gefið einu sinni á 2</w:t>
      </w:r>
      <w:r w:rsidR="009210ED">
        <w:rPr>
          <w:color w:val="auto"/>
          <w:lang w:val="is-IS"/>
        </w:rPr>
        <w:t> </w:t>
      </w:r>
      <w:r w:rsidR="00564614" w:rsidRPr="009F7642">
        <w:rPr>
          <w:color w:val="auto"/>
          <w:lang w:val="is-IS"/>
        </w:rPr>
        <w:t xml:space="preserve">vikna </w:t>
      </w:r>
      <w:r w:rsidR="00564614" w:rsidRPr="009F7642">
        <w:rPr>
          <w:color w:val="auto"/>
          <w:lang w:val="is-IS"/>
        </w:rPr>
        <w:lastRenderedPageBreak/>
        <w:t xml:space="preserve">fresti sem innrennsli í bláæð. Þegar </w:t>
      </w:r>
      <w:r w:rsidR="001764F7" w:rsidRPr="00F2274F">
        <w:rPr>
          <w:lang w:val="is-IS"/>
        </w:rPr>
        <w:t>MVASI</w:t>
      </w:r>
      <w:r w:rsidR="00564614" w:rsidRPr="009F7642">
        <w:rPr>
          <w:color w:val="auto"/>
          <w:lang w:val="is-IS"/>
        </w:rPr>
        <w:t xml:space="preserve"> er gefið ásamt tópótekani (gefið á dögum</w:t>
      </w:r>
      <w:r w:rsidR="001C4A29">
        <w:rPr>
          <w:color w:val="auto"/>
          <w:lang w:val="is-IS"/>
        </w:rPr>
        <w:t> </w:t>
      </w:r>
      <w:r w:rsidR="00564614" w:rsidRPr="009F7642">
        <w:rPr>
          <w:color w:val="auto"/>
          <w:lang w:val="is-IS"/>
        </w:rPr>
        <w:t>1-5 á 3</w:t>
      </w:r>
      <w:r w:rsidR="009210ED">
        <w:rPr>
          <w:color w:val="auto"/>
          <w:lang w:val="is-IS"/>
        </w:rPr>
        <w:t> </w:t>
      </w:r>
      <w:r w:rsidR="00564614" w:rsidRPr="009F7642">
        <w:rPr>
          <w:color w:val="auto"/>
          <w:lang w:val="is-IS"/>
        </w:rPr>
        <w:t xml:space="preserve">vikna fresti) er ráðlagður skammtur af </w:t>
      </w:r>
      <w:r w:rsidR="001764F7" w:rsidRPr="00F2274F">
        <w:rPr>
          <w:lang w:val="is-IS"/>
        </w:rPr>
        <w:t>MVASI</w:t>
      </w:r>
      <w:r w:rsidR="001B731E" w:rsidRPr="009F7642">
        <w:rPr>
          <w:color w:val="auto"/>
          <w:lang w:val="is-IS"/>
        </w:rPr>
        <w:t xml:space="preserve"> 15 </w:t>
      </w:r>
      <w:r w:rsidR="00564614" w:rsidRPr="009F7642">
        <w:rPr>
          <w:color w:val="auto"/>
          <w:lang w:val="is-IS"/>
        </w:rPr>
        <w:t>mg/kg líkamsþyngdar, gefið einu sinni á 3</w:t>
      </w:r>
      <w:r w:rsidR="009210ED">
        <w:rPr>
          <w:color w:val="auto"/>
          <w:lang w:val="is-IS"/>
        </w:rPr>
        <w:t> </w:t>
      </w:r>
      <w:r w:rsidR="00564614" w:rsidRPr="009F7642">
        <w:rPr>
          <w:color w:val="auto"/>
          <w:lang w:val="is-IS"/>
        </w:rPr>
        <w:t>vikna fresti sem innrennsli í bláæð. Mælt er með því að meðferð sé haldið áfram þar til sjúkdómurinn ágerist eða þar til eituráhrif verða óásættanleg (sjá kafla 5.1, rannsókn MO22224).</w:t>
      </w:r>
    </w:p>
    <w:p w14:paraId="5049FB4F" w14:textId="77777777" w:rsidR="005F36F3" w:rsidRPr="009F7642" w:rsidRDefault="005F36F3" w:rsidP="008B60B2">
      <w:pPr>
        <w:suppressAutoHyphens/>
        <w:spacing w:after="0" w:line="240" w:lineRule="auto"/>
        <w:ind w:left="0" w:firstLine="0"/>
        <w:rPr>
          <w:color w:val="auto"/>
          <w:lang w:val="is-IS"/>
        </w:rPr>
      </w:pPr>
    </w:p>
    <w:p w14:paraId="413AD6FF"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u w:val="single" w:color="000000"/>
          <w:lang w:val="is-IS"/>
        </w:rPr>
        <w:t>Krabbamein í leghálsi</w:t>
      </w:r>
    </w:p>
    <w:p w14:paraId="0956D18D" w14:textId="77777777" w:rsidR="005F36F3" w:rsidRPr="009F7642" w:rsidRDefault="005F36F3" w:rsidP="008B60B2">
      <w:pPr>
        <w:keepNext/>
        <w:suppressAutoHyphens/>
        <w:spacing w:after="0" w:line="240" w:lineRule="auto"/>
        <w:ind w:left="0" w:firstLine="0"/>
        <w:rPr>
          <w:color w:val="auto"/>
          <w:lang w:val="is-IS"/>
        </w:rPr>
      </w:pPr>
    </w:p>
    <w:p w14:paraId="62B1CAB0"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er gefið ásamt annarri hvorri eftirtalinni samsettri meðferðaráætlun: paklítaxeli ásamt cisplatíni eða paklítaxeli ásamt tópótekani.</w:t>
      </w:r>
    </w:p>
    <w:p w14:paraId="59B9B22E" w14:textId="77777777" w:rsidR="00673B4B" w:rsidRPr="009F7642" w:rsidRDefault="00673B4B" w:rsidP="008B60B2">
      <w:pPr>
        <w:suppressAutoHyphens/>
        <w:spacing w:after="0" w:line="240" w:lineRule="auto"/>
        <w:ind w:left="0" w:firstLine="0"/>
        <w:rPr>
          <w:color w:val="auto"/>
          <w:lang w:val="is-IS"/>
        </w:rPr>
      </w:pPr>
    </w:p>
    <w:p w14:paraId="43F56C4C"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Ráðl</w:t>
      </w:r>
      <w:r w:rsidR="001B731E" w:rsidRPr="009F7642">
        <w:rPr>
          <w:color w:val="auto"/>
          <w:lang w:val="is-IS"/>
        </w:rPr>
        <w:t xml:space="preserve">agður skammtur af </w:t>
      </w:r>
      <w:r w:rsidR="001764F7" w:rsidRPr="00F2274F">
        <w:rPr>
          <w:lang w:val="is-IS"/>
        </w:rPr>
        <w:t>MVASI</w:t>
      </w:r>
      <w:r w:rsidR="001B731E" w:rsidRPr="009F7642">
        <w:rPr>
          <w:color w:val="auto"/>
          <w:lang w:val="is-IS"/>
        </w:rPr>
        <w:t xml:space="preserve"> er 15 </w:t>
      </w:r>
      <w:r w:rsidRPr="009F7642">
        <w:rPr>
          <w:color w:val="auto"/>
          <w:lang w:val="is-IS"/>
        </w:rPr>
        <w:t>mg/kg líkamsþyngdar, gefið einu sinni á 3</w:t>
      </w:r>
      <w:r w:rsidR="009210ED">
        <w:rPr>
          <w:color w:val="auto"/>
          <w:lang w:val="is-IS"/>
        </w:rPr>
        <w:t> </w:t>
      </w:r>
      <w:r w:rsidRPr="009F7642">
        <w:rPr>
          <w:color w:val="auto"/>
          <w:lang w:val="is-IS"/>
        </w:rPr>
        <w:t>vikna fresti sem innrennsli í bláæð.</w:t>
      </w:r>
    </w:p>
    <w:p w14:paraId="3948746E" w14:textId="77777777" w:rsidR="00673B4B" w:rsidRPr="009F7642" w:rsidRDefault="00673B4B" w:rsidP="008B60B2">
      <w:pPr>
        <w:suppressAutoHyphens/>
        <w:spacing w:after="0" w:line="240" w:lineRule="auto"/>
        <w:ind w:left="0" w:firstLine="0"/>
        <w:rPr>
          <w:color w:val="auto"/>
          <w:lang w:val="is-IS"/>
        </w:rPr>
      </w:pPr>
    </w:p>
    <w:p w14:paraId="2BA76B1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Mælt er með því að meðferð sé haldið áfram þar til sjúkdómurinn ágerist eða þar til eituráhrif verða óásættanleg (sjá kafla 5.1).</w:t>
      </w:r>
    </w:p>
    <w:p w14:paraId="50C5187E" w14:textId="77777777" w:rsidR="005F36F3" w:rsidRPr="009F7642" w:rsidRDefault="005F36F3" w:rsidP="008B60B2">
      <w:pPr>
        <w:suppressAutoHyphens/>
        <w:spacing w:after="0" w:line="240" w:lineRule="auto"/>
        <w:ind w:left="0" w:firstLine="0"/>
        <w:rPr>
          <w:color w:val="auto"/>
          <w:lang w:val="is-IS"/>
        </w:rPr>
      </w:pPr>
    </w:p>
    <w:p w14:paraId="34497543" w14:textId="77777777" w:rsidR="005F36F3" w:rsidRPr="00D13F71" w:rsidRDefault="00564614" w:rsidP="008B60B2">
      <w:pPr>
        <w:keepNext/>
        <w:suppressAutoHyphens/>
        <w:spacing w:after="0" w:line="240" w:lineRule="auto"/>
        <w:ind w:left="0" w:firstLine="0"/>
        <w:rPr>
          <w:iCs/>
          <w:color w:val="auto"/>
          <w:lang w:val="is-IS"/>
        </w:rPr>
      </w:pPr>
      <w:r w:rsidRPr="007566FC">
        <w:rPr>
          <w:iCs/>
          <w:color w:val="auto"/>
          <w:u w:val="single" w:color="000000"/>
          <w:lang w:val="is-IS"/>
        </w:rPr>
        <w:t>Sérstakir sjúklingahópar</w:t>
      </w:r>
    </w:p>
    <w:p w14:paraId="01245CDE" w14:textId="77777777" w:rsidR="005F36F3" w:rsidRPr="009F7642" w:rsidRDefault="005F36F3" w:rsidP="008B60B2">
      <w:pPr>
        <w:keepNext/>
        <w:suppressAutoHyphens/>
        <w:spacing w:after="0" w:line="240" w:lineRule="auto"/>
        <w:ind w:left="0" w:firstLine="0"/>
        <w:rPr>
          <w:color w:val="auto"/>
          <w:lang w:val="is-IS"/>
        </w:rPr>
      </w:pPr>
    </w:p>
    <w:p w14:paraId="41934523" w14:textId="1677E328" w:rsidR="008B1D52" w:rsidRDefault="00564614" w:rsidP="008B60B2">
      <w:pPr>
        <w:suppressAutoHyphens/>
        <w:spacing w:after="0" w:line="240" w:lineRule="auto"/>
        <w:ind w:left="0" w:firstLine="0"/>
        <w:rPr>
          <w:i/>
          <w:color w:val="auto"/>
          <w:u w:val="single"/>
          <w:lang w:val="is-IS"/>
        </w:rPr>
      </w:pPr>
      <w:r w:rsidRPr="007566FC">
        <w:rPr>
          <w:i/>
          <w:color w:val="auto"/>
          <w:u w:val="single"/>
          <w:lang w:val="is-IS"/>
        </w:rPr>
        <w:t>Aldraðir</w:t>
      </w:r>
    </w:p>
    <w:p w14:paraId="3CF4D208" w14:textId="77777777" w:rsidR="008B1D52" w:rsidRPr="007566FC" w:rsidRDefault="008B1D52" w:rsidP="008B60B2">
      <w:pPr>
        <w:suppressAutoHyphens/>
        <w:spacing w:after="0" w:line="240" w:lineRule="auto"/>
        <w:ind w:left="0" w:firstLine="0"/>
        <w:rPr>
          <w:color w:val="auto"/>
          <w:u w:val="single"/>
          <w:lang w:val="is-IS"/>
        </w:rPr>
      </w:pPr>
    </w:p>
    <w:p w14:paraId="6B0B55BC" w14:textId="30943A74"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Ekki er þörf á aðlaga skammta hjá </w:t>
      </w:r>
      <w:r w:rsidR="00032D57" w:rsidRPr="00032D57">
        <w:rPr>
          <w:color w:val="auto"/>
          <w:lang w:val="is-IS"/>
        </w:rPr>
        <w:t>sjúklingum ≥</w:t>
      </w:r>
      <w:r w:rsidR="00032D57">
        <w:rPr>
          <w:color w:val="auto"/>
          <w:lang w:val="is-IS"/>
        </w:rPr>
        <w:t> </w:t>
      </w:r>
      <w:r w:rsidR="00032D57" w:rsidRPr="00032D57">
        <w:rPr>
          <w:color w:val="auto"/>
          <w:lang w:val="is-IS"/>
        </w:rPr>
        <w:t>65</w:t>
      </w:r>
      <w:r w:rsidR="00032D57">
        <w:rPr>
          <w:color w:val="auto"/>
          <w:lang w:val="is-IS"/>
        </w:rPr>
        <w:t> </w:t>
      </w:r>
      <w:r w:rsidR="00032D57" w:rsidRPr="00032D57">
        <w:rPr>
          <w:color w:val="auto"/>
          <w:lang w:val="is-IS"/>
        </w:rPr>
        <w:t>ára</w:t>
      </w:r>
      <w:r w:rsidRPr="009F7642">
        <w:rPr>
          <w:color w:val="auto"/>
          <w:lang w:val="is-IS"/>
        </w:rPr>
        <w:t>.</w:t>
      </w:r>
    </w:p>
    <w:p w14:paraId="2CE50A21" w14:textId="77777777" w:rsidR="005F36F3" w:rsidRPr="007566FC" w:rsidRDefault="005F36F3" w:rsidP="008B60B2">
      <w:pPr>
        <w:suppressAutoHyphens/>
        <w:spacing w:after="0" w:line="240" w:lineRule="auto"/>
        <w:ind w:left="0" w:firstLine="0"/>
        <w:rPr>
          <w:color w:val="auto"/>
          <w:u w:val="single"/>
          <w:lang w:val="is-IS"/>
        </w:rPr>
      </w:pPr>
    </w:p>
    <w:p w14:paraId="2AAAA67E" w14:textId="06722595" w:rsidR="008B1D52" w:rsidRDefault="00564614" w:rsidP="008B60B2">
      <w:pPr>
        <w:suppressAutoHyphens/>
        <w:spacing w:after="0" w:line="240" w:lineRule="auto"/>
        <w:ind w:left="0" w:firstLine="0"/>
        <w:rPr>
          <w:i/>
          <w:color w:val="auto"/>
          <w:u w:val="single"/>
          <w:lang w:val="is-IS"/>
        </w:rPr>
      </w:pPr>
      <w:r w:rsidRPr="007566FC">
        <w:rPr>
          <w:i/>
          <w:color w:val="auto"/>
          <w:u w:val="single"/>
          <w:lang w:val="is-IS"/>
        </w:rPr>
        <w:t>Skert nýrnastarfsemi</w:t>
      </w:r>
    </w:p>
    <w:p w14:paraId="5FABB29D" w14:textId="77777777" w:rsidR="008B1D52" w:rsidRDefault="008B1D52" w:rsidP="008B60B2">
      <w:pPr>
        <w:suppressAutoHyphens/>
        <w:spacing w:after="0" w:line="240" w:lineRule="auto"/>
        <w:ind w:left="0" w:firstLine="0"/>
        <w:rPr>
          <w:color w:val="auto"/>
          <w:lang w:val="is-IS"/>
        </w:rPr>
      </w:pPr>
    </w:p>
    <w:p w14:paraId="69C26A87" w14:textId="34FB6050" w:rsidR="006C06D6" w:rsidRPr="009F7642" w:rsidRDefault="00564614" w:rsidP="008B60B2">
      <w:pPr>
        <w:suppressAutoHyphens/>
        <w:spacing w:after="0" w:line="240" w:lineRule="auto"/>
        <w:ind w:left="0" w:firstLine="0"/>
        <w:rPr>
          <w:color w:val="auto"/>
          <w:lang w:val="is-IS"/>
        </w:rPr>
      </w:pPr>
      <w:r w:rsidRPr="009F7642">
        <w:rPr>
          <w:color w:val="auto"/>
          <w:lang w:val="is-IS"/>
        </w:rPr>
        <w:t>Öryggi og verkun hafa ekki verið rannsökuð hjá sjúklingum með skerta nýrnastarfsemi (sjá kafla 5.2).</w:t>
      </w:r>
    </w:p>
    <w:p w14:paraId="627DB560" w14:textId="77777777" w:rsidR="005F36F3" w:rsidRPr="009F7642" w:rsidRDefault="005F36F3" w:rsidP="008B60B2">
      <w:pPr>
        <w:suppressAutoHyphens/>
        <w:spacing w:after="0" w:line="240" w:lineRule="auto"/>
        <w:ind w:left="0" w:firstLine="0"/>
        <w:rPr>
          <w:color w:val="auto"/>
          <w:lang w:val="is-IS"/>
        </w:rPr>
      </w:pPr>
    </w:p>
    <w:p w14:paraId="006F5415" w14:textId="552C4A34" w:rsidR="008B1D52" w:rsidRPr="007566FC" w:rsidRDefault="00564614" w:rsidP="008B60B2">
      <w:pPr>
        <w:suppressAutoHyphens/>
        <w:spacing w:after="0" w:line="240" w:lineRule="auto"/>
        <w:ind w:left="0" w:firstLine="0"/>
        <w:rPr>
          <w:i/>
          <w:color w:val="auto"/>
          <w:u w:val="single"/>
          <w:lang w:val="is-IS"/>
        </w:rPr>
      </w:pPr>
      <w:r w:rsidRPr="007566FC">
        <w:rPr>
          <w:i/>
          <w:color w:val="auto"/>
          <w:u w:val="single"/>
          <w:lang w:val="is-IS"/>
        </w:rPr>
        <w:t>Skert lifrarstarfsemi</w:t>
      </w:r>
    </w:p>
    <w:p w14:paraId="5871A9C2" w14:textId="77777777" w:rsidR="008B1D52" w:rsidRPr="007566FC" w:rsidRDefault="008B1D52" w:rsidP="008B60B2">
      <w:pPr>
        <w:suppressAutoHyphens/>
        <w:spacing w:after="0" w:line="240" w:lineRule="auto"/>
        <w:ind w:left="0" w:firstLine="0"/>
        <w:rPr>
          <w:color w:val="auto"/>
          <w:u w:val="single"/>
          <w:lang w:val="is-IS"/>
        </w:rPr>
      </w:pPr>
    </w:p>
    <w:p w14:paraId="0BA41924" w14:textId="37883BEA" w:rsidR="006C06D6" w:rsidRPr="009F7642" w:rsidRDefault="00564614" w:rsidP="008B60B2">
      <w:pPr>
        <w:suppressAutoHyphens/>
        <w:spacing w:after="0" w:line="240" w:lineRule="auto"/>
        <w:ind w:left="0" w:firstLine="0"/>
        <w:rPr>
          <w:color w:val="auto"/>
          <w:lang w:val="is-IS"/>
        </w:rPr>
      </w:pPr>
      <w:r w:rsidRPr="009F7642">
        <w:rPr>
          <w:color w:val="auto"/>
          <w:lang w:val="is-IS"/>
        </w:rPr>
        <w:t>Öryggi og verkun hafa ekki verið rannsökuð hjá sjúklingum með skerta lifrarstarfsemi (sjá kafla 5.2).</w:t>
      </w:r>
    </w:p>
    <w:p w14:paraId="316537D2" w14:textId="77777777" w:rsidR="005F36F3" w:rsidRPr="009F7642" w:rsidRDefault="005F36F3" w:rsidP="008B60B2">
      <w:pPr>
        <w:suppressAutoHyphens/>
        <w:spacing w:after="0" w:line="240" w:lineRule="auto"/>
        <w:ind w:left="0" w:firstLine="0"/>
        <w:rPr>
          <w:color w:val="auto"/>
          <w:lang w:val="is-IS"/>
        </w:rPr>
      </w:pPr>
    </w:p>
    <w:p w14:paraId="131B408B" w14:textId="77777777" w:rsidR="006C06D6" w:rsidRPr="00F2274F" w:rsidRDefault="00564614" w:rsidP="008B60B2">
      <w:pPr>
        <w:keepNext/>
        <w:suppressAutoHyphens/>
        <w:spacing w:after="0" w:line="240" w:lineRule="auto"/>
        <w:ind w:left="0" w:firstLine="0"/>
        <w:rPr>
          <w:i/>
          <w:color w:val="auto"/>
          <w:u w:val="single"/>
          <w:lang w:val="is-IS"/>
        </w:rPr>
      </w:pPr>
      <w:r w:rsidRPr="00F2274F">
        <w:rPr>
          <w:i/>
          <w:color w:val="auto"/>
          <w:u w:val="single"/>
          <w:lang w:val="is-IS"/>
        </w:rPr>
        <w:t>Börn</w:t>
      </w:r>
    </w:p>
    <w:p w14:paraId="1787D264" w14:textId="77777777" w:rsidR="005F36F3" w:rsidRPr="009F7642" w:rsidRDefault="005F36F3" w:rsidP="008B60B2">
      <w:pPr>
        <w:keepNext/>
        <w:suppressAutoHyphens/>
        <w:spacing w:after="0" w:line="240" w:lineRule="auto"/>
        <w:ind w:left="0" w:firstLine="0"/>
        <w:rPr>
          <w:color w:val="auto"/>
          <w:lang w:val="is-IS"/>
        </w:rPr>
      </w:pPr>
    </w:p>
    <w:p w14:paraId="509EFB27" w14:textId="77777777" w:rsidR="006C06D6" w:rsidRPr="00796078" w:rsidRDefault="00564614" w:rsidP="008B60B2">
      <w:pPr>
        <w:suppressAutoHyphens/>
        <w:spacing w:after="0" w:line="240" w:lineRule="auto"/>
        <w:ind w:left="0" w:firstLine="0"/>
        <w:rPr>
          <w:color w:val="auto"/>
          <w:lang w:val="is-IS"/>
        </w:rPr>
      </w:pPr>
      <w:r w:rsidRPr="00796078">
        <w:rPr>
          <w:color w:val="auto"/>
          <w:lang w:val="is-IS"/>
        </w:rPr>
        <w:t>Ekki hefur verið sýnt fram á öryggi og verkun bevacízúmabs hjá börnum yngri en 18</w:t>
      </w:r>
      <w:r w:rsidR="009210ED">
        <w:rPr>
          <w:color w:val="auto"/>
          <w:lang w:val="is-IS"/>
        </w:rPr>
        <w:t> </w:t>
      </w:r>
      <w:r w:rsidRPr="00796078">
        <w:rPr>
          <w:color w:val="auto"/>
          <w:lang w:val="is-IS"/>
        </w:rPr>
        <w:t>ára. Fyrirliggjandi upplýsingar eru tilgreindar í köflum 4.8, 5.1 og 5.2, en ekki er hægt að ráðleggja ákveðna skammta</w:t>
      </w:r>
      <w:r w:rsidR="00287AF4" w:rsidRPr="00796078">
        <w:rPr>
          <w:color w:val="auto"/>
          <w:lang w:val="is-IS"/>
        </w:rPr>
        <w:t xml:space="preserve"> á grundvelli þeirra</w:t>
      </w:r>
      <w:r w:rsidRPr="00796078">
        <w:rPr>
          <w:color w:val="auto"/>
          <w:lang w:val="is-IS"/>
        </w:rPr>
        <w:t>.</w:t>
      </w:r>
    </w:p>
    <w:p w14:paraId="7E15E32D" w14:textId="77777777" w:rsidR="005F36F3" w:rsidRPr="00796078" w:rsidRDefault="005F36F3" w:rsidP="008B60B2">
      <w:pPr>
        <w:suppressAutoHyphens/>
        <w:spacing w:after="0" w:line="240" w:lineRule="auto"/>
        <w:ind w:left="0" w:firstLine="0"/>
        <w:rPr>
          <w:color w:val="auto"/>
          <w:lang w:val="is-IS"/>
        </w:rPr>
      </w:pPr>
    </w:p>
    <w:p w14:paraId="28B937A6" w14:textId="77777777" w:rsidR="006C06D6" w:rsidRPr="009F7642" w:rsidRDefault="00287AF4" w:rsidP="008B60B2">
      <w:pPr>
        <w:suppressAutoHyphens/>
        <w:spacing w:after="0" w:line="240" w:lineRule="auto"/>
        <w:ind w:left="0" w:firstLine="0"/>
        <w:rPr>
          <w:color w:val="auto"/>
          <w:lang w:val="is-IS"/>
        </w:rPr>
      </w:pPr>
      <w:r w:rsidRPr="00796078">
        <w:rPr>
          <w:color w:val="auto"/>
          <w:lang w:val="is-IS"/>
        </w:rPr>
        <w:t>Notkun</w:t>
      </w:r>
      <w:r w:rsidR="00564614" w:rsidRPr="00796078">
        <w:rPr>
          <w:color w:val="auto"/>
          <w:lang w:val="is-IS"/>
        </w:rPr>
        <w:t xml:space="preserve"> bevacízúmab</w:t>
      </w:r>
      <w:r w:rsidRPr="00796078">
        <w:rPr>
          <w:color w:val="auto"/>
          <w:lang w:val="is-IS"/>
        </w:rPr>
        <w:t xml:space="preserve">s á ekki við hjá börnum </w:t>
      </w:r>
      <w:r w:rsidR="00564614" w:rsidRPr="00796078">
        <w:rPr>
          <w:color w:val="auto"/>
          <w:lang w:val="is-IS"/>
        </w:rPr>
        <w:t xml:space="preserve">við ábendingunum krabbamein í ristli, endaþarmi, </w:t>
      </w:r>
      <w:r w:rsidR="00B54A7A" w:rsidRPr="009F7642">
        <w:rPr>
          <w:color w:val="auto"/>
          <w:lang w:val="is-IS"/>
        </w:rPr>
        <w:t>brjóstum</w:t>
      </w:r>
      <w:r w:rsidR="00B54A7A">
        <w:rPr>
          <w:color w:val="auto"/>
          <w:lang w:val="is-IS"/>
        </w:rPr>
        <w:t xml:space="preserve">, </w:t>
      </w:r>
      <w:r w:rsidR="00564614" w:rsidRPr="00796078">
        <w:rPr>
          <w:color w:val="auto"/>
          <w:lang w:val="is-IS"/>
        </w:rPr>
        <w:t>lungum, eggjastokkum, eggjaleiðurum, lífhimnu, leghálsi eða nýrum.</w:t>
      </w:r>
    </w:p>
    <w:p w14:paraId="6498B059" w14:textId="77777777" w:rsidR="005F36F3" w:rsidRPr="009F7642" w:rsidRDefault="005F36F3" w:rsidP="008B60B2">
      <w:pPr>
        <w:suppressAutoHyphens/>
        <w:spacing w:after="0" w:line="240" w:lineRule="auto"/>
        <w:ind w:left="0" w:firstLine="0"/>
        <w:rPr>
          <w:color w:val="auto"/>
          <w:lang w:val="is-IS"/>
        </w:rPr>
      </w:pPr>
    </w:p>
    <w:p w14:paraId="50B22664" w14:textId="77777777" w:rsidR="006C06D6" w:rsidRPr="00F2274F" w:rsidRDefault="00564614" w:rsidP="008B60B2">
      <w:pPr>
        <w:keepNext/>
        <w:suppressAutoHyphens/>
        <w:spacing w:after="0" w:line="240" w:lineRule="auto"/>
        <w:ind w:left="0" w:firstLine="0"/>
        <w:rPr>
          <w:color w:val="auto"/>
          <w:u w:val="single"/>
          <w:lang w:val="is-IS"/>
        </w:rPr>
      </w:pPr>
      <w:r w:rsidRPr="00F2274F">
        <w:rPr>
          <w:color w:val="auto"/>
          <w:u w:val="single"/>
          <w:lang w:val="is-IS"/>
        </w:rPr>
        <w:t>Lyfjagjöf</w:t>
      </w:r>
    </w:p>
    <w:p w14:paraId="5D779EEC" w14:textId="77777777" w:rsidR="005F36F3" w:rsidRPr="009F7642" w:rsidRDefault="005F36F3" w:rsidP="008B60B2">
      <w:pPr>
        <w:keepNext/>
        <w:suppressAutoHyphens/>
        <w:spacing w:after="0" w:line="240" w:lineRule="auto"/>
        <w:ind w:left="0" w:firstLine="0"/>
        <w:rPr>
          <w:color w:val="auto"/>
          <w:lang w:val="is-IS"/>
        </w:rPr>
      </w:pPr>
    </w:p>
    <w:p w14:paraId="5118A058" w14:textId="77777777" w:rsidR="006C06D6" w:rsidRPr="009F7642" w:rsidRDefault="00EC3FF6" w:rsidP="008B60B2">
      <w:pPr>
        <w:suppressAutoHyphens/>
        <w:spacing w:after="0" w:line="240" w:lineRule="auto"/>
        <w:ind w:left="0" w:firstLine="0"/>
        <w:rPr>
          <w:color w:val="auto"/>
          <w:lang w:val="is-IS"/>
        </w:rPr>
      </w:pPr>
      <w:r w:rsidRPr="00F2274F">
        <w:rPr>
          <w:lang w:val="is-IS"/>
        </w:rPr>
        <w:t>MVASI er til notkunar í bláæð.</w:t>
      </w:r>
      <w:r>
        <w:rPr>
          <w:lang w:val="is-IS"/>
        </w:rPr>
        <w:t xml:space="preserve"> </w:t>
      </w:r>
      <w:r w:rsidR="00564614" w:rsidRPr="009F7642">
        <w:rPr>
          <w:color w:val="auto"/>
          <w:lang w:val="is-IS"/>
        </w:rPr>
        <w:t>Upphafsskammt á að gefa á 90</w:t>
      </w:r>
      <w:r w:rsidR="009210ED">
        <w:rPr>
          <w:color w:val="auto"/>
          <w:lang w:val="is-IS"/>
        </w:rPr>
        <w:t> </w:t>
      </w:r>
      <w:r w:rsidR="00564614" w:rsidRPr="009F7642">
        <w:rPr>
          <w:color w:val="auto"/>
          <w:lang w:val="is-IS"/>
        </w:rPr>
        <w:t>mínútum sem innrennsli í bláæð. Ef fyrsta innrennslið þolist vel, má gefa annað innrennslið á 60</w:t>
      </w:r>
      <w:r w:rsidR="009210ED">
        <w:rPr>
          <w:color w:val="auto"/>
          <w:lang w:val="is-IS"/>
        </w:rPr>
        <w:t> </w:t>
      </w:r>
      <w:r w:rsidR="00564614" w:rsidRPr="009F7642">
        <w:rPr>
          <w:color w:val="auto"/>
          <w:lang w:val="is-IS"/>
        </w:rPr>
        <w:t>mínútum. Ef 60</w:t>
      </w:r>
      <w:r w:rsidR="009210ED">
        <w:rPr>
          <w:color w:val="auto"/>
          <w:lang w:val="is-IS"/>
        </w:rPr>
        <w:t> </w:t>
      </w:r>
      <w:r w:rsidR="00564614" w:rsidRPr="009F7642">
        <w:rPr>
          <w:color w:val="auto"/>
          <w:lang w:val="is-IS"/>
        </w:rPr>
        <w:t>mínútna innrennslið þolist vel, má gefa öll síðari innrennsli á 30</w:t>
      </w:r>
      <w:r w:rsidR="009210ED">
        <w:rPr>
          <w:color w:val="auto"/>
          <w:lang w:val="is-IS"/>
        </w:rPr>
        <w:t> </w:t>
      </w:r>
      <w:r w:rsidR="00564614" w:rsidRPr="009F7642">
        <w:rPr>
          <w:color w:val="auto"/>
          <w:lang w:val="is-IS"/>
        </w:rPr>
        <w:t>mínútum.</w:t>
      </w:r>
    </w:p>
    <w:p w14:paraId="38CC3D4A" w14:textId="77777777" w:rsidR="005F36F3" w:rsidRPr="009F7642" w:rsidRDefault="005F36F3" w:rsidP="008B60B2">
      <w:pPr>
        <w:suppressAutoHyphens/>
        <w:spacing w:after="0" w:line="240" w:lineRule="auto"/>
        <w:ind w:left="0" w:firstLine="0"/>
        <w:rPr>
          <w:color w:val="auto"/>
          <w:lang w:val="is-IS"/>
        </w:rPr>
      </w:pPr>
    </w:p>
    <w:p w14:paraId="0E581A40" w14:textId="72AB12FA" w:rsidR="006C06D6" w:rsidRPr="009F7642" w:rsidRDefault="008B12C1" w:rsidP="008B60B2">
      <w:pPr>
        <w:suppressAutoHyphens/>
        <w:spacing w:after="0" w:line="240" w:lineRule="auto"/>
        <w:ind w:left="0" w:firstLine="0"/>
        <w:rPr>
          <w:color w:val="auto"/>
          <w:lang w:val="is-IS"/>
        </w:rPr>
      </w:pPr>
      <w:r w:rsidRPr="008B12C1">
        <w:rPr>
          <w:color w:val="auto"/>
          <w:lang w:val="is-IS"/>
        </w:rPr>
        <w:t>Ekki má gefa lyfið með inndælingu (stökum skammti) í bláæð</w:t>
      </w:r>
      <w:r w:rsidR="00564614" w:rsidRPr="009F7642">
        <w:rPr>
          <w:color w:val="auto"/>
          <w:lang w:val="is-IS"/>
        </w:rPr>
        <w:t>.</w:t>
      </w:r>
    </w:p>
    <w:p w14:paraId="64F3BEF9" w14:textId="77777777" w:rsidR="005F36F3" w:rsidRPr="009F7642" w:rsidRDefault="005F36F3" w:rsidP="008B60B2">
      <w:pPr>
        <w:suppressAutoHyphens/>
        <w:spacing w:after="0" w:line="240" w:lineRule="auto"/>
        <w:ind w:left="0" w:firstLine="0"/>
        <w:rPr>
          <w:color w:val="auto"/>
          <w:lang w:val="is-IS"/>
        </w:rPr>
      </w:pPr>
    </w:p>
    <w:p w14:paraId="75F2395C"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Ekki er ráðlagt að minnka skammta ef aukaverkanir koma fram. Ef tilefni er til á annaðhvort að hætta meðferð fyrir fullt og allt eða gera hlé á henni, eins og lýst er í kafla 4.4.</w:t>
      </w:r>
    </w:p>
    <w:p w14:paraId="688F75A1" w14:textId="77777777" w:rsidR="005F36F3" w:rsidRPr="009F7642" w:rsidRDefault="005F36F3" w:rsidP="008B60B2">
      <w:pPr>
        <w:suppressAutoHyphens/>
        <w:spacing w:after="0" w:line="240" w:lineRule="auto"/>
        <w:ind w:left="0" w:firstLine="0"/>
        <w:rPr>
          <w:color w:val="auto"/>
          <w:lang w:val="is-IS"/>
        </w:rPr>
      </w:pPr>
    </w:p>
    <w:p w14:paraId="62A0A164" w14:textId="77777777" w:rsidR="006C06D6" w:rsidRPr="00EA6AB0" w:rsidRDefault="00564614" w:rsidP="008B60B2">
      <w:pPr>
        <w:keepNext/>
        <w:suppressAutoHyphens/>
        <w:spacing w:after="0" w:line="240" w:lineRule="auto"/>
        <w:ind w:left="0" w:firstLine="0"/>
        <w:rPr>
          <w:i/>
          <w:color w:val="auto"/>
          <w:u w:val="single"/>
          <w:lang w:val="is-IS"/>
        </w:rPr>
      </w:pPr>
      <w:r w:rsidRPr="00EA6AB0">
        <w:rPr>
          <w:i/>
          <w:color w:val="auto"/>
          <w:u w:val="single"/>
          <w:lang w:val="is-IS"/>
        </w:rPr>
        <w:t>Varúðarráðstafanir sem þarf að gera áður en lyfið er meðhöndlað eða gefið</w:t>
      </w:r>
    </w:p>
    <w:p w14:paraId="475C557D" w14:textId="77777777" w:rsidR="005F36F3" w:rsidRPr="00EA6AB0" w:rsidRDefault="005F36F3" w:rsidP="008B60B2">
      <w:pPr>
        <w:keepNext/>
        <w:suppressAutoHyphens/>
        <w:spacing w:after="0" w:line="240" w:lineRule="auto"/>
        <w:ind w:left="0" w:firstLine="0"/>
        <w:rPr>
          <w:i/>
          <w:color w:val="auto"/>
          <w:u w:val="single"/>
          <w:lang w:val="is-IS"/>
        </w:rPr>
      </w:pPr>
    </w:p>
    <w:p w14:paraId="3C488649"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Sjá leiðbeiningar í kafla 6.6 um þynningu lyfsins fyrir gjöf. </w:t>
      </w:r>
      <w:r w:rsidR="001764F7" w:rsidRPr="00F2274F">
        <w:rPr>
          <w:lang w:val="is-IS"/>
        </w:rPr>
        <w:t>MVASI</w:t>
      </w:r>
      <w:r w:rsidRPr="009F7642">
        <w:rPr>
          <w:color w:val="auto"/>
          <w:lang w:val="is-IS"/>
        </w:rPr>
        <w:t xml:space="preserve"> innrennsli á ekki að gefa með eða blanda í glúkósalausnir. Ekki má blanda þessu lyfi saman við önnur l</w:t>
      </w:r>
      <w:r w:rsidR="0083115B">
        <w:rPr>
          <w:color w:val="auto"/>
          <w:lang w:val="is-IS"/>
        </w:rPr>
        <w:t>yf en þau sem nefnd eru í kafla </w:t>
      </w:r>
      <w:r w:rsidRPr="009F7642">
        <w:rPr>
          <w:color w:val="auto"/>
          <w:lang w:val="is-IS"/>
        </w:rPr>
        <w:t>6.6.</w:t>
      </w:r>
    </w:p>
    <w:p w14:paraId="45546B3F" w14:textId="77777777" w:rsidR="005F36F3" w:rsidRPr="009F7642" w:rsidRDefault="005F36F3" w:rsidP="00A23670">
      <w:pPr>
        <w:suppressAutoHyphens/>
        <w:spacing w:after="0" w:line="240" w:lineRule="auto"/>
        <w:ind w:left="0" w:firstLine="0"/>
        <w:rPr>
          <w:color w:val="auto"/>
          <w:lang w:val="is-IS"/>
        </w:rPr>
      </w:pPr>
    </w:p>
    <w:p w14:paraId="52A329BA" w14:textId="77777777" w:rsidR="006C06D6" w:rsidRPr="009F7642" w:rsidRDefault="00564614" w:rsidP="008B60B2">
      <w:pPr>
        <w:keepNext/>
        <w:tabs>
          <w:tab w:val="left" w:pos="567"/>
        </w:tabs>
        <w:suppressAutoHyphens/>
        <w:spacing w:after="0" w:line="240" w:lineRule="auto"/>
        <w:ind w:left="567" w:hanging="567"/>
        <w:rPr>
          <w:b/>
          <w:color w:val="auto"/>
          <w:lang w:val="is-IS"/>
        </w:rPr>
      </w:pPr>
      <w:r w:rsidRPr="009F7642">
        <w:rPr>
          <w:b/>
          <w:color w:val="auto"/>
          <w:lang w:val="is-IS"/>
        </w:rPr>
        <w:lastRenderedPageBreak/>
        <w:t>4.3</w:t>
      </w:r>
      <w:r w:rsidRPr="009F7642">
        <w:rPr>
          <w:b/>
          <w:color w:val="auto"/>
          <w:lang w:val="is-IS"/>
        </w:rPr>
        <w:tab/>
        <w:t>Frábendingar</w:t>
      </w:r>
    </w:p>
    <w:p w14:paraId="5884963E" w14:textId="77777777" w:rsidR="005F36F3" w:rsidRPr="009F7642" w:rsidRDefault="005F36F3" w:rsidP="008B60B2">
      <w:pPr>
        <w:keepNext/>
        <w:suppressAutoHyphens/>
        <w:spacing w:after="0" w:line="240" w:lineRule="auto"/>
        <w:ind w:left="0" w:firstLine="0"/>
        <w:rPr>
          <w:color w:val="auto"/>
          <w:lang w:val="is-IS"/>
        </w:rPr>
      </w:pPr>
    </w:p>
    <w:p w14:paraId="7184A1E9" w14:textId="77777777" w:rsidR="006C06D6" w:rsidRPr="009F7642" w:rsidRDefault="00564614" w:rsidP="008B60B2">
      <w:pPr>
        <w:keepNext/>
        <w:numPr>
          <w:ilvl w:val="0"/>
          <w:numId w:val="1"/>
        </w:numPr>
        <w:suppressAutoHyphens/>
        <w:spacing w:after="0" w:line="240" w:lineRule="auto"/>
        <w:ind w:hanging="567"/>
        <w:rPr>
          <w:color w:val="auto"/>
          <w:lang w:val="is-IS"/>
        </w:rPr>
      </w:pPr>
      <w:r w:rsidRPr="009F7642">
        <w:rPr>
          <w:color w:val="auto"/>
          <w:lang w:val="is-IS"/>
        </w:rPr>
        <w:t>Ofnæmi fyrir virka efninu eða einhverju hjálparefnanna sem talin eru upp í kafla 6.1.</w:t>
      </w:r>
    </w:p>
    <w:p w14:paraId="08445C3D" w14:textId="77777777" w:rsidR="006C06D6" w:rsidRPr="009F7642" w:rsidRDefault="00564614" w:rsidP="008B60B2">
      <w:pPr>
        <w:keepNext/>
        <w:numPr>
          <w:ilvl w:val="0"/>
          <w:numId w:val="1"/>
        </w:numPr>
        <w:suppressAutoHyphens/>
        <w:spacing w:after="0" w:line="240" w:lineRule="auto"/>
        <w:ind w:hanging="567"/>
        <w:rPr>
          <w:color w:val="auto"/>
          <w:lang w:val="is-IS"/>
        </w:rPr>
      </w:pPr>
      <w:r w:rsidRPr="009F7642">
        <w:rPr>
          <w:color w:val="auto"/>
          <w:lang w:val="is-IS"/>
        </w:rPr>
        <w:t>Ofnæmi fyrir</w:t>
      </w:r>
      <w:r w:rsidRPr="009F7642">
        <w:rPr>
          <w:color w:val="auto"/>
          <w:sz w:val="18"/>
          <w:lang w:val="is-IS"/>
        </w:rPr>
        <w:t xml:space="preserve"> </w:t>
      </w:r>
      <w:r w:rsidRPr="009F7642">
        <w:rPr>
          <w:color w:val="auto"/>
          <w:lang w:val="is-IS"/>
        </w:rPr>
        <w:t>frumuafurðum úr eggjastokkum kínverskra hamstra (CHO) eða öðrum raðbrigða manna- eða mannaaðlöguðum mótefnum</w:t>
      </w:r>
      <w:r w:rsidR="00673B4B" w:rsidRPr="009F7642">
        <w:rPr>
          <w:color w:val="auto"/>
          <w:lang w:val="is-IS"/>
        </w:rPr>
        <w:t>.</w:t>
      </w:r>
    </w:p>
    <w:p w14:paraId="4193358D" w14:textId="77777777" w:rsidR="006C06D6" w:rsidRPr="009F7642" w:rsidRDefault="00564614" w:rsidP="008B60B2">
      <w:pPr>
        <w:numPr>
          <w:ilvl w:val="0"/>
          <w:numId w:val="1"/>
        </w:numPr>
        <w:suppressAutoHyphens/>
        <w:spacing w:after="0" w:line="240" w:lineRule="auto"/>
        <w:ind w:hanging="567"/>
        <w:rPr>
          <w:color w:val="auto"/>
          <w:lang w:val="is-IS"/>
        </w:rPr>
      </w:pPr>
      <w:r w:rsidRPr="009F7642">
        <w:rPr>
          <w:color w:val="auto"/>
          <w:lang w:val="is-IS"/>
        </w:rPr>
        <w:t>Þungun (sjá kafla 4.6)</w:t>
      </w:r>
      <w:r w:rsidR="00673B4B" w:rsidRPr="009F7642">
        <w:rPr>
          <w:color w:val="auto"/>
          <w:lang w:val="is-IS"/>
        </w:rPr>
        <w:t>.</w:t>
      </w:r>
    </w:p>
    <w:p w14:paraId="477A2E33" w14:textId="77777777" w:rsidR="005F36F3" w:rsidRPr="009F7642" w:rsidRDefault="005F36F3" w:rsidP="008B60B2">
      <w:pPr>
        <w:suppressAutoHyphens/>
        <w:spacing w:after="0" w:line="240" w:lineRule="auto"/>
        <w:ind w:left="0" w:firstLine="0"/>
        <w:rPr>
          <w:color w:val="auto"/>
          <w:lang w:val="is-IS"/>
        </w:rPr>
      </w:pPr>
    </w:p>
    <w:p w14:paraId="354B3B69" w14:textId="77777777" w:rsidR="006C06D6" w:rsidRPr="009F7642" w:rsidRDefault="00564614" w:rsidP="008B60B2">
      <w:pPr>
        <w:keepNext/>
        <w:tabs>
          <w:tab w:val="left" w:pos="567"/>
        </w:tabs>
        <w:suppressAutoHyphens/>
        <w:spacing w:after="0" w:line="240" w:lineRule="auto"/>
        <w:ind w:left="567" w:hanging="567"/>
        <w:rPr>
          <w:b/>
          <w:color w:val="auto"/>
          <w:lang w:val="is-IS"/>
        </w:rPr>
      </w:pPr>
      <w:r w:rsidRPr="009F7642">
        <w:rPr>
          <w:b/>
          <w:color w:val="auto"/>
          <w:lang w:val="is-IS"/>
        </w:rPr>
        <w:t>4.4</w:t>
      </w:r>
      <w:r w:rsidRPr="009F7642">
        <w:rPr>
          <w:b/>
          <w:color w:val="auto"/>
          <w:lang w:val="is-IS"/>
        </w:rPr>
        <w:tab/>
        <w:t>Sérstök varnaðarorð og varúðarreglur við notkun</w:t>
      </w:r>
    </w:p>
    <w:p w14:paraId="2232FFAA" w14:textId="77777777" w:rsidR="005F36F3" w:rsidRDefault="005F36F3" w:rsidP="008B60B2">
      <w:pPr>
        <w:keepNext/>
        <w:suppressAutoHyphens/>
        <w:spacing w:after="0" w:line="240" w:lineRule="auto"/>
        <w:ind w:left="0" w:firstLine="0"/>
        <w:rPr>
          <w:color w:val="auto"/>
          <w:lang w:val="is-IS"/>
        </w:rPr>
      </w:pPr>
    </w:p>
    <w:p w14:paraId="1986F267" w14:textId="77777777" w:rsidR="00032D57" w:rsidRPr="00032D57" w:rsidRDefault="00032D57" w:rsidP="008B60B2">
      <w:pPr>
        <w:keepNext/>
        <w:suppressAutoHyphens/>
        <w:spacing w:after="0" w:line="240" w:lineRule="auto"/>
        <w:ind w:left="0" w:firstLine="0"/>
        <w:rPr>
          <w:color w:val="auto"/>
          <w:u w:val="single"/>
          <w:lang w:val="is-IS"/>
        </w:rPr>
      </w:pPr>
      <w:r w:rsidRPr="00032D57">
        <w:rPr>
          <w:color w:val="auto"/>
          <w:u w:val="single"/>
          <w:lang w:val="is-IS"/>
        </w:rPr>
        <w:t>Rekjanleiki</w:t>
      </w:r>
    </w:p>
    <w:p w14:paraId="690E247E" w14:textId="77777777" w:rsidR="00032D57" w:rsidRPr="009F7642" w:rsidRDefault="00032D57" w:rsidP="008B60B2">
      <w:pPr>
        <w:keepNext/>
        <w:suppressAutoHyphens/>
        <w:spacing w:after="0" w:line="240" w:lineRule="auto"/>
        <w:ind w:left="0" w:firstLine="0"/>
        <w:rPr>
          <w:color w:val="auto"/>
          <w:lang w:val="is-IS"/>
        </w:rPr>
      </w:pPr>
    </w:p>
    <w:p w14:paraId="5E9AF620" w14:textId="691019FD"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Til </w:t>
      </w:r>
      <w:r w:rsidR="003F2427" w:rsidRPr="00B72D20">
        <w:rPr>
          <w:lang w:val="is-IS"/>
        </w:rPr>
        <w:t>þess</w:t>
      </w:r>
      <w:r w:rsidR="003F2427" w:rsidRPr="009F7642">
        <w:rPr>
          <w:color w:val="auto"/>
          <w:lang w:val="is-IS"/>
        </w:rPr>
        <w:t xml:space="preserve"> </w:t>
      </w:r>
      <w:r w:rsidRPr="009F7642">
        <w:rPr>
          <w:color w:val="auto"/>
          <w:lang w:val="is-IS"/>
        </w:rPr>
        <w:t xml:space="preserve">að </w:t>
      </w:r>
      <w:r w:rsidR="00341F81" w:rsidRPr="00341F81">
        <w:rPr>
          <w:color w:val="auto"/>
          <w:lang w:val="is-IS"/>
        </w:rPr>
        <w:t>bæta</w:t>
      </w:r>
      <w:r w:rsidRPr="009F7642">
        <w:rPr>
          <w:color w:val="auto"/>
          <w:lang w:val="is-IS"/>
        </w:rPr>
        <w:t xml:space="preserve"> rekjanleika líffræðilegra lyfja </w:t>
      </w:r>
      <w:r w:rsidR="00341F81">
        <w:rPr>
          <w:color w:val="auto"/>
          <w:lang w:val="is-IS"/>
        </w:rPr>
        <w:t>skal</w:t>
      </w:r>
      <w:r w:rsidRPr="009F7642">
        <w:rPr>
          <w:color w:val="auto"/>
          <w:lang w:val="is-IS"/>
        </w:rPr>
        <w:t xml:space="preserve"> heiti og lotunúmer lyfs</w:t>
      </w:r>
      <w:r w:rsidR="00341F81">
        <w:rPr>
          <w:color w:val="auto"/>
          <w:lang w:val="is-IS"/>
        </w:rPr>
        <w:t>ins</w:t>
      </w:r>
      <w:r w:rsidRPr="009F7642">
        <w:rPr>
          <w:color w:val="auto"/>
          <w:lang w:val="is-IS"/>
        </w:rPr>
        <w:t xml:space="preserve"> sem gefið er </w:t>
      </w:r>
      <w:r w:rsidR="00341F81" w:rsidRPr="00341F81">
        <w:rPr>
          <w:color w:val="auto"/>
          <w:lang w:val="is-IS"/>
        </w:rPr>
        <w:t>vera skráð með skýrum hætti</w:t>
      </w:r>
      <w:r w:rsidRPr="009F7642">
        <w:rPr>
          <w:color w:val="auto"/>
          <w:lang w:val="is-IS"/>
        </w:rPr>
        <w:t>.</w:t>
      </w:r>
    </w:p>
    <w:p w14:paraId="79E1093B" w14:textId="77777777" w:rsidR="005F36F3" w:rsidRPr="009F7642" w:rsidRDefault="005F36F3" w:rsidP="008B60B2">
      <w:pPr>
        <w:suppressAutoHyphens/>
        <w:spacing w:after="0" w:line="240" w:lineRule="auto"/>
        <w:ind w:left="0" w:firstLine="0"/>
        <w:rPr>
          <w:color w:val="auto"/>
          <w:lang w:val="is-IS"/>
        </w:rPr>
      </w:pPr>
    </w:p>
    <w:p w14:paraId="492C13F2" w14:textId="77777777" w:rsidR="005F36F3"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Rof og fistlar í maga og þörmum</w:t>
      </w:r>
      <w:r w:rsidR="007C73D2" w:rsidRPr="009F7642">
        <w:rPr>
          <w:color w:val="auto"/>
          <w:u w:val="single"/>
          <w:lang w:val="is-IS"/>
        </w:rPr>
        <w:t xml:space="preserve"> (sjá kafla 4.8)</w:t>
      </w:r>
    </w:p>
    <w:p w14:paraId="3B05F9F7" w14:textId="77777777" w:rsidR="007C73D2" w:rsidRPr="009F7642" w:rsidRDefault="007C73D2" w:rsidP="008B60B2">
      <w:pPr>
        <w:keepNext/>
        <w:suppressAutoHyphens/>
        <w:spacing w:after="0" w:line="240" w:lineRule="auto"/>
        <w:ind w:left="0" w:firstLine="0"/>
        <w:rPr>
          <w:color w:val="auto"/>
          <w:lang w:val="is-IS"/>
        </w:rPr>
      </w:pPr>
    </w:p>
    <w:p w14:paraId="6F534468"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Sjúklingar geta verið í aukinni hættu á að rof komi á maga og þarma eða göt komi á gallblöðru þegar þeir fá meðferð með </w:t>
      </w:r>
      <w:r w:rsidR="004E5B7E" w:rsidRPr="00F2274F">
        <w:rPr>
          <w:lang w:val="is-IS"/>
        </w:rPr>
        <w:t>bevacízú</w:t>
      </w:r>
      <w:r w:rsidR="00D050A2" w:rsidRPr="00F2274F">
        <w:rPr>
          <w:lang w:val="is-IS"/>
        </w:rPr>
        <w:t>mabi</w:t>
      </w:r>
      <w:r w:rsidRPr="009F7642">
        <w:rPr>
          <w:color w:val="auto"/>
          <w:lang w:val="is-IS"/>
        </w:rPr>
        <w:t xml:space="preserve">. Bólguástand í kviðarholi getur aukið hættu á rofi í maga og þörmum hjá sjúklingum með krabbamein í ristli eða endaþarmi með meinvörpum, því skal gæta varúðar þegar slíkir sjúklingar eru meðhöndlaðir. Fyrri geislameðferð er áhættuþáttur fyrir rof á maga eða þörmum hjá sjúklingum sem fá meðferð með </w:t>
      </w:r>
      <w:r w:rsidR="001764F7" w:rsidRPr="00F2274F">
        <w:rPr>
          <w:lang w:val="is-IS"/>
        </w:rPr>
        <w:t>MVASI</w:t>
      </w:r>
      <w:r w:rsidRPr="009F7642">
        <w:rPr>
          <w:color w:val="auto"/>
          <w:lang w:val="is-IS"/>
        </w:rPr>
        <w:t xml:space="preserve"> við krabbameini í leghálsi sem er þrálátt og endurkomið eða með meinvörpum og höfðu allir sjúklingar sem fengu rof á maga eða þörmum sögu um geislameðferð. Hætta á meðferð til frambúðar hjá sjúklingum sem fá rof á maga eða þarma.</w:t>
      </w:r>
    </w:p>
    <w:p w14:paraId="68743527" w14:textId="77777777" w:rsidR="005F36F3" w:rsidRPr="009F7642" w:rsidRDefault="005F36F3" w:rsidP="008B60B2">
      <w:pPr>
        <w:suppressAutoHyphens/>
        <w:spacing w:after="0" w:line="240" w:lineRule="auto"/>
        <w:ind w:left="0" w:firstLine="0"/>
        <w:rPr>
          <w:color w:val="auto"/>
          <w:lang w:val="is-IS"/>
        </w:rPr>
      </w:pPr>
    </w:p>
    <w:p w14:paraId="4D27FE3F" w14:textId="77777777" w:rsidR="005F36F3"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Meltingarfæra- og legganga</w:t>
      </w:r>
      <w:r w:rsidR="007F14C0" w:rsidRPr="009F7642">
        <w:rPr>
          <w:color w:val="auto"/>
          <w:u w:val="single"/>
          <w:lang w:val="is-IS"/>
        </w:rPr>
        <w:t>fistlar í GOG-0240 rannsókninni</w:t>
      </w:r>
    </w:p>
    <w:p w14:paraId="12519201" w14:textId="77777777" w:rsidR="007F14C0" w:rsidRPr="009F7642" w:rsidRDefault="007F14C0" w:rsidP="008B60B2">
      <w:pPr>
        <w:keepNext/>
        <w:suppressAutoHyphens/>
        <w:spacing w:after="0" w:line="240" w:lineRule="auto"/>
        <w:ind w:left="0" w:firstLine="0"/>
        <w:rPr>
          <w:color w:val="auto"/>
          <w:lang w:val="is-IS"/>
        </w:rPr>
      </w:pPr>
    </w:p>
    <w:p w14:paraId="5E5ADF0B"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Sjúklingar sem fá meðferð með </w:t>
      </w:r>
      <w:r w:rsidR="004E5B7E" w:rsidRPr="00F2274F">
        <w:rPr>
          <w:lang w:val="is-IS"/>
        </w:rPr>
        <w:t>bevacízú</w:t>
      </w:r>
      <w:r w:rsidR="00D050A2" w:rsidRPr="00F2274F">
        <w:rPr>
          <w:lang w:val="is-IS"/>
        </w:rPr>
        <w:t>mabi</w:t>
      </w:r>
      <w:r w:rsidRPr="009F7642">
        <w:rPr>
          <w:color w:val="auto"/>
          <w:lang w:val="is-IS"/>
        </w:rPr>
        <w:t xml:space="preserve"> við krabbameini í leghálsi sem er þrálátt og endurkomið eða með meinvörpum eru í aukinni hættu á myndun fistla milli legganga og einhvers hluta meltingarvegar (meltingarfæra- og leggangafistill).</w:t>
      </w:r>
      <w:r w:rsidRPr="007309A2">
        <w:rPr>
          <w:color w:val="auto"/>
          <w:lang w:val="is-IS"/>
        </w:rPr>
        <w:t xml:space="preserve"> </w:t>
      </w:r>
      <w:r w:rsidRPr="009F7642">
        <w:rPr>
          <w:color w:val="auto"/>
          <w:lang w:val="is-IS"/>
        </w:rPr>
        <w:t>Fyrri geislameðferð er mikilvægur áhættuþáttur fyrir myndun meltingarfæra- og leggangafistla og höfðu allir sjúklingar sem fengu meltingarfæra- og leggangafistla sögu um geislameðferð. Endurkoma krabbameins á svæði sem áður hefur verið geislað er einnig mikilvægur áhættuþáttur fyrir myndun meltingarfæra- og leggangafistla.</w:t>
      </w:r>
    </w:p>
    <w:p w14:paraId="5F2B890D" w14:textId="77777777" w:rsidR="005F36F3" w:rsidRPr="009F7642" w:rsidRDefault="005F36F3" w:rsidP="008B60B2">
      <w:pPr>
        <w:suppressAutoHyphens/>
        <w:spacing w:after="0" w:line="240" w:lineRule="auto"/>
        <w:ind w:left="0" w:firstLine="0"/>
        <w:rPr>
          <w:color w:val="auto"/>
          <w:lang w:val="is-IS"/>
        </w:rPr>
      </w:pPr>
    </w:p>
    <w:p w14:paraId="2435B2AF" w14:textId="77777777" w:rsidR="006C06D6" w:rsidRPr="009F7642" w:rsidRDefault="00564614" w:rsidP="008B60B2">
      <w:pPr>
        <w:keepNext/>
        <w:suppressAutoHyphens/>
        <w:spacing w:after="0" w:line="240" w:lineRule="auto"/>
        <w:ind w:left="0" w:firstLine="0"/>
        <w:rPr>
          <w:color w:val="auto"/>
          <w:u w:val="single"/>
          <w:lang w:val="is-IS"/>
        </w:rPr>
      </w:pPr>
      <w:r w:rsidRPr="00331D40">
        <w:rPr>
          <w:color w:val="auto"/>
          <w:u w:val="single"/>
          <w:lang w:val="is-IS"/>
        </w:rPr>
        <w:t xml:space="preserve">Fistlar utan </w:t>
      </w:r>
      <w:r w:rsidRPr="00796078">
        <w:rPr>
          <w:color w:val="auto"/>
          <w:u w:val="single"/>
          <w:lang w:val="is-IS"/>
        </w:rPr>
        <w:t>meltingarveg</w:t>
      </w:r>
      <w:r w:rsidR="00D91FB2" w:rsidRPr="00796078">
        <w:rPr>
          <w:color w:val="auto"/>
          <w:u w:val="single"/>
          <w:lang w:val="is-IS"/>
        </w:rPr>
        <w:t>ar</w:t>
      </w:r>
      <w:r w:rsidRPr="009F7642">
        <w:rPr>
          <w:color w:val="auto"/>
          <w:u w:val="single"/>
          <w:lang w:val="is-IS"/>
        </w:rPr>
        <w:t xml:space="preserve"> (sjá kafla 4.8)</w:t>
      </w:r>
    </w:p>
    <w:p w14:paraId="3B1499D3" w14:textId="77777777" w:rsidR="007F14C0" w:rsidRPr="009F7642" w:rsidRDefault="007F14C0" w:rsidP="008B60B2">
      <w:pPr>
        <w:keepNext/>
        <w:suppressAutoHyphens/>
        <w:spacing w:after="0" w:line="240" w:lineRule="auto"/>
        <w:ind w:left="0" w:firstLine="0"/>
        <w:rPr>
          <w:color w:val="auto"/>
          <w:lang w:val="is-IS"/>
        </w:rPr>
      </w:pPr>
    </w:p>
    <w:p w14:paraId="205DFA9D"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Aukin hætta er á fistlamyndun hjá sjúklingum við </w:t>
      </w:r>
      <w:r w:rsidR="00EC02A3" w:rsidRPr="00845173">
        <w:rPr>
          <w:lang w:val="is-IS"/>
        </w:rPr>
        <w:t>bevacízúmab</w:t>
      </w:r>
      <w:r w:rsidRPr="009F7642">
        <w:rPr>
          <w:color w:val="auto"/>
          <w:lang w:val="is-IS"/>
        </w:rPr>
        <w:t xml:space="preserve"> meðferð. Hætta skal </w:t>
      </w:r>
      <w:r w:rsidR="00EC02A3" w:rsidRPr="00845173">
        <w:rPr>
          <w:lang w:val="is-IS"/>
        </w:rPr>
        <w:t>MVASI</w:t>
      </w:r>
      <w:r w:rsidRPr="009F7642">
        <w:rPr>
          <w:color w:val="auto"/>
          <w:lang w:val="is-IS"/>
        </w:rPr>
        <w:t xml:space="preserve"> meðferð hjá sjúklingum með barka- og vélindisfistil eða 4. stigs fistil, af hvaða gerð sem er [Viðmið bandarísku krabbameinsstofnunarinnar um aukaverkanir (NCI-CTCAE), 3. útgáfa]. Takmarkaðar upplýsingar eru fyrirliggjandi um áframhaldandi notkun </w:t>
      </w:r>
      <w:r w:rsidR="00690564" w:rsidRPr="00F2274F">
        <w:rPr>
          <w:lang w:val="is-IS"/>
        </w:rPr>
        <w:t>bevacízú</w:t>
      </w:r>
      <w:r w:rsidR="00D050A2" w:rsidRPr="00F2274F">
        <w:rPr>
          <w:lang w:val="is-IS"/>
        </w:rPr>
        <w:t>mabs</w:t>
      </w:r>
      <w:r w:rsidRPr="009F7642">
        <w:rPr>
          <w:color w:val="auto"/>
          <w:lang w:val="is-IS"/>
        </w:rPr>
        <w:t xml:space="preserve"> hjá sjúklingum með aðra fistla. Ef um er að ræða innvortis fistla utan meltingarvegar, á að íhuga að hætta meðferð með </w:t>
      </w:r>
      <w:r w:rsidR="001764F7" w:rsidRPr="00F2274F">
        <w:rPr>
          <w:lang w:val="is-IS"/>
        </w:rPr>
        <w:t>MVASI</w:t>
      </w:r>
      <w:r w:rsidRPr="009F7642">
        <w:rPr>
          <w:color w:val="auto"/>
          <w:lang w:val="is-IS"/>
        </w:rPr>
        <w:t>.</w:t>
      </w:r>
    </w:p>
    <w:p w14:paraId="50640D09" w14:textId="77777777" w:rsidR="005F36F3" w:rsidRPr="009F7642" w:rsidRDefault="005F36F3" w:rsidP="008B60B2">
      <w:pPr>
        <w:suppressAutoHyphens/>
        <w:spacing w:after="0" w:line="240" w:lineRule="auto"/>
        <w:ind w:left="0" w:firstLine="0"/>
        <w:rPr>
          <w:color w:val="auto"/>
          <w:lang w:val="is-IS"/>
        </w:rPr>
      </w:pPr>
    </w:p>
    <w:p w14:paraId="2954EE5C"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Fylgikvillar tengdir græðingu sára (sjá kafla 4.8)</w:t>
      </w:r>
    </w:p>
    <w:p w14:paraId="3A48FBF7" w14:textId="77777777" w:rsidR="007F14C0" w:rsidRPr="009F7642" w:rsidRDefault="007F14C0" w:rsidP="008B60B2">
      <w:pPr>
        <w:keepNext/>
        <w:suppressAutoHyphens/>
        <w:spacing w:after="0" w:line="240" w:lineRule="auto"/>
        <w:ind w:left="0" w:firstLine="0"/>
        <w:rPr>
          <w:color w:val="auto"/>
          <w:lang w:val="is-IS"/>
        </w:rPr>
      </w:pPr>
    </w:p>
    <w:p w14:paraId="1CF70395" w14:textId="77777777" w:rsidR="006C06D6" w:rsidRPr="009F7642" w:rsidRDefault="00690564" w:rsidP="008B60B2">
      <w:pPr>
        <w:suppressAutoHyphens/>
        <w:spacing w:after="0" w:line="240" w:lineRule="auto"/>
        <w:ind w:left="0" w:firstLine="0"/>
        <w:rPr>
          <w:color w:val="auto"/>
          <w:lang w:val="is-IS"/>
        </w:rPr>
      </w:pPr>
      <w:r w:rsidRPr="00F2274F">
        <w:rPr>
          <w:lang w:val="is-IS"/>
        </w:rPr>
        <w:t>Bevacízú</w:t>
      </w:r>
      <w:r w:rsidR="00D050A2" w:rsidRPr="00F2274F">
        <w:rPr>
          <w:lang w:val="is-IS"/>
        </w:rPr>
        <w:t>mab</w:t>
      </w:r>
      <w:r w:rsidR="00564614" w:rsidRPr="009F7642">
        <w:rPr>
          <w:color w:val="auto"/>
          <w:lang w:val="is-IS"/>
        </w:rPr>
        <w:t xml:space="preserve"> getur haft neikvæð áhrif á að sár grói. Tilkynnt hefur verið um alvarlega fylgikvilla tengda græðingu sára, þ.m.t. samgötunarvandamál (anastomotic complications), sem leiddu til dauðsfalla. Ekki á að hefja meðferð fyrr en a.m.k. 28 dögum eftir stóra skurðaðgerð eða fyrr en skurðurinn er að fullu gróinn. Hjá sjúklingum með vandamál við að sár gréru meðan á meðferð stóð á að gera hlé á meðferð þar til sárið er að fullu gróið. Gera á hlé á meðferð vegna ráðgerðrar skurðaðgerðar.</w:t>
      </w:r>
    </w:p>
    <w:p w14:paraId="4B511E3B" w14:textId="77777777" w:rsidR="005F36F3" w:rsidRPr="009F7642" w:rsidRDefault="005F36F3" w:rsidP="008B60B2">
      <w:pPr>
        <w:suppressAutoHyphens/>
        <w:spacing w:after="0" w:line="240" w:lineRule="auto"/>
        <w:ind w:left="0" w:firstLine="0"/>
        <w:rPr>
          <w:color w:val="auto"/>
          <w:lang w:val="is-IS"/>
        </w:rPr>
      </w:pPr>
    </w:p>
    <w:p w14:paraId="020192A2"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mjög sjaldgæfum tilvikum hefur verið greint frá sinafellsbólgu með drepi (necrotising fasciitis), þ.m.t. banvæn tilfelli, hjá sjúklingum sem hafa fengið </w:t>
      </w:r>
      <w:r w:rsidR="00690564" w:rsidRPr="00F2274F">
        <w:rPr>
          <w:lang w:val="is-IS"/>
        </w:rPr>
        <w:t>bevacízú</w:t>
      </w:r>
      <w:r w:rsidR="00091C8E" w:rsidRPr="00F2274F">
        <w:rPr>
          <w:lang w:val="is-IS"/>
        </w:rPr>
        <w:t>mab</w:t>
      </w:r>
      <w:r w:rsidRPr="009F7642">
        <w:rPr>
          <w:color w:val="auto"/>
          <w:lang w:val="is-IS"/>
        </w:rPr>
        <w:t xml:space="preserve">. Þessi kvilli er yfirleitt afleiðing fylgikvilla vegna græðingar sára, rofs á maga eða þörmum eða fistlamyndunar. Hætta á meðferð með </w:t>
      </w:r>
      <w:r w:rsidR="001764F7" w:rsidRPr="00F2274F">
        <w:rPr>
          <w:lang w:val="is-IS"/>
        </w:rPr>
        <w:t>MVASI</w:t>
      </w:r>
      <w:r w:rsidRPr="009F7642">
        <w:rPr>
          <w:color w:val="auto"/>
          <w:lang w:val="is-IS"/>
        </w:rPr>
        <w:t xml:space="preserve"> hjá sjúklingum sem fá sinafellsbólgu með drepi og hefja viðeigandi stuðningsmeðferð eins fljótt og kostur er.</w:t>
      </w:r>
    </w:p>
    <w:p w14:paraId="1162F21F" w14:textId="77777777" w:rsidR="005F36F3" w:rsidRPr="009F7642" w:rsidRDefault="005F36F3" w:rsidP="008B60B2">
      <w:pPr>
        <w:suppressAutoHyphens/>
        <w:spacing w:after="0" w:line="240" w:lineRule="auto"/>
        <w:ind w:left="0" w:firstLine="0"/>
        <w:rPr>
          <w:color w:val="auto"/>
          <w:lang w:val="is-IS"/>
        </w:rPr>
      </w:pPr>
    </w:p>
    <w:p w14:paraId="1BEF5B9E"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lastRenderedPageBreak/>
        <w:t>Háþrýstingur (sjá kafla 4.8)</w:t>
      </w:r>
    </w:p>
    <w:p w14:paraId="489A8A66" w14:textId="77777777" w:rsidR="007F14C0" w:rsidRPr="009F7642" w:rsidRDefault="007F14C0" w:rsidP="008B60B2">
      <w:pPr>
        <w:keepNext/>
        <w:suppressAutoHyphens/>
        <w:spacing w:after="0" w:line="240" w:lineRule="auto"/>
        <w:ind w:left="0" w:firstLine="0"/>
        <w:rPr>
          <w:color w:val="auto"/>
          <w:lang w:val="is-IS"/>
        </w:rPr>
      </w:pPr>
    </w:p>
    <w:p w14:paraId="6BBC4843"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Vart varð við aukna tíðni háþrýstings hjá sjúklingum sem voru meðhöndlaðir með </w:t>
      </w:r>
      <w:r w:rsidR="00690564" w:rsidRPr="009F7642">
        <w:rPr>
          <w:color w:val="auto"/>
          <w:lang w:val="is-IS"/>
        </w:rPr>
        <w:t>bevacízúmabi</w:t>
      </w:r>
      <w:r w:rsidRPr="009F7642">
        <w:rPr>
          <w:color w:val="auto"/>
          <w:lang w:val="is-IS"/>
        </w:rPr>
        <w:t xml:space="preserve">. Klínískar öryggisupplýsingar gefa til kynna að tíðni háþrýstings sé líklega skammtaháð. Áður en meðferð með </w:t>
      </w:r>
      <w:r w:rsidR="001764F7" w:rsidRPr="00F2274F">
        <w:rPr>
          <w:lang w:val="is-IS"/>
        </w:rPr>
        <w:t>MVASI</w:t>
      </w:r>
      <w:r w:rsidRPr="009F7642">
        <w:rPr>
          <w:color w:val="auto"/>
          <w:lang w:val="is-IS"/>
        </w:rPr>
        <w:t xml:space="preserve"> hefst þarf að ná nægilegri stjórn á fyrirliggjandi háþrýstingi. Engar upplýsingar liggja fyrir um áhrif </w:t>
      </w:r>
      <w:r w:rsidR="00690564" w:rsidRPr="00F2274F">
        <w:rPr>
          <w:lang w:val="is-IS"/>
        </w:rPr>
        <w:t>bevacízú</w:t>
      </w:r>
      <w:r w:rsidR="00091C8E" w:rsidRPr="00F2274F">
        <w:rPr>
          <w:lang w:val="is-IS"/>
        </w:rPr>
        <w:t>mabs</w:t>
      </w:r>
      <w:r w:rsidRPr="009F7642">
        <w:rPr>
          <w:color w:val="auto"/>
          <w:lang w:val="is-IS"/>
        </w:rPr>
        <w:t xml:space="preserve"> á sjúklinga með illa stjórnaðan háþrýsting við upphaf meðferðar. Yfirleitt er mælt með því að fylgst sé með blóðþrýstingi meðan á meðferð stendur.</w:t>
      </w:r>
    </w:p>
    <w:p w14:paraId="312D310B" w14:textId="77777777" w:rsidR="005F36F3" w:rsidRPr="009F7642" w:rsidRDefault="005F36F3" w:rsidP="008B60B2">
      <w:pPr>
        <w:suppressAutoHyphens/>
        <w:spacing w:after="0" w:line="240" w:lineRule="auto"/>
        <w:ind w:left="0" w:firstLine="0"/>
        <w:rPr>
          <w:color w:val="auto"/>
          <w:lang w:val="is-IS"/>
        </w:rPr>
      </w:pPr>
    </w:p>
    <w:p w14:paraId="2DBF52D5"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Yfirleitt náðist nægileg stjórn á háþrýstingi með því að nota hefðbundna meðferð við háþrýstingi sem hentaði viðkomandi sjúklingi í hverju tilviki fyrir sig. Ekki er ráðlagt að nota þvagræsilyf til að meðhöndla háþrýsting hjá sjúklingum sem fá krabbameinslyfjameðferð með císplatínsamböndum. Hætta á </w:t>
      </w:r>
      <w:r w:rsidR="001764F7" w:rsidRPr="00F2274F">
        <w:rPr>
          <w:lang w:val="is-IS"/>
        </w:rPr>
        <w:t>MVASI</w:t>
      </w:r>
      <w:r w:rsidRPr="009F7642">
        <w:rPr>
          <w:color w:val="auto"/>
          <w:lang w:val="is-IS"/>
        </w:rPr>
        <w:t xml:space="preserve"> meðferð til frambúðar ef ekki næst nægileg stjórn á háþrýstingi með meðferð við háþrýstingi eða ef sjúklingur fær háþrýstingskreppu eða háþrýstingsheilakvilla.</w:t>
      </w:r>
    </w:p>
    <w:p w14:paraId="1FD97512" w14:textId="77777777" w:rsidR="005F36F3" w:rsidRPr="009F7642" w:rsidRDefault="005F36F3" w:rsidP="008B60B2">
      <w:pPr>
        <w:suppressAutoHyphens/>
        <w:spacing w:after="0" w:line="240" w:lineRule="auto"/>
        <w:ind w:left="0" w:firstLine="0"/>
        <w:rPr>
          <w:color w:val="auto"/>
          <w:lang w:val="is-IS"/>
        </w:rPr>
      </w:pPr>
    </w:p>
    <w:p w14:paraId="746CF626" w14:textId="1DFDC4AA" w:rsidR="0074294B" w:rsidRPr="009F7642" w:rsidRDefault="003D4A14" w:rsidP="008B60B2">
      <w:pPr>
        <w:keepNext/>
        <w:suppressAutoHyphens/>
        <w:spacing w:after="0" w:line="240" w:lineRule="auto"/>
        <w:ind w:left="0" w:firstLine="0"/>
        <w:rPr>
          <w:color w:val="auto"/>
          <w:u w:val="single"/>
          <w:lang w:val="is-IS"/>
        </w:rPr>
      </w:pPr>
      <w:r>
        <w:rPr>
          <w:color w:val="auto"/>
          <w:u w:val="single"/>
          <w:lang w:val="is-IS"/>
        </w:rPr>
        <w:t>Afturkræft</w:t>
      </w:r>
      <w:r w:rsidRPr="009F7642">
        <w:rPr>
          <w:color w:val="auto"/>
          <w:u w:val="single"/>
          <w:lang w:val="is-IS"/>
        </w:rPr>
        <w:t xml:space="preserve"> </w:t>
      </w:r>
      <w:r>
        <w:rPr>
          <w:color w:val="auto"/>
          <w:u w:val="single"/>
          <w:lang w:val="is-IS"/>
        </w:rPr>
        <w:t xml:space="preserve">aftara </w:t>
      </w:r>
      <w:r w:rsidR="00564614" w:rsidRPr="009F7642">
        <w:rPr>
          <w:color w:val="auto"/>
          <w:u w:val="single"/>
          <w:lang w:val="is-IS"/>
        </w:rPr>
        <w:t>heilakvill</w:t>
      </w:r>
      <w:r>
        <w:rPr>
          <w:color w:val="auto"/>
          <w:u w:val="single"/>
          <w:lang w:val="is-IS"/>
        </w:rPr>
        <w:t>aheilkenni</w:t>
      </w:r>
      <w:r w:rsidR="00564614" w:rsidRPr="009F7642">
        <w:rPr>
          <w:color w:val="auto"/>
          <w:u w:val="single"/>
          <w:lang w:val="is-IS"/>
        </w:rPr>
        <w:t xml:space="preserve"> (</w:t>
      </w:r>
      <w:r w:rsidR="00001B08">
        <w:rPr>
          <w:color w:val="auto"/>
          <w:u w:val="single"/>
          <w:lang w:val="is-IS"/>
        </w:rPr>
        <w:t xml:space="preserve">e. </w:t>
      </w:r>
      <w:r w:rsidR="00001B08" w:rsidRPr="007566FC">
        <w:rPr>
          <w:i/>
          <w:color w:val="auto"/>
          <w:u w:val="single"/>
          <w:lang w:val="is-IS"/>
        </w:rPr>
        <w:t>posterior reversible e</w:t>
      </w:r>
      <w:r w:rsidR="00564614" w:rsidRPr="007566FC">
        <w:rPr>
          <w:i/>
          <w:color w:val="auto"/>
          <w:u w:val="single"/>
          <w:lang w:val="is-IS"/>
        </w:rPr>
        <w:t xml:space="preserve">ncephalopathy </w:t>
      </w:r>
      <w:r w:rsidR="00001B08" w:rsidRPr="007566FC">
        <w:rPr>
          <w:i/>
          <w:color w:val="auto"/>
          <w:u w:val="single"/>
          <w:lang w:val="is-IS"/>
        </w:rPr>
        <w:t>s</w:t>
      </w:r>
      <w:r w:rsidR="00564614" w:rsidRPr="007566FC">
        <w:rPr>
          <w:i/>
          <w:color w:val="auto"/>
          <w:u w:val="single"/>
          <w:lang w:val="is-IS"/>
        </w:rPr>
        <w:t>yndrome</w:t>
      </w:r>
      <w:r w:rsidR="00564614" w:rsidRPr="009F7642">
        <w:rPr>
          <w:color w:val="auto"/>
          <w:u w:val="single"/>
          <w:lang w:val="is-IS"/>
        </w:rPr>
        <w:t>, PRES) (sjá kafla 4.8)</w:t>
      </w:r>
    </w:p>
    <w:p w14:paraId="132BFC01" w14:textId="77777777" w:rsidR="0074294B" w:rsidRPr="009F7642" w:rsidRDefault="0074294B" w:rsidP="008B60B2">
      <w:pPr>
        <w:keepNext/>
        <w:suppressAutoHyphens/>
        <w:spacing w:after="0" w:line="240" w:lineRule="auto"/>
        <w:ind w:left="0" w:firstLine="0"/>
        <w:rPr>
          <w:color w:val="auto"/>
          <w:lang w:val="is-IS"/>
        </w:rPr>
      </w:pPr>
    </w:p>
    <w:p w14:paraId="196F70E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Í</w:t>
      </w:r>
      <w:r w:rsidR="0074294B" w:rsidRPr="009F7642">
        <w:rPr>
          <w:color w:val="auto"/>
          <w:lang w:val="is-IS"/>
        </w:rPr>
        <w:t xml:space="preserve"> </w:t>
      </w:r>
      <w:r w:rsidRPr="009F7642">
        <w:rPr>
          <w:color w:val="auto"/>
          <w:lang w:val="is-IS"/>
        </w:rPr>
        <w:t xml:space="preserve">mjög sjaldgæfum tilvikum hefur verið tilkynnt um að sjúklingar á </w:t>
      </w:r>
      <w:r w:rsidR="00690564" w:rsidRPr="00F2274F">
        <w:rPr>
          <w:lang w:val="is-IS"/>
        </w:rPr>
        <w:t>bevacízú</w:t>
      </w:r>
      <w:r w:rsidR="00FD3DDB" w:rsidRPr="00F2274F">
        <w:rPr>
          <w:lang w:val="is-IS"/>
        </w:rPr>
        <w:t>mab</w:t>
      </w:r>
      <w:r w:rsidRPr="009F7642">
        <w:rPr>
          <w:color w:val="auto"/>
          <w:lang w:val="is-IS"/>
        </w:rPr>
        <w:t xml:space="preserve"> meðferð hafi þróað með sér einkenni sem eru í samræmi við PRES, mjög sjaldgæfan taugasjúkdóm, sem getur meðal annars komið fram með eftirfarandi einkennum: Flog, höfuðverkur, breytt andlegt ástand, sjóntruflanir eða barkarblinda, með eða án tengds háþrýstings. Staðfesta þarf greiningu PRES með myndgreiningu á heila, helst með segulómun (Magnetic Resonance Imaging, MRI). Hjá sjúklingum sem þróa með sér PRES er meðferð einstakra einkenna ráðlögð þ.m.t. stjórnun á háþrýstingi ásamt því að hætta á </w:t>
      </w:r>
      <w:r w:rsidR="001764F7" w:rsidRPr="00F2274F">
        <w:rPr>
          <w:lang w:val="is-IS"/>
        </w:rPr>
        <w:t>MVASI</w:t>
      </w:r>
      <w:r w:rsidRPr="009F7642">
        <w:rPr>
          <w:color w:val="auto"/>
          <w:lang w:val="is-IS"/>
        </w:rPr>
        <w:t xml:space="preserve">. Öryggi þess að hefja aftur </w:t>
      </w:r>
      <w:r w:rsidR="00690564" w:rsidRPr="00F2274F">
        <w:rPr>
          <w:lang w:val="is-IS"/>
        </w:rPr>
        <w:t>bevacízú</w:t>
      </w:r>
      <w:r w:rsidR="00FD3DDB" w:rsidRPr="00F2274F">
        <w:rPr>
          <w:lang w:val="is-IS"/>
        </w:rPr>
        <w:t>mab</w:t>
      </w:r>
      <w:r w:rsidRPr="009F7642">
        <w:rPr>
          <w:color w:val="auto"/>
          <w:lang w:val="is-IS"/>
        </w:rPr>
        <w:t xml:space="preserve"> meðferð hjá sjúklingum sem hafa fengið PRES er ekki þekkt.</w:t>
      </w:r>
    </w:p>
    <w:p w14:paraId="634C27A3" w14:textId="77777777" w:rsidR="005F36F3" w:rsidRPr="009F7642" w:rsidRDefault="005F36F3" w:rsidP="008B60B2">
      <w:pPr>
        <w:suppressAutoHyphens/>
        <w:spacing w:after="0" w:line="240" w:lineRule="auto"/>
        <w:ind w:left="0" w:firstLine="0"/>
        <w:rPr>
          <w:color w:val="auto"/>
          <w:lang w:val="is-IS"/>
        </w:rPr>
      </w:pPr>
    </w:p>
    <w:p w14:paraId="7B99757F"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Prótein í þvagi (sjá kafla 4.8)</w:t>
      </w:r>
    </w:p>
    <w:p w14:paraId="493D8ECF" w14:textId="77777777" w:rsidR="007F14C0" w:rsidRPr="009F7642" w:rsidRDefault="007F14C0" w:rsidP="008B60B2">
      <w:pPr>
        <w:keepNext/>
        <w:suppressAutoHyphens/>
        <w:spacing w:after="0" w:line="240" w:lineRule="auto"/>
        <w:ind w:left="0" w:firstLine="0"/>
        <w:rPr>
          <w:color w:val="auto"/>
          <w:lang w:val="is-IS"/>
        </w:rPr>
      </w:pPr>
    </w:p>
    <w:p w14:paraId="599C76D6"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Sjúklingar með sögu um háþrýsting geta verið í aukinni hættu á að fram komi prótein í þvagi þegar þeir eru meðhöndlaðir með </w:t>
      </w:r>
      <w:r w:rsidR="00690564" w:rsidRPr="00F2274F">
        <w:rPr>
          <w:lang w:val="is-IS"/>
        </w:rPr>
        <w:t>bevacízú</w:t>
      </w:r>
      <w:r w:rsidR="00FD3DDB" w:rsidRPr="00F2274F">
        <w:rPr>
          <w:lang w:val="is-IS"/>
        </w:rPr>
        <w:t>mabi</w:t>
      </w:r>
      <w:r w:rsidRPr="009F7642">
        <w:rPr>
          <w:color w:val="auto"/>
          <w:lang w:val="is-IS"/>
        </w:rPr>
        <w:t>. Vísbendingar eru um að öll stig [Viðmið bandarísku krabbameinsstofnunarinnar um aukaverkanir (NCI-CTCAE, 3.</w:t>
      </w:r>
      <w:r w:rsidR="009210ED">
        <w:rPr>
          <w:color w:val="auto"/>
          <w:lang w:val="is-IS"/>
        </w:rPr>
        <w:t> </w:t>
      </w:r>
      <w:r w:rsidRPr="009F7642">
        <w:rPr>
          <w:color w:val="auto"/>
          <w:lang w:val="is-IS"/>
        </w:rPr>
        <w:t xml:space="preserve">útgáfa)] próteins í þvagi geti verið skammtaháð. Ráðlegt er að fylgjast með próteini í þvagi með strimlagreiningu á þvagi áður en meðferð hefst og meðan á henni stendur. 4. stigs prótein í þvagi (nýrungaheilkenni) sást hjá allt að 1,4% sjúklinga sem fengu meðferð með </w:t>
      </w:r>
      <w:r w:rsidR="00FD3DDB" w:rsidRPr="00F2274F">
        <w:rPr>
          <w:lang w:val="is-IS"/>
        </w:rPr>
        <w:t>bev</w:t>
      </w:r>
      <w:r w:rsidR="00690564" w:rsidRPr="00F2274F">
        <w:rPr>
          <w:lang w:val="is-IS"/>
        </w:rPr>
        <w:t>acízú</w:t>
      </w:r>
      <w:r w:rsidR="00FD3DDB" w:rsidRPr="00F2274F">
        <w:rPr>
          <w:lang w:val="is-IS"/>
        </w:rPr>
        <w:t>mabi</w:t>
      </w:r>
      <w:r w:rsidRPr="009F7642">
        <w:rPr>
          <w:color w:val="auto"/>
          <w:lang w:val="is-IS"/>
        </w:rPr>
        <w:t>. Stöðva á varanlega meðferð hjá sjúklingum sem þróa með sér nýrungaheilkenni (NCI-CTCAE, 3.</w:t>
      </w:r>
      <w:r w:rsidR="009210ED">
        <w:rPr>
          <w:color w:val="auto"/>
          <w:lang w:val="is-IS"/>
        </w:rPr>
        <w:t> </w:t>
      </w:r>
      <w:r w:rsidRPr="009F7642">
        <w:rPr>
          <w:color w:val="auto"/>
          <w:lang w:val="is-IS"/>
        </w:rPr>
        <w:t>útg.).</w:t>
      </w:r>
    </w:p>
    <w:p w14:paraId="6287CF33" w14:textId="77777777" w:rsidR="005F36F3" w:rsidRPr="009F7642" w:rsidRDefault="005F36F3" w:rsidP="008B60B2">
      <w:pPr>
        <w:suppressAutoHyphens/>
        <w:spacing w:after="0" w:line="240" w:lineRule="auto"/>
        <w:ind w:left="0" w:firstLine="0"/>
        <w:rPr>
          <w:color w:val="auto"/>
          <w:lang w:val="is-IS"/>
        </w:rPr>
      </w:pPr>
    </w:p>
    <w:p w14:paraId="0F24C11B"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Segarek í slagæðum (sjá kafla 4.8)</w:t>
      </w:r>
    </w:p>
    <w:p w14:paraId="1010D9AA" w14:textId="77777777" w:rsidR="007F14C0" w:rsidRPr="009F7642" w:rsidRDefault="007F14C0" w:rsidP="008B60B2">
      <w:pPr>
        <w:keepNext/>
        <w:suppressAutoHyphens/>
        <w:spacing w:after="0" w:line="240" w:lineRule="auto"/>
        <w:ind w:left="0" w:firstLine="0"/>
        <w:rPr>
          <w:color w:val="auto"/>
          <w:lang w:val="is-IS"/>
        </w:rPr>
      </w:pPr>
    </w:p>
    <w:p w14:paraId="717B12B7"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klínískum rannsóknum var tíðni segareksáfalla í slagæðum að meðtöldu heilablóðfalli (CVA, cerebrovascular accident), skammvinnu blóðþurrðarkasti (TIA, transient ischemic attack) og hjartadrepi (MI, myocardial infarction) hærri hjá sjúklingum sem fengu </w:t>
      </w:r>
      <w:r w:rsidR="00690564" w:rsidRPr="00F2274F">
        <w:rPr>
          <w:lang w:val="is-IS"/>
        </w:rPr>
        <w:t>bevacízú</w:t>
      </w:r>
      <w:r w:rsidR="00FD3DDB" w:rsidRPr="00F2274F">
        <w:rPr>
          <w:lang w:val="is-IS"/>
        </w:rPr>
        <w:t>mab</w:t>
      </w:r>
      <w:r w:rsidRPr="009F7642">
        <w:rPr>
          <w:color w:val="auto"/>
          <w:lang w:val="is-IS"/>
        </w:rPr>
        <w:t xml:space="preserve"> ásamt krabbameinslyfjameðferð en hjá þeim sem fengu krabbameinslyfjameðferðina eina sér.</w:t>
      </w:r>
    </w:p>
    <w:p w14:paraId="1989ED05" w14:textId="77777777" w:rsidR="005F36F3" w:rsidRPr="009F7642" w:rsidRDefault="005F36F3" w:rsidP="008B60B2">
      <w:pPr>
        <w:suppressAutoHyphens/>
        <w:spacing w:after="0" w:line="240" w:lineRule="auto"/>
        <w:ind w:left="0" w:firstLine="0"/>
        <w:rPr>
          <w:color w:val="auto"/>
          <w:lang w:val="is-IS"/>
        </w:rPr>
      </w:pPr>
    </w:p>
    <w:p w14:paraId="5B569A14"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Ef sjúklingar sem fá </w:t>
      </w:r>
      <w:r w:rsidR="00690564" w:rsidRPr="00F2274F">
        <w:rPr>
          <w:lang w:val="is-IS"/>
        </w:rPr>
        <w:t>bevacízú</w:t>
      </w:r>
      <w:r w:rsidR="00FD3DDB" w:rsidRPr="00F2274F">
        <w:rPr>
          <w:lang w:val="is-IS"/>
        </w:rPr>
        <w:t>mab</w:t>
      </w:r>
      <w:r w:rsidRPr="009F7642">
        <w:rPr>
          <w:color w:val="auto"/>
          <w:lang w:val="is-IS"/>
        </w:rPr>
        <w:t xml:space="preserve"> auk krabbameinslyfjameðferðar eru með fyrri sögu um segarek í slagæðum, sykursýki eða eru eldri en 65 ára, eru þeir í aukinni hættu á að fá segareksáföll í slagæðum meðan á meðferð stendur. Fara á varlega í að meðhöndla slíka sjúklinga með </w:t>
      </w:r>
      <w:r w:rsidR="001764F7" w:rsidRPr="00F2274F">
        <w:rPr>
          <w:lang w:val="sv-SE"/>
        </w:rPr>
        <w:t>MVASI</w:t>
      </w:r>
      <w:r w:rsidRPr="009F7642">
        <w:rPr>
          <w:color w:val="auto"/>
          <w:lang w:val="is-IS"/>
        </w:rPr>
        <w:t>.</w:t>
      </w:r>
    </w:p>
    <w:p w14:paraId="2461D320" w14:textId="77777777" w:rsidR="005F36F3" w:rsidRPr="009F7642" w:rsidRDefault="005F36F3" w:rsidP="008B60B2">
      <w:pPr>
        <w:suppressAutoHyphens/>
        <w:spacing w:after="0" w:line="240" w:lineRule="auto"/>
        <w:ind w:left="0" w:firstLine="0"/>
        <w:rPr>
          <w:color w:val="auto"/>
          <w:lang w:val="is-IS"/>
        </w:rPr>
      </w:pPr>
    </w:p>
    <w:p w14:paraId="57ED2EA4"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Hætta á meðferð alfarið hjá sjúklingum sem fá segareksáföll í slagæðum.</w:t>
      </w:r>
    </w:p>
    <w:p w14:paraId="41233660" w14:textId="77777777" w:rsidR="005F36F3" w:rsidRPr="009F7642" w:rsidRDefault="005F36F3" w:rsidP="008B60B2">
      <w:pPr>
        <w:suppressAutoHyphens/>
        <w:spacing w:after="0" w:line="240" w:lineRule="auto"/>
        <w:ind w:left="0" w:firstLine="0"/>
        <w:rPr>
          <w:color w:val="auto"/>
          <w:lang w:val="is-IS"/>
        </w:rPr>
      </w:pPr>
    </w:p>
    <w:p w14:paraId="7EE9D0D2"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Segarek í bláæðum (sjá kafla 4.8)</w:t>
      </w:r>
    </w:p>
    <w:p w14:paraId="6AFD0139" w14:textId="77777777" w:rsidR="004F3F41" w:rsidRPr="009F7642" w:rsidRDefault="004F3F41" w:rsidP="008B60B2">
      <w:pPr>
        <w:keepNext/>
        <w:suppressAutoHyphens/>
        <w:spacing w:after="0" w:line="240" w:lineRule="auto"/>
        <w:ind w:left="0" w:firstLine="0"/>
        <w:rPr>
          <w:color w:val="auto"/>
          <w:lang w:val="is-IS"/>
        </w:rPr>
      </w:pPr>
    </w:p>
    <w:p w14:paraId="0724C825" w14:textId="77777777" w:rsidR="00FD3DDB" w:rsidRDefault="00564614" w:rsidP="008B60B2">
      <w:pPr>
        <w:suppressAutoHyphens/>
        <w:spacing w:after="0" w:line="240" w:lineRule="auto"/>
        <w:ind w:left="0" w:firstLine="0"/>
        <w:rPr>
          <w:color w:val="auto"/>
          <w:lang w:val="is-IS"/>
        </w:rPr>
      </w:pPr>
      <w:r w:rsidRPr="009F7642">
        <w:rPr>
          <w:color w:val="auto"/>
          <w:lang w:val="is-IS"/>
        </w:rPr>
        <w:t xml:space="preserve">Sjúklingar á </w:t>
      </w:r>
      <w:r w:rsidR="00690564" w:rsidRPr="00F2274F">
        <w:rPr>
          <w:lang w:val="is-IS"/>
        </w:rPr>
        <w:t>bevacízú</w:t>
      </w:r>
      <w:r w:rsidR="00FD3DDB" w:rsidRPr="00F2274F">
        <w:rPr>
          <w:lang w:val="is-IS"/>
        </w:rPr>
        <w:t>mab</w:t>
      </w:r>
      <w:r w:rsidRPr="009F7642">
        <w:rPr>
          <w:color w:val="auto"/>
          <w:lang w:val="is-IS"/>
        </w:rPr>
        <w:t xml:space="preserve"> meðferð geta átt á hættu að fá segareksáföll að meðtöldu lungnablóðreki. </w:t>
      </w:r>
    </w:p>
    <w:p w14:paraId="291EDE3A" w14:textId="77777777" w:rsidR="00FD3DDB" w:rsidRDefault="00FD3DDB" w:rsidP="008B60B2">
      <w:pPr>
        <w:suppressAutoHyphens/>
        <w:spacing w:after="0" w:line="240" w:lineRule="auto"/>
        <w:ind w:left="0" w:firstLine="0"/>
        <w:rPr>
          <w:color w:val="auto"/>
          <w:lang w:val="is-IS"/>
        </w:rPr>
      </w:pPr>
    </w:p>
    <w:p w14:paraId="2040260C" w14:textId="77777777" w:rsidR="00E5566F" w:rsidRDefault="00564614" w:rsidP="008B60B2">
      <w:pPr>
        <w:suppressAutoHyphens/>
        <w:spacing w:after="0" w:line="240" w:lineRule="auto"/>
        <w:ind w:left="0" w:firstLine="0"/>
        <w:rPr>
          <w:color w:val="auto"/>
          <w:lang w:val="is-IS"/>
        </w:rPr>
      </w:pPr>
      <w:r w:rsidRPr="009F7642">
        <w:rPr>
          <w:color w:val="auto"/>
          <w:lang w:val="is-IS"/>
        </w:rPr>
        <w:t xml:space="preserve">Sjúklingar sem fá meðferð með </w:t>
      </w:r>
      <w:r w:rsidR="00690564" w:rsidRPr="00F2274F">
        <w:rPr>
          <w:lang w:val="is-IS"/>
        </w:rPr>
        <w:t>bevacízú</w:t>
      </w:r>
      <w:r w:rsidR="00E5566F" w:rsidRPr="00F2274F">
        <w:rPr>
          <w:lang w:val="is-IS"/>
        </w:rPr>
        <w:t>mabi</w:t>
      </w:r>
      <w:r w:rsidRPr="009F7642">
        <w:rPr>
          <w:color w:val="auto"/>
          <w:lang w:val="is-IS"/>
        </w:rPr>
        <w:t xml:space="preserve"> ásamt paklítaxeli og cisplatíni við krabbameini í leghálsi sem er þrálátt og endurkomið eða með meinvörpum geta verið í aukinni hættu á segareki í bláæðum. </w:t>
      </w:r>
    </w:p>
    <w:p w14:paraId="58005F11" w14:textId="77777777" w:rsidR="009B65F8" w:rsidRDefault="009B65F8" w:rsidP="008B60B2">
      <w:pPr>
        <w:suppressAutoHyphens/>
        <w:spacing w:after="0" w:line="240" w:lineRule="auto"/>
        <w:ind w:left="0" w:firstLine="0"/>
        <w:rPr>
          <w:color w:val="auto"/>
          <w:lang w:val="is-IS"/>
        </w:rPr>
      </w:pPr>
    </w:p>
    <w:p w14:paraId="214BFEAC" w14:textId="77777777" w:rsidR="006C06D6" w:rsidRPr="009F7642" w:rsidRDefault="00564614" w:rsidP="008B60B2">
      <w:pPr>
        <w:suppressAutoHyphens/>
        <w:spacing w:after="0" w:line="240" w:lineRule="auto"/>
        <w:ind w:left="0" w:firstLine="0"/>
        <w:rPr>
          <w:color w:val="auto"/>
          <w:lang w:val="is-IS"/>
        </w:rPr>
      </w:pPr>
      <w:r w:rsidRPr="00796078">
        <w:rPr>
          <w:color w:val="auto"/>
          <w:lang w:val="is-IS"/>
        </w:rPr>
        <w:lastRenderedPageBreak/>
        <w:t>Stöðva</w:t>
      </w:r>
      <w:r w:rsidRPr="009F7642">
        <w:rPr>
          <w:color w:val="auto"/>
          <w:lang w:val="is-IS"/>
        </w:rPr>
        <w:t xml:space="preserve"> skal meðferð </w:t>
      </w:r>
      <w:r w:rsidR="00E5566F">
        <w:rPr>
          <w:color w:val="auto"/>
          <w:lang w:val="is-IS"/>
        </w:rPr>
        <w:t xml:space="preserve">með </w:t>
      </w:r>
      <w:r w:rsidR="001764F7" w:rsidRPr="00F2274F">
        <w:rPr>
          <w:lang w:val="is-IS"/>
        </w:rPr>
        <w:t>MVASI</w:t>
      </w:r>
      <w:r w:rsidR="00E5566F" w:rsidRPr="009F7642">
        <w:rPr>
          <w:color w:val="auto"/>
          <w:lang w:val="is-IS"/>
        </w:rPr>
        <w:t xml:space="preserve"> </w:t>
      </w:r>
      <w:r w:rsidRPr="009F7642">
        <w:rPr>
          <w:color w:val="auto"/>
          <w:lang w:val="is-IS"/>
        </w:rPr>
        <w:t>hjá sjúklingum með lífshættulegt (4.</w:t>
      </w:r>
      <w:r w:rsidR="009210ED">
        <w:rPr>
          <w:color w:val="auto"/>
          <w:lang w:val="is-IS"/>
        </w:rPr>
        <w:t> </w:t>
      </w:r>
      <w:r w:rsidRPr="009F7642">
        <w:rPr>
          <w:color w:val="auto"/>
          <w:lang w:val="is-IS"/>
        </w:rPr>
        <w:t>stig) segarek, þ.m.t. lungnablóðrek (NCI</w:t>
      </w:r>
      <w:r w:rsidR="008B6845" w:rsidRPr="009F7642">
        <w:rPr>
          <w:color w:val="auto"/>
          <w:lang w:val="is-IS"/>
        </w:rPr>
        <w:noBreakHyphen/>
      </w:r>
      <w:r w:rsidRPr="009F7642">
        <w:rPr>
          <w:color w:val="auto"/>
          <w:lang w:val="is-IS"/>
        </w:rPr>
        <w:t>CTCAE, 3.</w:t>
      </w:r>
      <w:r w:rsidR="009210ED">
        <w:rPr>
          <w:color w:val="auto"/>
          <w:lang w:val="is-IS"/>
        </w:rPr>
        <w:t> </w:t>
      </w:r>
      <w:r w:rsidRPr="009F7642">
        <w:rPr>
          <w:color w:val="auto"/>
          <w:lang w:val="is-IS"/>
        </w:rPr>
        <w:t>útg.). Fylgjast þarf vandlega með sjúklingum með segarek sem er ≤</w:t>
      </w:r>
      <w:r w:rsidR="00FA378A">
        <w:rPr>
          <w:color w:val="auto"/>
          <w:lang w:val="is-IS"/>
        </w:rPr>
        <w:t> 3.</w:t>
      </w:r>
      <w:r w:rsidR="006D3BE4">
        <w:rPr>
          <w:color w:val="auto"/>
          <w:lang w:val="is-IS"/>
        </w:rPr>
        <w:t> </w:t>
      </w:r>
      <w:r w:rsidR="00FA378A">
        <w:rPr>
          <w:color w:val="auto"/>
          <w:lang w:val="is-IS"/>
        </w:rPr>
        <w:t>stig (NCI</w:t>
      </w:r>
      <w:r w:rsidR="00FA378A">
        <w:rPr>
          <w:color w:val="auto"/>
          <w:lang w:val="is-IS"/>
        </w:rPr>
        <w:noBreakHyphen/>
      </w:r>
      <w:r w:rsidRPr="009F7642">
        <w:rPr>
          <w:color w:val="auto"/>
          <w:lang w:val="is-IS"/>
        </w:rPr>
        <w:t>CTCAE, 3.</w:t>
      </w:r>
      <w:r w:rsidR="00B04314">
        <w:rPr>
          <w:color w:val="auto"/>
          <w:lang w:val="is-IS"/>
        </w:rPr>
        <w:t> </w:t>
      </w:r>
      <w:r w:rsidRPr="009F7642">
        <w:rPr>
          <w:color w:val="auto"/>
          <w:lang w:val="is-IS"/>
        </w:rPr>
        <w:t>útg.).</w:t>
      </w:r>
    </w:p>
    <w:p w14:paraId="7B75CABF" w14:textId="77777777" w:rsidR="005F36F3" w:rsidRPr="009F7642" w:rsidRDefault="005F36F3" w:rsidP="008B60B2">
      <w:pPr>
        <w:suppressAutoHyphens/>
        <w:spacing w:after="0" w:line="240" w:lineRule="auto"/>
        <w:ind w:left="0" w:firstLine="0"/>
        <w:rPr>
          <w:color w:val="auto"/>
          <w:lang w:val="is-IS"/>
        </w:rPr>
      </w:pPr>
    </w:p>
    <w:p w14:paraId="70EFFF6A" w14:textId="77777777" w:rsidR="005F36F3"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Blæðing</w:t>
      </w:r>
    </w:p>
    <w:p w14:paraId="4226736E" w14:textId="77777777" w:rsidR="005D6622" w:rsidRPr="009F7642" w:rsidRDefault="005D6622" w:rsidP="008B60B2">
      <w:pPr>
        <w:keepNext/>
        <w:suppressAutoHyphens/>
        <w:spacing w:after="0" w:line="240" w:lineRule="auto"/>
        <w:ind w:left="0" w:firstLine="0"/>
        <w:rPr>
          <w:color w:val="auto"/>
          <w:lang w:val="is-IS"/>
        </w:rPr>
      </w:pPr>
    </w:p>
    <w:p w14:paraId="5827086B"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Sjúklingar sem fá </w:t>
      </w:r>
      <w:r w:rsidR="00690564" w:rsidRPr="00F2274F">
        <w:rPr>
          <w:lang w:val="is-IS"/>
        </w:rPr>
        <w:t>bevacízú</w:t>
      </w:r>
      <w:r w:rsidR="00E5566F" w:rsidRPr="00F2274F">
        <w:rPr>
          <w:lang w:val="is-IS"/>
        </w:rPr>
        <w:t>mab</w:t>
      </w:r>
      <w:r w:rsidRPr="009F7642">
        <w:rPr>
          <w:color w:val="auto"/>
          <w:lang w:val="is-IS"/>
        </w:rPr>
        <w:t xml:space="preserve"> eru í aukinni hættu á blæðingu, einkum æxlistengdri blæðingu. Hætta á alfarið að nota </w:t>
      </w:r>
      <w:r w:rsidR="001764F7" w:rsidRPr="00F2274F">
        <w:rPr>
          <w:lang w:val="is-IS"/>
        </w:rPr>
        <w:t>MVASI</w:t>
      </w:r>
      <w:r w:rsidRPr="009F7642">
        <w:rPr>
          <w:color w:val="auto"/>
          <w:lang w:val="is-IS"/>
        </w:rPr>
        <w:t xml:space="preserve"> hjá sjúklingum sem fá 3. eða 4.</w:t>
      </w:r>
      <w:r w:rsidR="00B04314">
        <w:rPr>
          <w:color w:val="auto"/>
          <w:lang w:val="is-IS"/>
        </w:rPr>
        <w:t> </w:t>
      </w:r>
      <w:r w:rsidRPr="009F7642">
        <w:rPr>
          <w:color w:val="auto"/>
          <w:lang w:val="is-IS"/>
        </w:rPr>
        <w:t>stigs blæðingu (NCI-CTCAE, 3.</w:t>
      </w:r>
      <w:r w:rsidR="00B04314">
        <w:rPr>
          <w:color w:val="auto"/>
          <w:lang w:val="is-IS"/>
        </w:rPr>
        <w:t> </w:t>
      </w:r>
      <w:r w:rsidRPr="009F7642">
        <w:rPr>
          <w:color w:val="auto"/>
          <w:lang w:val="is-IS"/>
        </w:rPr>
        <w:t xml:space="preserve">útg.) meðan á </w:t>
      </w:r>
      <w:r w:rsidR="00690564" w:rsidRPr="00F2274F">
        <w:rPr>
          <w:lang w:val="is-IS"/>
        </w:rPr>
        <w:t>bevacízú</w:t>
      </w:r>
      <w:r w:rsidR="00E5566F" w:rsidRPr="00F2274F">
        <w:rPr>
          <w:lang w:val="is-IS"/>
        </w:rPr>
        <w:t>mab</w:t>
      </w:r>
      <w:r w:rsidRPr="009F7642">
        <w:rPr>
          <w:color w:val="auto"/>
          <w:lang w:val="is-IS"/>
        </w:rPr>
        <w:t xml:space="preserve"> meðferð stendur (sjá kafla 4.8).</w:t>
      </w:r>
    </w:p>
    <w:p w14:paraId="6C7AD952" w14:textId="77777777" w:rsidR="005F36F3" w:rsidRPr="009F7642" w:rsidRDefault="005F36F3" w:rsidP="008B60B2">
      <w:pPr>
        <w:suppressAutoHyphens/>
        <w:spacing w:after="0" w:line="240" w:lineRule="auto"/>
        <w:ind w:left="0" w:firstLine="0"/>
        <w:rPr>
          <w:color w:val="auto"/>
          <w:lang w:val="is-IS"/>
        </w:rPr>
      </w:pPr>
    </w:p>
    <w:p w14:paraId="3FF00092"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Sjúklingar með ómeðhöndluð meinvörp í miðtaugakerfi voru kerfisbundið útilokaðir frá klínískum rannsóknum á </w:t>
      </w:r>
      <w:r w:rsidR="00690564" w:rsidRPr="00F2274F">
        <w:rPr>
          <w:lang w:val="is-IS"/>
        </w:rPr>
        <w:t>bevacízú</w:t>
      </w:r>
      <w:r w:rsidR="00E5566F" w:rsidRPr="00F2274F">
        <w:rPr>
          <w:lang w:val="is-IS"/>
        </w:rPr>
        <w:t>mabi</w:t>
      </w:r>
      <w:r w:rsidRPr="009F7642">
        <w:rPr>
          <w:color w:val="auto"/>
          <w:lang w:val="is-IS"/>
        </w:rPr>
        <w:t xml:space="preserve"> á grundvelli myndgreiningar eða einkenna. Því hefur hættan á blæðingu í miðtaugakerfi hjá slíkum sjúklingum ekki verið metin framvirkt í slembiröðuðum klínískum rannsóknum (sjá kafla 4.8). Fylgjast á með einkennum blæðingar í miðtaugakerfi hjá sjúklingum og stöðva meðferð með </w:t>
      </w:r>
      <w:r w:rsidR="001764F7" w:rsidRPr="00F2274F">
        <w:rPr>
          <w:lang w:val="is-IS"/>
        </w:rPr>
        <w:t>MVASI</w:t>
      </w:r>
      <w:r w:rsidRPr="009F7642">
        <w:rPr>
          <w:color w:val="auto"/>
          <w:lang w:val="is-IS"/>
        </w:rPr>
        <w:t>, komi til innankúpublæðingar.</w:t>
      </w:r>
    </w:p>
    <w:p w14:paraId="7552BC86" w14:textId="77777777" w:rsidR="005F36F3" w:rsidRPr="009F7642" w:rsidRDefault="005F36F3" w:rsidP="008B60B2">
      <w:pPr>
        <w:suppressAutoHyphens/>
        <w:spacing w:after="0" w:line="240" w:lineRule="auto"/>
        <w:ind w:left="0" w:firstLine="0"/>
        <w:rPr>
          <w:color w:val="auto"/>
          <w:lang w:val="is-IS"/>
        </w:rPr>
      </w:pPr>
    </w:p>
    <w:p w14:paraId="02175892"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Engar upplýsingar liggja fyrir </w:t>
      </w:r>
      <w:r w:rsidRPr="00796078">
        <w:rPr>
          <w:color w:val="auto"/>
          <w:lang w:val="is-IS"/>
        </w:rPr>
        <w:t xml:space="preserve">um öryggi </w:t>
      </w:r>
      <w:r w:rsidR="00690564" w:rsidRPr="00F2274F">
        <w:rPr>
          <w:lang w:val="is-IS"/>
        </w:rPr>
        <w:t>bevacízúmab</w:t>
      </w:r>
      <w:r w:rsidR="00E5566F" w:rsidRPr="00F2274F">
        <w:rPr>
          <w:lang w:val="is-IS"/>
        </w:rPr>
        <w:t>s</w:t>
      </w:r>
      <w:r w:rsidRPr="009F7642">
        <w:rPr>
          <w:color w:val="auto"/>
          <w:lang w:val="is-IS"/>
        </w:rPr>
        <w:t xml:space="preserve"> hjá sjúklingum með meðfædda blæðingarhneigð, áunninn storkukvilla eða sjúklingum sem fá fullan skammt af segavarnarlyfjum til meðferðar við segareki áður en meðferð með </w:t>
      </w:r>
      <w:r w:rsidR="00690564" w:rsidRPr="00F2274F">
        <w:rPr>
          <w:lang w:val="is-IS"/>
        </w:rPr>
        <w:t>bevacízúmab</w:t>
      </w:r>
      <w:r w:rsidR="00E5566F" w:rsidRPr="00F2274F">
        <w:rPr>
          <w:lang w:val="is-IS"/>
        </w:rPr>
        <w:t>i</w:t>
      </w:r>
      <w:r w:rsidRPr="009F7642">
        <w:rPr>
          <w:color w:val="auto"/>
          <w:lang w:val="is-IS"/>
        </w:rPr>
        <w:t xml:space="preserve"> hefst, þar sem slíkir sjúklingar voru útilokaðir frá þátttöku í klínískum rannsóknum. Því á að gæta varúðar áður en meðferð er hafin hjá þessum sjúklingum. Sjúklingar sem mynduðu sega í bláæðum meðan þeir fengu meðferð virtust þó ekki fá 3.</w:t>
      </w:r>
      <w:r w:rsidR="009210ED">
        <w:rPr>
          <w:color w:val="auto"/>
          <w:lang w:val="is-IS"/>
        </w:rPr>
        <w:t> </w:t>
      </w:r>
      <w:r w:rsidRPr="009F7642">
        <w:rPr>
          <w:color w:val="auto"/>
          <w:lang w:val="is-IS"/>
        </w:rPr>
        <w:t xml:space="preserve">stigs blæðingu eða verri í auknum mæli þegar þeir fengu fullan skammt af warfaríni og </w:t>
      </w:r>
      <w:r w:rsidR="00690564" w:rsidRPr="00F2274F">
        <w:rPr>
          <w:lang w:val="is-IS"/>
        </w:rPr>
        <w:t>bevacízúmab</w:t>
      </w:r>
      <w:r w:rsidR="00E5566F" w:rsidRPr="00F2274F">
        <w:rPr>
          <w:lang w:val="is-IS"/>
        </w:rPr>
        <w:t>i</w:t>
      </w:r>
      <w:r w:rsidRPr="009F7642">
        <w:rPr>
          <w:color w:val="auto"/>
          <w:lang w:val="is-IS"/>
        </w:rPr>
        <w:t xml:space="preserve"> samhliða (NCI-CTCAE, 3.</w:t>
      </w:r>
      <w:r w:rsidR="00B04314">
        <w:rPr>
          <w:color w:val="auto"/>
          <w:lang w:val="is-IS"/>
        </w:rPr>
        <w:t> </w:t>
      </w:r>
      <w:r w:rsidRPr="009F7642">
        <w:rPr>
          <w:color w:val="auto"/>
          <w:lang w:val="is-IS"/>
        </w:rPr>
        <w:t>útg.).</w:t>
      </w:r>
    </w:p>
    <w:p w14:paraId="54AD7E21" w14:textId="77777777" w:rsidR="005F36F3" w:rsidRPr="009F7642" w:rsidRDefault="005F36F3" w:rsidP="008B60B2">
      <w:pPr>
        <w:suppressAutoHyphens/>
        <w:spacing w:after="0" w:line="240" w:lineRule="auto"/>
        <w:ind w:left="0" w:firstLine="0"/>
        <w:rPr>
          <w:color w:val="auto"/>
          <w:lang w:val="is-IS"/>
        </w:rPr>
      </w:pPr>
    </w:p>
    <w:p w14:paraId="1ECC8E76"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Lungnablæðing/</w:t>
      </w:r>
      <w:r w:rsidR="009B65F8" w:rsidRPr="00796078">
        <w:rPr>
          <w:color w:val="auto"/>
          <w:u w:val="single"/>
          <w:lang w:val="is-IS"/>
        </w:rPr>
        <w:t>blóðhósti</w:t>
      </w:r>
    </w:p>
    <w:p w14:paraId="28820083" w14:textId="77777777" w:rsidR="00BE55AC" w:rsidRPr="009F7642" w:rsidRDefault="00BE55AC" w:rsidP="008B60B2">
      <w:pPr>
        <w:keepNext/>
        <w:suppressAutoHyphens/>
        <w:spacing w:after="0" w:line="240" w:lineRule="auto"/>
        <w:ind w:left="0" w:firstLine="0"/>
        <w:rPr>
          <w:color w:val="auto"/>
          <w:lang w:val="is-IS"/>
        </w:rPr>
      </w:pPr>
    </w:p>
    <w:p w14:paraId="1E5A6B8C"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Ef sjúklingar með lungnakrabbamein sem er ekki af smáfrumugerð fá </w:t>
      </w:r>
      <w:r w:rsidR="00690564" w:rsidRPr="00F2274F">
        <w:rPr>
          <w:lang w:val="is-IS"/>
        </w:rPr>
        <w:t>bevacízúmab</w:t>
      </w:r>
      <w:r w:rsidRPr="009F7642">
        <w:rPr>
          <w:color w:val="auto"/>
          <w:lang w:val="is-IS"/>
        </w:rPr>
        <w:t>, geta þeir átt á hættu alvarlega og stundum banvæna lungnablæðingu/</w:t>
      </w:r>
      <w:r w:rsidR="009B65F8" w:rsidRPr="00796078">
        <w:rPr>
          <w:color w:val="auto"/>
          <w:lang w:val="is-IS"/>
        </w:rPr>
        <w:t>blóðhóst</w:t>
      </w:r>
      <w:r w:rsidR="009B65F8">
        <w:rPr>
          <w:color w:val="auto"/>
          <w:lang w:val="is-IS"/>
        </w:rPr>
        <w:t>a</w:t>
      </w:r>
      <w:r w:rsidRPr="009F7642">
        <w:rPr>
          <w:color w:val="auto"/>
          <w:lang w:val="is-IS"/>
        </w:rPr>
        <w:t>. Sjúklingum með nýlega lun</w:t>
      </w:r>
      <w:r w:rsidR="009D2BA1" w:rsidRPr="009F7642">
        <w:rPr>
          <w:color w:val="auto"/>
          <w:lang w:val="is-IS"/>
        </w:rPr>
        <w:t>gnablæðingu/</w:t>
      </w:r>
      <w:r w:rsidR="009D2BA1" w:rsidRPr="00796078">
        <w:rPr>
          <w:color w:val="auto"/>
          <w:lang w:val="is-IS"/>
        </w:rPr>
        <w:t>blóð</w:t>
      </w:r>
      <w:r w:rsidR="009B65F8" w:rsidRPr="00796078">
        <w:rPr>
          <w:color w:val="auto"/>
          <w:lang w:val="is-IS"/>
        </w:rPr>
        <w:t>hósta</w:t>
      </w:r>
      <w:r w:rsidR="009D2BA1" w:rsidRPr="009F7642">
        <w:rPr>
          <w:color w:val="auto"/>
          <w:lang w:val="is-IS"/>
        </w:rPr>
        <w:t xml:space="preserve"> (</w:t>
      </w:r>
      <w:r w:rsidR="009F75ED">
        <w:rPr>
          <w:color w:val="auto"/>
          <w:lang w:val="is-IS"/>
        </w:rPr>
        <w:t>&gt; </w:t>
      </w:r>
      <w:r w:rsidR="009D2BA1" w:rsidRPr="009F7642">
        <w:rPr>
          <w:color w:val="auto"/>
          <w:lang w:val="is-IS"/>
        </w:rPr>
        <w:t>2,5 </w:t>
      </w:r>
      <w:r w:rsidRPr="009F7642">
        <w:rPr>
          <w:color w:val="auto"/>
          <w:lang w:val="is-IS"/>
        </w:rPr>
        <w:t xml:space="preserve">ml af rauðu blóði) á ekki að gefa </w:t>
      </w:r>
      <w:r w:rsidR="00690564" w:rsidRPr="00F2274F">
        <w:rPr>
          <w:lang w:val="is-IS"/>
        </w:rPr>
        <w:t>bevacízúmab</w:t>
      </w:r>
      <w:r w:rsidRPr="009F7642">
        <w:rPr>
          <w:color w:val="auto"/>
          <w:lang w:val="is-IS"/>
        </w:rPr>
        <w:t>.</w:t>
      </w:r>
    </w:p>
    <w:p w14:paraId="0DDC980E" w14:textId="77777777" w:rsidR="005F36F3" w:rsidRPr="009F7642" w:rsidRDefault="005F36F3" w:rsidP="008B60B2">
      <w:pPr>
        <w:suppressAutoHyphens/>
        <w:spacing w:after="0" w:line="240" w:lineRule="auto"/>
        <w:ind w:left="0" w:firstLine="0"/>
        <w:rPr>
          <w:color w:val="auto"/>
          <w:lang w:val="is-IS"/>
        </w:rPr>
      </w:pPr>
    </w:p>
    <w:p w14:paraId="62C1FB6B"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Hjartabilun (sjá kafla 4.8)</w:t>
      </w:r>
    </w:p>
    <w:p w14:paraId="46D729C3" w14:textId="77777777" w:rsidR="00BE55AC" w:rsidRPr="009F7642" w:rsidRDefault="00BE55AC" w:rsidP="008B60B2">
      <w:pPr>
        <w:keepNext/>
        <w:suppressAutoHyphens/>
        <w:spacing w:after="0" w:line="240" w:lineRule="auto"/>
        <w:ind w:left="0" w:firstLine="0"/>
        <w:rPr>
          <w:color w:val="auto"/>
          <w:lang w:val="is-IS"/>
        </w:rPr>
      </w:pPr>
    </w:p>
    <w:p w14:paraId="4769FB46"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klínískum rannsóknum var tilkynnt um atvik sem koma heim og saman við hjartabilun. Þau voru allt frá </w:t>
      </w:r>
      <w:r w:rsidRPr="00796078">
        <w:rPr>
          <w:color w:val="auto"/>
          <w:lang w:val="is-IS"/>
        </w:rPr>
        <w:t>einkennalaus</w:t>
      </w:r>
      <w:r w:rsidR="00826FED" w:rsidRPr="00796078">
        <w:rPr>
          <w:color w:val="auto"/>
          <w:lang w:val="is-IS"/>
        </w:rPr>
        <w:t>ri</w:t>
      </w:r>
      <w:r w:rsidRPr="00796078">
        <w:rPr>
          <w:color w:val="auto"/>
          <w:lang w:val="is-IS"/>
        </w:rPr>
        <w:t xml:space="preserve"> minnkun</w:t>
      </w:r>
      <w:r w:rsidRPr="009F7642">
        <w:rPr>
          <w:color w:val="auto"/>
          <w:lang w:val="is-IS"/>
        </w:rPr>
        <w:t xml:space="preserve"> á tæmingarhlutfalli (ejection fraction) vinstri slegils yfir í hjartabilun með einkennum sem kallaði á meðferð eða sjúkrahúsinnlögn. Gæta skal varúðar þegar </w:t>
      </w:r>
      <w:r w:rsidR="00690564" w:rsidRPr="00F2274F">
        <w:rPr>
          <w:lang w:val="is-IS"/>
        </w:rPr>
        <w:t>bevacízúmab</w:t>
      </w:r>
      <w:r w:rsidRPr="009F7642">
        <w:rPr>
          <w:color w:val="auto"/>
          <w:lang w:val="is-IS"/>
        </w:rPr>
        <w:t xml:space="preserve"> er gefið sjúklingum með klínískt mikilvægan hjarta- og æðasjúkdóm eins og fyrirliggjandi kransæðasjúkdóm eða hjartabilun.</w:t>
      </w:r>
    </w:p>
    <w:p w14:paraId="47D999AD" w14:textId="77777777" w:rsidR="005F36F3" w:rsidRPr="009F7642" w:rsidRDefault="005F36F3" w:rsidP="008B60B2">
      <w:pPr>
        <w:suppressAutoHyphens/>
        <w:spacing w:after="0" w:line="240" w:lineRule="auto"/>
        <w:ind w:left="0" w:firstLine="0"/>
        <w:rPr>
          <w:color w:val="auto"/>
          <w:lang w:val="is-IS"/>
        </w:rPr>
      </w:pPr>
    </w:p>
    <w:p w14:paraId="01E9553F"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Flestir sjúklinganna sem fengu hjartabilun voru með brjóstakrabbamein með meinvörpum og höfðu áður fengið meðferð með antracýklínum, geislameðferð á vinstri hluta brjóstkassa eða voru með aðra áhættuþætti hjartabilunar.</w:t>
      </w:r>
    </w:p>
    <w:p w14:paraId="6F780BBB" w14:textId="77777777" w:rsidR="005F36F3" w:rsidRPr="009F7642" w:rsidRDefault="005F36F3" w:rsidP="008B60B2">
      <w:pPr>
        <w:suppressAutoHyphens/>
        <w:spacing w:after="0" w:line="240" w:lineRule="auto"/>
        <w:ind w:left="0" w:firstLine="0"/>
        <w:rPr>
          <w:color w:val="auto"/>
          <w:lang w:val="is-IS"/>
        </w:rPr>
      </w:pPr>
    </w:p>
    <w:p w14:paraId="6B66E777"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Hjá sjúklingum í AVF3694g-rannsókninni, sem fengu antracýklín meðferð en höfðu ekki áður fengið antracýklín, sást ekki aukin tíðni neins kyns hjartabilana í hópnum sem fékk antracýklín ásamt bevacízúmabi, borið saman við hópinn sem fékk antracýklín eingöngu. Tilvik 3. stigs hjartabilunar eða þar yfir voru nokkru tíðari hjá sjúklingum sem fengu bevacízúmab ásamt öðrum krabbameinslyfjum en hjá sjúklingum sem fengu hin krabbameinslyfin eingöngu. Þetta er í samræmi við niðurstöður hjá sjúklingum í öðrum rannsóknum á brjóstakrabbameini með meinvörpum, sem ekki fengu samhliða meðferð með antracýklíni (NCI-CTCAE, 3.</w:t>
      </w:r>
      <w:r w:rsidR="00B04314">
        <w:rPr>
          <w:color w:val="auto"/>
          <w:lang w:val="is-IS"/>
        </w:rPr>
        <w:t> </w:t>
      </w:r>
      <w:r w:rsidRPr="009F7642">
        <w:rPr>
          <w:color w:val="auto"/>
          <w:lang w:val="is-IS"/>
        </w:rPr>
        <w:t>útg.) (sjá kafla 4.8).</w:t>
      </w:r>
    </w:p>
    <w:p w14:paraId="65CAAB9A" w14:textId="77777777" w:rsidR="005F36F3" w:rsidRPr="009F7642" w:rsidRDefault="005F36F3" w:rsidP="008B60B2">
      <w:pPr>
        <w:suppressAutoHyphens/>
        <w:spacing w:after="0" w:line="240" w:lineRule="auto"/>
        <w:ind w:left="0" w:firstLine="0"/>
        <w:rPr>
          <w:color w:val="auto"/>
          <w:lang w:val="is-IS"/>
        </w:rPr>
      </w:pPr>
    </w:p>
    <w:p w14:paraId="2B261806"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Daufkyrningafæð og sýkingar (sjá kafla 4.8)</w:t>
      </w:r>
    </w:p>
    <w:p w14:paraId="6F74794A" w14:textId="77777777" w:rsidR="00BE55AC" w:rsidRPr="009F7642" w:rsidRDefault="00BE55AC" w:rsidP="008B60B2">
      <w:pPr>
        <w:keepNext/>
        <w:suppressAutoHyphens/>
        <w:spacing w:after="0" w:line="240" w:lineRule="auto"/>
        <w:ind w:left="0" w:firstLine="0"/>
        <w:rPr>
          <w:color w:val="auto"/>
          <w:lang w:val="is-IS"/>
        </w:rPr>
      </w:pPr>
    </w:p>
    <w:p w14:paraId="625E074A"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Vart hefur orðið við aukna tíðni alvarlegrar daufkyrningafæðar, daufkyrningafæðar með hita eða sýkingar með eða án alvarlegrar daufkyrningafæðar (að meðtöldum nokkrum dauðsföllum) hjá sjúklingum sem fengu krabbameinslyfjameðferð með eituráhrif á mergfrumur ásamt </w:t>
      </w:r>
      <w:r w:rsidR="00690564" w:rsidRPr="00F2274F">
        <w:rPr>
          <w:lang w:val="is-IS"/>
        </w:rPr>
        <w:t>bevacízúmab</w:t>
      </w:r>
      <w:r w:rsidR="00E5566F" w:rsidRPr="00F2274F">
        <w:rPr>
          <w:lang w:val="is-IS"/>
        </w:rPr>
        <w:t>i</w:t>
      </w:r>
      <w:r w:rsidRPr="009F7642">
        <w:rPr>
          <w:color w:val="auto"/>
          <w:lang w:val="is-IS"/>
        </w:rPr>
        <w:t xml:space="preserve"> samanborið við krabbameinslyfjameðferð eina sér. Þetta hefur einkum sést í samsettri meðferð með platínusamböndum eða taxan, við lungnakrabbameini sem er ekki af smáfrumugerð, </w:t>
      </w:r>
      <w:r w:rsidRPr="009F7642">
        <w:rPr>
          <w:color w:val="auto"/>
          <w:lang w:val="is-IS"/>
        </w:rPr>
        <w:lastRenderedPageBreak/>
        <w:t>brjóstakrabbameini með meinvörpum og ásamt paklítaxeli og tópótekani við krabbameini í leghálsi sem er þrálátt og endurkomið eða með meinvörpum.</w:t>
      </w:r>
    </w:p>
    <w:p w14:paraId="4C4A8204" w14:textId="77777777" w:rsidR="005F36F3" w:rsidRPr="009F7642" w:rsidRDefault="005F36F3" w:rsidP="008B60B2">
      <w:pPr>
        <w:suppressAutoHyphens/>
        <w:spacing w:after="0" w:line="240" w:lineRule="auto"/>
        <w:ind w:left="0" w:firstLine="0"/>
        <w:rPr>
          <w:color w:val="auto"/>
          <w:lang w:val="is-IS"/>
        </w:rPr>
      </w:pPr>
    </w:p>
    <w:p w14:paraId="616AAF04" w14:textId="6B528354"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Ofnæmisviðbrögð</w:t>
      </w:r>
      <w:r w:rsidR="001C4A29">
        <w:rPr>
          <w:color w:val="auto"/>
          <w:u w:val="single"/>
          <w:lang w:val="is-IS"/>
        </w:rPr>
        <w:t xml:space="preserve"> (þ.m.t. </w:t>
      </w:r>
      <w:r w:rsidR="00141B90">
        <w:rPr>
          <w:color w:val="auto"/>
          <w:u w:val="single"/>
          <w:lang w:val="is-IS"/>
        </w:rPr>
        <w:t>bráða</w:t>
      </w:r>
      <w:r w:rsidR="001C4A29">
        <w:rPr>
          <w:color w:val="auto"/>
          <w:u w:val="single"/>
          <w:lang w:val="is-IS"/>
        </w:rPr>
        <w:t>ofnæmislost)</w:t>
      </w:r>
      <w:r w:rsidRPr="009F7642">
        <w:rPr>
          <w:color w:val="auto"/>
          <w:u w:val="single"/>
          <w:lang w:val="is-IS"/>
        </w:rPr>
        <w:t>/innrennslisviðbrögð (sjá kafla 4.8)</w:t>
      </w:r>
    </w:p>
    <w:p w14:paraId="54C904F1" w14:textId="77777777" w:rsidR="00BE55AC" w:rsidRPr="009F7642" w:rsidRDefault="00BE55AC" w:rsidP="008B60B2">
      <w:pPr>
        <w:keepNext/>
        <w:suppressAutoHyphens/>
        <w:spacing w:after="0" w:line="240" w:lineRule="auto"/>
        <w:ind w:left="0" w:firstLine="0"/>
        <w:rPr>
          <w:color w:val="auto"/>
          <w:lang w:val="is-IS"/>
        </w:rPr>
      </w:pPr>
    </w:p>
    <w:p w14:paraId="3ECF7F3F" w14:textId="79520B53" w:rsidR="005F36F3" w:rsidRPr="009F7642" w:rsidRDefault="00564614" w:rsidP="008B60B2">
      <w:pPr>
        <w:suppressAutoHyphens/>
        <w:spacing w:after="0" w:line="240" w:lineRule="auto"/>
        <w:ind w:left="0" w:firstLine="0"/>
        <w:rPr>
          <w:color w:val="auto"/>
          <w:lang w:val="is-IS"/>
        </w:rPr>
      </w:pPr>
      <w:r w:rsidRPr="009F7642">
        <w:rPr>
          <w:color w:val="auto"/>
          <w:lang w:val="is-IS"/>
        </w:rPr>
        <w:t>Hætta getur verið á að innrennslis- eða ofnæmisviðbrögð</w:t>
      </w:r>
      <w:r w:rsidR="001C4A29">
        <w:rPr>
          <w:color w:val="auto"/>
          <w:lang w:val="is-IS"/>
        </w:rPr>
        <w:t xml:space="preserve"> (þ.m.t. </w:t>
      </w:r>
      <w:r w:rsidR="00845621">
        <w:rPr>
          <w:color w:val="auto"/>
          <w:lang w:val="is-IS"/>
        </w:rPr>
        <w:t>bráða</w:t>
      </w:r>
      <w:r w:rsidR="001C4A29">
        <w:rPr>
          <w:color w:val="auto"/>
          <w:lang w:val="is-IS"/>
        </w:rPr>
        <w:t>ofnæmislost)</w:t>
      </w:r>
      <w:r w:rsidRPr="009F7642">
        <w:rPr>
          <w:color w:val="auto"/>
          <w:lang w:val="is-IS"/>
        </w:rPr>
        <w:t xml:space="preserve"> komi fram hjá sjúklingum. Ráðlagt er að fylgjast náið með sjúklingum meðan á gjöf bevacízúmabs stendur og eftir að henni er lokið, eins og gera má ráð fyrir í tengslum við innrennsli allra manngerðra, einstofna mótefna sem notuð eru í lækningaskyni. Ef viðbrögð koma fram skal stöðva innrennslið og veita viðeigandi meðferð. Ekki er talin þörf á reglubundinni forgjöf lyfja.</w:t>
      </w:r>
    </w:p>
    <w:p w14:paraId="39516ABB" w14:textId="77777777" w:rsidR="00CD6994" w:rsidRDefault="00CD6994" w:rsidP="008B60B2">
      <w:pPr>
        <w:keepNext/>
        <w:suppressAutoHyphens/>
        <w:spacing w:after="0" w:line="240" w:lineRule="auto"/>
        <w:ind w:left="0" w:firstLine="0"/>
        <w:rPr>
          <w:color w:val="auto"/>
          <w:u w:val="single"/>
          <w:lang w:val="is-IS"/>
        </w:rPr>
      </w:pPr>
    </w:p>
    <w:p w14:paraId="03784F6B"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Beindrep í kjálka (sjá kafla 4.8)</w:t>
      </w:r>
    </w:p>
    <w:p w14:paraId="398B7A49" w14:textId="77777777" w:rsidR="00B057C4" w:rsidRPr="009F7642" w:rsidRDefault="00B057C4" w:rsidP="008B60B2">
      <w:pPr>
        <w:keepNext/>
        <w:suppressAutoHyphens/>
        <w:spacing w:after="0" w:line="240" w:lineRule="auto"/>
        <w:ind w:left="0" w:firstLine="0"/>
        <w:rPr>
          <w:color w:val="auto"/>
          <w:lang w:val="is-IS"/>
        </w:rPr>
      </w:pPr>
    </w:p>
    <w:p w14:paraId="36DF2820"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Tilkynnt hefur verið um beindrep í kjálka hjá sjúklingum með krabbamein sem fengið hafa </w:t>
      </w:r>
      <w:r w:rsidR="00690564" w:rsidRPr="00F2274F">
        <w:rPr>
          <w:lang w:val="is-IS"/>
        </w:rPr>
        <w:t>bevacízúmab</w:t>
      </w:r>
      <w:r w:rsidRPr="009F7642">
        <w:rPr>
          <w:color w:val="auto"/>
          <w:lang w:val="is-IS"/>
        </w:rPr>
        <w:t xml:space="preserve">. Meirihluti þeirra fékk samhliða eða hafði áður fengið meðferð með bisfosfónötum í bláæð, sem er þekktur áhættuþáttur fyrir beindrepi í kjálka. Gæta skal varúðar þegar </w:t>
      </w:r>
      <w:r w:rsidR="00690564" w:rsidRPr="00F2274F">
        <w:rPr>
          <w:lang w:val="is-IS"/>
        </w:rPr>
        <w:t>bevacízúmab</w:t>
      </w:r>
      <w:r w:rsidRPr="009F7642">
        <w:rPr>
          <w:color w:val="auto"/>
          <w:lang w:val="is-IS"/>
        </w:rPr>
        <w:t xml:space="preserve"> og bisfosfónöt í bláæð eru gefin samhliða eða hvort á eftir öðru.</w:t>
      </w:r>
    </w:p>
    <w:p w14:paraId="2A1312CB" w14:textId="77777777" w:rsidR="00742B2C" w:rsidRPr="009F7642" w:rsidRDefault="00742B2C" w:rsidP="008B60B2">
      <w:pPr>
        <w:suppressAutoHyphens/>
        <w:spacing w:after="0" w:line="240" w:lineRule="auto"/>
        <w:ind w:left="0" w:firstLine="0"/>
        <w:rPr>
          <w:color w:val="auto"/>
          <w:lang w:val="is-IS"/>
        </w:rPr>
      </w:pPr>
    </w:p>
    <w:p w14:paraId="38C4ADF1" w14:textId="77777777" w:rsidR="006C06D6" w:rsidRDefault="00564614" w:rsidP="008B60B2">
      <w:pPr>
        <w:suppressAutoHyphens/>
        <w:spacing w:after="0" w:line="240" w:lineRule="auto"/>
        <w:ind w:left="0" w:firstLine="0"/>
        <w:rPr>
          <w:color w:val="auto"/>
          <w:lang w:val="is-IS"/>
        </w:rPr>
      </w:pPr>
      <w:r w:rsidRPr="009F7642">
        <w:rPr>
          <w:color w:val="auto"/>
          <w:lang w:val="is-IS"/>
        </w:rPr>
        <w:t xml:space="preserve">Einnig hefur verið sýnt fram á að ífarandi tannaðgerðir séu áhættuþáttur. </w:t>
      </w:r>
      <w:r w:rsidRPr="00796078">
        <w:rPr>
          <w:color w:val="auto"/>
          <w:lang w:val="is-IS"/>
        </w:rPr>
        <w:t>Íhuga skal tannskoðun</w:t>
      </w:r>
      <w:r w:rsidRPr="009F7642">
        <w:rPr>
          <w:color w:val="auto"/>
          <w:lang w:val="is-IS"/>
        </w:rPr>
        <w:t xml:space="preserve"> og viðeigandi fyrirbyggjandi tannaðgerðir áður en meðferð með </w:t>
      </w:r>
      <w:r w:rsidR="001764F7" w:rsidRPr="00F2274F">
        <w:rPr>
          <w:lang w:val="is-IS"/>
        </w:rPr>
        <w:t>MVASI</w:t>
      </w:r>
      <w:r w:rsidRPr="009F7642">
        <w:rPr>
          <w:color w:val="auto"/>
          <w:lang w:val="is-IS"/>
        </w:rPr>
        <w:t xml:space="preserve"> hefst. Ef hægt er skal forðast ífarandi tannaðgerðir hjá sjúklingum sem fá eða hafa fengið bisfosfónöt í bláæð.</w:t>
      </w:r>
    </w:p>
    <w:p w14:paraId="6C51D93B" w14:textId="77777777" w:rsidR="00B73B51" w:rsidRDefault="00B73B51" w:rsidP="008B60B2">
      <w:pPr>
        <w:suppressAutoHyphens/>
        <w:spacing w:after="0" w:line="240" w:lineRule="auto"/>
        <w:ind w:left="0" w:firstLine="0"/>
        <w:rPr>
          <w:color w:val="auto"/>
          <w:lang w:val="is-IS"/>
        </w:rPr>
      </w:pPr>
    </w:p>
    <w:p w14:paraId="1B078EBE" w14:textId="77777777" w:rsidR="00B73B51" w:rsidRDefault="00B73B51" w:rsidP="00B73B51">
      <w:pPr>
        <w:keepNext/>
        <w:suppressAutoHyphens/>
        <w:spacing w:after="0" w:line="240" w:lineRule="auto"/>
        <w:ind w:left="0" w:firstLine="0"/>
        <w:rPr>
          <w:color w:val="auto"/>
          <w:u w:val="single"/>
          <w:lang w:val="is-IS"/>
        </w:rPr>
      </w:pPr>
      <w:r w:rsidRPr="00B73B51">
        <w:rPr>
          <w:color w:val="auto"/>
          <w:u w:val="single"/>
          <w:lang w:val="is-IS"/>
        </w:rPr>
        <w:t>Slagæðargúlpur og flysjun slagæðar</w:t>
      </w:r>
      <w:r>
        <w:rPr>
          <w:color w:val="auto"/>
          <w:u w:val="single"/>
          <w:lang w:val="is-IS"/>
        </w:rPr>
        <w:t xml:space="preserve"> </w:t>
      </w:r>
      <w:r w:rsidRPr="009F7642">
        <w:rPr>
          <w:color w:val="auto"/>
          <w:u w:val="single"/>
          <w:lang w:val="is-IS"/>
        </w:rPr>
        <w:t>(sjá kafla 4.8)</w:t>
      </w:r>
    </w:p>
    <w:p w14:paraId="0BFBCE7E" w14:textId="77777777" w:rsidR="00B73B51" w:rsidRPr="00B73B51" w:rsidRDefault="00B73B51" w:rsidP="00B73B51">
      <w:pPr>
        <w:keepNext/>
        <w:suppressAutoHyphens/>
        <w:spacing w:after="0" w:line="240" w:lineRule="auto"/>
        <w:ind w:left="0" w:firstLine="0"/>
        <w:rPr>
          <w:color w:val="auto"/>
          <w:u w:val="single"/>
          <w:lang w:val="is-IS"/>
        </w:rPr>
      </w:pPr>
    </w:p>
    <w:p w14:paraId="562D657B" w14:textId="77777777" w:rsidR="00B73B51" w:rsidRPr="009F7642" w:rsidRDefault="00B73B51" w:rsidP="00E47F01">
      <w:pPr>
        <w:keepNext/>
        <w:suppressAutoHyphens/>
        <w:spacing w:after="0" w:line="240" w:lineRule="auto"/>
        <w:ind w:left="0" w:firstLine="0"/>
        <w:rPr>
          <w:color w:val="auto"/>
          <w:lang w:val="is-IS"/>
        </w:rPr>
      </w:pPr>
      <w:r w:rsidRPr="00B73B51">
        <w:rPr>
          <w:color w:val="auto"/>
          <w:lang w:val="is-IS"/>
        </w:rPr>
        <w:t xml:space="preserve">Notkun lyfja sem hamla ferli æðaþelsvaxtarþáttar (VEGF) hjá sjúklingum með eða án háþrýstings getur stuðlað að myndun slagæðargúlps og/eða flysjun slagæðar. Áður en notkun </w:t>
      </w:r>
      <w:r>
        <w:rPr>
          <w:color w:val="auto"/>
          <w:lang w:val="is-IS"/>
        </w:rPr>
        <w:t>MVASI</w:t>
      </w:r>
      <w:r w:rsidRPr="00B73B51">
        <w:rPr>
          <w:color w:val="auto"/>
          <w:lang w:val="is-IS"/>
        </w:rPr>
        <w:t xml:space="preserve"> er hafin skal hafa þessa hættu sérstaklega í huga hjá sjúklingum með áhættuþætti eins og háþrýsting eða sögu um slagæðargúlp.</w:t>
      </w:r>
    </w:p>
    <w:p w14:paraId="269AF1E2" w14:textId="77777777" w:rsidR="005F36F3" w:rsidRPr="009F7642" w:rsidRDefault="005F36F3" w:rsidP="008B60B2">
      <w:pPr>
        <w:suppressAutoHyphens/>
        <w:spacing w:after="0" w:line="240" w:lineRule="auto"/>
        <w:ind w:left="0" w:firstLine="0"/>
        <w:rPr>
          <w:color w:val="auto"/>
          <w:lang w:val="is-IS"/>
        </w:rPr>
      </w:pPr>
    </w:p>
    <w:p w14:paraId="213E288C"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Notkun í glerhlaup</w:t>
      </w:r>
    </w:p>
    <w:p w14:paraId="68A6343C" w14:textId="77777777" w:rsidR="00742B2C" w:rsidRPr="009F7642" w:rsidRDefault="00742B2C" w:rsidP="008B60B2">
      <w:pPr>
        <w:keepNext/>
        <w:suppressAutoHyphens/>
        <w:spacing w:after="0" w:line="240" w:lineRule="auto"/>
        <w:ind w:left="0" w:firstLine="0"/>
        <w:rPr>
          <w:color w:val="auto"/>
          <w:lang w:val="is-IS"/>
        </w:rPr>
      </w:pPr>
    </w:p>
    <w:p w14:paraId="4B2ED689" w14:textId="77777777" w:rsidR="006C06D6" w:rsidRPr="009F7642" w:rsidRDefault="001764F7" w:rsidP="008B60B2">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er ekki ætlað til notkunar í glerhlaup.</w:t>
      </w:r>
    </w:p>
    <w:p w14:paraId="5EE91F75" w14:textId="77777777" w:rsidR="005F36F3" w:rsidRPr="009F7642" w:rsidRDefault="005F36F3" w:rsidP="008B60B2">
      <w:pPr>
        <w:suppressAutoHyphens/>
        <w:spacing w:after="0" w:line="240" w:lineRule="auto"/>
        <w:ind w:left="0" w:firstLine="0"/>
        <w:rPr>
          <w:color w:val="auto"/>
          <w:lang w:val="is-IS"/>
        </w:rPr>
      </w:pPr>
    </w:p>
    <w:p w14:paraId="3068B59B"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Augu</w:t>
      </w:r>
    </w:p>
    <w:p w14:paraId="3C0BB694" w14:textId="77777777" w:rsidR="00742B2C" w:rsidRPr="009F7642" w:rsidRDefault="00742B2C" w:rsidP="008B60B2">
      <w:pPr>
        <w:keepNext/>
        <w:suppressAutoHyphens/>
        <w:spacing w:after="0" w:line="240" w:lineRule="auto"/>
        <w:ind w:left="0" w:firstLine="0"/>
        <w:rPr>
          <w:color w:val="auto"/>
          <w:lang w:val="is-IS"/>
        </w:rPr>
      </w:pPr>
    </w:p>
    <w:p w14:paraId="2868193E" w14:textId="77777777" w:rsidR="006C06D6" w:rsidRPr="009F7642" w:rsidRDefault="00564614" w:rsidP="008B60B2">
      <w:pPr>
        <w:suppressAutoHyphens/>
        <w:spacing w:after="0" w:line="240" w:lineRule="auto"/>
        <w:ind w:left="0" w:firstLine="0"/>
        <w:rPr>
          <w:i/>
          <w:color w:val="auto"/>
          <w:lang w:val="is-IS"/>
        </w:rPr>
      </w:pPr>
      <w:r w:rsidRPr="009F7642">
        <w:rPr>
          <w:color w:val="auto"/>
          <w:lang w:val="is-IS"/>
        </w:rPr>
        <w:t xml:space="preserve">Tilkynnt hefur verið um alvarlegar aukaverkanir á augu, bæði stök tilvik og fleiri tengd tilvik, eftir að </w:t>
      </w:r>
      <w:r w:rsidR="00690564" w:rsidRPr="00F2274F">
        <w:rPr>
          <w:lang w:val="is-IS"/>
        </w:rPr>
        <w:t>bevacízúmab</w:t>
      </w:r>
      <w:r w:rsidRPr="009F7642">
        <w:rPr>
          <w:color w:val="auto"/>
          <w:lang w:val="is-IS"/>
        </w:rPr>
        <w:t>, sem blandað er úr hettuglösum sem ætluð eru til lyfjagjafar í æð hjá krabbameinssjúklingum, er notað með ósamþykktum hætti í glerhlaup. Meðal þessara aukaverkana eru innri augnknattarbólga af völdum sýkingar (infectious endophthalmitis), innri augnbólga svo sem innri augnknattarbólga án sýkingar, æðahjúpsbólga (uveitis) og glerhlaupsbólga (vitritis), sjónulos, rof í sjónulitþekjuvef (retinal pigment epithelial tear), hækkaður augnþrýstingur, innri blæðing í auga, svo sem blæðing í glerhlaupi eða sjónu og tárublæðing. Sumar þessara aukaverkana hafa leitt til sjóntaps í mismiklum mæli, þ.m.t.</w:t>
      </w:r>
      <w:r w:rsidR="003D428D">
        <w:rPr>
          <w:color w:val="auto"/>
          <w:lang w:val="is-IS"/>
        </w:rPr>
        <w:t xml:space="preserve"> </w:t>
      </w:r>
      <w:r w:rsidRPr="009F7642">
        <w:rPr>
          <w:color w:val="auto"/>
          <w:lang w:val="is-IS"/>
        </w:rPr>
        <w:t>varanlegrar blindu.</w:t>
      </w:r>
    </w:p>
    <w:p w14:paraId="3C9D3252" w14:textId="77777777" w:rsidR="005F36F3" w:rsidRPr="009F7642" w:rsidRDefault="005F36F3" w:rsidP="008B60B2">
      <w:pPr>
        <w:suppressAutoHyphens/>
        <w:spacing w:after="0" w:line="240" w:lineRule="auto"/>
        <w:ind w:left="0" w:firstLine="0"/>
        <w:rPr>
          <w:color w:val="auto"/>
          <w:lang w:val="is-IS"/>
        </w:rPr>
      </w:pPr>
    </w:p>
    <w:p w14:paraId="75A0429C" w14:textId="77777777" w:rsidR="006C06D6" w:rsidRPr="009F7642" w:rsidRDefault="00564614" w:rsidP="008B60B2">
      <w:pPr>
        <w:keepNext/>
        <w:suppressAutoHyphens/>
        <w:spacing w:after="0" w:line="240" w:lineRule="auto"/>
        <w:ind w:left="0" w:firstLine="0"/>
        <w:rPr>
          <w:color w:val="auto"/>
          <w:u w:val="single"/>
          <w:lang w:val="is-IS"/>
        </w:rPr>
      </w:pPr>
      <w:r w:rsidRPr="00796078">
        <w:rPr>
          <w:color w:val="auto"/>
          <w:u w:val="single"/>
          <w:lang w:val="is-IS"/>
        </w:rPr>
        <w:t>Al</w:t>
      </w:r>
      <w:r w:rsidR="00774472" w:rsidRPr="00796078">
        <w:rPr>
          <w:color w:val="auto"/>
          <w:u w:val="single"/>
          <w:lang w:val="is-IS"/>
        </w:rPr>
        <w:t>tæk</w:t>
      </w:r>
      <w:r w:rsidRPr="00796078">
        <w:rPr>
          <w:color w:val="auto"/>
          <w:u w:val="single"/>
          <w:lang w:val="is-IS"/>
        </w:rPr>
        <w:t xml:space="preserve"> </w:t>
      </w:r>
      <w:r w:rsidR="00774472" w:rsidRPr="00796078">
        <w:rPr>
          <w:color w:val="auto"/>
          <w:u w:val="single"/>
          <w:lang w:val="is-IS"/>
        </w:rPr>
        <w:t>áhrif</w:t>
      </w:r>
      <w:r w:rsidRPr="009F7642">
        <w:rPr>
          <w:color w:val="auto"/>
          <w:u w:val="single"/>
          <w:lang w:val="is-IS"/>
        </w:rPr>
        <w:t xml:space="preserve"> eftir notkun í glerhlaup</w:t>
      </w:r>
    </w:p>
    <w:p w14:paraId="20285E2C" w14:textId="77777777" w:rsidR="00742B2C" w:rsidRPr="009F7642" w:rsidRDefault="00742B2C" w:rsidP="008B60B2">
      <w:pPr>
        <w:keepNext/>
        <w:suppressAutoHyphens/>
        <w:spacing w:after="0" w:line="240" w:lineRule="auto"/>
        <w:ind w:left="0" w:firstLine="0"/>
        <w:rPr>
          <w:color w:val="auto"/>
          <w:lang w:val="is-IS"/>
        </w:rPr>
      </w:pPr>
    </w:p>
    <w:p w14:paraId="47B18F6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Sýnt hefur verið fram á minnkaða þéttni VEGF (vascular endothelial growth factor) í blóðrás eftir notkun mótefna gegn VEGF í glerhlaup í meðferðarskyni. Tilkynnt hefur verið um al</w:t>
      </w:r>
      <w:r w:rsidR="00774472">
        <w:rPr>
          <w:color w:val="auto"/>
          <w:lang w:val="is-IS"/>
        </w:rPr>
        <w:t>tækar</w:t>
      </w:r>
      <w:r w:rsidRPr="009F7642">
        <w:rPr>
          <w:color w:val="auto"/>
          <w:lang w:val="is-IS"/>
        </w:rPr>
        <w:t xml:space="preserve"> aukaverkanir, þ.m.t. blæðingar annars staðar en í auga og slagæðasegarek, eftir inndælingu mótefna gegn VEGF í glerhlaup.</w:t>
      </w:r>
    </w:p>
    <w:p w14:paraId="01D859D0" w14:textId="77777777" w:rsidR="005F36F3" w:rsidRPr="009F7642" w:rsidRDefault="005F36F3" w:rsidP="008B60B2">
      <w:pPr>
        <w:suppressAutoHyphens/>
        <w:spacing w:after="0" w:line="240" w:lineRule="auto"/>
        <w:ind w:left="0" w:firstLine="0"/>
        <w:rPr>
          <w:color w:val="auto"/>
          <w:lang w:val="is-IS"/>
        </w:rPr>
      </w:pPr>
    </w:p>
    <w:p w14:paraId="63FA34C9"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Skert starfsemi eggjastokka/frjósemi</w:t>
      </w:r>
    </w:p>
    <w:p w14:paraId="10C7F404" w14:textId="77777777" w:rsidR="00742B2C" w:rsidRPr="00EA3CD6" w:rsidRDefault="00742B2C" w:rsidP="008B60B2">
      <w:pPr>
        <w:keepNext/>
        <w:suppressAutoHyphens/>
        <w:spacing w:after="0" w:line="240" w:lineRule="auto"/>
        <w:ind w:left="0" w:firstLine="0"/>
        <w:rPr>
          <w:color w:val="auto"/>
          <w:u w:val="single"/>
          <w:lang w:val="is-IS"/>
        </w:rPr>
      </w:pPr>
    </w:p>
    <w:p w14:paraId="61E904A2" w14:textId="77777777" w:rsidR="006C06D6" w:rsidRPr="009F7642" w:rsidRDefault="00690564" w:rsidP="008B60B2">
      <w:pPr>
        <w:suppressAutoHyphens/>
        <w:spacing w:after="0" w:line="240" w:lineRule="auto"/>
        <w:ind w:left="0" w:firstLine="0"/>
        <w:rPr>
          <w:color w:val="auto"/>
          <w:lang w:val="is-IS"/>
        </w:rPr>
      </w:pPr>
      <w:r w:rsidRPr="00F2274F">
        <w:rPr>
          <w:lang w:val="is-IS"/>
        </w:rPr>
        <w:t>Bevacízúmab</w:t>
      </w:r>
      <w:r w:rsidR="00E5566F" w:rsidRPr="00F2274F">
        <w:rPr>
          <w:lang w:val="is-IS"/>
        </w:rPr>
        <w:t xml:space="preserve"> </w:t>
      </w:r>
      <w:r w:rsidR="00564614" w:rsidRPr="009F7642">
        <w:rPr>
          <w:color w:val="auto"/>
          <w:lang w:val="is-IS"/>
        </w:rPr>
        <w:t xml:space="preserve">getur haft áhrif á frjósemi kvenna (sjá kafla 4.6 og 4.8). Því ætti að ræða hvernig viðhalda má frjósemi við konur á barneignaraldri áður en meðferð með </w:t>
      </w:r>
      <w:r w:rsidRPr="00F2274F">
        <w:rPr>
          <w:lang w:val="is-IS"/>
        </w:rPr>
        <w:t>bevacízúmab</w:t>
      </w:r>
      <w:r w:rsidR="00E5566F" w:rsidRPr="00F2274F">
        <w:rPr>
          <w:lang w:val="is-IS"/>
        </w:rPr>
        <w:t>i</w:t>
      </w:r>
      <w:r w:rsidR="00564614" w:rsidRPr="009F7642">
        <w:rPr>
          <w:color w:val="auto"/>
          <w:lang w:val="is-IS"/>
        </w:rPr>
        <w:t xml:space="preserve"> er hafin.</w:t>
      </w:r>
    </w:p>
    <w:p w14:paraId="4363AA1F" w14:textId="77777777" w:rsidR="005C6A86" w:rsidRPr="00256E99" w:rsidRDefault="005C6A86" w:rsidP="00E0410C">
      <w:pPr>
        <w:keepNext/>
        <w:keepLines/>
        <w:spacing w:line="240" w:lineRule="auto"/>
        <w:ind w:left="11" w:hanging="11"/>
        <w:outlineLvl w:val="0"/>
        <w:rPr>
          <w:lang w:val="is-IS"/>
        </w:rPr>
      </w:pPr>
    </w:p>
    <w:p w14:paraId="618236FC" w14:textId="77777777" w:rsidR="005C6A86" w:rsidRPr="00256E99" w:rsidRDefault="005C6A86" w:rsidP="00E0410C">
      <w:pPr>
        <w:keepNext/>
        <w:keepLines/>
        <w:spacing w:line="240" w:lineRule="auto"/>
        <w:ind w:left="11" w:hanging="11"/>
        <w:outlineLvl w:val="0"/>
        <w:rPr>
          <w:u w:val="single"/>
          <w:lang w:val="is-IS"/>
        </w:rPr>
      </w:pPr>
      <w:r w:rsidRPr="00256E99">
        <w:rPr>
          <w:u w:val="single"/>
          <w:lang w:val="is-IS"/>
        </w:rPr>
        <w:t>Natríuminnihald</w:t>
      </w:r>
    </w:p>
    <w:p w14:paraId="5B844593" w14:textId="77777777" w:rsidR="005C6A86" w:rsidRPr="00256E99" w:rsidRDefault="005C6A86" w:rsidP="00E0410C">
      <w:pPr>
        <w:keepNext/>
        <w:keepLines/>
        <w:spacing w:line="240" w:lineRule="auto"/>
        <w:ind w:left="11" w:hanging="11"/>
        <w:outlineLvl w:val="0"/>
        <w:rPr>
          <w:lang w:val="is-IS"/>
        </w:rPr>
      </w:pPr>
    </w:p>
    <w:p w14:paraId="7C6E050C" w14:textId="77777777" w:rsidR="005C6A86" w:rsidRPr="00256E99" w:rsidRDefault="005C6A86" w:rsidP="005C6A86">
      <w:pPr>
        <w:spacing w:line="240" w:lineRule="auto"/>
        <w:outlineLvl w:val="0"/>
        <w:rPr>
          <w:i/>
          <w:u w:val="single"/>
          <w:lang w:val="is-IS"/>
        </w:rPr>
      </w:pPr>
      <w:r w:rsidRPr="00256E99">
        <w:rPr>
          <w:i/>
          <w:u w:val="single"/>
          <w:lang w:val="is-IS"/>
        </w:rPr>
        <w:t>MVASI 25 mg/ml innrennslisþykkni, lausn (4 ml)</w:t>
      </w:r>
    </w:p>
    <w:p w14:paraId="23C485BD" w14:textId="77777777" w:rsidR="005C6A86" w:rsidRPr="00256E99" w:rsidRDefault="005C6A86" w:rsidP="005C6A86">
      <w:pPr>
        <w:spacing w:line="240" w:lineRule="auto"/>
        <w:outlineLvl w:val="0"/>
        <w:rPr>
          <w:lang w:val="is-IS"/>
        </w:rPr>
      </w:pPr>
    </w:p>
    <w:p w14:paraId="454B582F" w14:textId="2DE0DEC1" w:rsidR="005C6A86" w:rsidRPr="00256E99" w:rsidRDefault="005C6A86" w:rsidP="005C6A86">
      <w:pPr>
        <w:spacing w:line="240" w:lineRule="auto"/>
        <w:outlineLvl w:val="0"/>
        <w:rPr>
          <w:lang w:val="is-IS"/>
        </w:rPr>
      </w:pPr>
      <w:r w:rsidRPr="00256E99">
        <w:rPr>
          <w:lang w:val="is-IS"/>
        </w:rPr>
        <w:t xml:space="preserve">Lyfið inniheldur </w:t>
      </w:r>
      <w:r w:rsidR="00C12DBB">
        <w:rPr>
          <w:lang w:val="is-IS"/>
        </w:rPr>
        <w:t>5,4</w:t>
      </w:r>
      <w:r w:rsidRPr="00256E99">
        <w:rPr>
          <w:lang w:val="is-IS"/>
        </w:rPr>
        <w:t> mg af natríum í hverju 4 ml hettuglasi sem jafngildir 0,</w:t>
      </w:r>
      <w:r w:rsidR="00C12DBB">
        <w:rPr>
          <w:lang w:val="is-IS"/>
        </w:rPr>
        <w:t>3</w:t>
      </w:r>
      <w:r w:rsidRPr="00256E99">
        <w:rPr>
          <w:lang w:val="is-IS"/>
        </w:rPr>
        <w:t>% af daglegri hámarksinntöku natríums sem er 2 g fyrir fullorðna skv. ráðleggingum Alþjóðaheilbrigðismálastofnuninni (WHO).</w:t>
      </w:r>
    </w:p>
    <w:p w14:paraId="7682E993" w14:textId="77777777" w:rsidR="005C6A86" w:rsidRPr="00256E99" w:rsidRDefault="005C6A86" w:rsidP="005C6A86">
      <w:pPr>
        <w:spacing w:line="240" w:lineRule="auto"/>
        <w:outlineLvl w:val="0"/>
        <w:rPr>
          <w:lang w:val="is-IS"/>
        </w:rPr>
      </w:pPr>
    </w:p>
    <w:p w14:paraId="174798D4" w14:textId="77777777" w:rsidR="005C6A86" w:rsidRPr="00256E99" w:rsidRDefault="005C6A86" w:rsidP="005C6A86">
      <w:pPr>
        <w:spacing w:line="240" w:lineRule="auto"/>
        <w:outlineLvl w:val="0"/>
        <w:rPr>
          <w:i/>
          <w:u w:val="single"/>
          <w:lang w:val="is-IS"/>
        </w:rPr>
      </w:pPr>
      <w:r w:rsidRPr="00256E99">
        <w:rPr>
          <w:i/>
          <w:u w:val="single"/>
          <w:lang w:val="is-IS"/>
        </w:rPr>
        <w:t>MVASI 25 mg/ml innrennslisþykkni, lausn (16 ml)</w:t>
      </w:r>
    </w:p>
    <w:p w14:paraId="30BEAA33" w14:textId="77777777" w:rsidR="005C6A86" w:rsidRPr="00256E99" w:rsidRDefault="005C6A86" w:rsidP="005C6A86">
      <w:pPr>
        <w:spacing w:line="240" w:lineRule="auto"/>
        <w:outlineLvl w:val="0"/>
        <w:rPr>
          <w:lang w:val="is-IS"/>
        </w:rPr>
      </w:pPr>
    </w:p>
    <w:p w14:paraId="1D942E50" w14:textId="2B6E7A69" w:rsidR="005C6A86" w:rsidRPr="00256E99" w:rsidRDefault="005C6A86" w:rsidP="005C6A86">
      <w:pPr>
        <w:spacing w:line="240" w:lineRule="auto"/>
        <w:outlineLvl w:val="0"/>
        <w:rPr>
          <w:lang w:val="is-IS"/>
        </w:rPr>
      </w:pPr>
      <w:r w:rsidRPr="00256E99">
        <w:rPr>
          <w:lang w:val="is-IS"/>
        </w:rPr>
        <w:t xml:space="preserve">Lyfið inniheldur </w:t>
      </w:r>
      <w:r w:rsidR="00C12DBB">
        <w:rPr>
          <w:lang w:val="is-IS"/>
        </w:rPr>
        <w:t>21,7</w:t>
      </w:r>
      <w:r w:rsidRPr="00256E99">
        <w:rPr>
          <w:lang w:val="is-IS"/>
        </w:rPr>
        <w:t xml:space="preserve"> mg af natríum í hverju 16 ml hettuglasi sem jafngildir </w:t>
      </w:r>
      <w:r w:rsidR="00C12DBB">
        <w:rPr>
          <w:lang w:val="is-IS"/>
        </w:rPr>
        <w:t>1,1</w:t>
      </w:r>
      <w:r w:rsidRPr="00256E99">
        <w:rPr>
          <w:lang w:val="is-IS"/>
        </w:rPr>
        <w:t>% af daglegri hámarksinntöku natríums sem er 2 g fyrir fullorðna skv. ráðleggingum Alþjóðaheilbrigðismálastofnuninni (WHO).</w:t>
      </w:r>
    </w:p>
    <w:p w14:paraId="58C166FD" w14:textId="77777777" w:rsidR="005F36F3" w:rsidRPr="009F7642" w:rsidRDefault="005F36F3" w:rsidP="008B60B2">
      <w:pPr>
        <w:suppressAutoHyphens/>
        <w:spacing w:after="0" w:line="240" w:lineRule="auto"/>
        <w:ind w:left="0" w:firstLine="0"/>
        <w:rPr>
          <w:color w:val="auto"/>
          <w:lang w:val="is-IS"/>
        </w:rPr>
      </w:pPr>
    </w:p>
    <w:p w14:paraId="0E98CD08" w14:textId="77777777" w:rsidR="006C06D6" w:rsidRPr="009F7642" w:rsidRDefault="00564614" w:rsidP="008B60B2">
      <w:pPr>
        <w:keepNext/>
        <w:tabs>
          <w:tab w:val="left" w:pos="567"/>
        </w:tabs>
        <w:suppressAutoHyphens/>
        <w:spacing w:after="0" w:line="240" w:lineRule="auto"/>
        <w:ind w:left="567" w:hanging="567"/>
        <w:rPr>
          <w:b/>
          <w:color w:val="auto"/>
          <w:lang w:val="is-IS"/>
        </w:rPr>
      </w:pPr>
      <w:r w:rsidRPr="009F7642">
        <w:rPr>
          <w:b/>
          <w:color w:val="auto"/>
          <w:lang w:val="is-IS"/>
        </w:rPr>
        <w:t>4.5</w:t>
      </w:r>
      <w:r w:rsidRPr="009F7642">
        <w:rPr>
          <w:b/>
          <w:color w:val="auto"/>
          <w:lang w:val="is-IS"/>
        </w:rPr>
        <w:tab/>
        <w:t>Milliverkanir við önnur lyf og aðrar milliverkanir</w:t>
      </w:r>
    </w:p>
    <w:p w14:paraId="16FE6C92" w14:textId="77777777" w:rsidR="005F36F3" w:rsidRPr="009F7642" w:rsidRDefault="005F36F3" w:rsidP="008B60B2">
      <w:pPr>
        <w:keepNext/>
        <w:suppressAutoHyphens/>
        <w:spacing w:after="0" w:line="240" w:lineRule="auto"/>
        <w:ind w:left="0" w:firstLine="0"/>
        <w:rPr>
          <w:color w:val="auto"/>
          <w:lang w:val="is-IS"/>
        </w:rPr>
      </w:pPr>
    </w:p>
    <w:p w14:paraId="3997ED83"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Áhrif æxlishemjandi lyfja á lyfjahvörf bevacízúmabs</w:t>
      </w:r>
    </w:p>
    <w:p w14:paraId="147F9794" w14:textId="77777777" w:rsidR="00677FFB" w:rsidRPr="009F7642" w:rsidRDefault="00677FFB" w:rsidP="008B60B2">
      <w:pPr>
        <w:keepNext/>
        <w:suppressAutoHyphens/>
        <w:spacing w:after="0" w:line="240" w:lineRule="auto"/>
        <w:ind w:left="0" w:firstLine="0"/>
        <w:rPr>
          <w:color w:val="auto"/>
          <w:lang w:val="is-IS"/>
        </w:rPr>
      </w:pPr>
    </w:p>
    <w:p w14:paraId="7DE6CC33"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Samkvæmt niðurstöðum þýðisgreiningar á lyfjahvörfum hefur samhliða krabbameinslyfjameðferð engin klínískt mikilvæg áhrif á lyfjahvörf bevacízúmabs. Hvorki tölfræðilega marktækur né klínískt mikilvægur munur var á úthreinsun bevacízúmabs hjá sjúklingum sem fengu </w:t>
      </w:r>
      <w:r w:rsidR="00690564" w:rsidRPr="00F2274F">
        <w:rPr>
          <w:lang w:val="is-IS"/>
        </w:rPr>
        <w:t>bevacízúmab</w:t>
      </w:r>
      <w:r w:rsidRPr="009F7642">
        <w:rPr>
          <w:color w:val="auto"/>
          <w:lang w:val="is-IS"/>
        </w:rPr>
        <w:t xml:space="preserve"> eitt sér samanborið við sjúklinga sem fengu </w:t>
      </w:r>
      <w:r w:rsidR="00690564" w:rsidRPr="00F2274F">
        <w:rPr>
          <w:lang w:val="is-IS"/>
        </w:rPr>
        <w:t>bevacízúmab</w:t>
      </w:r>
      <w:r w:rsidR="00D02C8D" w:rsidRPr="00F2274F">
        <w:rPr>
          <w:lang w:val="is-IS"/>
        </w:rPr>
        <w:t xml:space="preserve"> </w:t>
      </w:r>
      <w:r w:rsidRPr="009F7642">
        <w:rPr>
          <w:color w:val="auto"/>
          <w:lang w:val="is-IS"/>
        </w:rPr>
        <w:t>ásamt interferón alfa-2a, erlótíníbi eða krabbameinslyfjameðferð (IFL, 5-FU/LV, karbóplatín/paklítaxel, kapecítabín, doxórúbicín eða cisplatín/gemcitabín).</w:t>
      </w:r>
    </w:p>
    <w:p w14:paraId="1A34ACA7" w14:textId="77777777" w:rsidR="005F36F3" w:rsidRPr="009F7642" w:rsidRDefault="005F36F3" w:rsidP="008B60B2">
      <w:pPr>
        <w:suppressAutoHyphens/>
        <w:spacing w:after="0" w:line="240" w:lineRule="auto"/>
        <w:ind w:left="0" w:firstLine="0"/>
        <w:rPr>
          <w:color w:val="auto"/>
          <w:lang w:val="is-IS"/>
        </w:rPr>
      </w:pPr>
    </w:p>
    <w:p w14:paraId="71D03A56"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Áhrif bevacízúmabs á lyfjahvörf annarra æxlishemjandi lyfja</w:t>
      </w:r>
    </w:p>
    <w:p w14:paraId="5C5AF3DF" w14:textId="77777777" w:rsidR="00261913" w:rsidRPr="009F7642" w:rsidRDefault="00261913" w:rsidP="008B60B2">
      <w:pPr>
        <w:keepNext/>
        <w:suppressAutoHyphens/>
        <w:spacing w:after="0" w:line="240" w:lineRule="auto"/>
        <w:ind w:left="0" w:firstLine="0"/>
        <w:rPr>
          <w:color w:val="auto"/>
          <w:lang w:val="is-IS"/>
        </w:rPr>
      </w:pPr>
    </w:p>
    <w:p w14:paraId="284A8AF4"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Ekki sáust nein klínískt mikilvæg áhrif bevacízúmabs á lyfjahvörf interferóns alfa 2a, erlótíníbs (eða virka umbrotsefnisins OSI-420)</w:t>
      </w:r>
      <w:r w:rsidR="00DF2FD8">
        <w:rPr>
          <w:color w:val="auto"/>
          <w:lang w:val="is-IS"/>
        </w:rPr>
        <w:t>,</w:t>
      </w:r>
      <w:r w:rsidRPr="009F7642">
        <w:rPr>
          <w:color w:val="auto"/>
          <w:lang w:val="is-IS"/>
        </w:rPr>
        <w:t xml:space="preserve"> eða krabbameinslyfjanna írínótekans (eða virka umbrotsefnisins SN38), capecítabíns, oxaliplatíns (ákvarðað með mælingum á þéttni frírrar platínu og heildarþéttni platínu) eða cisplatíns þegar þessi lyf voru gefin samtímis. Ekki er hægt að draga ályktanir um áhrif bevacízúmabs á lyfjahvörf gemcitabíns.</w:t>
      </w:r>
    </w:p>
    <w:p w14:paraId="4EC17D6B" w14:textId="77777777" w:rsidR="005F36F3" w:rsidRPr="009F7642" w:rsidRDefault="005F36F3" w:rsidP="008B60B2">
      <w:pPr>
        <w:suppressAutoHyphens/>
        <w:spacing w:after="0" w:line="240" w:lineRule="auto"/>
        <w:ind w:left="0" w:firstLine="0"/>
        <w:rPr>
          <w:color w:val="auto"/>
          <w:lang w:val="is-IS"/>
        </w:rPr>
      </w:pPr>
    </w:p>
    <w:p w14:paraId="6FF55659"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Samhliða notkun bevacízúmabs og sunitinib malats</w:t>
      </w:r>
    </w:p>
    <w:p w14:paraId="31FE846D" w14:textId="77777777" w:rsidR="00C14A06" w:rsidRPr="009F7642" w:rsidRDefault="00C14A06" w:rsidP="008B60B2">
      <w:pPr>
        <w:keepNext/>
        <w:suppressAutoHyphens/>
        <w:spacing w:after="0" w:line="240" w:lineRule="auto"/>
        <w:ind w:left="0" w:firstLine="0"/>
        <w:rPr>
          <w:color w:val="auto"/>
          <w:lang w:val="is-IS"/>
        </w:rPr>
      </w:pPr>
    </w:p>
    <w:p w14:paraId="0C2B1940" w14:textId="77777777" w:rsidR="006C06D6" w:rsidRPr="00693E58" w:rsidRDefault="00564614" w:rsidP="008B60B2">
      <w:pPr>
        <w:suppressAutoHyphens/>
        <w:spacing w:after="0" w:line="240" w:lineRule="auto"/>
        <w:ind w:left="0" w:firstLine="0"/>
        <w:rPr>
          <w:color w:val="auto"/>
          <w:lang w:val="is-IS"/>
        </w:rPr>
      </w:pPr>
      <w:r w:rsidRPr="009F7642">
        <w:rPr>
          <w:color w:val="auto"/>
          <w:lang w:val="is-IS"/>
        </w:rPr>
        <w:t>Tilkynnt var um rauðalosblóðleysi í smáæðum (microangiopathic haemolytic anaemia) í tveimur klínískum rannsóknum á nýrnafrumukrabbameini með meinvörpum, hjá 7 af 19 sjúklingum sem meðhön</w:t>
      </w:r>
      <w:r w:rsidR="001B731E" w:rsidRPr="009F7642">
        <w:rPr>
          <w:color w:val="auto"/>
          <w:lang w:val="is-IS"/>
        </w:rPr>
        <w:t xml:space="preserve">dlaðir voru </w:t>
      </w:r>
      <w:r w:rsidR="001B731E" w:rsidRPr="00D80F10">
        <w:rPr>
          <w:color w:val="auto"/>
          <w:lang w:val="is-IS"/>
        </w:rPr>
        <w:t>með</w:t>
      </w:r>
      <w:r w:rsidR="001B731E" w:rsidRPr="00F035CB">
        <w:rPr>
          <w:color w:val="auto"/>
          <w:lang w:val="is-IS"/>
        </w:rPr>
        <w:t xml:space="preserve"> bevacízúmab</w:t>
      </w:r>
      <w:r w:rsidR="00D80F10" w:rsidRPr="00F035CB">
        <w:rPr>
          <w:color w:val="auto"/>
          <w:lang w:val="is-IS"/>
        </w:rPr>
        <w:t>i</w:t>
      </w:r>
      <w:r w:rsidR="001B731E" w:rsidRPr="00693E58">
        <w:rPr>
          <w:color w:val="auto"/>
          <w:lang w:val="is-IS"/>
        </w:rPr>
        <w:t xml:space="preserve"> (10 </w:t>
      </w:r>
      <w:r w:rsidRPr="00693E58">
        <w:rPr>
          <w:color w:val="auto"/>
          <w:lang w:val="is-IS"/>
        </w:rPr>
        <w:t>mg/kg á tveggja vikna fresti) ásamt sunitinib malat</w:t>
      </w:r>
      <w:r w:rsidR="00D80F10">
        <w:rPr>
          <w:color w:val="auto"/>
          <w:lang w:val="is-IS"/>
        </w:rPr>
        <w:t>i</w:t>
      </w:r>
      <w:r w:rsidRPr="00D80F10">
        <w:rPr>
          <w:color w:val="auto"/>
          <w:lang w:val="is-IS"/>
        </w:rPr>
        <w:t xml:space="preserve"> (50</w:t>
      </w:r>
      <w:r w:rsidR="001B731E" w:rsidRPr="00F035CB">
        <w:rPr>
          <w:color w:val="auto"/>
          <w:lang w:val="is-IS"/>
        </w:rPr>
        <w:t> </w:t>
      </w:r>
      <w:r w:rsidRPr="00F035CB">
        <w:rPr>
          <w:color w:val="auto"/>
          <w:lang w:val="is-IS"/>
        </w:rPr>
        <w:t>mg á dag).</w:t>
      </w:r>
    </w:p>
    <w:p w14:paraId="6C7462F2" w14:textId="77777777" w:rsidR="005F36F3" w:rsidRPr="00693E58" w:rsidRDefault="005F36F3" w:rsidP="008B60B2">
      <w:pPr>
        <w:suppressAutoHyphens/>
        <w:spacing w:after="0" w:line="240" w:lineRule="auto"/>
        <w:ind w:left="0" w:firstLine="0"/>
        <w:rPr>
          <w:color w:val="auto"/>
          <w:lang w:val="is-IS"/>
        </w:rPr>
      </w:pPr>
    </w:p>
    <w:p w14:paraId="4804CEAE" w14:textId="77777777" w:rsidR="006C06D6" w:rsidRPr="009F7642" w:rsidRDefault="00564614" w:rsidP="008B60B2">
      <w:pPr>
        <w:suppressAutoHyphens/>
        <w:spacing w:after="0" w:line="240" w:lineRule="auto"/>
        <w:ind w:left="0" w:firstLine="0"/>
        <w:rPr>
          <w:color w:val="auto"/>
          <w:lang w:val="is-IS"/>
        </w:rPr>
      </w:pPr>
      <w:r w:rsidRPr="00693E58">
        <w:rPr>
          <w:color w:val="auto"/>
          <w:lang w:val="is-IS"/>
        </w:rPr>
        <w:t>Rauðalosblóðleysi í smáæðum er rauðkornarjúfandi sjúkdómur sem getur lýst sér sem rauðkornatvístrun, blóðleysi og blóðflagnafæð. Auk þess kom einnig fram háþrýstingur (þ.m.t. blóðþrýstingskreppa), hækkað kreatínín og einkenni frá taugakerfi hjá sumum þessara sjúklinga. Öll þessi einkenni gengu til baka þegar meðferð með bevacízúmab</w:t>
      </w:r>
      <w:r w:rsidR="00D80F10" w:rsidRPr="00693E58">
        <w:rPr>
          <w:color w:val="auto"/>
          <w:lang w:val="is-IS"/>
        </w:rPr>
        <w:t>i</w:t>
      </w:r>
      <w:r w:rsidRPr="00693E58">
        <w:rPr>
          <w:color w:val="auto"/>
          <w:lang w:val="is-IS"/>
        </w:rPr>
        <w:t xml:space="preserve"> og sunitinib</w:t>
      </w:r>
      <w:r w:rsidRPr="009F7642">
        <w:rPr>
          <w:color w:val="auto"/>
          <w:lang w:val="is-IS"/>
        </w:rPr>
        <w:t xml:space="preserve"> malati var hætt (sjá </w:t>
      </w:r>
      <w:r w:rsidRPr="009F7642">
        <w:rPr>
          <w:i/>
          <w:color w:val="auto"/>
          <w:lang w:val="is-IS"/>
        </w:rPr>
        <w:t xml:space="preserve">Háþrýstingur, Prótein í þvagi og </w:t>
      </w:r>
      <w:r w:rsidR="003D4A14">
        <w:rPr>
          <w:i/>
          <w:color w:val="auto"/>
          <w:lang w:val="is-IS"/>
        </w:rPr>
        <w:t>Afturkræft</w:t>
      </w:r>
      <w:r w:rsidR="003D4A14" w:rsidRPr="009F7642">
        <w:rPr>
          <w:i/>
          <w:color w:val="auto"/>
          <w:lang w:val="is-IS"/>
        </w:rPr>
        <w:t xml:space="preserve"> </w:t>
      </w:r>
      <w:r w:rsidR="003D4A14">
        <w:rPr>
          <w:i/>
          <w:color w:val="auto"/>
          <w:lang w:val="is-IS"/>
        </w:rPr>
        <w:t>aftara</w:t>
      </w:r>
      <w:r w:rsidR="003D4A14" w:rsidRPr="009F7642">
        <w:rPr>
          <w:i/>
          <w:color w:val="auto"/>
          <w:lang w:val="is-IS"/>
        </w:rPr>
        <w:t xml:space="preserve"> </w:t>
      </w:r>
      <w:r w:rsidR="003D4A14">
        <w:rPr>
          <w:i/>
          <w:color w:val="auto"/>
          <w:lang w:val="is-IS"/>
        </w:rPr>
        <w:t>heilakvillaheilkenni</w:t>
      </w:r>
      <w:r w:rsidR="003D4A14" w:rsidRPr="009F7642">
        <w:rPr>
          <w:color w:val="auto"/>
          <w:lang w:val="is-IS"/>
        </w:rPr>
        <w:t xml:space="preserve"> </w:t>
      </w:r>
      <w:r w:rsidRPr="009F7642">
        <w:rPr>
          <w:i/>
          <w:color w:val="auto"/>
          <w:lang w:val="is-IS"/>
        </w:rPr>
        <w:t>(PRES)</w:t>
      </w:r>
      <w:r w:rsidRPr="009F7642">
        <w:rPr>
          <w:color w:val="auto"/>
          <w:lang w:val="is-IS"/>
        </w:rPr>
        <w:t xml:space="preserve"> í kafla 4.4).</w:t>
      </w:r>
    </w:p>
    <w:p w14:paraId="7B79D148" w14:textId="77777777" w:rsidR="005F36F3" w:rsidRPr="009F7642" w:rsidRDefault="005F36F3" w:rsidP="008B60B2">
      <w:pPr>
        <w:suppressAutoHyphens/>
        <w:spacing w:after="0" w:line="240" w:lineRule="auto"/>
        <w:ind w:left="0" w:firstLine="0"/>
        <w:rPr>
          <w:color w:val="auto"/>
          <w:lang w:val="is-IS"/>
        </w:rPr>
      </w:pPr>
    </w:p>
    <w:p w14:paraId="0B5EC2D3"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Samhliða meðferð með platínu- eða taxansamböndum (sjá kafla 4.4 og 4.8)</w:t>
      </w:r>
    </w:p>
    <w:p w14:paraId="4D64E24E" w14:textId="77777777" w:rsidR="00261913" w:rsidRPr="009F7642" w:rsidRDefault="00261913" w:rsidP="008B60B2">
      <w:pPr>
        <w:keepNext/>
        <w:suppressAutoHyphens/>
        <w:spacing w:after="0" w:line="240" w:lineRule="auto"/>
        <w:ind w:left="0" w:firstLine="0"/>
        <w:rPr>
          <w:color w:val="auto"/>
          <w:lang w:val="is-IS"/>
        </w:rPr>
      </w:pPr>
    </w:p>
    <w:p w14:paraId="324AB961"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Vart hefur orðið við aukna tíðni alvarlegrar daufkyrningafæðar, daufkyrningafæðar með hita eða sýkingar með eða án alvarlegrar daufkyrningafæðar (að meðtöldum nokkrum dauðsföllum) aðallega hjá sjúklingum sem fengu meðferð með platínu- eða taxansamböndum, við lungnakrabbameini sem er ekki af smáfrumugerð og brjóstakrabbameini með meinvörpum.</w:t>
      </w:r>
    </w:p>
    <w:p w14:paraId="77B69F6B" w14:textId="77777777" w:rsidR="005F36F3" w:rsidRPr="009F7642" w:rsidRDefault="005F36F3" w:rsidP="008B60B2">
      <w:pPr>
        <w:suppressAutoHyphens/>
        <w:spacing w:after="0" w:line="240" w:lineRule="auto"/>
        <w:ind w:left="0" w:firstLine="0"/>
        <w:rPr>
          <w:color w:val="auto"/>
          <w:lang w:val="is-IS"/>
        </w:rPr>
      </w:pPr>
    </w:p>
    <w:p w14:paraId="340EBC44" w14:textId="77777777" w:rsidR="006C06D6" w:rsidRPr="009F7642" w:rsidRDefault="00564614" w:rsidP="008B60B2">
      <w:pPr>
        <w:keepNext/>
        <w:suppressAutoHyphens/>
        <w:spacing w:after="0" w:line="240" w:lineRule="auto"/>
        <w:ind w:left="0" w:firstLine="0"/>
        <w:rPr>
          <w:b/>
          <w:color w:val="auto"/>
          <w:u w:val="single"/>
          <w:lang w:val="is-IS"/>
        </w:rPr>
      </w:pPr>
      <w:r w:rsidRPr="009F7642">
        <w:rPr>
          <w:color w:val="auto"/>
          <w:u w:val="single"/>
          <w:lang w:val="is-IS"/>
        </w:rPr>
        <w:lastRenderedPageBreak/>
        <w:t>Geislameðferð</w:t>
      </w:r>
    </w:p>
    <w:p w14:paraId="345941DD" w14:textId="77777777" w:rsidR="00261913" w:rsidRPr="009F7642" w:rsidRDefault="00261913" w:rsidP="008B60B2">
      <w:pPr>
        <w:keepNext/>
        <w:suppressAutoHyphens/>
        <w:spacing w:after="0" w:line="240" w:lineRule="auto"/>
        <w:ind w:left="0" w:firstLine="0"/>
        <w:rPr>
          <w:color w:val="auto"/>
          <w:lang w:val="is-IS"/>
        </w:rPr>
      </w:pPr>
    </w:p>
    <w:p w14:paraId="5F4087DC"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Ekki hefur verið sýnt fram á öryggi og verkun geislameðferðar samhliða </w:t>
      </w:r>
      <w:r w:rsidR="00690564" w:rsidRPr="00F2274F">
        <w:rPr>
          <w:lang w:val="is-IS"/>
        </w:rPr>
        <w:t>bevacízúmab</w:t>
      </w:r>
      <w:r w:rsidR="00B86BA3" w:rsidRPr="00F2274F">
        <w:rPr>
          <w:lang w:val="is-IS"/>
        </w:rPr>
        <w:t>i</w:t>
      </w:r>
      <w:r w:rsidRPr="009F7642">
        <w:rPr>
          <w:color w:val="auto"/>
          <w:lang w:val="is-IS"/>
        </w:rPr>
        <w:t xml:space="preserve"> hjá sjúklingum með lungnakrabbamein sem er ekki af smáfrumugerð.</w:t>
      </w:r>
    </w:p>
    <w:p w14:paraId="49A8F530" w14:textId="77777777" w:rsidR="005F36F3" w:rsidRPr="009F7642" w:rsidRDefault="005F36F3" w:rsidP="008B60B2">
      <w:pPr>
        <w:suppressAutoHyphens/>
        <w:spacing w:after="0" w:line="240" w:lineRule="auto"/>
        <w:ind w:left="0" w:firstLine="0"/>
        <w:rPr>
          <w:color w:val="auto"/>
          <w:lang w:val="is-IS"/>
        </w:rPr>
      </w:pPr>
    </w:p>
    <w:p w14:paraId="71D30C59"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 xml:space="preserve">Samhliða meðferð með einstofna mótefnum gegn viðtaka fyrir þekjufrumuvaxtarþátt (epidermal growth factor receptor, EGFR) og krabbameinsmeðferð sem inniheldur </w:t>
      </w:r>
      <w:r w:rsidR="00690564">
        <w:rPr>
          <w:color w:val="auto"/>
          <w:u w:val="single"/>
          <w:lang w:val="is-IS"/>
        </w:rPr>
        <w:t>bevacízúmab</w:t>
      </w:r>
    </w:p>
    <w:p w14:paraId="488DB156" w14:textId="77777777" w:rsidR="00261913" w:rsidRPr="009F7642" w:rsidRDefault="00261913" w:rsidP="008B60B2">
      <w:pPr>
        <w:keepNext/>
        <w:suppressAutoHyphens/>
        <w:spacing w:after="0" w:line="240" w:lineRule="auto"/>
        <w:ind w:left="0" w:firstLine="0"/>
        <w:rPr>
          <w:color w:val="auto"/>
          <w:lang w:val="is-IS"/>
        </w:rPr>
      </w:pPr>
    </w:p>
    <w:p w14:paraId="7ED90595" w14:textId="0D99646F"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Engar rannsóknir hafa verið gerðar á milliverkunum. Ekki </w:t>
      </w:r>
      <w:r w:rsidR="008B12C1" w:rsidRPr="008B12C1">
        <w:rPr>
          <w:color w:val="auto"/>
          <w:lang w:val="is-IS"/>
        </w:rPr>
        <w:t>má</w:t>
      </w:r>
      <w:r w:rsidRPr="009F7642">
        <w:rPr>
          <w:color w:val="auto"/>
          <w:lang w:val="is-IS"/>
        </w:rPr>
        <w:t xml:space="preserve"> að gefa einstofna mótefni gegn EGFR samhliða krabbameinsmeðferð sem inniheldur </w:t>
      </w:r>
      <w:r w:rsidR="00690564">
        <w:rPr>
          <w:color w:val="auto"/>
          <w:lang w:val="is-IS"/>
        </w:rPr>
        <w:t>bevacízúmab</w:t>
      </w:r>
      <w:r w:rsidRPr="009F7642">
        <w:rPr>
          <w:color w:val="auto"/>
          <w:lang w:val="is-IS"/>
        </w:rPr>
        <w:t xml:space="preserve"> til meðhöndlunar krabbameins í ristli eða endaþarmi með meinvörpum. Niðurstöður úr slembiröðuðu III. stigs klínískum rannsóknunum PACCE og CAIRO-2, á sjúklingum með krabbamein í ristli eða endaþarmi með meinvörpum, benda til þess að notkun einstofna EGFR-mótefnisins panitumumab, samhliða </w:t>
      </w:r>
      <w:r w:rsidR="00690564">
        <w:rPr>
          <w:color w:val="auto"/>
          <w:lang w:val="is-IS"/>
        </w:rPr>
        <w:t>bevacízúmab</w:t>
      </w:r>
      <w:r w:rsidRPr="009F7642">
        <w:rPr>
          <w:color w:val="auto"/>
          <w:lang w:val="is-IS"/>
        </w:rPr>
        <w:t xml:space="preserve"> og annarri krabbameinslyfjameðferð, tengist minni lifun án </w:t>
      </w:r>
      <w:r w:rsidR="008B12C1" w:rsidRPr="008B12C1">
        <w:rPr>
          <w:color w:val="auto"/>
          <w:lang w:val="is-IS"/>
        </w:rPr>
        <w:t>versnunar</w:t>
      </w:r>
      <w:r w:rsidRPr="009F7642">
        <w:rPr>
          <w:color w:val="auto"/>
          <w:lang w:val="is-IS"/>
        </w:rPr>
        <w:t xml:space="preserve"> sjúkdóms og/eða heildarlifun, og að notkun einstofna EGFR-mótefnisins cetuximab, samhliða </w:t>
      </w:r>
      <w:r w:rsidR="00690564">
        <w:rPr>
          <w:color w:val="auto"/>
          <w:lang w:val="is-IS"/>
        </w:rPr>
        <w:t>bevacízúmab</w:t>
      </w:r>
      <w:r w:rsidRPr="009F7642">
        <w:rPr>
          <w:color w:val="auto"/>
          <w:lang w:val="is-IS"/>
        </w:rPr>
        <w:t xml:space="preserve"> og annarri krabbameinslyfjameðferð, tengist auknum eituráhrifum borið saman við </w:t>
      </w:r>
      <w:r w:rsidR="00690564">
        <w:rPr>
          <w:color w:val="auto"/>
          <w:lang w:val="is-IS"/>
        </w:rPr>
        <w:t>bevacízúmab</w:t>
      </w:r>
      <w:r w:rsidRPr="009F7642">
        <w:rPr>
          <w:color w:val="auto"/>
          <w:lang w:val="is-IS"/>
        </w:rPr>
        <w:t xml:space="preserve"> og aðra krabbameinslyfjameðferð eingöngu.</w:t>
      </w:r>
    </w:p>
    <w:p w14:paraId="66B8210F" w14:textId="77777777" w:rsidR="005F36F3" w:rsidRPr="009F7642" w:rsidRDefault="005F36F3" w:rsidP="008B60B2">
      <w:pPr>
        <w:suppressAutoHyphens/>
        <w:spacing w:after="0" w:line="240" w:lineRule="auto"/>
        <w:ind w:left="0" w:firstLine="0"/>
        <w:rPr>
          <w:color w:val="auto"/>
          <w:lang w:val="is-IS"/>
        </w:rPr>
      </w:pPr>
    </w:p>
    <w:p w14:paraId="40D92713" w14:textId="77777777" w:rsidR="006C06D6" w:rsidRPr="009F7642" w:rsidRDefault="00564614" w:rsidP="008B60B2">
      <w:pPr>
        <w:keepNext/>
        <w:tabs>
          <w:tab w:val="left" w:pos="567"/>
        </w:tabs>
        <w:suppressAutoHyphens/>
        <w:spacing w:after="0" w:line="240" w:lineRule="auto"/>
        <w:ind w:left="567" w:hanging="567"/>
        <w:rPr>
          <w:b/>
          <w:color w:val="auto"/>
          <w:lang w:val="is-IS"/>
        </w:rPr>
      </w:pPr>
      <w:r w:rsidRPr="009F7642">
        <w:rPr>
          <w:b/>
          <w:color w:val="auto"/>
          <w:lang w:val="is-IS"/>
        </w:rPr>
        <w:t>4.6</w:t>
      </w:r>
      <w:r w:rsidRPr="009F7642">
        <w:rPr>
          <w:b/>
          <w:color w:val="auto"/>
          <w:lang w:val="is-IS"/>
        </w:rPr>
        <w:tab/>
        <w:t>Frjósemi, meðganga og brjóstagjöf</w:t>
      </w:r>
    </w:p>
    <w:p w14:paraId="65BCC995" w14:textId="77777777" w:rsidR="005F36F3" w:rsidRPr="009F7642" w:rsidRDefault="005F36F3" w:rsidP="008B60B2">
      <w:pPr>
        <w:keepNext/>
        <w:suppressAutoHyphens/>
        <w:spacing w:after="0" w:line="240" w:lineRule="auto"/>
        <w:ind w:left="0" w:firstLine="0"/>
        <w:rPr>
          <w:color w:val="auto"/>
          <w:lang w:val="is-IS"/>
        </w:rPr>
      </w:pPr>
    </w:p>
    <w:p w14:paraId="168E567D" w14:textId="20C78ABC"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Konur á barneignaraldri</w:t>
      </w:r>
      <w:r w:rsidR="0043524C">
        <w:rPr>
          <w:color w:val="auto"/>
          <w:u w:val="single"/>
          <w:lang w:val="is-IS"/>
        </w:rPr>
        <w:t>/getnaðarvarnir</w:t>
      </w:r>
    </w:p>
    <w:p w14:paraId="6D98A876" w14:textId="77777777" w:rsidR="00261913" w:rsidRPr="009F7642" w:rsidRDefault="00261913" w:rsidP="008B60B2">
      <w:pPr>
        <w:keepNext/>
        <w:suppressAutoHyphens/>
        <w:spacing w:after="0" w:line="240" w:lineRule="auto"/>
        <w:ind w:left="0" w:firstLine="0"/>
        <w:rPr>
          <w:color w:val="auto"/>
          <w:lang w:val="is-IS"/>
        </w:rPr>
      </w:pPr>
    </w:p>
    <w:p w14:paraId="1483B9C5" w14:textId="77777777" w:rsidR="006C06D6" w:rsidRPr="009F7642" w:rsidRDefault="00564614" w:rsidP="008B60B2">
      <w:pPr>
        <w:suppressAutoHyphens/>
        <w:spacing w:after="0" w:line="240" w:lineRule="auto"/>
        <w:ind w:left="0" w:firstLine="0"/>
        <w:rPr>
          <w:i/>
          <w:color w:val="auto"/>
          <w:lang w:val="is-IS"/>
        </w:rPr>
      </w:pPr>
      <w:r w:rsidRPr="009F7642">
        <w:rPr>
          <w:color w:val="auto"/>
          <w:lang w:val="is-IS"/>
        </w:rPr>
        <w:t>Konur á barneignaraldri verða að nota örugga getnaðarvörn meðan á meðferðinni stendur (og í allt að 6</w:t>
      </w:r>
      <w:r w:rsidR="009210ED">
        <w:rPr>
          <w:color w:val="auto"/>
          <w:lang w:val="is-IS"/>
        </w:rPr>
        <w:t> </w:t>
      </w:r>
      <w:r w:rsidRPr="009F7642">
        <w:rPr>
          <w:color w:val="auto"/>
          <w:lang w:val="is-IS"/>
        </w:rPr>
        <w:t>mánuði) eftir að meðferð lýkur.</w:t>
      </w:r>
    </w:p>
    <w:p w14:paraId="1C7A7AA2" w14:textId="77777777" w:rsidR="005F36F3" w:rsidRPr="009F7642" w:rsidRDefault="005F36F3" w:rsidP="008B60B2">
      <w:pPr>
        <w:suppressAutoHyphens/>
        <w:spacing w:after="0" w:line="240" w:lineRule="auto"/>
        <w:ind w:left="0" w:firstLine="0"/>
        <w:rPr>
          <w:color w:val="auto"/>
          <w:lang w:val="is-IS"/>
        </w:rPr>
      </w:pPr>
    </w:p>
    <w:p w14:paraId="21BF57F2"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Meðganga</w:t>
      </w:r>
    </w:p>
    <w:p w14:paraId="449D9024" w14:textId="77777777" w:rsidR="00261913" w:rsidRPr="009F7642" w:rsidRDefault="00261913" w:rsidP="008B60B2">
      <w:pPr>
        <w:keepNext/>
        <w:suppressAutoHyphens/>
        <w:spacing w:after="0" w:line="240" w:lineRule="auto"/>
        <w:ind w:left="0" w:firstLine="0"/>
        <w:rPr>
          <w:color w:val="auto"/>
          <w:lang w:val="is-IS"/>
        </w:rPr>
      </w:pPr>
    </w:p>
    <w:p w14:paraId="6BAF9BE1" w14:textId="50AEA454"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Ekki liggja fyrir neinar upplýsingar úr klínískum rannsóknum um áhrif </w:t>
      </w:r>
      <w:r w:rsidR="00690564" w:rsidRPr="00F2274F">
        <w:rPr>
          <w:lang w:val="is-IS"/>
        </w:rPr>
        <w:t>bevacízúmab</w:t>
      </w:r>
      <w:r w:rsidR="00B86BA3" w:rsidRPr="00F2274F">
        <w:rPr>
          <w:lang w:val="is-IS"/>
        </w:rPr>
        <w:t>s</w:t>
      </w:r>
      <w:r w:rsidRPr="009F7642">
        <w:rPr>
          <w:color w:val="auto"/>
          <w:lang w:val="is-IS"/>
        </w:rPr>
        <w:t xml:space="preserve"> á meðgöngu. Dýrarannsóknir hafa sýnt eiturverkanir á æxlun, að meðtöldum vansköpunum (sjá kafla 5.3). Vitað er að </w:t>
      </w:r>
      <w:r w:rsidR="00AE3D30" w:rsidRPr="00AE3D30">
        <w:rPr>
          <w:color w:val="auto"/>
          <w:lang w:val="is-IS"/>
        </w:rPr>
        <w:t>IgG fer</w:t>
      </w:r>
      <w:r w:rsidRPr="009F7642">
        <w:rPr>
          <w:color w:val="auto"/>
          <w:lang w:val="is-IS"/>
        </w:rPr>
        <w:t xml:space="preserve"> yfir fylgju og </w:t>
      </w:r>
      <w:r w:rsidR="00690564" w:rsidRPr="00F2274F">
        <w:rPr>
          <w:lang w:val="is-IS"/>
        </w:rPr>
        <w:t>bevacízúmab</w:t>
      </w:r>
      <w:r w:rsidRPr="009F7642">
        <w:rPr>
          <w:color w:val="auto"/>
          <w:lang w:val="is-IS"/>
        </w:rPr>
        <w:t xml:space="preserve"> getur hamlað æðamyndun hjá fóstrinu, og er því talið geta valdið alvarlegum fæðingargöllum ef það er notað á meðgöngu. Eftir markaðssetningu lyfsins hafa sést óeðlileg fóstur hjá konum sem fengu bevacízúmab eitt sér eða ásamt krabbameinslyfjum sem hafa þekkt eituráhrif á fóstur (sjá kafla 4.8). Meðganga er frábending (sjá kafla 4.3) við notkun </w:t>
      </w:r>
      <w:r w:rsidR="001764F7" w:rsidRPr="00F2274F">
        <w:rPr>
          <w:lang w:val="is-IS"/>
        </w:rPr>
        <w:t>MVASI</w:t>
      </w:r>
      <w:r w:rsidRPr="009F7642">
        <w:rPr>
          <w:color w:val="auto"/>
          <w:lang w:val="is-IS"/>
        </w:rPr>
        <w:t>.</w:t>
      </w:r>
    </w:p>
    <w:p w14:paraId="4AFBE8AB" w14:textId="77777777" w:rsidR="005F36F3" w:rsidRPr="009F7642" w:rsidRDefault="005F36F3" w:rsidP="008B60B2">
      <w:pPr>
        <w:suppressAutoHyphens/>
        <w:spacing w:after="0" w:line="240" w:lineRule="auto"/>
        <w:ind w:left="0" w:firstLine="0"/>
        <w:rPr>
          <w:color w:val="auto"/>
          <w:lang w:val="is-IS"/>
        </w:rPr>
      </w:pPr>
    </w:p>
    <w:p w14:paraId="3D19D18C"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Brjóstagjöf</w:t>
      </w:r>
    </w:p>
    <w:p w14:paraId="2288B124" w14:textId="77777777" w:rsidR="00261913" w:rsidRPr="009F7642" w:rsidRDefault="00261913" w:rsidP="008B60B2">
      <w:pPr>
        <w:keepNext/>
        <w:suppressAutoHyphens/>
        <w:spacing w:after="0" w:line="240" w:lineRule="auto"/>
        <w:ind w:left="0" w:firstLine="0"/>
        <w:rPr>
          <w:color w:val="auto"/>
          <w:lang w:val="is-IS"/>
        </w:rPr>
      </w:pPr>
    </w:p>
    <w:p w14:paraId="71007E47" w14:textId="56E31896"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Ekki er </w:t>
      </w:r>
      <w:r w:rsidR="00E839EB">
        <w:rPr>
          <w:color w:val="auto"/>
          <w:lang w:val="is-IS"/>
        </w:rPr>
        <w:t>þekkt</w:t>
      </w:r>
      <w:r w:rsidR="00E839EB" w:rsidRPr="009F7642">
        <w:rPr>
          <w:color w:val="auto"/>
          <w:lang w:val="is-IS"/>
        </w:rPr>
        <w:t xml:space="preserve"> </w:t>
      </w:r>
      <w:r w:rsidRPr="009F7642">
        <w:rPr>
          <w:color w:val="auto"/>
          <w:lang w:val="is-IS"/>
        </w:rPr>
        <w:t xml:space="preserve">hvort bevacízúmab skilst út í brjóstamjólk. Þar sem </w:t>
      </w:r>
      <w:r w:rsidR="00AE3D30">
        <w:rPr>
          <w:color w:val="auto"/>
          <w:lang w:val="is-IS"/>
        </w:rPr>
        <w:t>IgG</w:t>
      </w:r>
      <w:r w:rsidRPr="009F7642">
        <w:rPr>
          <w:color w:val="auto"/>
          <w:lang w:val="is-IS"/>
        </w:rPr>
        <w:t xml:space="preserve"> móður skilst út í mjólk og bevacízúmab gæti haft skaðleg áhrif á vöxt og þroska ungabarna (sjá kafla 5.3), verða konur að hætta brjóstagjöf meðan á meðferð stendur og hafa ekki börn á brjósti í a.m.k. 6</w:t>
      </w:r>
      <w:r w:rsidR="009210ED">
        <w:rPr>
          <w:color w:val="auto"/>
          <w:lang w:val="is-IS"/>
        </w:rPr>
        <w:t> </w:t>
      </w:r>
      <w:r w:rsidRPr="009F7642">
        <w:rPr>
          <w:color w:val="auto"/>
          <w:lang w:val="is-IS"/>
        </w:rPr>
        <w:t xml:space="preserve">mánuði eftir síðasta skammt af </w:t>
      </w:r>
      <w:r w:rsidR="00690564" w:rsidRPr="00F2274F">
        <w:rPr>
          <w:lang w:val="is-IS"/>
        </w:rPr>
        <w:t>bevacízúmab</w:t>
      </w:r>
      <w:r w:rsidR="00B86BA3" w:rsidRPr="00F2274F">
        <w:rPr>
          <w:lang w:val="is-IS"/>
        </w:rPr>
        <w:t>i</w:t>
      </w:r>
      <w:r w:rsidRPr="009F7642">
        <w:rPr>
          <w:color w:val="auto"/>
          <w:lang w:val="is-IS"/>
        </w:rPr>
        <w:t>.</w:t>
      </w:r>
    </w:p>
    <w:p w14:paraId="3AF95F95" w14:textId="77777777" w:rsidR="005F36F3" w:rsidRPr="009F7642" w:rsidRDefault="005F36F3" w:rsidP="008B60B2">
      <w:pPr>
        <w:suppressAutoHyphens/>
        <w:spacing w:after="0" w:line="240" w:lineRule="auto"/>
        <w:ind w:left="0" w:firstLine="0"/>
        <w:rPr>
          <w:color w:val="auto"/>
          <w:lang w:val="is-IS"/>
        </w:rPr>
      </w:pPr>
    </w:p>
    <w:p w14:paraId="0BD49F4A"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Frjósemi</w:t>
      </w:r>
    </w:p>
    <w:p w14:paraId="76EF8A49" w14:textId="77777777" w:rsidR="00261913" w:rsidRPr="009F7642" w:rsidRDefault="00261913" w:rsidP="008B60B2">
      <w:pPr>
        <w:keepNext/>
        <w:suppressAutoHyphens/>
        <w:spacing w:after="0" w:line="240" w:lineRule="auto"/>
        <w:ind w:left="0" w:firstLine="0"/>
        <w:rPr>
          <w:color w:val="auto"/>
          <w:lang w:val="is-IS"/>
        </w:rPr>
      </w:pPr>
    </w:p>
    <w:p w14:paraId="5E98F965"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Rannsóknir á eituráhrifum endurtekinna skammta hjá dýrum hafa sýnt að bevacízúmab getur haft neikvæð áhrif á frjósemi kvenna (sjá kafla 5.3). Í III. stigs klínískri rannsókn á viðbótarmeðferð hjá sjúklingum með krabbamein í ristli sýndi undirrannsókn á konum á barneignaraldri hærri tíðni nýrra tilfella af skertri starfsemi eggjastokka hjá hópnum sem fékk bevacízúmab en hjá samanburðarhópnum. Meirihluti sjúklinga endurheimti virkni eggjastokka eftir að meðferð með bevacízúmabi var hætt. Langtímaáhrif meðferðar með bevacízúmabi á frjósemi eru ekki þekkt.</w:t>
      </w:r>
    </w:p>
    <w:p w14:paraId="2DA480AB" w14:textId="77777777" w:rsidR="005F36F3" w:rsidRPr="009F7642" w:rsidRDefault="005F36F3" w:rsidP="008B60B2">
      <w:pPr>
        <w:suppressAutoHyphens/>
        <w:spacing w:after="0" w:line="240" w:lineRule="auto"/>
        <w:ind w:left="0" w:firstLine="0"/>
        <w:rPr>
          <w:color w:val="auto"/>
          <w:lang w:val="is-IS"/>
        </w:rPr>
      </w:pPr>
    </w:p>
    <w:p w14:paraId="1AE8E5F5" w14:textId="77777777" w:rsidR="006C06D6" w:rsidRPr="009F7642" w:rsidRDefault="00564614" w:rsidP="008B60B2">
      <w:pPr>
        <w:keepNext/>
        <w:tabs>
          <w:tab w:val="left" w:pos="567"/>
        </w:tabs>
        <w:suppressAutoHyphens/>
        <w:spacing w:after="0" w:line="240" w:lineRule="auto"/>
        <w:ind w:left="567" w:hanging="567"/>
        <w:rPr>
          <w:b/>
          <w:color w:val="auto"/>
          <w:lang w:val="is-IS"/>
        </w:rPr>
      </w:pPr>
      <w:r w:rsidRPr="009F7642">
        <w:rPr>
          <w:b/>
          <w:color w:val="auto"/>
          <w:lang w:val="is-IS"/>
        </w:rPr>
        <w:t>4.7</w:t>
      </w:r>
      <w:r w:rsidRPr="009F7642">
        <w:rPr>
          <w:b/>
          <w:color w:val="auto"/>
          <w:lang w:val="is-IS"/>
        </w:rPr>
        <w:tab/>
        <w:t>Áhrif á hæfni til aksturs og notkunar véla</w:t>
      </w:r>
    </w:p>
    <w:p w14:paraId="73CAA691" w14:textId="77777777" w:rsidR="005F36F3" w:rsidRPr="009F7642" w:rsidRDefault="005F36F3" w:rsidP="008B60B2">
      <w:pPr>
        <w:keepNext/>
        <w:suppressAutoHyphens/>
        <w:spacing w:after="0" w:line="240" w:lineRule="auto"/>
        <w:ind w:left="0" w:firstLine="0"/>
        <w:rPr>
          <w:color w:val="auto"/>
          <w:lang w:val="is-IS"/>
        </w:rPr>
      </w:pPr>
    </w:p>
    <w:p w14:paraId="4064FC37" w14:textId="77777777" w:rsidR="006C06D6" w:rsidRPr="009F7642" w:rsidRDefault="00690564" w:rsidP="008B60B2">
      <w:pPr>
        <w:suppressAutoHyphens/>
        <w:spacing w:after="0" w:line="240" w:lineRule="auto"/>
        <w:ind w:left="0" w:firstLine="0"/>
        <w:rPr>
          <w:color w:val="auto"/>
          <w:lang w:val="is-IS"/>
        </w:rPr>
      </w:pPr>
      <w:r w:rsidRPr="00F2274F">
        <w:rPr>
          <w:lang w:val="is-IS"/>
        </w:rPr>
        <w:t>Bevacízúmab</w:t>
      </w:r>
      <w:r w:rsidR="00564614" w:rsidRPr="009F7642">
        <w:rPr>
          <w:color w:val="auto"/>
          <w:lang w:val="is-IS"/>
        </w:rPr>
        <w:t xml:space="preserve"> hefur engin eða óveruleg áhrif á hæfni til aksturs og notkunar véla. Hins vegar hefur verið tilkynnt um svefndrunga og yfirlið í tengslum við notkun </w:t>
      </w:r>
      <w:r w:rsidRPr="00F2274F">
        <w:rPr>
          <w:lang w:val="is-IS"/>
        </w:rPr>
        <w:t>bevacízúmab</w:t>
      </w:r>
      <w:r w:rsidR="00B86BA3" w:rsidRPr="00F2274F">
        <w:rPr>
          <w:lang w:val="is-IS"/>
        </w:rPr>
        <w:t>s</w:t>
      </w:r>
      <w:r w:rsidR="00564614" w:rsidRPr="009F7642">
        <w:rPr>
          <w:color w:val="auto"/>
          <w:lang w:val="is-IS"/>
        </w:rPr>
        <w:t xml:space="preserve"> (sjá töflu 1 í kafla 4.8). Ef sjúklingar finna fyrir einkennum sem hafa áhrif á sjón þeirra, einbeitingu eða viðbragðsgetu á að ráðleggja þeim að aka ekki eða stjórna vélum fyrr en einkennin ganga til baka.</w:t>
      </w:r>
    </w:p>
    <w:p w14:paraId="7D2CA76A" w14:textId="77777777" w:rsidR="005F36F3" w:rsidRPr="009F7642" w:rsidRDefault="005F36F3" w:rsidP="00A23670">
      <w:pPr>
        <w:suppressAutoHyphens/>
        <w:spacing w:after="0" w:line="240" w:lineRule="auto"/>
        <w:ind w:left="0" w:firstLine="0"/>
        <w:rPr>
          <w:color w:val="auto"/>
          <w:lang w:val="is-IS"/>
        </w:rPr>
      </w:pPr>
    </w:p>
    <w:p w14:paraId="351F7AC1" w14:textId="77777777" w:rsidR="005F36F3" w:rsidRPr="009F7642" w:rsidRDefault="00564614" w:rsidP="008B60B2">
      <w:pPr>
        <w:keepNext/>
        <w:tabs>
          <w:tab w:val="left" w:pos="567"/>
        </w:tabs>
        <w:suppressAutoHyphens/>
        <w:spacing w:after="0" w:line="240" w:lineRule="auto"/>
        <w:ind w:left="567" w:hanging="567"/>
        <w:rPr>
          <w:color w:val="auto"/>
          <w:lang w:val="is-IS"/>
        </w:rPr>
      </w:pPr>
      <w:r w:rsidRPr="009F7642">
        <w:rPr>
          <w:b/>
          <w:color w:val="auto"/>
          <w:lang w:val="is-IS"/>
        </w:rPr>
        <w:lastRenderedPageBreak/>
        <w:t>4.8</w:t>
      </w:r>
      <w:r w:rsidRPr="009F7642">
        <w:rPr>
          <w:b/>
          <w:color w:val="auto"/>
          <w:lang w:val="is-IS"/>
        </w:rPr>
        <w:tab/>
        <w:t>Aukaverkanir</w:t>
      </w:r>
    </w:p>
    <w:p w14:paraId="13B511A9" w14:textId="77777777" w:rsidR="005F36F3" w:rsidRPr="009F7642" w:rsidRDefault="005F36F3" w:rsidP="008B60B2">
      <w:pPr>
        <w:keepNext/>
        <w:suppressAutoHyphens/>
        <w:spacing w:after="0" w:line="240" w:lineRule="auto"/>
        <w:ind w:left="0" w:firstLine="0"/>
        <w:rPr>
          <w:color w:val="auto"/>
          <w:lang w:val="is-IS"/>
        </w:rPr>
      </w:pPr>
    </w:p>
    <w:p w14:paraId="2473482E"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Samantekt öryggisupplýsinga</w:t>
      </w:r>
    </w:p>
    <w:p w14:paraId="75A4C0A2" w14:textId="77777777" w:rsidR="005F36F3" w:rsidRPr="009F7642" w:rsidRDefault="005F36F3" w:rsidP="008B60B2">
      <w:pPr>
        <w:keepNext/>
        <w:suppressAutoHyphens/>
        <w:spacing w:after="0" w:line="240" w:lineRule="auto"/>
        <w:ind w:left="0" w:firstLine="0"/>
        <w:rPr>
          <w:color w:val="auto"/>
          <w:lang w:val="is-IS"/>
        </w:rPr>
      </w:pPr>
    </w:p>
    <w:p w14:paraId="4C7F0255" w14:textId="77777777" w:rsidR="006C06D6" w:rsidRPr="009F7642" w:rsidRDefault="00564614" w:rsidP="008B60B2">
      <w:pPr>
        <w:suppressAutoHyphens/>
        <w:spacing w:after="0" w:line="240" w:lineRule="auto"/>
        <w:ind w:left="0" w:firstLine="0"/>
        <w:rPr>
          <w:color w:val="auto"/>
          <w:lang w:val="is-IS"/>
        </w:rPr>
      </w:pPr>
      <w:r w:rsidRPr="00796078">
        <w:rPr>
          <w:color w:val="auto"/>
          <w:lang w:val="is-IS"/>
        </w:rPr>
        <w:t>Heildarörygg</w:t>
      </w:r>
      <w:r w:rsidRPr="009F7642">
        <w:rPr>
          <w:color w:val="auto"/>
          <w:lang w:val="is-IS"/>
        </w:rPr>
        <w:t xml:space="preserve">i </w:t>
      </w:r>
      <w:r w:rsidR="00690564" w:rsidRPr="00F2274F">
        <w:rPr>
          <w:lang w:val="is-IS"/>
        </w:rPr>
        <w:t>bevacízúmab</w:t>
      </w:r>
      <w:r w:rsidR="00B86BA3" w:rsidRPr="00F2274F">
        <w:rPr>
          <w:lang w:val="is-IS"/>
        </w:rPr>
        <w:t>s</w:t>
      </w:r>
      <w:r w:rsidRPr="009F7642">
        <w:rPr>
          <w:color w:val="auto"/>
          <w:lang w:val="is-IS"/>
        </w:rPr>
        <w:t xml:space="preserve"> byggist á upplýsingum frá yfir 5.700 sjúklingum með ýmsa illkynja sjúkdóma, einkum þeim sem fengu </w:t>
      </w:r>
      <w:r w:rsidR="00690564" w:rsidRPr="00F2274F">
        <w:rPr>
          <w:lang w:val="is-IS"/>
        </w:rPr>
        <w:t>bevacízúmab</w:t>
      </w:r>
      <w:r w:rsidRPr="009F7642">
        <w:rPr>
          <w:color w:val="auto"/>
          <w:lang w:val="is-IS"/>
        </w:rPr>
        <w:t xml:space="preserve"> ásamt krabbameinslyfjameðferð í klínískum rannsóknum.</w:t>
      </w:r>
    </w:p>
    <w:p w14:paraId="3F895DE8" w14:textId="77777777" w:rsidR="005F36F3" w:rsidRPr="009F7642" w:rsidRDefault="005F36F3" w:rsidP="008B60B2">
      <w:pPr>
        <w:suppressAutoHyphens/>
        <w:spacing w:after="0" w:line="240" w:lineRule="auto"/>
        <w:ind w:left="0" w:firstLine="0"/>
        <w:rPr>
          <w:color w:val="auto"/>
          <w:lang w:val="is-IS"/>
        </w:rPr>
      </w:pPr>
    </w:p>
    <w:p w14:paraId="13E45DC2" w14:textId="77777777" w:rsidR="006C06D6" w:rsidRPr="009F7642" w:rsidRDefault="00564614" w:rsidP="008B60B2">
      <w:pPr>
        <w:keepNext/>
        <w:suppressAutoHyphens/>
        <w:spacing w:after="0" w:line="240" w:lineRule="auto"/>
        <w:ind w:left="0" w:firstLine="0"/>
        <w:rPr>
          <w:color w:val="auto"/>
          <w:lang w:val="is-IS"/>
        </w:rPr>
      </w:pPr>
      <w:r w:rsidRPr="009F7642">
        <w:rPr>
          <w:color w:val="auto"/>
          <w:lang w:val="is-IS"/>
        </w:rPr>
        <w:t>Alvarlegustu aukaverkanirnar voru:</w:t>
      </w:r>
    </w:p>
    <w:p w14:paraId="3AED921A" w14:textId="77777777" w:rsidR="005F36F3" w:rsidRPr="009F7642" w:rsidRDefault="005F36F3" w:rsidP="008B60B2">
      <w:pPr>
        <w:keepNext/>
        <w:suppressAutoHyphens/>
        <w:spacing w:after="0" w:line="240" w:lineRule="auto"/>
        <w:ind w:left="0" w:firstLine="0"/>
        <w:rPr>
          <w:color w:val="auto"/>
          <w:lang w:val="is-IS"/>
        </w:rPr>
      </w:pPr>
    </w:p>
    <w:p w14:paraId="470AB2E1" w14:textId="77777777" w:rsidR="006C06D6" w:rsidRPr="009F7642" w:rsidRDefault="00564614" w:rsidP="008B60B2">
      <w:pPr>
        <w:keepNext/>
        <w:numPr>
          <w:ilvl w:val="0"/>
          <w:numId w:val="2"/>
        </w:numPr>
        <w:suppressAutoHyphens/>
        <w:spacing w:after="0" w:line="240" w:lineRule="auto"/>
        <w:ind w:left="567" w:hanging="567"/>
        <w:rPr>
          <w:color w:val="auto"/>
          <w:lang w:val="is-IS"/>
        </w:rPr>
      </w:pPr>
      <w:r w:rsidRPr="009F7642">
        <w:rPr>
          <w:color w:val="auto"/>
          <w:lang w:val="is-IS"/>
        </w:rPr>
        <w:t>Rof á maga og þörmum (sjá kafla 4.4).</w:t>
      </w:r>
    </w:p>
    <w:p w14:paraId="007D4DDD" w14:textId="77777777" w:rsidR="006C06D6" w:rsidRPr="009F7642" w:rsidRDefault="00564614" w:rsidP="008B60B2">
      <w:pPr>
        <w:keepNext/>
        <w:numPr>
          <w:ilvl w:val="0"/>
          <w:numId w:val="2"/>
        </w:numPr>
        <w:suppressAutoHyphens/>
        <w:spacing w:after="0" w:line="240" w:lineRule="auto"/>
        <w:ind w:left="567" w:hanging="567"/>
        <w:rPr>
          <w:color w:val="auto"/>
          <w:lang w:val="is-IS"/>
        </w:rPr>
      </w:pPr>
      <w:r w:rsidRPr="009F7642">
        <w:rPr>
          <w:color w:val="auto"/>
          <w:lang w:val="is-IS"/>
        </w:rPr>
        <w:t>Blæðing, að meðtalinni lungnablæðingu/</w:t>
      </w:r>
      <w:r w:rsidRPr="00796078">
        <w:rPr>
          <w:color w:val="auto"/>
          <w:lang w:val="is-IS"/>
        </w:rPr>
        <w:t>blóð</w:t>
      </w:r>
      <w:r w:rsidR="009B65F8" w:rsidRPr="00796078">
        <w:rPr>
          <w:color w:val="auto"/>
          <w:lang w:val="is-IS"/>
        </w:rPr>
        <w:t>hósta</w:t>
      </w:r>
      <w:r w:rsidRPr="009F7642">
        <w:rPr>
          <w:color w:val="auto"/>
          <w:lang w:val="is-IS"/>
        </w:rPr>
        <w:t xml:space="preserve"> sem er algengari hjá sjúklingum með lungnakrabbamein sem er ekki af smáfrumugerð (sjá kafla 4.4).</w:t>
      </w:r>
    </w:p>
    <w:p w14:paraId="6220CEE1" w14:textId="77777777" w:rsidR="006C06D6" w:rsidRPr="009F7642" w:rsidRDefault="00564614" w:rsidP="008B60B2">
      <w:pPr>
        <w:numPr>
          <w:ilvl w:val="0"/>
          <w:numId w:val="2"/>
        </w:numPr>
        <w:suppressAutoHyphens/>
        <w:spacing w:after="0" w:line="240" w:lineRule="auto"/>
        <w:ind w:left="567" w:hanging="566"/>
        <w:rPr>
          <w:color w:val="auto"/>
          <w:lang w:val="is-IS"/>
        </w:rPr>
      </w:pPr>
      <w:r w:rsidRPr="009F7642">
        <w:rPr>
          <w:color w:val="auto"/>
          <w:lang w:val="is-IS"/>
        </w:rPr>
        <w:t>Segarek í slagæðum (sjá kafla 4.4).</w:t>
      </w:r>
    </w:p>
    <w:p w14:paraId="1FAD8567" w14:textId="77777777" w:rsidR="005F36F3" w:rsidRPr="009F7642" w:rsidRDefault="005F36F3" w:rsidP="008B60B2">
      <w:pPr>
        <w:suppressAutoHyphens/>
        <w:spacing w:after="0" w:line="240" w:lineRule="auto"/>
        <w:ind w:left="0" w:firstLine="0"/>
        <w:rPr>
          <w:color w:val="auto"/>
          <w:lang w:val="is-IS"/>
        </w:rPr>
      </w:pPr>
    </w:p>
    <w:p w14:paraId="5EE3826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Þær aukaverkanir sem oftast komu fram í klínískum rannsóknum hjá sjúklingum sem fengu </w:t>
      </w:r>
      <w:r w:rsidR="00690564" w:rsidRPr="00F2274F">
        <w:rPr>
          <w:lang w:val="is-IS"/>
        </w:rPr>
        <w:t>bevacízúmab</w:t>
      </w:r>
      <w:r w:rsidRPr="009F7642">
        <w:rPr>
          <w:color w:val="auto"/>
          <w:lang w:val="is-IS"/>
        </w:rPr>
        <w:t xml:space="preserve"> voru háþrýstingur, þreyta eða þróttleysi, niðurgangur og kviðverkir.</w:t>
      </w:r>
    </w:p>
    <w:p w14:paraId="590F90C6" w14:textId="77777777" w:rsidR="005F36F3" w:rsidRPr="009F7642" w:rsidRDefault="005F36F3" w:rsidP="008B60B2">
      <w:pPr>
        <w:suppressAutoHyphens/>
        <w:spacing w:after="0" w:line="240" w:lineRule="auto"/>
        <w:ind w:left="0" w:firstLine="0"/>
        <w:rPr>
          <w:color w:val="auto"/>
          <w:lang w:val="is-IS"/>
        </w:rPr>
      </w:pPr>
    </w:p>
    <w:p w14:paraId="4531DB77"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Greiningar á klínískum öryggisupplýsingum gefa til kynna að tíðni háþrýstings og próteins í þvagi við </w:t>
      </w:r>
      <w:r w:rsidR="00690564" w:rsidRPr="00F2274F">
        <w:rPr>
          <w:lang w:val="is-IS"/>
        </w:rPr>
        <w:t>bevacízúmab</w:t>
      </w:r>
      <w:r w:rsidRPr="009F7642">
        <w:rPr>
          <w:color w:val="auto"/>
          <w:lang w:val="is-IS"/>
        </w:rPr>
        <w:t xml:space="preserve"> meðferð sé líklega skammtaháð.</w:t>
      </w:r>
    </w:p>
    <w:p w14:paraId="24BD2E69" w14:textId="77777777" w:rsidR="005F36F3" w:rsidRPr="009F7642" w:rsidRDefault="005F36F3" w:rsidP="008B60B2">
      <w:pPr>
        <w:suppressAutoHyphens/>
        <w:spacing w:after="0" w:line="240" w:lineRule="auto"/>
        <w:ind w:left="0" w:firstLine="0"/>
        <w:rPr>
          <w:color w:val="auto"/>
          <w:lang w:val="is-IS"/>
        </w:rPr>
      </w:pPr>
    </w:p>
    <w:p w14:paraId="08AA453E"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t>Tafla yfir aukaverkanir</w:t>
      </w:r>
    </w:p>
    <w:p w14:paraId="072F1FDD" w14:textId="77777777" w:rsidR="005F36F3" w:rsidRPr="009F7642" w:rsidRDefault="005F36F3" w:rsidP="008B60B2">
      <w:pPr>
        <w:keepNext/>
        <w:suppressAutoHyphens/>
        <w:spacing w:after="0" w:line="240" w:lineRule="auto"/>
        <w:ind w:left="0" w:firstLine="0"/>
        <w:rPr>
          <w:color w:val="auto"/>
          <w:lang w:val="is-IS"/>
        </w:rPr>
      </w:pPr>
    </w:p>
    <w:p w14:paraId="35E60793"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Aukaverkunum í þessum kafla er skipt í eftirtalda tíðniflokka: Mjög algengar (</w:t>
      </w:r>
      <w:r w:rsidR="00540AC4">
        <w:rPr>
          <w:color w:val="auto"/>
          <w:lang w:val="is-IS"/>
        </w:rPr>
        <w:t>≥ </w:t>
      </w:r>
      <w:r w:rsidRPr="009F7642">
        <w:rPr>
          <w:color w:val="auto"/>
          <w:lang w:val="is-IS"/>
        </w:rPr>
        <w:t>1/10); algengar (</w:t>
      </w:r>
      <w:r w:rsidR="00540AC4">
        <w:rPr>
          <w:color w:val="auto"/>
          <w:lang w:val="is-IS"/>
        </w:rPr>
        <w:t>≥ </w:t>
      </w:r>
      <w:r w:rsidRPr="009F7642">
        <w:rPr>
          <w:color w:val="auto"/>
          <w:lang w:val="is-IS"/>
        </w:rPr>
        <w:t xml:space="preserve">1/100 til </w:t>
      </w:r>
      <w:r w:rsidR="00540AC4">
        <w:rPr>
          <w:color w:val="auto"/>
          <w:lang w:val="is-IS"/>
        </w:rPr>
        <w:t>&lt; </w:t>
      </w:r>
      <w:r w:rsidRPr="009F7642">
        <w:rPr>
          <w:color w:val="auto"/>
          <w:lang w:val="is-IS"/>
        </w:rPr>
        <w:t>1/10); sjaldgæfar (</w:t>
      </w:r>
      <w:r w:rsidR="00540AC4">
        <w:rPr>
          <w:color w:val="auto"/>
          <w:lang w:val="is-IS"/>
        </w:rPr>
        <w:t>≥ </w:t>
      </w:r>
      <w:r w:rsidRPr="009F7642">
        <w:rPr>
          <w:color w:val="auto"/>
          <w:lang w:val="is-IS"/>
        </w:rPr>
        <w:t xml:space="preserve">1/1.000 til </w:t>
      </w:r>
      <w:r w:rsidR="00540AC4">
        <w:rPr>
          <w:color w:val="auto"/>
          <w:lang w:val="is-IS"/>
        </w:rPr>
        <w:t>&lt; </w:t>
      </w:r>
      <w:r w:rsidRPr="009F7642">
        <w:rPr>
          <w:color w:val="auto"/>
          <w:lang w:val="is-IS"/>
        </w:rPr>
        <w:t>1/100); mjög sjaldgæfar (</w:t>
      </w:r>
      <w:r w:rsidR="00540AC4">
        <w:rPr>
          <w:color w:val="auto"/>
          <w:lang w:val="is-IS"/>
        </w:rPr>
        <w:t>≥ </w:t>
      </w:r>
      <w:r w:rsidRPr="009F7642">
        <w:rPr>
          <w:color w:val="auto"/>
          <w:lang w:val="is-IS"/>
        </w:rPr>
        <w:t xml:space="preserve">1/10.000 til </w:t>
      </w:r>
      <w:r w:rsidR="00540AC4">
        <w:rPr>
          <w:color w:val="auto"/>
          <w:lang w:val="is-IS"/>
        </w:rPr>
        <w:t>&lt; </w:t>
      </w:r>
      <w:r w:rsidRPr="009F7642">
        <w:rPr>
          <w:color w:val="auto"/>
          <w:lang w:val="is-IS"/>
        </w:rPr>
        <w:t>1/1.000); koma örsjaldan fyrir (</w:t>
      </w:r>
      <w:r w:rsidR="00540AC4">
        <w:rPr>
          <w:color w:val="auto"/>
          <w:lang w:val="is-IS"/>
        </w:rPr>
        <w:t>&lt; </w:t>
      </w:r>
      <w:r w:rsidRPr="009F7642">
        <w:rPr>
          <w:color w:val="auto"/>
          <w:lang w:val="is-IS"/>
        </w:rPr>
        <w:t>1/10.000), tíðni ekki þekkt (ekki hægt að áætla tíðni út frá fyrirliggjandi gögnum).</w:t>
      </w:r>
    </w:p>
    <w:p w14:paraId="54BD6546" w14:textId="77777777" w:rsidR="005F36F3" w:rsidRPr="009F7642" w:rsidRDefault="005F36F3" w:rsidP="008B60B2">
      <w:pPr>
        <w:suppressAutoHyphens/>
        <w:spacing w:after="0" w:line="240" w:lineRule="auto"/>
        <w:ind w:left="0" w:firstLine="0"/>
        <w:rPr>
          <w:color w:val="auto"/>
          <w:lang w:val="is-IS"/>
        </w:rPr>
      </w:pPr>
    </w:p>
    <w:p w14:paraId="00E3043A" w14:textId="201D0F29"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töflum 1 og 2 eru taldar upp aukaverkanir sem tengjast notkun </w:t>
      </w:r>
      <w:r w:rsidR="005033D4" w:rsidRPr="00F2274F">
        <w:rPr>
          <w:lang w:val="is-IS"/>
        </w:rPr>
        <w:t>bevacízúmabs</w:t>
      </w:r>
      <w:r w:rsidRPr="009F7642">
        <w:rPr>
          <w:color w:val="auto"/>
          <w:lang w:val="is-IS"/>
        </w:rPr>
        <w:t xml:space="preserve"> ásamt ýmsum krabbameinslyfjameðferðum við mörgum ábendingum</w:t>
      </w:r>
      <w:r w:rsidR="00691E48" w:rsidRPr="00691E48">
        <w:rPr>
          <w:color w:val="auto"/>
          <w:lang w:val="is-IS"/>
        </w:rPr>
        <w:t>, eftir MedDRA líffæraflokkum</w:t>
      </w:r>
      <w:r w:rsidRPr="009F7642">
        <w:rPr>
          <w:color w:val="auto"/>
          <w:lang w:val="is-IS"/>
        </w:rPr>
        <w:t>.</w:t>
      </w:r>
    </w:p>
    <w:p w14:paraId="2025D7B9" w14:textId="77777777" w:rsidR="005F36F3" w:rsidRPr="009F7642" w:rsidRDefault="005F36F3" w:rsidP="008B60B2">
      <w:pPr>
        <w:suppressAutoHyphens/>
        <w:spacing w:after="0" w:line="240" w:lineRule="auto"/>
        <w:ind w:left="0" w:firstLine="0"/>
        <w:rPr>
          <w:color w:val="auto"/>
          <w:lang w:val="is-IS"/>
        </w:rPr>
      </w:pPr>
    </w:p>
    <w:p w14:paraId="66D1A5F4" w14:textId="77777777" w:rsidR="006C06D6" w:rsidRPr="009F7642" w:rsidRDefault="00564614" w:rsidP="008B60B2">
      <w:pPr>
        <w:keepNext/>
        <w:suppressAutoHyphens/>
        <w:spacing w:after="0" w:line="240" w:lineRule="auto"/>
        <w:ind w:left="0" w:firstLine="0"/>
        <w:rPr>
          <w:color w:val="auto"/>
          <w:lang w:val="is-IS"/>
        </w:rPr>
      </w:pPr>
      <w:r w:rsidRPr="009F7642">
        <w:rPr>
          <w:color w:val="auto"/>
          <w:lang w:val="is-IS"/>
        </w:rPr>
        <w:t xml:space="preserve">Í töflu 1 eru allar aukaverkanir, flokkaðar eftir tíðni sem voru taldar hafa orsakasamhengi við notkun </w:t>
      </w:r>
      <w:r w:rsidR="00690564" w:rsidRPr="00F2274F">
        <w:rPr>
          <w:lang w:val="is-IS"/>
        </w:rPr>
        <w:t>bevacízúmab</w:t>
      </w:r>
      <w:r w:rsidR="00B86BA3" w:rsidRPr="00F2274F">
        <w:rPr>
          <w:lang w:val="is-IS"/>
        </w:rPr>
        <w:t>s</w:t>
      </w:r>
      <w:r w:rsidRPr="009F7642">
        <w:rPr>
          <w:color w:val="auto"/>
          <w:lang w:val="is-IS"/>
        </w:rPr>
        <w:t xml:space="preserve"> vegna:</w:t>
      </w:r>
    </w:p>
    <w:p w14:paraId="13D86D81" w14:textId="77777777" w:rsidR="006C06D6" w:rsidRPr="009F7642" w:rsidRDefault="00564614" w:rsidP="008B60B2">
      <w:pPr>
        <w:numPr>
          <w:ilvl w:val="0"/>
          <w:numId w:val="3"/>
        </w:numPr>
        <w:suppressAutoHyphens/>
        <w:spacing w:after="0" w:line="240" w:lineRule="auto"/>
        <w:ind w:left="567" w:hanging="567"/>
        <w:rPr>
          <w:color w:val="auto"/>
          <w:lang w:val="is-IS"/>
        </w:rPr>
      </w:pPr>
      <w:r w:rsidRPr="009F7642">
        <w:rPr>
          <w:color w:val="auto"/>
          <w:lang w:val="is-IS"/>
        </w:rPr>
        <w:t>sambærilegrar tíðni milli meðferðarhópa í klínískum rannsóknum, (með a.m.k. 10% mun miðað við samanburðarhópinn fyrir aukaverkanir af NCI-CTCAE stigi 1-5 eða a.m.k. 2% mun miðað við samanburðarhópinn fyrir aukaverkanir af NCI-CTCAE stigi 3-5),</w:t>
      </w:r>
    </w:p>
    <w:p w14:paraId="70EDA036" w14:textId="77777777" w:rsidR="006C06D6" w:rsidRPr="009F7642" w:rsidRDefault="00564614" w:rsidP="008B60B2">
      <w:pPr>
        <w:numPr>
          <w:ilvl w:val="0"/>
          <w:numId w:val="3"/>
        </w:numPr>
        <w:suppressAutoHyphens/>
        <w:spacing w:after="0" w:line="240" w:lineRule="auto"/>
        <w:ind w:left="567" w:hanging="567"/>
        <w:rPr>
          <w:color w:val="auto"/>
          <w:lang w:val="is-IS"/>
        </w:rPr>
      </w:pPr>
      <w:r w:rsidRPr="009F7642">
        <w:rPr>
          <w:color w:val="auto"/>
          <w:lang w:val="is-IS"/>
        </w:rPr>
        <w:t>rannsókna sem gerðar voru á öryggi lyfsins eftir að því var veitt markaðsleyfi,</w:t>
      </w:r>
    </w:p>
    <w:p w14:paraId="67283A37" w14:textId="77777777" w:rsidR="006C06D6" w:rsidRPr="009F7642" w:rsidRDefault="00564614" w:rsidP="008B60B2">
      <w:pPr>
        <w:numPr>
          <w:ilvl w:val="0"/>
          <w:numId w:val="3"/>
        </w:numPr>
        <w:suppressAutoHyphens/>
        <w:spacing w:after="0" w:line="240" w:lineRule="auto"/>
        <w:ind w:left="567" w:hanging="567"/>
        <w:rPr>
          <w:color w:val="auto"/>
          <w:lang w:val="is-IS"/>
        </w:rPr>
      </w:pPr>
      <w:r w:rsidRPr="009F7642">
        <w:rPr>
          <w:color w:val="auto"/>
          <w:lang w:val="is-IS"/>
        </w:rPr>
        <w:t>aukaverkanatilkynninga við notkun lyfsins utan klínískra rannsókna,</w:t>
      </w:r>
    </w:p>
    <w:p w14:paraId="0D4E40E7" w14:textId="77777777" w:rsidR="006C06D6" w:rsidRPr="009F7642" w:rsidRDefault="00564614" w:rsidP="008B60B2">
      <w:pPr>
        <w:numPr>
          <w:ilvl w:val="0"/>
          <w:numId w:val="3"/>
        </w:numPr>
        <w:suppressAutoHyphens/>
        <w:spacing w:after="0" w:line="240" w:lineRule="auto"/>
        <w:ind w:left="567" w:hanging="567"/>
        <w:rPr>
          <w:color w:val="auto"/>
          <w:lang w:val="is-IS"/>
        </w:rPr>
      </w:pPr>
      <w:r w:rsidRPr="009F7642">
        <w:rPr>
          <w:color w:val="auto"/>
          <w:lang w:val="is-IS"/>
        </w:rPr>
        <w:t>faraldsfræðirannsókna/rannsókna án inngripa eða þar sem fylgst var með sjúklingum,</w:t>
      </w:r>
    </w:p>
    <w:p w14:paraId="0E1C8722" w14:textId="77777777" w:rsidR="006C06D6" w:rsidRPr="009F7642" w:rsidRDefault="00564614" w:rsidP="008B60B2">
      <w:pPr>
        <w:numPr>
          <w:ilvl w:val="0"/>
          <w:numId w:val="3"/>
        </w:numPr>
        <w:suppressAutoHyphens/>
        <w:spacing w:after="0" w:line="240" w:lineRule="auto"/>
        <w:ind w:left="567" w:hanging="567"/>
        <w:rPr>
          <w:color w:val="auto"/>
          <w:lang w:val="is-IS"/>
        </w:rPr>
      </w:pPr>
      <w:r w:rsidRPr="009F7642">
        <w:rPr>
          <w:color w:val="auto"/>
          <w:lang w:val="is-IS"/>
        </w:rPr>
        <w:t>eða vegna mats á einstökum aukaverkanatilkynningum.</w:t>
      </w:r>
    </w:p>
    <w:p w14:paraId="7778D314" w14:textId="77777777" w:rsidR="005F36F3" w:rsidRPr="009F7642" w:rsidRDefault="005F36F3" w:rsidP="008B60B2">
      <w:pPr>
        <w:suppressAutoHyphens/>
        <w:spacing w:after="0" w:line="240" w:lineRule="auto"/>
        <w:ind w:left="567" w:hanging="567"/>
        <w:rPr>
          <w:color w:val="auto"/>
          <w:lang w:val="is-IS"/>
        </w:rPr>
      </w:pPr>
    </w:p>
    <w:p w14:paraId="71469B27"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Í töflu 2 eru alvarlegar aukaverkanir, flokkaðar eftir tíðni. Alvarlegar aukaverkanir eru skilgreindar sem aukaverkanir með a.m.k. 2% mun miðað við samanburðarhóp í klínískum rannsóknum fyrir aukaverkanir af NCI-CTCAE stigi</w:t>
      </w:r>
      <w:r w:rsidR="00B04314">
        <w:rPr>
          <w:color w:val="auto"/>
          <w:lang w:val="is-IS"/>
        </w:rPr>
        <w:t> </w:t>
      </w:r>
      <w:r w:rsidRPr="009F7642">
        <w:rPr>
          <w:color w:val="auto"/>
          <w:lang w:val="is-IS"/>
        </w:rPr>
        <w:t>3-5. Í töflu 2 eru einnig aukaverkanir sem markaðsleyfishafi telur klínískt mikilvægar eða alvarlegar.</w:t>
      </w:r>
    </w:p>
    <w:p w14:paraId="3CBB0ECB" w14:textId="77777777" w:rsidR="005F36F3" w:rsidRPr="009F7642" w:rsidRDefault="005F36F3" w:rsidP="008B60B2">
      <w:pPr>
        <w:suppressAutoHyphens/>
        <w:spacing w:after="0" w:line="240" w:lineRule="auto"/>
        <w:ind w:left="0" w:firstLine="0"/>
        <w:rPr>
          <w:color w:val="auto"/>
          <w:lang w:val="is-IS"/>
        </w:rPr>
      </w:pPr>
    </w:p>
    <w:p w14:paraId="6F3363AD"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Aukaverkanir sem tilkynnt var um eftir markaðssetningu lyfsins eru taldar með í töflum</w:t>
      </w:r>
      <w:r w:rsidR="00B04314">
        <w:rPr>
          <w:color w:val="auto"/>
          <w:lang w:val="is-IS"/>
        </w:rPr>
        <w:t> </w:t>
      </w:r>
      <w:r w:rsidRPr="009F7642">
        <w:rPr>
          <w:color w:val="auto"/>
          <w:lang w:val="is-IS"/>
        </w:rPr>
        <w:t>1 og 2 þar sem það á við. Ítarlegar upplýsingar um aukaverkanir sem tilkynnt var um eftir markaðssetningu lyfsins eru í töflu</w:t>
      </w:r>
      <w:r w:rsidR="00B04314">
        <w:rPr>
          <w:color w:val="auto"/>
          <w:lang w:val="is-IS"/>
        </w:rPr>
        <w:t> </w:t>
      </w:r>
      <w:r w:rsidRPr="009F7642">
        <w:rPr>
          <w:color w:val="auto"/>
          <w:lang w:val="is-IS"/>
        </w:rPr>
        <w:t>3.</w:t>
      </w:r>
    </w:p>
    <w:p w14:paraId="2183CD33" w14:textId="77777777" w:rsidR="00EC751C" w:rsidRDefault="00EC751C" w:rsidP="008B60B2">
      <w:pPr>
        <w:pStyle w:val="Default"/>
        <w:suppressAutoHyphens/>
        <w:rPr>
          <w:color w:val="auto"/>
          <w:sz w:val="22"/>
          <w:szCs w:val="22"/>
          <w:lang w:val="is-IS"/>
        </w:rPr>
      </w:pPr>
    </w:p>
    <w:p w14:paraId="5863DFFD" w14:textId="77777777" w:rsidR="006C06D6" w:rsidRDefault="00614B09" w:rsidP="008B60B2">
      <w:pPr>
        <w:pStyle w:val="Default"/>
        <w:suppressAutoHyphens/>
        <w:rPr>
          <w:color w:val="auto"/>
          <w:sz w:val="22"/>
          <w:szCs w:val="22"/>
          <w:lang w:val="is-IS"/>
        </w:rPr>
      </w:pPr>
      <w:r w:rsidRPr="009F7642">
        <w:rPr>
          <w:color w:val="auto"/>
          <w:sz w:val="22"/>
          <w:szCs w:val="22"/>
          <w:lang w:val="is-IS"/>
        </w:rPr>
        <w:t>Aukaverkanir eru flokkaðar í viðeigandi tíðniflokk í eftirfarandi töflum eftir hæstu tíðni sem vart varð við notkun við einhverri ábendingu.</w:t>
      </w:r>
    </w:p>
    <w:p w14:paraId="0A94CB2C" w14:textId="77777777" w:rsidR="00EC751C" w:rsidRPr="009F7642" w:rsidRDefault="00EC751C" w:rsidP="008B60B2">
      <w:pPr>
        <w:pStyle w:val="Default"/>
        <w:suppressAutoHyphens/>
        <w:rPr>
          <w:color w:val="auto"/>
          <w:sz w:val="22"/>
          <w:szCs w:val="22"/>
          <w:lang w:val="is-IS"/>
        </w:rPr>
      </w:pPr>
    </w:p>
    <w:p w14:paraId="09431DCC" w14:textId="77777777" w:rsidR="004D534A" w:rsidRDefault="00614B09" w:rsidP="008B60B2">
      <w:pPr>
        <w:suppressAutoHyphens/>
        <w:spacing w:after="0" w:line="240" w:lineRule="auto"/>
        <w:ind w:left="0" w:firstLine="0"/>
        <w:rPr>
          <w:color w:val="auto"/>
          <w:lang w:val="is-IS"/>
        </w:rPr>
      </w:pPr>
      <w:r w:rsidRPr="009F7642">
        <w:rPr>
          <w:color w:val="auto"/>
          <w:lang w:val="is-IS"/>
        </w:rPr>
        <w:t>Innan hvers tíðniflokks er aukaverkunum raðað þannig að þær alvarlegustu koma fyrst.</w:t>
      </w:r>
    </w:p>
    <w:p w14:paraId="6EDAC12C" w14:textId="77777777" w:rsidR="004D534A" w:rsidRDefault="004D534A" w:rsidP="008B60B2">
      <w:pPr>
        <w:suppressAutoHyphens/>
        <w:spacing w:after="0" w:line="240" w:lineRule="auto"/>
        <w:ind w:left="0" w:firstLine="0"/>
        <w:rPr>
          <w:color w:val="auto"/>
          <w:lang w:val="is-IS"/>
        </w:rPr>
      </w:pPr>
    </w:p>
    <w:p w14:paraId="59319950" w14:textId="2DE824D3" w:rsidR="00614B09" w:rsidRPr="009F7642" w:rsidRDefault="00614B09" w:rsidP="008B60B2">
      <w:pPr>
        <w:suppressAutoHyphens/>
        <w:spacing w:after="0" w:line="240" w:lineRule="auto"/>
        <w:ind w:left="0" w:firstLine="0"/>
        <w:rPr>
          <w:color w:val="auto"/>
          <w:lang w:val="is-IS"/>
        </w:rPr>
      </w:pPr>
      <w:r w:rsidRPr="009F7642">
        <w:rPr>
          <w:color w:val="auto"/>
          <w:lang w:val="is-IS"/>
        </w:rPr>
        <w:t xml:space="preserve">Sumar aukaverkanirnar eru algengar í krabbameinslyfjameðferð; </w:t>
      </w:r>
      <w:r w:rsidR="00690564" w:rsidRPr="00F2274F">
        <w:rPr>
          <w:lang w:val="is-IS"/>
        </w:rPr>
        <w:t>bevacízúmab</w:t>
      </w:r>
      <w:r w:rsidRPr="009F7642">
        <w:rPr>
          <w:color w:val="auto"/>
          <w:lang w:val="is-IS"/>
        </w:rPr>
        <w:t xml:space="preserve"> getur valdið versnun þessara viðbragða ef lyfið er gefið </w:t>
      </w:r>
      <w:r w:rsidR="00B027B6">
        <w:rPr>
          <w:lang w:val="is-IS"/>
        </w:rPr>
        <w:t>ásamt</w:t>
      </w:r>
      <w:r w:rsidRPr="009F7642">
        <w:rPr>
          <w:color w:val="auto"/>
          <w:lang w:val="is-IS"/>
        </w:rPr>
        <w:t xml:space="preserve"> krabbameinslyfjum. Dæmi um þetta eru handa-fóta heilkenni </w:t>
      </w:r>
      <w:r w:rsidRPr="009F7642">
        <w:rPr>
          <w:color w:val="auto"/>
          <w:lang w:val="is-IS"/>
        </w:rPr>
        <w:lastRenderedPageBreak/>
        <w:t>með pegýleruðu doxórúbicíni í lípósómum eða capecítabíni, útlægur skyntaugakvilli með paclítaxeli eða oxalíplatíni, naglakvillar eða hárlos með paclítaxeli og naglgerðisbólga (paronychia) með erlótíníbi.</w:t>
      </w:r>
    </w:p>
    <w:p w14:paraId="5ED3744B" w14:textId="77777777" w:rsidR="00614B09" w:rsidRPr="009F7642" w:rsidRDefault="00614B09" w:rsidP="008B60B2">
      <w:pPr>
        <w:suppressAutoHyphens/>
        <w:spacing w:after="0" w:line="240" w:lineRule="auto"/>
        <w:ind w:left="0" w:firstLine="0"/>
        <w:rPr>
          <w:color w:val="auto"/>
          <w:lang w:val="is-IS"/>
        </w:rPr>
      </w:pPr>
    </w:p>
    <w:p w14:paraId="7121401A" w14:textId="77777777" w:rsidR="00614B09" w:rsidRPr="009F7642" w:rsidRDefault="00614B09" w:rsidP="008B60B2">
      <w:pPr>
        <w:keepNext/>
        <w:suppressAutoHyphens/>
        <w:spacing w:after="0" w:line="240" w:lineRule="auto"/>
        <w:ind w:left="0" w:firstLine="0"/>
        <w:rPr>
          <w:b/>
          <w:bCs/>
          <w:color w:val="auto"/>
          <w:lang w:val="is-IS"/>
        </w:rPr>
      </w:pPr>
      <w:r w:rsidRPr="009F7642">
        <w:rPr>
          <w:b/>
          <w:bCs/>
          <w:color w:val="auto"/>
          <w:lang w:val="is-IS"/>
        </w:rPr>
        <w:t>Tafla 1</w:t>
      </w:r>
      <w:r w:rsidR="00FA281C" w:rsidRPr="009F7642">
        <w:rPr>
          <w:b/>
          <w:bCs/>
          <w:color w:val="auto"/>
          <w:lang w:val="is-IS"/>
        </w:rPr>
        <w:t>.</w:t>
      </w:r>
      <w:r w:rsidRPr="009F7642">
        <w:rPr>
          <w:b/>
          <w:bCs/>
          <w:color w:val="auto"/>
          <w:lang w:val="is-IS"/>
        </w:rPr>
        <w:t xml:space="preserve"> Aukaverkanir, flokkaðar eftir tíðni</w:t>
      </w:r>
    </w:p>
    <w:p w14:paraId="23A52400" w14:textId="77777777" w:rsidR="00614B09" w:rsidRPr="009F7642" w:rsidRDefault="00614B09" w:rsidP="008B60B2">
      <w:pPr>
        <w:keepNext/>
        <w:suppressAutoHyphens/>
        <w:spacing w:after="0" w:line="240" w:lineRule="auto"/>
        <w:ind w:left="0" w:firstLine="0"/>
        <w:rPr>
          <w:bCs/>
          <w:color w:val="auto"/>
          <w:lang w:val="is-IS"/>
        </w:rPr>
      </w:pP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747"/>
        <w:gridCol w:w="1452"/>
        <w:gridCol w:w="722"/>
        <w:gridCol w:w="1454"/>
        <w:gridCol w:w="1596"/>
        <w:gridCol w:w="1306"/>
      </w:tblGrid>
      <w:tr w:rsidR="005E257F" w:rsidRPr="00DB5B49" w14:paraId="081E7444" w14:textId="77777777" w:rsidTr="007566FC">
        <w:trPr>
          <w:cantSplit/>
          <w:trHeight w:val="300"/>
          <w:tblHeader/>
        </w:trPr>
        <w:tc>
          <w:tcPr>
            <w:tcW w:w="747" w:type="pct"/>
            <w:noWrap/>
            <w:hideMark/>
          </w:tcPr>
          <w:p w14:paraId="1162E5E6" w14:textId="77777777" w:rsidR="00614B09" w:rsidRPr="00DB5B49" w:rsidRDefault="00614B09" w:rsidP="008B60B2">
            <w:pPr>
              <w:suppressAutoHyphens/>
              <w:spacing w:after="0" w:line="240" w:lineRule="auto"/>
              <w:ind w:left="0" w:firstLine="0"/>
              <w:jc w:val="center"/>
              <w:rPr>
                <w:b/>
                <w:color w:val="auto"/>
                <w:sz w:val="18"/>
                <w:szCs w:val="18"/>
                <w:lang w:val="is-IS"/>
              </w:rPr>
            </w:pPr>
            <w:r w:rsidRPr="00DB5B49">
              <w:rPr>
                <w:b/>
                <w:color w:val="auto"/>
                <w:sz w:val="18"/>
                <w:szCs w:val="18"/>
                <w:lang w:val="is-IS"/>
              </w:rPr>
              <w:t>Líffæraflokkur</w:t>
            </w:r>
          </w:p>
        </w:tc>
        <w:tc>
          <w:tcPr>
            <w:tcW w:w="898" w:type="pct"/>
            <w:noWrap/>
            <w:hideMark/>
          </w:tcPr>
          <w:p w14:paraId="1A1A707D" w14:textId="77777777" w:rsidR="00614B09" w:rsidRPr="00DB5B49" w:rsidRDefault="00614B09" w:rsidP="008B60B2">
            <w:pPr>
              <w:suppressAutoHyphens/>
              <w:spacing w:after="0" w:line="240" w:lineRule="auto"/>
              <w:ind w:left="0" w:firstLine="0"/>
              <w:jc w:val="center"/>
              <w:rPr>
                <w:b/>
                <w:color w:val="auto"/>
                <w:sz w:val="18"/>
                <w:szCs w:val="18"/>
                <w:lang w:val="is-IS"/>
              </w:rPr>
            </w:pPr>
            <w:r w:rsidRPr="00DB5B49">
              <w:rPr>
                <w:b/>
                <w:color w:val="auto"/>
                <w:sz w:val="18"/>
                <w:szCs w:val="18"/>
                <w:lang w:val="is-IS"/>
              </w:rPr>
              <w:t>Mjög algengar</w:t>
            </w:r>
          </w:p>
        </w:tc>
        <w:tc>
          <w:tcPr>
            <w:tcW w:w="746" w:type="pct"/>
            <w:noWrap/>
            <w:hideMark/>
          </w:tcPr>
          <w:p w14:paraId="035A2D47" w14:textId="77777777" w:rsidR="00614B09" w:rsidRPr="00DB5B49" w:rsidRDefault="00614B09" w:rsidP="008B60B2">
            <w:pPr>
              <w:suppressAutoHyphens/>
              <w:spacing w:after="0" w:line="240" w:lineRule="auto"/>
              <w:ind w:left="0" w:firstLine="0"/>
              <w:jc w:val="center"/>
              <w:rPr>
                <w:b/>
                <w:color w:val="auto"/>
                <w:sz w:val="18"/>
                <w:szCs w:val="18"/>
                <w:lang w:val="is-IS"/>
              </w:rPr>
            </w:pPr>
            <w:r w:rsidRPr="00DB5B49">
              <w:rPr>
                <w:b/>
                <w:color w:val="auto"/>
                <w:sz w:val="18"/>
                <w:szCs w:val="18"/>
                <w:lang w:val="is-IS"/>
              </w:rPr>
              <w:t>Algengar</w:t>
            </w:r>
          </w:p>
        </w:tc>
        <w:tc>
          <w:tcPr>
            <w:tcW w:w="371" w:type="pct"/>
            <w:noWrap/>
            <w:hideMark/>
          </w:tcPr>
          <w:p w14:paraId="3587A34F" w14:textId="77777777" w:rsidR="00614B09" w:rsidRPr="00DB5B49" w:rsidRDefault="00614B09" w:rsidP="00331D40">
            <w:pPr>
              <w:suppressAutoHyphens/>
              <w:spacing w:after="0" w:line="240" w:lineRule="auto"/>
              <w:ind w:left="0" w:firstLine="0"/>
              <w:jc w:val="center"/>
              <w:rPr>
                <w:b/>
                <w:color w:val="auto"/>
                <w:sz w:val="18"/>
                <w:szCs w:val="18"/>
                <w:lang w:val="is-IS"/>
              </w:rPr>
            </w:pPr>
            <w:r w:rsidRPr="00DB5B49">
              <w:rPr>
                <w:b/>
                <w:color w:val="auto"/>
                <w:sz w:val="18"/>
                <w:szCs w:val="18"/>
                <w:lang w:val="is-IS"/>
              </w:rPr>
              <w:t>S</w:t>
            </w:r>
            <w:r w:rsidRPr="00796078">
              <w:rPr>
                <w:b/>
                <w:color w:val="auto"/>
                <w:sz w:val="18"/>
                <w:szCs w:val="18"/>
                <w:lang w:val="is-IS"/>
              </w:rPr>
              <w:t>jaldgæfar</w:t>
            </w:r>
          </w:p>
        </w:tc>
        <w:tc>
          <w:tcPr>
            <w:tcW w:w="747" w:type="pct"/>
            <w:noWrap/>
            <w:hideMark/>
          </w:tcPr>
          <w:p w14:paraId="2F90CF1D" w14:textId="77777777" w:rsidR="00614B09" w:rsidRPr="00DB5B49" w:rsidRDefault="00614B09" w:rsidP="008B60B2">
            <w:pPr>
              <w:suppressAutoHyphens/>
              <w:spacing w:after="0" w:line="240" w:lineRule="auto"/>
              <w:ind w:left="0" w:firstLine="0"/>
              <w:jc w:val="center"/>
              <w:rPr>
                <w:b/>
                <w:color w:val="auto"/>
                <w:sz w:val="18"/>
                <w:szCs w:val="18"/>
                <w:lang w:val="is-IS"/>
              </w:rPr>
            </w:pPr>
            <w:r w:rsidRPr="00DB5B49">
              <w:rPr>
                <w:b/>
                <w:color w:val="auto"/>
                <w:sz w:val="18"/>
                <w:szCs w:val="18"/>
                <w:lang w:val="is-IS"/>
              </w:rPr>
              <w:t>Mjög</w:t>
            </w:r>
          </w:p>
          <w:p w14:paraId="616654F7" w14:textId="77777777" w:rsidR="00614B09" w:rsidRPr="00DB5B49" w:rsidRDefault="00614B09" w:rsidP="008B60B2">
            <w:pPr>
              <w:suppressAutoHyphens/>
              <w:spacing w:after="0" w:line="240" w:lineRule="auto"/>
              <w:ind w:left="0" w:firstLine="0"/>
              <w:jc w:val="center"/>
              <w:rPr>
                <w:b/>
                <w:color w:val="auto"/>
                <w:sz w:val="18"/>
                <w:szCs w:val="18"/>
                <w:lang w:val="is-IS"/>
              </w:rPr>
            </w:pPr>
            <w:r w:rsidRPr="00DB5B49">
              <w:rPr>
                <w:b/>
                <w:color w:val="auto"/>
                <w:sz w:val="18"/>
                <w:szCs w:val="18"/>
                <w:lang w:val="is-IS"/>
              </w:rPr>
              <w:t>sjaldgæfar</w:t>
            </w:r>
          </w:p>
        </w:tc>
        <w:tc>
          <w:tcPr>
            <w:tcW w:w="820" w:type="pct"/>
            <w:noWrap/>
            <w:hideMark/>
          </w:tcPr>
          <w:p w14:paraId="2DD661DF" w14:textId="77777777" w:rsidR="00614B09" w:rsidRPr="00DB5B49" w:rsidRDefault="00614B09" w:rsidP="008B60B2">
            <w:pPr>
              <w:suppressAutoHyphens/>
              <w:spacing w:after="0" w:line="240" w:lineRule="auto"/>
              <w:ind w:left="0" w:firstLine="0"/>
              <w:jc w:val="center"/>
              <w:rPr>
                <w:b/>
                <w:color w:val="auto"/>
                <w:sz w:val="18"/>
                <w:szCs w:val="18"/>
                <w:lang w:val="is-IS"/>
              </w:rPr>
            </w:pPr>
            <w:r w:rsidRPr="00DB5B49">
              <w:rPr>
                <w:b/>
                <w:color w:val="auto"/>
                <w:sz w:val="18"/>
                <w:szCs w:val="18"/>
                <w:lang w:val="is-IS"/>
              </w:rPr>
              <w:t>Koma</w:t>
            </w:r>
          </w:p>
          <w:p w14:paraId="14756F32" w14:textId="77777777" w:rsidR="00614B09" w:rsidRPr="00DB5B49" w:rsidRDefault="00614B09" w:rsidP="008B60B2">
            <w:pPr>
              <w:suppressAutoHyphens/>
              <w:spacing w:after="0" w:line="240" w:lineRule="auto"/>
              <w:ind w:left="0" w:firstLine="0"/>
              <w:jc w:val="center"/>
              <w:rPr>
                <w:b/>
                <w:color w:val="auto"/>
                <w:sz w:val="18"/>
                <w:szCs w:val="18"/>
                <w:lang w:val="is-IS"/>
              </w:rPr>
            </w:pPr>
            <w:r w:rsidRPr="00DB5B49">
              <w:rPr>
                <w:b/>
                <w:color w:val="auto"/>
                <w:sz w:val="18"/>
                <w:szCs w:val="18"/>
                <w:lang w:val="is-IS"/>
              </w:rPr>
              <w:t>örsjaldan fyrir</w:t>
            </w:r>
          </w:p>
        </w:tc>
        <w:tc>
          <w:tcPr>
            <w:tcW w:w="672" w:type="pct"/>
            <w:noWrap/>
            <w:hideMark/>
          </w:tcPr>
          <w:p w14:paraId="78379A11" w14:textId="77777777" w:rsidR="00614B09" w:rsidRPr="00DB5B49" w:rsidRDefault="00614B09" w:rsidP="008B60B2">
            <w:pPr>
              <w:suppressAutoHyphens/>
              <w:spacing w:after="0" w:line="240" w:lineRule="auto"/>
              <w:ind w:left="0" w:firstLine="0"/>
              <w:jc w:val="center"/>
              <w:rPr>
                <w:b/>
                <w:color w:val="auto"/>
                <w:sz w:val="18"/>
                <w:szCs w:val="18"/>
                <w:lang w:val="is-IS"/>
              </w:rPr>
            </w:pPr>
            <w:r w:rsidRPr="00DB5B49">
              <w:rPr>
                <w:b/>
                <w:color w:val="auto"/>
                <w:sz w:val="18"/>
                <w:szCs w:val="18"/>
                <w:lang w:val="is-IS"/>
              </w:rPr>
              <w:t>Tíðni ekki þekkt</w:t>
            </w:r>
          </w:p>
        </w:tc>
      </w:tr>
      <w:tr w:rsidR="005E257F" w:rsidRPr="00DB5B49" w14:paraId="0EB1E68E" w14:textId="77777777" w:rsidTr="007566FC">
        <w:trPr>
          <w:cantSplit/>
          <w:trHeight w:val="300"/>
        </w:trPr>
        <w:tc>
          <w:tcPr>
            <w:tcW w:w="747" w:type="pct"/>
            <w:noWrap/>
          </w:tcPr>
          <w:p w14:paraId="135F125F"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Sýkingar af völdum sýkla og sníkjudýra</w:t>
            </w:r>
          </w:p>
        </w:tc>
        <w:tc>
          <w:tcPr>
            <w:tcW w:w="898" w:type="pct"/>
            <w:noWrap/>
          </w:tcPr>
          <w:p w14:paraId="41508CCB"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6" w:type="pct"/>
            <w:noWrap/>
          </w:tcPr>
          <w:p w14:paraId="4A36301F"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Blóðsýking</w:t>
            </w:r>
          </w:p>
          <w:p w14:paraId="1BE0F014"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Ígerð</w:t>
            </w:r>
            <w:r w:rsidRPr="00DB5B49">
              <w:rPr>
                <w:color w:val="auto"/>
                <w:sz w:val="18"/>
                <w:szCs w:val="18"/>
                <w:vertAlign w:val="superscript"/>
                <w:lang w:val="is-IS"/>
              </w:rPr>
              <w:t>b,d</w:t>
            </w:r>
          </w:p>
          <w:p w14:paraId="1F66E870"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Húðbeðsbólga,</w:t>
            </w:r>
          </w:p>
          <w:p w14:paraId="49EFDADE"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Sýking</w:t>
            </w:r>
          </w:p>
          <w:p w14:paraId="11AC49BF"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Þvagfærasýking</w:t>
            </w:r>
            <w:r w:rsidRPr="007309A2">
              <w:rPr>
                <w:color w:val="auto"/>
                <w:sz w:val="18"/>
                <w:szCs w:val="18"/>
                <w:lang w:val="is-IS"/>
              </w:rPr>
              <w:t xml:space="preserve"> </w:t>
            </w:r>
          </w:p>
        </w:tc>
        <w:tc>
          <w:tcPr>
            <w:tcW w:w="371" w:type="pct"/>
            <w:noWrap/>
          </w:tcPr>
          <w:p w14:paraId="1995E8B9"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7" w:type="pct"/>
            <w:noWrap/>
          </w:tcPr>
          <w:p w14:paraId="270DCDDC"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Sinafellsbólga með drepi</w:t>
            </w:r>
          </w:p>
          <w:p w14:paraId="579F43CB"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(Necrotising fasciitis)</w:t>
            </w:r>
            <w:r w:rsidRPr="00DB5B49">
              <w:rPr>
                <w:color w:val="auto"/>
                <w:sz w:val="18"/>
                <w:szCs w:val="18"/>
                <w:vertAlign w:val="superscript"/>
                <w:lang w:val="is-IS"/>
              </w:rPr>
              <w:t>a</w:t>
            </w:r>
          </w:p>
        </w:tc>
        <w:tc>
          <w:tcPr>
            <w:tcW w:w="820" w:type="pct"/>
            <w:noWrap/>
          </w:tcPr>
          <w:p w14:paraId="13F8988B" w14:textId="77777777" w:rsidR="00614B09" w:rsidRPr="00DB5B49" w:rsidRDefault="00614B09" w:rsidP="008B60B2">
            <w:pPr>
              <w:keepNext/>
              <w:suppressAutoHyphens/>
              <w:spacing w:after="0" w:line="240" w:lineRule="auto"/>
              <w:ind w:left="0" w:firstLine="0"/>
              <w:rPr>
                <w:color w:val="auto"/>
                <w:sz w:val="18"/>
                <w:szCs w:val="18"/>
                <w:lang w:val="is-IS"/>
              </w:rPr>
            </w:pPr>
          </w:p>
        </w:tc>
        <w:tc>
          <w:tcPr>
            <w:tcW w:w="672" w:type="pct"/>
            <w:noWrap/>
          </w:tcPr>
          <w:p w14:paraId="4300BF26" w14:textId="77777777" w:rsidR="00614B09" w:rsidRPr="00DB5B49" w:rsidRDefault="00614B09" w:rsidP="008B60B2">
            <w:pPr>
              <w:keepNext/>
              <w:suppressAutoHyphens/>
              <w:spacing w:after="0" w:line="240" w:lineRule="auto"/>
              <w:ind w:left="0" w:firstLine="0"/>
              <w:rPr>
                <w:color w:val="auto"/>
                <w:sz w:val="18"/>
                <w:szCs w:val="18"/>
                <w:lang w:val="is-IS"/>
              </w:rPr>
            </w:pPr>
          </w:p>
        </w:tc>
      </w:tr>
      <w:tr w:rsidR="005E257F" w:rsidRPr="00DB5B49" w14:paraId="3444B1AD" w14:textId="77777777" w:rsidTr="007566FC">
        <w:trPr>
          <w:cantSplit/>
          <w:trHeight w:val="300"/>
        </w:trPr>
        <w:tc>
          <w:tcPr>
            <w:tcW w:w="747" w:type="pct"/>
            <w:noWrap/>
            <w:hideMark/>
          </w:tcPr>
          <w:p w14:paraId="59E68F94" w14:textId="77777777" w:rsidR="00614B09" w:rsidRPr="00DB5B49" w:rsidRDefault="00165A55" w:rsidP="008B60B2">
            <w:pPr>
              <w:suppressAutoHyphens/>
              <w:spacing w:after="0" w:line="240" w:lineRule="auto"/>
              <w:ind w:left="0" w:firstLine="0"/>
              <w:rPr>
                <w:color w:val="auto"/>
                <w:sz w:val="18"/>
                <w:szCs w:val="18"/>
                <w:lang w:val="is-IS"/>
              </w:rPr>
            </w:pPr>
            <w:r>
              <w:rPr>
                <w:color w:val="auto"/>
                <w:sz w:val="18"/>
                <w:szCs w:val="18"/>
                <w:lang w:val="is-IS"/>
              </w:rPr>
              <w:t>Blóð og eitlar</w:t>
            </w:r>
          </w:p>
        </w:tc>
        <w:tc>
          <w:tcPr>
            <w:tcW w:w="898" w:type="pct"/>
            <w:noWrap/>
            <w:hideMark/>
          </w:tcPr>
          <w:p w14:paraId="7D1F113B"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Daufkyrningafæð með hita</w:t>
            </w:r>
          </w:p>
          <w:p w14:paraId="2BE4F6ED"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Hvítfrumnafæð</w:t>
            </w:r>
          </w:p>
          <w:p w14:paraId="09E1AA8F"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Daufkyrningafæð</w:t>
            </w:r>
            <w:r w:rsidRPr="00DB5B49">
              <w:rPr>
                <w:color w:val="auto"/>
                <w:sz w:val="18"/>
                <w:szCs w:val="18"/>
                <w:vertAlign w:val="superscript"/>
                <w:lang w:val="is-IS"/>
              </w:rPr>
              <w:t>b</w:t>
            </w:r>
          </w:p>
          <w:p w14:paraId="3158D5DD" w14:textId="77777777" w:rsidR="00614B09" w:rsidRPr="00DB5B49" w:rsidRDefault="00712F51" w:rsidP="008B60B2">
            <w:pPr>
              <w:suppressAutoHyphens/>
              <w:spacing w:after="0" w:line="240" w:lineRule="auto"/>
              <w:ind w:left="0" w:firstLine="0"/>
              <w:rPr>
                <w:color w:val="auto"/>
                <w:sz w:val="18"/>
                <w:szCs w:val="18"/>
                <w:lang w:val="is-IS"/>
              </w:rPr>
            </w:pPr>
            <w:r>
              <w:rPr>
                <w:color w:val="auto"/>
                <w:sz w:val="18"/>
                <w:szCs w:val="18"/>
                <w:lang w:val="is-IS"/>
              </w:rPr>
              <w:t>Blóðflagnafæð</w:t>
            </w:r>
          </w:p>
        </w:tc>
        <w:tc>
          <w:tcPr>
            <w:tcW w:w="746" w:type="pct"/>
          </w:tcPr>
          <w:p w14:paraId="381155AE" w14:textId="77777777" w:rsidR="00614B09" w:rsidRPr="00DB5B49" w:rsidRDefault="00614B09" w:rsidP="00B44753">
            <w:pPr>
              <w:suppressAutoHyphens/>
              <w:spacing w:after="0" w:line="240" w:lineRule="auto"/>
              <w:ind w:left="0" w:firstLine="0"/>
              <w:rPr>
                <w:color w:val="auto"/>
                <w:sz w:val="18"/>
                <w:szCs w:val="18"/>
                <w:lang w:val="is-IS"/>
              </w:rPr>
            </w:pPr>
            <w:r w:rsidRPr="00DB5B49">
              <w:rPr>
                <w:color w:val="auto"/>
                <w:sz w:val="18"/>
                <w:szCs w:val="18"/>
                <w:lang w:val="is-IS"/>
              </w:rPr>
              <w:t xml:space="preserve">Blóðleysi, Eitilfrumnafæð </w:t>
            </w:r>
          </w:p>
        </w:tc>
        <w:tc>
          <w:tcPr>
            <w:tcW w:w="371" w:type="pct"/>
          </w:tcPr>
          <w:p w14:paraId="0C10B840" w14:textId="77777777" w:rsidR="00614B09" w:rsidRPr="00DB5B49" w:rsidRDefault="00614B09" w:rsidP="008B60B2">
            <w:pPr>
              <w:keepNext/>
              <w:suppressAutoHyphens/>
              <w:spacing w:after="0" w:line="240" w:lineRule="auto"/>
              <w:ind w:left="0" w:firstLine="0"/>
              <w:rPr>
                <w:color w:val="auto"/>
                <w:sz w:val="18"/>
                <w:szCs w:val="18"/>
                <w:lang w:val="is-IS"/>
              </w:rPr>
            </w:pPr>
          </w:p>
        </w:tc>
        <w:tc>
          <w:tcPr>
            <w:tcW w:w="747" w:type="pct"/>
          </w:tcPr>
          <w:p w14:paraId="78792006" w14:textId="77777777" w:rsidR="00614B09" w:rsidRPr="00DB5B49" w:rsidRDefault="00614B09" w:rsidP="008B60B2">
            <w:pPr>
              <w:keepNext/>
              <w:suppressAutoHyphens/>
              <w:spacing w:after="0" w:line="240" w:lineRule="auto"/>
              <w:ind w:left="0" w:firstLine="0"/>
              <w:rPr>
                <w:color w:val="auto"/>
                <w:sz w:val="18"/>
                <w:szCs w:val="18"/>
                <w:lang w:val="is-IS"/>
              </w:rPr>
            </w:pPr>
          </w:p>
        </w:tc>
        <w:tc>
          <w:tcPr>
            <w:tcW w:w="820" w:type="pct"/>
            <w:noWrap/>
            <w:hideMark/>
          </w:tcPr>
          <w:p w14:paraId="59CE8FE6" w14:textId="77777777" w:rsidR="00614B09" w:rsidRPr="00DB5B49" w:rsidRDefault="00614B09" w:rsidP="008B60B2">
            <w:pPr>
              <w:keepNext/>
              <w:suppressAutoHyphens/>
              <w:spacing w:after="0" w:line="240" w:lineRule="auto"/>
              <w:ind w:left="0" w:firstLine="0"/>
              <w:rPr>
                <w:color w:val="auto"/>
                <w:sz w:val="18"/>
                <w:szCs w:val="18"/>
                <w:lang w:val="is-IS"/>
              </w:rPr>
            </w:pPr>
          </w:p>
        </w:tc>
        <w:tc>
          <w:tcPr>
            <w:tcW w:w="672" w:type="pct"/>
            <w:noWrap/>
            <w:hideMark/>
          </w:tcPr>
          <w:p w14:paraId="64733EFF" w14:textId="77777777" w:rsidR="00614B09" w:rsidRPr="00DB5B49" w:rsidRDefault="00614B09" w:rsidP="008B60B2">
            <w:pPr>
              <w:keepNext/>
              <w:suppressAutoHyphens/>
              <w:spacing w:after="0" w:line="240" w:lineRule="auto"/>
              <w:ind w:left="0" w:firstLine="0"/>
              <w:rPr>
                <w:color w:val="auto"/>
                <w:sz w:val="18"/>
                <w:szCs w:val="18"/>
                <w:lang w:val="is-IS"/>
              </w:rPr>
            </w:pPr>
          </w:p>
        </w:tc>
      </w:tr>
      <w:tr w:rsidR="005E257F" w:rsidRPr="00D058B1" w14:paraId="4E482FD6" w14:textId="77777777" w:rsidTr="00E87F57">
        <w:trPr>
          <w:cantSplit/>
          <w:trHeight w:val="300"/>
        </w:trPr>
        <w:tc>
          <w:tcPr>
            <w:tcW w:w="747" w:type="pct"/>
            <w:noWrap/>
            <w:hideMark/>
          </w:tcPr>
          <w:p w14:paraId="4A61090C"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Ónæmiskerfi</w:t>
            </w:r>
          </w:p>
        </w:tc>
        <w:tc>
          <w:tcPr>
            <w:tcW w:w="898" w:type="pct"/>
            <w:noWrap/>
            <w:hideMark/>
          </w:tcPr>
          <w:p w14:paraId="07A4EAFA"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6" w:type="pct"/>
            <w:noWrap/>
            <w:hideMark/>
          </w:tcPr>
          <w:p w14:paraId="5CD73596" w14:textId="77777777" w:rsidR="00614B09" w:rsidRPr="00DB5B49" w:rsidRDefault="00614B09" w:rsidP="00B44753">
            <w:pPr>
              <w:suppressAutoHyphens/>
              <w:spacing w:after="0" w:line="240" w:lineRule="auto"/>
              <w:ind w:left="0" w:firstLine="0"/>
              <w:rPr>
                <w:color w:val="auto"/>
                <w:sz w:val="18"/>
                <w:szCs w:val="18"/>
                <w:lang w:val="is-IS"/>
              </w:rPr>
            </w:pPr>
            <w:r w:rsidRPr="00DB5B49">
              <w:rPr>
                <w:color w:val="auto"/>
                <w:sz w:val="18"/>
                <w:szCs w:val="18"/>
                <w:lang w:val="is-IS"/>
              </w:rPr>
              <w:t>Ofnæmi, innrennslis</w:t>
            </w:r>
            <w:r w:rsidR="00F035CB">
              <w:rPr>
                <w:color w:val="auto"/>
                <w:sz w:val="18"/>
                <w:szCs w:val="18"/>
                <w:lang w:val="is-IS"/>
              </w:rPr>
              <w:t>-</w:t>
            </w:r>
            <w:r w:rsidRPr="00DB5B49">
              <w:rPr>
                <w:color w:val="auto"/>
                <w:sz w:val="18"/>
                <w:szCs w:val="18"/>
                <w:lang w:val="is-IS"/>
              </w:rPr>
              <w:t>viðbrögð</w:t>
            </w:r>
            <w:r w:rsidRPr="00DB5B49">
              <w:rPr>
                <w:color w:val="auto"/>
                <w:sz w:val="18"/>
                <w:szCs w:val="18"/>
                <w:vertAlign w:val="superscript"/>
                <w:lang w:val="is-IS"/>
              </w:rPr>
              <w:t>a,b,d</w:t>
            </w:r>
          </w:p>
        </w:tc>
        <w:tc>
          <w:tcPr>
            <w:tcW w:w="371" w:type="pct"/>
          </w:tcPr>
          <w:p w14:paraId="472FA13F" w14:textId="77777777" w:rsidR="00614B09" w:rsidRPr="00DB5B49" w:rsidRDefault="00614B09" w:rsidP="008B60B2">
            <w:pPr>
              <w:suppressAutoHyphens/>
              <w:spacing w:after="0" w:line="240" w:lineRule="auto"/>
              <w:ind w:left="0" w:firstLine="0"/>
              <w:rPr>
                <w:color w:val="auto"/>
                <w:sz w:val="18"/>
                <w:szCs w:val="18"/>
                <w:lang w:val="is-IS"/>
              </w:rPr>
            </w:pPr>
          </w:p>
        </w:tc>
        <w:tc>
          <w:tcPr>
            <w:tcW w:w="747" w:type="pct"/>
          </w:tcPr>
          <w:p w14:paraId="0949BAFE" w14:textId="3E1051D9" w:rsidR="00614B09" w:rsidRPr="00DB5B49" w:rsidRDefault="00845621" w:rsidP="008B60B2">
            <w:pPr>
              <w:suppressAutoHyphens/>
              <w:spacing w:after="0" w:line="240" w:lineRule="auto"/>
              <w:ind w:left="0" w:firstLine="0"/>
              <w:rPr>
                <w:color w:val="auto"/>
                <w:sz w:val="18"/>
                <w:szCs w:val="18"/>
                <w:lang w:val="is-IS"/>
              </w:rPr>
            </w:pPr>
            <w:r>
              <w:rPr>
                <w:color w:val="auto"/>
                <w:sz w:val="18"/>
                <w:szCs w:val="18"/>
                <w:lang w:val="is-IS"/>
              </w:rPr>
              <w:t>Bráðao</w:t>
            </w:r>
            <w:r w:rsidR="001C4A29">
              <w:rPr>
                <w:color w:val="auto"/>
                <w:sz w:val="18"/>
                <w:szCs w:val="18"/>
                <w:lang w:val="is-IS"/>
              </w:rPr>
              <w:t>f</w:t>
            </w:r>
            <w:r w:rsidR="00787B3F">
              <w:rPr>
                <w:color w:val="auto"/>
                <w:sz w:val="18"/>
                <w:szCs w:val="18"/>
                <w:lang w:val="is-IS"/>
              </w:rPr>
              <w:t>-</w:t>
            </w:r>
            <w:r w:rsidR="001C4A29">
              <w:rPr>
                <w:color w:val="auto"/>
                <w:sz w:val="18"/>
                <w:szCs w:val="18"/>
                <w:lang w:val="is-IS"/>
              </w:rPr>
              <w:t>næmislost</w:t>
            </w:r>
          </w:p>
        </w:tc>
        <w:tc>
          <w:tcPr>
            <w:tcW w:w="820" w:type="pct"/>
          </w:tcPr>
          <w:p w14:paraId="6C97523A" w14:textId="77777777" w:rsidR="00614B09" w:rsidRPr="00DB5B49" w:rsidRDefault="00614B09" w:rsidP="008B60B2">
            <w:pPr>
              <w:suppressAutoHyphens/>
              <w:spacing w:after="0" w:line="240" w:lineRule="auto"/>
              <w:ind w:left="0" w:firstLine="0"/>
              <w:rPr>
                <w:color w:val="auto"/>
                <w:sz w:val="18"/>
                <w:szCs w:val="18"/>
                <w:lang w:val="is-IS"/>
              </w:rPr>
            </w:pPr>
          </w:p>
        </w:tc>
        <w:tc>
          <w:tcPr>
            <w:tcW w:w="672" w:type="pct"/>
          </w:tcPr>
          <w:p w14:paraId="043A5E81" w14:textId="77777777" w:rsidR="00614B09" w:rsidRPr="00DB5B49" w:rsidRDefault="00614B09" w:rsidP="008B60B2">
            <w:pPr>
              <w:suppressAutoHyphens/>
              <w:spacing w:after="0" w:line="240" w:lineRule="auto"/>
              <w:ind w:left="0" w:firstLine="0"/>
              <w:rPr>
                <w:color w:val="auto"/>
                <w:sz w:val="18"/>
                <w:szCs w:val="18"/>
                <w:lang w:val="is-IS"/>
              </w:rPr>
            </w:pPr>
          </w:p>
        </w:tc>
      </w:tr>
      <w:tr w:rsidR="005E257F" w:rsidRPr="00DB5B49" w14:paraId="40E5D5A5" w14:textId="77777777" w:rsidTr="007566FC">
        <w:trPr>
          <w:cantSplit/>
          <w:trHeight w:val="300"/>
        </w:trPr>
        <w:tc>
          <w:tcPr>
            <w:tcW w:w="747" w:type="pct"/>
            <w:noWrap/>
            <w:hideMark/>
          </w:tcPr>
          <w:p w14:paraId="42600EB1"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Efnaskipti og næring</w:t>
            </w:r>
          </w:p>
        </w:tc>
        <w:tc>
          <w:tcPr>
            <w:tcW w:w="898" w:type="pct"/>
            <w:noWrap/>
            <w:hideMark/>
          </w:tcPr>
          <w:p w14:paraId="7A206FFE"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Lystarleysi</w:t>
            </w:r>
          </w:p>
          <w:p w14:paraId="49755F5B"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Magnesíumlækkun í blóði</w:t>
            </w:r>
          </w:p>
          <w:p w14:paraId="36D7F81B"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Natríumlækkun í blóði </w:t>
            </w:r>
          </w:p>
        </w:tc>
        <w:tc>
          <w:tcPr>
            <w:tcW w:w="746" w:type="pct"/>
            <w:noWrap/>
            <w:hideMark/>
          </w:tcPr>
          <w:p w14:paraId="1655F9AE"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Ofþornun </w:t>
            </w:r>
          </w:p>
        </w:tc>
        <w:tc>
          <w:tcPr>
            <w:tcW w:w="371" w:type="pct"/>
          </w:tcPr>
          <w:p w14:paraId="7B5841D4" w14:textId="77777777" w:rsidR="00614B09" w:rsidRPr="00DB5B49" w:rsidRDefault="00614B09" w:rsidP="008B60B2">
            <w:pPr>
              <w:suppressAutoHyphens/>
              <w:spacing w:after="0" w:line="240" w:lineRule="auto"/>
              <w:ind w:left="0" w:firstLine="0"/>
              <w:rPr>
                <w:color w:val="auto"/>
                <w:sz w:val="18"/>
                <w:szCs w:val="18"/>
                <w:lang w:val="is-IS"/>
              </w:rPr>
            </w:pPr>
          </w:p>
        </w:tc>
        <w:tc>
          <w:tcPr>
            <w:tcW w:w="747" w:type="pct"/>
          </w:tcPr>
          <w:p w14:paraId="03E25602" w14:textId="77777777" w:rsidR="00614B09" w:rsidRPr="00DB5B49" w:rsidRDefault="00614B09" w:rsidP="008B60B2">
            <w:pPr>
              <w:suppressAutoHyphens/>
              <w:spacing w:after="0" w:line="240" w:lineRule="auto"/>
              <w:ind w:left="0" w:firstLine="0"/>
              <w:rPr>
                <w:color w:val="auto"/>
                <w:sz w:val="18"/>
                <w:szCs w:val="18"/>
                <w:lang w:val="is-IS"/>
              </w:rPr>
            </w:pPr>
          </w:p>
        </w:tc>
        <w:tc>
          <w:tcPr>
            <w:tcW w:w="820" w:type="pct"/>
          </w:tcPr>
          <w:p w14:paraId="1D0A4519" w14:textId="77777777" w:rsidR="00614B09" w:rsidRPr="00DB5B49" w:rsidRDefault="00614B09" w:rsidP="008B60B2">
            <w:pPr>
              <w:suppressAutoHyphens/>
              <w:spacing w:after="0" w:line="240" w:lineRule="auto"/>
              <w:ind w:left="0" w:firstLine="0"/>
              <w:rPr>
                <w:color w:val="auto"/>
                <w:sz w:val="18"/>
                <w:szCs w:val="18"/>
                <w:lang w:val="is-IS"/>
              </w:rPr>
            </w:pPr>
          </w:p>
        </w:tc>
        <w:tc>
          <w:tcPr>
            <w:tcW w:w="672" w:type="pct"/>
          </w:tcPr>
          <w:p w14:paraId="2E0996AA" w14:textId="77777777" w:rsidR="00614B09" w:rsidRPr="00DB5B49" w:rsidRDefault="00614B09" w:rsidP="008B60B2">
            <w:pPr>
              <w:suppressAutoHyphens/>
              <w:spacing w:after="0" w:line="240" w:lineRule="auto"/>
              <w:ind w:left="0" w:firstLine="0"/>
              <w:rPr>
                <w:color w:val="auto"/>
                <w:sz w:val="18"/>
                <w:szCs w:val="18"/>
                <w:lang w:val="is-IS"/>
              </w:rPr>
            </w:pPr>
          </w:p>
        </w:tc>
      </w:tr>
      <w:tr w:rsidR="005E257F" w:rsidRPr="00DB5B49" w14:paraId="0CCB7964" w14:textId="77777777" w:rsidTr="007566FC">
        <w:trPr>
          <w:cantSplit/>
          <w:trHeight w:val="300"/>
        </w:trPr>
        <w:tc>
          <w:tcPr>
            <w:tcW w:w="747" w:type="pct"/>
            <w:noWrap/>
            <w:hideMark/>
          </w:tcPr>
          <w:p w14:paraId="4C41E545"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Taugakerfi</w:t>
            </w:r>
          </w:p>
        </w:tc>
        <w:tc>
          <w:tcPr>
            <w:tcW w:w="898" w:type="pct"/>
            <w:noWrap/>
            <w:hideMark/>
          </w:tcPr>
          <w:p w14:paraId="1705691A" w14:textId="77777777" w:rsidR="00317138"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Útlægur skyntaugakvilli</w:t>
            </w:r>
            <w:r w:rsidRPr="00DB5B49">
              <w:rPr>
                <w:color w:val="auto"/>
                <w:sz w:val="18"/>
                <w:szCs w:val="18"/>
                <w:vertAlign w:val="superscript"/>
                <w:lang w:val="is-IS"/>
              </w:rPr>
              <w:t>b</w:t>
            </w:r>
            <w:r w:rsidRPr="00DB5B49">
              <w:rPr>
                <w:color w:val="auto"/>
                <w:sz w:val="18"/>
                <w:szCs w:val="18"/>
                <w:lang w:val="is-IS"/>
              </w:rPr>
              <w:t xml:space="preserve"> </w:t>
            </w:r>
          </w:p>
          <w:p w14:paraId="459DC68A"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Tormæli</w:t>
            </w:r>
          </w:p>
          <w:p w14:paraId="50D66988"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Höfuðverkur</w:t>
            </w:r>
          </w:p>
          <w:p w14:paraId="4C9B7899"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Bragðtruflanir</w:t>
            </w:r>
          </w:p>
        </w:tc>
        <w:tc>
          <w:tcPr>
            <w:tcW w:w="746" w:type="pct"/>
          </w:tcPr>
          <w:p w14:paraId="036E5888"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Heilaæðaáfall</w:t>
            </w:r>
          </w:p>
          <w:p w14:paraId="3B470FCE"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Yfirlið</w:t>
            </w:r>
          </w:p>
          <w:p w14:paraId="303626BB"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Svefndrungi</w:t>
            </w:r>
          </w:p>
          <w:p w14:paraId="2878A60F" w14:textId="77777777" w:rsidR="00614B09" w:rsidRPr="00DB5B49" w:rsidRDefault="00614B09" w:rsidP="008B60B2">
            <w:pPr>
              <w:suppressAutoHyphens/>
              <w:spacing w:after="0" w:line="240" w:lineRule="auto"/>
              <w:ind w:left="0" w:firstLine="0"/>
              <w:rPr>
                <w:color w:val="auto"/>
                <w:sz w:val="18"/>
                <w:szCs w:val="18"/>
                <w:lang w:val="is-IS"/>
              </w:rPr>
            </w:pPr>
          </w:p>
        </w:tc>
        <w:tc>
          <w:tcPr>
            <w:tcW w:w="371" w:type="pct"/>
          </w:tcPr>
          <w:p w14:paraId="378743EC"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7" w:type="pct"/>
            <w:noWrap/>
            <w:hideMark/>
          </w:tcPr>
          <w:p w14:paraId="5B459098"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Afturkræft aftara</w:t>
            </w:r>
          </w:p>
          <w:p w14:paraId="16C90B96"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heilakvillaheil</w:t>
            </w:r>
            <w:r w:rsidR="00F035CB">
              <w:rPr>
                <w:color w:val="auto"/>
                <w:sz w:val="18"/>
                <w:szCs w:val="18"/>
                <w:lang w:val="is-IS"/>
              </w:rPr>
              <w:t>-</w:t>
            </w:r>
            <w:r w:rsidRPr="00DB5B49">
              <w:rPr>
                <w:color w:val="auto"/>
                <w:sz w:val="18"/>
                <w:szCs w:val="18"/>
                <w:lang w:val="is-IS"/>
              </w:rPr>
              <w:t>kenni (posterior reversible</w:t>
            </w:r>
          </w:p>
          <w:p w14:paraId="39CE3057" w14:textId="77777777" w:rsidR="006C06D6" w:rsidRPr="00DB5B49" w:rsidRDefault="00C54CAB" w:rsidP="00317138">
            <w:pPr>
              <w:suppressAutoHyphens/>
              <w:spacing w:after="0" w:line="240" w:lineRule="auto"/>
              <w:ind w:left="0" w:firstLine="0"/>
              <w:rPr>
                <w:color w:val="auto"/>
                <w:sz w:val="18"/>
                <w:szCs w:val="18"/>
                <w:lang w:val="is-IS"/>
              </w:rPr>
            </w:pPr>
            <w:r>
              <w:rPr>
                <w:color w:val="auto"/>
                <w:sz w:val="18"/>
                <w:szCs w:val="18"/>
                <w:lang w:val="is-IS"/>
              </w:rPr>
              <w:t>encephalo</w:t>
            </w:r>
            <w:r w:rsidR="00614B09" w:rsidRPr="00DB5B49">
              <w:rPr>
                <w:color w:val="auto"/>
                <w:sz w:val="18"/>
                <w:szCs w:val="18"/>
                <w:lang w:val="is-IS"/>
              </w:rPr>
              <w:t>pathy</w:t>
            </w:r>
          </w:p>
          <w:p w14:paraId="362151F2" w14:textId="77777777" w:rsidR="00614B09" w:rsidRPr="00DB5B49" w:rsidRDefault="00614B09" w:rsidP="00761D16">
            <w:pPr>
              <w:suppressAutoHyphens/>
              <w:spacing w:after="0" w:line="240" w:lineRule="auto"/>
              <w:ind w:left="0" w:firstLine="0"/>
              <w:rPr>
                <w:color w:val="auto"/>
                <w:sz w:val="18"/>
                <w:szCs w:val="18"/>
                <w:lang w:val="is-IS"/>
              </w:rPr>
            </w:pPr>
            <w:r w:rsidRPr="00DB5B49">
              <w:rPr>
                <w:color w:val="auto"/>
                <w:sz w:val="18"/>
                <w:szCs w:val="18"/>
                <w:lang w:val="is-IS"/>
              </w:rPr>
              <w:t>syndrome)</w:t>
            </w:r>
            <w:r w:rsidRPr="00DB5B49">
              <w:rPr>
                <w:color w:val="auto"/>
                <w:sz w:val="18"/>
                <w:szCs w:val="18"/>
                <w:vertAlign w:val="superscript"/>
                <w:lang w:val="is-IS"/>
              </w:rPr>
              <w:t>a,b,d</w:t>
            </w:r>
          </w:p>
        </w:tc>
        <w:tc>
          <w:tcPr>
            <w:tcW w:w="820" w:type="pct"/>
            <w:noWrap/>
            <w:hideMark/>
          </w:tcPr>
          <w:p w14:paraId="375190AC" w14:textId="77777777" w:rsidR="006C06D6" w:rsidRPr="00DB5B49" w:rsidRDefault="00614B09" w:rsidP="00317138">
            <w:pPr>
              <w:suppressAutoHyphens/>
              <w:spacing w:after="0" w:line="240" w:lineRule="auto"/>
              <w:ind w:left="0" w:firstLine="0"/>
              <w:rPr>
                <w:color w:val="auto"/>
                <w:sz w:val="18"/>
                <w:szCs w:val="18"/>
                <w:lang w:val="is-IS"/>
              </w:rPr>
            </w:pPr>
            <w:r w:rsidRPr="00DB5B49">
              <w:rPr>
                <w:color w:val="auto"/>
                <w:sz w:val="18"/>
                <w:szCs w:val="18"/>
                <w:lang w:val="is-IS"/>
              </w:rPr>
              <w:t>Háþrýstingsheila</w:t>
            </w:r>
            <w:r w:rsidR="00F035CB">
              <w:rPr>
                <w:color w:val="auto"/>
                <w:sz w:val="18"/>
                <w:szCs w:val="18"/>
                <w:lang w:val="is-IS"/>
              </w:rPr>
              <w:t>-</w:t>
            </w:r>
            <w:r w:rsidRPr="00DB5B49">
              <w:rPr>
                <w:color w:val="auto"/>
                <w:sz w:val="18"/>
                <w:szCs w:val="18"/>
                <w:lang w:val="is-IS"/>
              </w:rPr>
              <w:t>kvilli</w:t>
            </w:r>
          </w:p>
          <w:p w14:paraId="4F27F591" w14:textId="77777777" w:rsidR="00614B09" w:rsidRPr="00DB5B49" w:rsidRDefault="00614B09" w:rsidP="00761D16">
            <w:pPr>
              <w:suppressAutoHyphens/>
              <w:spacing w:after="0" w:line="240" w:lineRule="auto"/>
              <w:ind w:left="0" w:firstLine="0"/>
              <w:rPr>
                <w:color w:val="auto"/>
                <w:sz w:val="18"/>
                <w:szCs w:val="18"/>
                <w:lang w:val="is-IS"/>
              </w:rPr>
            </w:pPr>
            <w:r w:rsidRPr="00DB5B49">
              <w:rPr>
                <w:color w:val="auto"/>
                <w:sz w:val="18"/>
                <w:szCs w:val="18"/>
                <w:lang w:val="is-IS"/>
              </w:rPr>
              <w:t>(hypert</w:t>
            </w:r>
            <w:r w:rsidR="00C54CAB">
              <w:rPr>
                <w:color w:val="auto"/>
                <w:sz w:val="18"/>
                <w:szCs w:val="18"/>
                <w:lang w:val="is-IS"/>
              </w:rPr>
              <w:t>ensive encephalo</w:t>
            </w:r>
            <w:r w:rsidRPr="00DB5B49">
              <w:rPr>
                <w:color w:val="auto"/>
                <w:sz w:val="18"/>
                <w:szCs w:val="18"/>
                <w:lang w:val="is-IS"/>
              </w:rPr>
              <w:t>pathy)</w:t>
            </w:r>
            <w:r w:rsidRPr="00DB5B49">
              <w:rPr>
                <w:color w:val="auto"/>
                <w:sz w:val="18"/>
                <w:szCs w:val="18"/>
                <w:vertAlign w:val="superscript"/>
                <w:lang w:val="is-IS"/>
              </w:rPr>
              <w:t>a</w:t>
            </w:r>
            <w:r w:rsidRPr="00DB5B49">
              <w:rPr>
                <w:color w:val="auto"/>
                <w:sz w:val="18"/>
                <w:szCs w:val="18"/>
                <w:lang w:val="is-IS"/>
              </w:rPr>
              <w:t xml:space="preserve"> </w:t>
            </w:r>
          </w:p>
        </w:tc>
        <w:tc>
          <w:tcPr>
            <w:tcW w:w="672" w:type="pct"/>
            <w:noWrap/>
            <w:hideMark/>
          </w:tcPr>
          <w:p w14:paraId="4B04A8C5" w14:textId="77777777" w:rsidR="00614B09" w:rsidRPr="00DB5B49" w:rsidRDefault="00614B09" w:rsidP="008B60B2">
            <w:pPr>
              <w:suppressAutoHyphens/>
              <w:spacing w:after="0" w:line="240" w:lineRule="auto"/>
              <w:ind w:left="0" w:firstLine="0"/>
              <w:rPr>
                <w:color w:val="auto"/>
                <w:sz w:val="18"/>
                <w:szCs w:val="18"/>
                <w:lang w:val="is-IS"/>
              </w:rPr>
            </w:pPr>
          </w:p>
        </w:tc>
      </w:tr>
      <w:tr w:rsidR="005E257F" w:rsidRPr="00DB5B49" w14:paraId="12AA82F8" w14:textId="77777777" w:rsidTr="007566FC">
        <w:trPr>
          <w:cantSplit/>
          <w:trHeight w:val="300"/>
        </w:trPr>
        <w:tc>
          <w:tcPr>
            <w:tcW w:w="747" w:type="pct"/>
            <w:noWrap/>
            <w:hideMark/>
          </w:tcPr>
          <w:p w14:paraId="74FCB369"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Augu</w:t>
            </w:r>
          </w:p>
        </w:tc>
        <w:tc>
          <w:tcPr>
            <w:tcW w:w="898" w:type="pct"/>
            <w:noWrap/>
            <w:hideMark/>
          </w:tcPr>
          <w:p w14:paraId="1D7BCB4B" w14:textId="77777777" w:rsidR="00F035CB"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Augnkvillar </w:t>
            </w:r>
          </w:p>
          <w:p w14:paraId="3132B15F"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Aukin táraseyting </w:t>
            </w:r>
          </w:p>
        </w:tc>
        <w:tc>
          <w:tcPr>
            <w:tcW w:w="746" w:type="pct"/>
            <w:noWrap/>
            <w:hideMark/>
          </w:tcPr>
          <w:p w14:paraId="00CB5B0A" w14:textId="77777777" w:rsidR="00614B09" w:rsidRPr="00DB5B49" w:rsidRDefault="00614B09" w:rsidP="008B60B2">
            <w:pPr>
              <w:suppressAutoHyphens/>
              <w:spacing w:after="0" w:line="240" w:lineRule="auto"/>
              <w:ind w:left="0" w:firstLine="0"/>
              <w:rPr>
                <w:color w:val="auto"/>
                <w:sz w:val="18"/>
                <w:szCs w:val="18"/>
                <w:lang w:val="is-IS"/>
              </w:rPr>
            </w:pPr>
          </w:p>
        </w:tc>
        <w:tc>
          <w:tcPr>
            <w:tcW w:w="371" w:type="pct"/>
          </w:tcPr>
          <w:p w14:paraId="147033BA" w14:textId="77777777" w:rsidR="00614B09" w:rsidRPr="00DB5B49" w:rsidRDefault="00614B09" w:rsidP="008B60B2">
            <w:pPr>
              <w:suppressAutoHyphens/>
              <w:spacing w:after="0" w:line="240" w:lineRule="auto"/>
              <w:ind w:left="0" w:firstLine="0"/>
              <w:rPr>
                <w:color w:val="auto"/>
                <w:sz w:val="18"/>
                <w:szCs w:val="18"/>
                <w:lang w:val="is-IS"/>
              </w:rPr>
            </w:pPr>
          </w:p>
        </w:tc>
        <w:tc>
          <w:tcPr>
            <w:tcW w:w="747" w:type="pct"/>
          </w:tcPr>
          <w:p w14:paraId="2F7D16AD" w14:textId="77777777" w:rsidR="00614B09" w:rsidRPr="00DB5B49" w:rsidRDefault="00614B09" w:rsidP="008B60B2">
            <w:pPr>
              <w:suppressAutoHyphens/>
              <w:spacing w:after="0" w:line="240" w:lineRule="auto"/>
              <w:ind w:left="0" w:firstLine="0"/>
              <w:rPr>
                <w:color w:val="auto"/>
                <w:sz w:val="18"/>
                <w:szCs w:val="18"/>
                <w:lang w:val="is-IS"/>
              </w:rPr>
            </w:pPr>
          </w:p>
        </w:tc>
        <w:tc>
          <w:tcPr>
            <w:tcW w:w="820" w:type="pct"/>
            <w:noWrap/>
            <w:hideMark/>
          </w:tcPr>
          <w:p w14:paraId="6CDBC15A" w14:textId="77777777" w:rsidR="00614B09" w:rsidRPr="00DB5B49" w:rsidRDefault="00614B09" w:rsidP="008B60B2">
            <w:pPr>
              <w:suppressAutoHyphens/>
              <w:spacing w:after="0" w:line="240" w:lineRule="auto"/>
              <w:ind w:left="0" w:firstLine="0"/>
              <w:rPr>
                <w:color w:val="auto"/>
                <w:sz w:val="18"/>
                <w:szCs w:val="18"/>
                <w:lang w:val="is-IS"/>
              </w:rPr>
            </w:pPr>
          </w:p>
        </w:tc>
        <w:tc>
          <w:tcPr>
            <w:tcW w:w="672" w:type="pct"/>
            <w:noWrap/>
            <w:hideMark/>
          </w:tcPr>
          <w:p w14:paraId="45957B5D" w14:textId="77777777" w:rsidR="00614B09" w:rsidRPr="00DB5B49" w:rsidRDefault="00614B09" w:rsidP="008B60B2">
            <w:pPr>
              <w:suppressAutoHyphens/>
              <w:spacing w:after="0" w:line="240" w:lineRule="auto"/>
              <w:ind w:left="0" w:firstLine="0"/>
              <w:rPr>
                <w:color w:val="auto"/>
                <w:sz w:val="18"/>
                <w:szCs w:val="18"/>
                <w:lang w:val="is-IS"/>
              </w:rPr>
            </w:pPr>
          </w:p>
        </w:tc>
      </w:tr>
      <w:tr w:rsidR="005E257F" w:rsidRPr="00AD2908" w14:paraId="0C9CDE4D" w14:textId="77777777" w:rsidTr="00E87F57">
        <w:trPr>
          <w:cantSplit/>
          <w:trHeight w:val="300"/>
        </w:trPr>
        <w:tc>
          <w:tcPr>
            <w:tcW w:w="747" w:type="pct"/>
            <w:noWrap/>
            <w:hideMark/>
          </w:tcPr>
          <w:p w14:paraId="326F11F3"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Hjarta </w:t>
            </w:r>
          </w:p>
        </w:tc>
        <w:tc>
          <w:tcPr>
            <w:tcW w:w="898" w:type="pct"/>
          </w:tcPr>
          <w:p w14:paraId="6A107768"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6" w:type="pct"/>
          </w:tcPr>
          <w:p w14:paraId="14C1D2B6"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Blóðríkishjarta</w:t>
            </w:r>
            <w:r w:rsidR="00F035CB">
              <w:rPr>
                <w:color w:val="auto"/>
                <w:sz w:val="18"/>
                <w:szCs w:val="18"/>
                <w:lang w:val="is-IS"/>
              </w:rPr>
              <w:t>-</w:t>
            </w:r>
            <w:r w:rsidRPr="00DB5B49">
              <w:rPr>
                <w:color w:val="auto"/>
                <w:sz w:val="18"/>
                <w:szCs w:val="18"/>
                <w:lang w:val="is-IS"/>
              </w:rPr>
              <w:t>bilun</w:t>
            </w:r>
            <w:r w:rsidRPr="00DB5B49">
              <w:rPr>
                <w:color w:val="auto"/>
                <w:sz w:val="18"/>
                <w:szCs w:val="18"/>
                <w:vertAlign w:val="superscript"/>
                <w:lang w:val="is-IS"/>
              </w:rPr>
              <w:t>b,d</w:t>
            </w:r>
          </w:p>
          <w:p w14:paraId="6ABD423E"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Ofansleglahrað</w:t>
            </w:r>
            <w:r w:rsidR="00F035CB">
              <w:rPr>
                <w:color w:val="auto"/>
                <w:sz w:val="18"/>
                <w:szCs w:val="18"/>
                <w:lang w:val="is-IS"/>
              </w:rPr>
              <w:t>-</w:t>
            </w:r>
            <w:r w:rsidRPr="00DB5B49">
              <w:rPr>
                <w:color w:val="auto"/>
                <w:sz w:val="18"/>
                <w:szCs w:val="18"/>
                <w:lang w:val="is-IS"/>
              </w:rPr>
              <w:t xml:space="preserve">sláttur </w:t>
            </w:r>
          </w:p>
        </w:tc>
        <w:tc>
          <w:tcPr>
            <w:tcW w:w="371" w:type="pct"/>
          </w:tcPr>
          <w:p w14:paraId="79A33237" w14:textId="77777777" w:rsidR="00614B09" w:rsidRPr="00DB5B49" w:rsidRDefault="00614B09" w:rsidP="008B60B2">
            <w:pPr>
              <w:suppressAutoHyphens/>
              <w:spacing w:after="0" w:line="240" w:lineRule="auto"/>
              <w:ind w:left="0" w:firstLine="0"/>
              <w:rPr>
                <w:color w:val="auto"/>
                <w:sz w:val="18"/>
                <w:szCs w:val="18"/>
                <w:lang w:val="is-IS"/>
              </w:rPr>
            </w:pPr>
          </w:p>
        </w:tc>
        <w:tc>
          <w:tcPr>
            <w:tcW w:w="747" w:type="pct"/>
          </w:tcPr>
          <w:p w14:paraId="04CA6531" w14:textId="77777777" w:rsidR="00614B09" w:rsidRPr="00DB5B49" w:rsidRDefault="00614B09" w:rsidP="008B60B2">
            <w:pPr>
              <w:suppressAutoHyphens/>
              <w:spacing w:after="0" w:line="240" w:lineRule="auto"/>
              <w:ind w:left="0" w:firstLine="0"/>
              <w:rPr>
                <w:color w:val="auto"/>
                <w:sz w:val="18"/>
                <w:szCs w:val="18"/>
                <w:lang w:val="is-IS"/>
              </w:rPr>
            </w:pPr>
          </w:p>
        </w:tc>
        <w:tc>
          <w:tcPr>
            <w:tcW w:w="820" w:type="pct"/>
          </w:tcPr>
          <w:p w14:paraId="6398A9FE" w14:textId="77777777" w:rsidR="00614B09" w:rsidRPr="00DB5B49" w:rsidRDefault="00614B09" w:rsidP="008B60B2">
            <w:pPr>
              <w:suppressAutoHyphens/>
              <w:spacing w:after="0" w:line="240" w:lineRule="auto"/>
              <w:ind w:left="0" w:firstLine="0"/>
              <w:rPr>
                <w:color w:val="auto"/>
                <w:sz w:val="18"/>
                <w:szCs w:val="18"/>
                <w:lang w:val="is-IS"/>
              </w:rPr>
            </w:pPr>
          </w:p>
        </w:tc>
        <w:tc>
          <w:tcPr>
            <w:tcW w:w="672" w:type="pct"/>
            <w:noWrap/>
            <w:hideMark/>
          </w:tcPr>
          <w:p w14:paraId="72BE6104" w14:textId="77777777" w:rsidR="00614B09" w:rsidRPr="00DB5B49" w:rsidRDefault="00614B09" w:rsidP="008B60B2">
            <w:pPr>
              <w:suppressAutoHyphens/>
              <w:spacing w:after="0" w:line="240" w:lineRule="auto"/>
              <w:ind w:left="0" w:firstLine="0"/>
              <w:rPr>
                <w:color w:val="auto"/>
                <w:sz w:val="18"/>
                <w:szCs w:val="18"/>
                <w:lang w:val="is-IS"/>
              </w:rPr>
            </w:pPr>
          </w:p>
        </w:tc>
      </w:tr>
      <w:tr w:rsidR="005E257F" w:rsidRPr="00DB5B49" w14:paraId="00F51101" w14:textId="77777777" w:rsidTr="007566FC">
        <w:trPr>
          <w:cantSplit/>
          <w:trHeight w:val="300"/>
        </w:trPr>
        <w:tc>
          <w:tcPr>
            <w:tcW w:w="747" w:type="pct"/>
            <w:noWrap/>
            <w:hideMark/>
          </w:tcPr>
          <w:p w14:paraId="7908EF95"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Æðar</w:t>
            </w:r>
          </w:p>
        </w:tc>
        <w:tc>
          <w:tcPr>
            <w:tcW w:w="898" w:type="pct"/>
            <w:noWrap/>
            <w:hideMark/>
          </w:tcPr>
          <w:p w14:paraId="66DC2F7F"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Háþrýstingur</w:t>
            </w:r>
            <w:r w:rsidRPr="00DB5B49">
              <w:rPr>
                <w:color w:val="auto"/>
                <w:sz w:val="18"/>
                <w:szCs w:val="18"/>
                <w:vertAlign w:val="superscript"/>
                <w:lang w:val="is-IS"/>
              </w:rPr>
              <w:t>b,d</w:t>
            </w:r>
          </w:p>
          <w:p w14:paraId="28170B75"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Segarek í bláæðum</w:t>
            </w:r>
            <w:r w:rsidRPr="00DB5B49">
              <w:rPr>
                <w:color w:val="auto"/>
                <w:sz w:val="18"/>
                <w:szCs w:val="18"/>
                <w:vertAlign w:val="superscript"/>
                <w:lang w:val="is-IS"/>
              </w:rPr>
              <w:t>b,d</w:t>
            </w:r>
            <w:r w:rsidRPr="00DB5B49">
              <w:rPr>
                <w:color w:val="auto"/>
                <w:sz w:val="18"/>
                <w:szCs w:val="18"/>
                <w:lang w:val="is-IS"/>
              </w:rPr>
              <w:t xml:space="preserve"> </w:t>
            </w:r>
          </w:p>
        </w:tc>
        <w:tc>
          <w:tcPr>
            <w:tcW w:w="746" w:type="pct"/>
            <w:noWrap/>
            <w:hideMark/>
          </w:tcPr>
          <w:p w14:paraId="171F45B2"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Segarek (í slagæðum)</w:t>
            </w:r>
            <w:r w:rsidRPr="00DB5B49">
              <w:rPr>
                <w:color w:val="auto"/>
                <w:sz w:val="18"/>
                <w:szCs w:val="18"/>
                <w:vertAlign w:val="superscript"/>
                <w:lang w:val="is-IS"/>
              </w:rPr>
              <w:t>b,d</w:t>
            </w:r>
            <w:r w:rsidRPr="00DB5B49">
              <w:rPr>
                <w:color w:val="auto"/>
                <w:sz w:val="18"/>
                <w:szCs w:val="18"/>
                <w:lang w:val="is-IS"/>
              </w:rPr>
              <w:t xml:space="preserve"> Blæðing</w:t>
            </w:r>
            <w:r w:rsidRPr="00DB5B49">
              <w:rPr>
                <w:color w:val="auto"/>
                <w:sz w:val="18"/>
                <w:szCs w:val="18"/>
                <w:vertAlign w:val="superscript"/>
                <w:lang w:val="is-IS"/>
              </w:rPr>
              <w:t>b,d</w:t>
            </w:r>
          </w:p>
          <w:p w14:paraId="25C18E5D"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Segamyndun í djúpbláæðum </w:t>
            </w:r>
          </w:p>
        </w:tc>
        <w:tc>
          <w:tcPr>
            <w:tcW w:w="371" w:type="pct"/>
          </w:tcPr>
          <w:p w14:paraId="0D7F5151"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7" w:type="pct"/>
            <w:noWrap/>
            <w:hideMark/>
          </w:tcPr>
          <w:p w14:paraId="685F477F"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820" w:type="pct"/>
            <w:noWrap/>
            <w:hideMark/>
          </w:tcPr>
          <w:p w14:paraId="2A46C062"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672" w:type="pct"/>
            <w:noWrap/>
            <w:hideMark/>
          </w:tcPr>
          <w:p w14:paraId="774F42FE" w14:textId="77777777" w:rsidR="00614B0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Blóðstorku- smáæðakvilli í nýrum (renal thrombotic </w:t>
            </w:r>
            <w:r w:rsidR="00C54CAB">
              <w:rPr>
                <w:color w:val="auto"/>
                <w:sz w:val="18"/>
                <w:szCs w:val="18"/>
                <w:lang w:val="is-IS"/>
              </w:rPr>
              <w:t>micro</w:t>
            </w:r>
            <w:r w:rsidRPr="00DB5B49">
              <w:rPr>
                <w:color w:val="auto"/>
                <w:sz w:val="18"/>
                <w:szCs w:val="18"/>
                <w:lang w:val="is-IS"/>
              </w:rPr>
              <w:t>angio</w:t>
            </w:r>
            <w:r w:rsidR="00F035CB">
              <w:rPr>
                <w:color w:val="auto"/>
                <w:sz w:val="18"/>
                <w:szCs w:val="18"/>
                <w:lang w:val="is-IS"/>
              </w:rPr>
              <w:t>-</w:t>
            </w:r>
            <w:r w:rsidRPr="00DB5B49">
              <w:rPr>
                <w:color w:val="auto"/>
                <w:sz w:val="18"/>
                <w:szCs w:val="18"/>
                <w:lang w:val="is-IS"/>
              </w:rPr>
              <w:t>pathy)</w:t>
            </w:r>
            <w:r w:rsidRPr="00DB5B49">
              <w:rPr>
                <w:color w:val="auto"/>
                <w:sz w:val="18"/>
                <w:szCs w:val="18"/>
                <w:vertAlign w:val="superscript"/>
                <w:lang w:val="is-IS"/>
              </w:rPr>
              <w:t>a,b</w:t>
            </w:r>
            <w:r w:rsidRPr="00DB5B49">
              <w:rPr>
                <w:color w:val="auto"/>
                <w:sz w:val="18"/>
                <w:szCs w:val="18"/>
                <w:lang w:val="is-IS"/>
              </w:rPr>
              <w:t xml:space="preserve"> </w:t>
            </w:r>
          </w:p>
          <w:p w14:paraId="36CA10D8" w14:textId="77777777" w:rsidR="00E47F01" w:rsidRPr="00DB5B49" w:rsidRDefault="00E47F01" w:rsidP="008B60B2">
            <w:pPr>
              <w:suppressAutoHyphens/>
              <w:spacing w:after="0" w:line="240" w:lineRule="auto"/>
              <w:ind w:left="0" w:firstLine="0"/>
              <w:rPr>
                <w:color w:val="auto"/>
                <w:sz w:val="18"/>
                <w:szCs w:val="18"/>
                <w:lang w:val="is-IS"/>
              </w:rPr>
            </w:pPr>
            <w:r w:rsidRPr="00E47F01">
              <w:rPr>
                <w:color w:val="auto"/>
                <w:sz w:val="18"/>
                <w:szCs w:val="18"/>
                <w:lang w:val="is-IS"/>
              </w:rPr>
              <w:t>Slagæðargúlpur og flysjun slagæðar</w:t>
            </w:r>
          </w:p>
        </w:tc>
      </w:tr>
      <w:tr w:rsidR="005E257F" w:rsidRPr="00AD2908" w14:paraId="3C02EC12" w14:textId="77777777" w:rsidTr="00E87F57">
        <w:trPr>
          <w:cantSplit/>
          <w:trHeight w:val="300"/>
        </w:trPr>
        <w:tc>
          <w:tcPr>
            <w:tcW w:w="747" w:type="pct"/>
            <w:noWrap/>
            <w:hideMark/>
          </w:tcPr>
          <w:p w14:paraId="549A015E"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Öndunarfæri, brjósthol og miðmæti</w:t>
            </w:r>
          </w:p>
        </w:tc>
        <w:tc>
          <w:tcPr>
            <w:tcW w:w="898" w:type="pct"/>
            <w:noWrap/>
            <w:hideMark/>
          </w:tcPr>
          <w:p w14:paraId="33336138"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Mæði</w:t>
            </w:r>
          </w:p>
          <w:p w14:paraId="55258021"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Nefslímubólga</w:t>
            </w:r>
          </w:p>
          <w:p w14:paraId="1AB14337" w14:textId="77777777" w:rsidR="00273980" w:rsidRDefault="00273980" w:rsidP="008B60B2">
            <w:pPr>
              <w:suppressAutoHyphens/>
              <w:spacing w:after="0" w:line="240" w:lineRule="auto"/>
              <w:ind w:left="0" w:firstLine="0"/>
              <w:rPr>
                <w:color w:val="auto"/>
                <w:sz w:val="18"/>
                <w:szCs w:val="18"/>
                <w:lang w:val="is-IS"/>
              </w:rPr>
            </w:pPr>
            <w:r>
              <w:rPr>
                <w:color w:val="auto"/>
                <w:sz w:val="18"/>
                <w:szCs w:val="18"/>
                <w:lang w:val="is-IS"/>
              </w:rPr>
              <w:t>Blóðnasir</w:t>
            </w:r>
          </w:p>
          <w:p w14:paraId="1D6C4490"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Hósti </w:t>
            </w:r>
          </w:p>
        </w:tc>
        <w:tc>
          <w:tcPr>
            <w:tcW w:w="746" w:type="pct"/>
          </w:tcPr>
          <w:p w14:paraId="5D8F08E6" w14:textId="77777777" w:rsidR="00F035CB" w:rsidRDefault="00BC278C" w:rsidP="008B60B2">
            <w:pPr>
              <w:suppressAutoHyphens/>
              <w:spacing w:after="0" w:line="240" w:lineRule="auto"/>
              <w:ind w:left="0" w:firstLine="0"/>
              <w:rPr>
                <w:color w:val="auto"/>
                <w:sz w:val="18"/>
                <w:szCs w:val="18"/>
                <w:lang w:val="is-IS"/>
              </w:rPr>
            </w:pPr>
            <w:r>
              <w:rPr>
                <w:color w:val="auto"/>
                <w:sz w:val="18"/>
                <w:szCs w:val="18"/>
                <w:lang w:val="is-IS"/>
              </w:rPr>
              <w:t>Lungna</w:t>
            </w:r>
            <w:r w:rsidR="007B016B">
              <w:rPr>
                <w:color w:val="auto"/>
                <w:sz w:val="18"/>
                <w:szCs w:val="18"/>
                <w:lang w:val="is-IS"/>
              </w:rPr>
              <w:t>blæðing</w:t>
            </w:r>
          </w:p>
          <w:p w14:paraId="53554F6C" w14:textId="77777777" w:rsidR="006C06D6" w:rsidRPr="00DB5B49" w:rsidRDefault="007B016B" w:rsidP="008B60B2">
            <w:pPr>
              <w:suppressAutoHyphens/>
              <w:spacing w:after="0" w:line="240" w:lineRule="auto"/>
              <w:ind w:left="0" w:firstLine="0"/>
              <w:rPr>
                <w:color w:val="auto"/>
                <w:sz w:val="18"/>
                <w:szCs w:val="18"/>
                <w:lang w:val="is-IS"/>
              </w:rPr>
            </w:pPr>
            <w:r>
              <w:rPr>
                <w:color w:val="auto"/>
                <w:sz w:val="18"/>
                <w:szCs w:val="18"/>
                <w:lang w:val="is-IS"/>
              </w:rPr>
              <w:t>/</w:t>
            </w:r>
            <w:r w:rsidR="00614B09" w:rsidRPr="00DB5B49">
              <w:rPr>
                <w:color w:val="auto"/>
                <w:sz w:val="18"/>
                <w:szCs w:val="18"/>
                <w:lang w:val="is-IS"/>
              </w:rPr>
              <w:t>blóðhósti</w:t>
            </w:r>
            <w:r w:rsidR="00614B09" w:rsidRPr="00DB5B49">
              <w:rPr>
                <w:color w:val="auto"/>
                <w:sz w:val="18"/>
                <w:szCs w:val="18"/>
                <w:vertAlign w:val="superscript"/>
                <w:lang w:val="is-IS"/>
              </w:rPr>
              <w:t>b,d</w:t>
            </w:r>
          </w:p>
          <w:p w14:paraId="0AD4C358"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Lungnasegarek</w:t>
            </w:r>
          </w:p>
          <w:p w14:paraId="1F56CA08" w14:textId="77777777" w:rsidR="00273980"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Súrefnisskortur </w:t>
            </w:r>
          </w:p>
          <w:p w14:paraId="5F915E2F"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Taltruflanir</w:t>
            </w:r>
            <w:r w:rsidRPr="00DB5B49">
              <w:rPr>
                <w:color w:val="auto"/>
                <w:sz w:val="18"/>
                <w:szCs w:val="18"/>
                <w:vertAlign w:val="superscript"/>
                <w:lang w:val="is-IS"/>
              </w:rPr>
              <w:t>a</w:t>
            </w:r>
            <w:r w:rsidRPr="00DB5B49">
              <w:rPr>
                <w:color w:val="auto"/>
                <w:sz w:val="18"/>
                <w:szCs w:val="18"/>
                <w:lang w:val="is-IS"/>
              </w:rPr>
              <w:t xml:space="preserve"> </w:t>
            </w:r>
          </w:p>
        </w:tc>
        <w:tc>
          <w:tcPr>
            <w:tcW w:w="371" w:type="pct"/>
          </w:tcPr>
          <w:p w14:paraId="66D723A3"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7" w:type="pct"/>
            <w:noWrap/>
            <w:hideMark/>
          </w:tcPr>
          <w:p w14:paraId="667F1A00"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820" w:type="pct"/>
            <w:noWrap/>
            <w:hideMark/>
          </w:tcPr>
          <w:p w14:paraId="35156085"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672" w:type="pct"/>
            <w:noWrap/>
            <w:hideMark/>
          </w:tcPr>
          <w:p w14:paraId="1024A516"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Lungna-</w:t>
            </w:r>
          </w:p>
          <w:p w14:paraId="68DDFD81"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háþrýstingur</w:t>
            </w:r>
            <w:r w:rsidRPr="00DB5B49">
              <w:rPr>
                <w:color w:val="auto"/>
                <w:sz w:val="18"/>
                <w:szCs w:val="18"/>
                <w:vertAlign w:val="superscript"/>
                <w:lang w:val="is-IS"/>
              </w:rPr>
              <w:t>a</w:t>
            </w:r>
          </w:p>
          <w:p w14:paraId="275326C4" w14:textId="613305D0" w:rsidR="00614B09" w:rsidRPr="00DB5B49" w:rsidRDefault="00AE3D30" w:rsidP="008B60B2">
            <w:pPr>
              <w:suppressAutoHyphens/>
              <w:spacing w:after="0" w:line="240" w:lineRule="auto"/>
              <w:ind w:left="0" w:firstLine="0"/>
              <w:rPr>
                <w:color w:val="auto"/>
                <w:sz w:val="18"/>
                <w:szCs w:val="18"/>
                <w:lang w:val="is-IS"/>
              </w:rPr>
            </w:pPr>
            <w:r>
              <w:rPr>
                <w:color w:val="auto"/>
                <w:sz w:val="18"/>
                <w:szCs w:val="18"/>
                <w:lang w:val="is-IS"/>
              </w:rPr>
              <w:t>Rof</w:t>
            </w:r>
            <w:r w:rsidRPr="00DB5B49">
              <w:rPr>
                <w:color w:val="auto"/>
                <w:sz w:val="18"/>
                <w:szCs w:val="18"/>
                <w:lang w:val="is-IS"/>
              </w:rPr>
              <w:t xml:space="preserve"> </w:t>
            </w:r>
            <w:r w:rsidR="00614B09" w:rsidRPr="00DB5B49">
              <w:rPr>
                <w:color w:val="auto"/>
                <w:sz w:val="18"/>
                <w:szCs w:val="18"/>
                <w:lang w:val="is-IS"/>
              </w:rPr>
              <w:t>á miðsnesi</w:t>
            </w:r>
            <w:r w:rsidR="00614B09" w:rsidRPr="00DB5B49">
              <w:rPr>
                <w:color w:val="auto"/>
                <w:sz w:val="18"/>
                <w:szCs w:val="18"/>
                <w:vertAlign w:val="superscript"/>
                <w:lang w:val="is-IS"/>
              </w:rPr>
              <w:t>a</w:t>
            </w:r>
            <w:r w:rsidR="00614B09" w:rsidRPr="00DB5B49">
              <w:rPr>
                <w:color w:val="auto"/>
                <w:sz w:val="18"/>
                <w:szCs w:val="18"/>
                <w:lang w:val="is-IS"/>
              </w:rPr>
              <w:t xml:space="preserve"> </w:t>
            </w:r>
          </w:p>
        </w:tc>
      </w:tr>
      <w:tr w:rsidR="005E257F" w:rsidRPr="00DB5B49" w14:paraId="1029287B" w14:textId="77777777" w:rsidTr="007566FC">
        <w:trPr>
          <w:cantSplit/>
          <w:trHeight w:val="2442"/>
        </w:trPr>
        <w:tc>
          <w:tcPr>
            <w:tcW w:w="747" w:type="pct"/>
            <w:noWrap/>
          </w:tcPr>
          <w:p w14:paraId="57273139"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Meltingarfæri</w:t>
            </w:r>
          </w:p>
        </w:tc>
        <w:tc>
          <w:tcPr>
            <w:tcW w:w="898" w:type="pct"/>
            <w:noWrap/>
          </w:tcPr>
          <w:p w14:paraId="15984AE0"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Blæðing frá endaþarmi,</w:t>
            </w:r>
          </w:p>
          <w:p w14:paraId="0E7D2DD3"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Munnbólga</w:t>
            </w:r>
          </w:p>
          <w:p w14:paraId="73539ED6"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Hægðatregða</w:t>
            </w:r>
          </w:p>
          <w:p w14:paraId="6A0177DE"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Niðurgangur</w:t>
            </w:r>
          </w:p>
          <w:p w14:paraId="556070DD"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Ógleði</w:t>
            </w:r>
          </w:p>
          <w:p w14:paraId="6FD6B9BB"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Uppköst,</w:t>
            </w:r>
          </w:p>
          <w:p w14:paraId="1BA026E8"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Kviðverkir </w:t>
            </w:r>
          </w:p>
        </w:tc>
        <w:tc>
          <w:tcPr>
            <w:tcW w:w="746" w:type="pct"/>
          </w:tcPr>
          <w:p w14:paraId="6A016261" w14:textId="7D72D5CC" w:rsidR="006C06D6" w:rsidRPr="00DB5B49" w:rsidRDefault="00AE3D30" w:rsidP="008B60B2">
            <w:pPr>
              <w:suppressAutoHyphens/>
              <w:spacing w:after="0" w:line="240" w:lineRule="auto"/>
              <w:ind w:left="0" w:firstLine="0"/>
              <w:rPr>
                <w:color w:val="auto"/>
                <w:sz w:val="18"/>
                <w:szCs w:val="18"/>
                <w:vertAlign w:val="superscript"/>
                <w:lang w:val="is-IS"/>
              </w:rPr>
            </w:pPr>
            <w:r>
              <w:rPr>
                <w:color w:val="auto"/>
                <w:sz w:val="18"/>
                <w:szCs w:val="18"/>
                <w:lang w:val="is-IS"/>
              </w:rPr>
              <w:t>Rof</w:t>
            </w:r>
            <w:r w:rsidRPr="00DB5B49">
              <w:rPr>
                <w:color w:val="auto"/>
                <w:sz w:val="18"/>
                <w:szCs w:val="18"/>
                <w:lang w:val="is-IS"/>
              </w:rPr>
              <w:t xml:space="preserve"> </w:t>
            </w:r>
            <w:r w:rsidR="00614B09" w:rsidRPr="00DB5B49">
              <w:rPr>
                <w:color w:val="auto"/>
                <w:sz w:val="18"/>
                <w:szCs w:val="18"/>
                <w:lang w:val="is-IS"/>
              </w:rPr>
              <w:t>á meltingarvegi</w:t>
            </w:r>
            <w:r w:rsidR="00273980">
              <w:rPr>
                <w:color w:val="auto"/>
                <w:sz w:val="18"/>
                <w:szCs w:val="18"/>
                <w:vertAlign w:val="superscript"/>
                <w:lang w:val="is-IS"/>
              </w:rPr>
              <w:t>b,d</w:t>
            </w:r>
          </w:p>
          <w:p w14:paraId="522803BF" w14:textId="39810020" w:rsidR="006C06D6" w:rsidRPr="00DB5B49" w:rsidRDefault="00AE3D30" w:rsidP="008B60B2">
            <w:pPr>
              <w:suppressAutoHyphens/>
              <w:spacing w:after="0" w:line="240" w:lineRule="auto"/>
              <w:ind w:left="0" w:firstLine="0"/>
              <w:rPr>
                <w:color w:val="auto"/>
                <w:sz w:val="18"/>
                <w:szCs w:val="18"/>
                <w:lang w:val="is-IS"/>
              </w:rPr>
            </w:pPr>
            <w:r>
              <w:rPr>
                <w:color w:val="auto"/>
                <w:sz w:val="18"/>
                <w:szCs w:val="18"/>
                <w:lang w:val="is-IS"/>
              </w:rPr>
              <w:t>Rof</w:t>
            </w:r>
            <w:r w:rsidR="00614B09" w:rsidRPr="00DB5B49">
              <w:rPr>
                <w:color w:val="auto"/>
                <w:sz w:val="18"/>
                <w:szCs w:val="18"/>
                <w:lang w:val="is-IS"/>
              </w:rPr>
              <w:t xml:space="preserve"> á þörmum</w:t>
            </w:r>
          </w:p>
          <w:p w14:paraId="64248E6D"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Garnastífla</w:t>
            </w:r>
          </w:p>
          <w:p w14:paraId="6978D5D8"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Garnateppa</w:t>
            </w:r>
          </w:p>
          <w:p w14:paraId="5BB0AF09"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Endaþarms-</w:t>
            </w:r>
          </w:p>
          <w:p w14:paraId="2437D7DE"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leggangafistlar</w:t>
            </w:r>
            <w:r w:rsidRPr="00DB5B49">
              <w:rPr>
                <w:color w:val="auto"/>
                <w:sz w:val="18"/>
                <w:szCs w:val="18"/>
                <w:vertAlign w:val="superscript"/>
                <w:lang w:val="is-IS"/>
              </w:rPr>
              <w:t>d,e</w:t>
            </w:r>
            <w:r w:rsidRPr="00DB5B49">
              <w:rPr>
                <w:color w:val="auto"/>
                <w:sz w:val="18"/>
                <w:szCs w:val="18"/>
                <w:lang w:val="is-IS"/>
              </w:rPr>
              <w:t>,</w:t>
            </w:r>
          </w:p>
          <w:p w14:paraId="0D613332"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Meltingarfæra-kvillar,</w:t>
            </w:r>
          </w:p>
          <w:p w14:paraId="64F5CCF2"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Bakraufarverkur </w:t>
            </w:r>
          </w:p>
        </w:tc>
        <w:tc>
          <w:tcPr>
            <w:tcW w:w="371" w:type="pct"/>
          </w:tcPr>
          <w:p w14:paraId="44C43A34"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7" w:type="pct"/>
            <w:noWrap/>
          </w:tcPr>
          <w:p w14:paraId="36F9B203"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820" w:type="pct"/>
            <w:noWrap/>
          </w:tcPr>
          <w:p w14:paraId="242EDDC1"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672" w:type="pct"/>
            <w:noWrap/>
          </w:tcPr>
          <w:p w14:paraId="34FE0596"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Sár í meltingarvegi</w:t>
            </w:r>
            <w:r w:rsidRPr="00DB5B49">
              <w:rPr>
                <w:color w:val="auto"/>
                <w:sz w:val="18"/>
                <w:szCs w:val="18"/>
                <w:vertAlign w:val="superscript"/>
                <w:lang w:val="is-IS"/>
              </w:rPr>
              <w:t>a</w:t>
            </w:r>
            <w:r w:rsidRPr="00DB5B49">
              <w:rPr>
                <w:color w:val="auto"/>
                <w:sz w:val="18"/>
                <w:szCs w:val="18"/>
                <w:lang w:val="is-IS"/>
              </w:rPr>
              <w:t xml:space="preserve"> </w:t>
            </w:r>
          </w:p>
        </w:tc>
      </w:tr>
      <w:tr w:rsidR="005E257F" w:rsidRPr="00DB5B49" w14:paraId="08B9D8A5" w14:textId="77777777" w:rsidTr="007566FC">
        <w:trPr>
          <w:cantSplit/>
          <w:trHeight w:val="300"/>
        </w:trPr>
        <w:tc>
          <w:tcPr>
            <w:tcW w:w="747" w:type="pct"/>
            <w:noWrap/>
          </w:tcPr>
          <w:p w14:paraId="1602BA1F"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Lifur og gall</w:t>
            </w:r>
          </w:p>
        </w:tc>
        <w:tc>
          <w:tcPr>
            <w:tcW w:w="898" w:type="pct"/>
            <w:noWrap/>
          </w:tcPr>
          <w:p w14:paraId="01AAFD06"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6" w:type="pct"/>
          </w:tcPr>
          <w:p w14:paraId="17B986C7"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371" w:type="pct"/>
          </w:tcPr>
          <w:p w14:paraId="43745198"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7" w:type="pct"/>
            <w:noWrap/>
          </w:tcPr>
          <w:p w14:paraId="606B01C5"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820" w:type="pct"/>
            <w:noWrap/>
          </w:tcPr>
          <w:p w14:paraId="042FBC56"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672" w:type="pct"/>
            <w:noWrap/>
          </w:tcPr>
          <w:p w14:paraId="3658D395" w14:textId="24EE9FC5" w:rsidR="00614B09" w:rsidRPr="00DB5B49" w:rsidRDefault="00AE3D30" w:rsidP="008B60B2">
            <w:pPr>
              <w:suppressAutoHyphens/>
              <w:spacing w:after="0" w:line="240" w:lineRule="auto"/>
              <w:ind w:left="0" w:firstLine="0"/>
              <w:rPr>
                <w:color w:val="auto"/>
                <w:sz w:val="18"/>
                <w:szCs w:val="18"/>
                <w:lang w:val="is-IS"/>
              </w:rPr>
            </w:pPr>
            <w:r>
              <w:rPr>
                <w:color w:val="auto"/>
                <w:sz w:val="18"/>
                <w:szCs w:val="18"/>
                <w:lang w:val="is-IS"/>
              </w:rPr>
              <w:t>Rof</w:t>
            </w:r>
            <w:r w:rsidR="00614B09" w:rsidRPr="00DB5B49">
              <w:rPr>
                <w:color w:val="auto"/>
                <w:sz w:val="18"/>
                <w:szCs w:val="18"/>
                <w:lang w:val="is-IS"/>
              </w:rPr>
              <w:t xml:space="preserve"> á gallblöðru</w:t>
            </w:r>
            <w:r w:rsidR="00614B09" w:rsidRPr="00DB5B49">
              <w:rPr>
                <w:color w:val="auto"/>
                <w:sz w:val="18"/>
                <w:szCs w:val="18"/>
                <w:vertAlign w:val="superscript"/>
                <w:lang w:val="is-IS"/>
              </w:rPr>
              <w:t>a,b</w:t>
            </w:r>
            <w:r w:rsidR="00614B09" w:rsidRPr="00DB5B49">
              <w:rPr>
                <w:color w:val="auto"/>
                <w:sz w:val="18"/>
                <w:szCs w:val="18"/>
                <w:lang w:val="is-IS"/>
              </w:rPr>
              <w:t xml:space="preserve"> </w:t>
            </w:r>
          </w:p>
        </w:tc>
      </w:tr>
      <w:tr w:rsidR="005E257F" w:rsidRPr="00DB5B49" w14:paraId="047FB622" w14:textId="77777777" w:rsidTr="007566FC">
        <w:trPr>
          <w:cantSplit/>
          <w:trHeight w:val="300"/>
        </w:trPr>
        <w:tc>
          <w:tcPr>
            <w:tcW w:w="747" w:type="pct"/>
            <w:noWrap/>
          </w:tcPr>
          <w:p w14:paraId="5CB8D96D"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lastRenderedPageBreak/>
              <w:t>Húð og undirhúð</w:t>
            </w:r>
          </w:p>
        </w:tc>
        <w:tc>
          <w:tcPr>
            <w:tcW w:w="898" w:type="pct"/>
            <w:noWrap/>
          </w:tcPr>
          <w:p w14:paraId="3A7A203C"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Vandamál við sáragræðslu</w:t>
            </w:r>
            <w:r w:rsidRPr="00DB5B49">
              <w:rPr>
                <w:color w:val="auto"/>
                <w:sz w:val="18"/>
                <w:szCs w:val="18"/>
                <w:vertAlign w:val="superscript"/>
                <w:lang w:val="is-IS"/>
              </w:rPr>
              <w:t>b,d</w:t>
            </w:r>
          </w:p>
          <w:p w14:paraId="7A337E60" w14:textId="77777777" w:rsidR="00F035CB"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Skinnflagnings</w:t>
            </w:r>
            <w:r w:rsidR="00273980">
              <w:rPr>
                <w:color w:val="auto"/>
                <w:sz w:val="18"/>
                <w:szCs w:val="18"/>
                <w:lang w:val="is-IS"/>
              </w:rPr>
              <w:t>-</w:t>
            </w:r>
            <w:r w:rsidRPr="00DB5B49">
              <w:rPr>
                <w:color w:val="auto"/>
                <w:sz w:val="18"/>
                <w:szCs w:val="18"/>
                <w:lang w:val="is-IS"/>
              </w:rPr>
              <w:t>bólga</w:t>
            </w:r>
            <w:r w:rsidR="00273980">
              <w:rPr>
                <w:color w:val="auto"/>
                <w:sz w:val="18"/>
                <w:szCs w:val="18"/>
                <w:lang w:val="is-IS"/>
              </w:rPr>
              <w:t xml:space="preserve"> </w:t>
            </w:r>
          </w:p>
          <w:p w14:paraId="24842E40"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Þurr húð</w:t>
            </w:r>
          </w:p>
          <w:p w14:paraId="7DEF0D03"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Litabreytingar á húð</w:t>
            </w:r>
          </w:p>
        </w:tc>
        <w:tc>
          <w:tcPr>
            <w:tcW w:w="746" w:type="pct"/>
          </w:tcPr>
          <w:p w14:paraId="56D31C08"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Handa-fóta heilkenni </w:t>
            </w:r>
          </w:p>
        </w:tc>
        <w:tc>
          <w:tcPr>
            <w:tcW w:w="371" w:type="pct"/>
          </w:tcPr>
          <w:p w14:paraId="7BE74721" w14:textId="77777777" w:rsidR="00614B09" w:rsidRPr="00DB5B49" w:rsidRDefault="00614B09" w:rsidP="008B60B2">
            <w:pPr>
              <w:keepNext/>
              <w:suppressAutoHyphens/>
              <w:spacing w:after="0" w:line="240" w:lineRule="auto"/>
              <w:ind w:left="0" w:firstLine="0"/>
              <w:rPr>
                <w:color w:val="auto"/>
                <w:sz w:val="18"/>
                <w:szCs w:val="18"/>
                <w:lang w:val="is-IS"/>
              </w:rPr>
            </w:pPr>
          </w:p>
        </w:tc>
        <w:tc>
          <w:tcPr>
            <w:tcW w:w="747" w:type="pct"/>
            <w:noWrap/>
          </w:tcPr>
          <w:p w14:paraId="72A0B03A" w14:textId="77777777" w:rsidR="00614B09" w:rsidRPr="00DB5B49" w:rsidRDefault="00614B09" w:rsidP="008B60B2">
            <w:pPr>
              <w:keepNext/>
              <w:suppressAutoHyphens/>
              <w:spacing w:after="0" w:line="240" w:lineRule="auto"/>
              <w:ind w:left="0" w:firstLine="0"/>
              <w:rPr>
                <w:color w:val="auto"/>
                <w:sz w:val="18"/>
                <w:szCs w:val="18"/>
                <w:lang w:val="is-IS"/>
              </w:rPr>
            </w:pPr>
          </w:p>
        </w:tc>
        <w:tc>
          <w:tcPr>
            <w:tcW w:w="820" w:type="pct"/>
            <w:noWrap/>
          </w:tcPr>
          <w:p w14:paraId="19958900" w14:textId="77777777" w:rsidR="00614B09" w:rsidRPr="00DB5B49" w:rsidRDefault="00614B09" w:rsidP="008B60B2">
            <w:pPr>
              <w:keepNext/>
              <w:suppressAutoHyphens/>
              <w:spacing w:after="0" w:line="240" w:lineRule="auto"/>
              <w:ind w:left="0" w:firstLine="0"/>
              <w:rPr>
                <w:color w:val="auto"/>
                <w:sz w:val="18"/>
                <w:szCs w:val="18"/>
                <w:lang w:val="is-IS"/>
              </w:rPr>
            </w:pPr>
          </w:p>
        </w:tc>
        <w:tc>
          <w:tcPr>
            <w:tcW w:w="672" w:type="pct"/>
            <w:noWrap/>
          </w:tcPr>
          <w:p w14:paraId="18B57615" w14:textId="77777777" w:rsidR="00614B09" w:rsidRPr="00DB5B49" w:rsidRDefault="00614B09" w:rsidP="008B60B2">
            <w:pPr>
              <w:suppressAutoHyphens/>
              <w:spacing w:after="0" w:line="240" w:lineRule="auto"/>
              <w:ind w:left="0" w:firstLine="0"/>
              <w:rPr>
                <w:color w:val="auto"/>
                <w:sz w:val="18"/>
                <w:szCs w:val="18"/>
                <w:lang w:val="is-IS"/>
              </w:rPr>
            </w:pPr>
          </w:p>
        </w:tc>
      </w:tr>
      <w:tr w:rsidR="005E257F" w:rsidRPr="00AD2908" w14:paraId="5E11DA3B" w14:textId="77777777" w:rsidTr="00E87F57">
        <w:trPr>
          <w:cantSplit/>
          <w:trHeight w:val="300"/>
        </w:trPr>
        <w:tc>
          <w:tcPr>
            <w:tcW w:w="747" w:type="pct"/>
            <w:noWrap/>
          </w:tcPr>
          <w:p w14:paraId="327AFA2A"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Stoðkerfi og stoðvefur</w:t>
            </w:r>
          </w:p>
        </w:tc>
        <w:tc>
          <w:tcPr>
            <w:tcW w:w="898" w:type="pct"/>
            <w:noWrap/>
          </w:tcPr>
          <w:p w14:paraId="32DBDF7F" w14:textId="77777777" w:rsidR="00D47000" w:rsidRDefault="00165A55" w:rsidP="008B60B2">
            <w:pPr>
              <w:suppressAutoHyphens/>
              <w:spacing w:after="0" w:line="240" w:lineRule="auto"/>
              <w:ind w:left="0" w:firstLine="0"/>
              <w:rPr>
                <w:color w:val="auto"/>
                <w:sz w:val="18"/>
                <w:szCs w:val="18"/>
                <w:lang w:val="is-IS"/>
              </w:rPr>
            </w:pPr>
            <w:r>
              <w:rPr>
                <w:color w:val="auto"/>
                <w:sz w:val="18"/>
                <w:szCs w:val="18"/>
                <w:lang w:val="is-IS"/>
              </w:rPr>
              <w:t xml:space="preserve">Liðverkir </w:t>
            </w:r>
          </w:p>
          <w:p w14:paraId="3819D47E"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Vöðvaverkir </w:t>
            </w:r>
          </w:p>
        </w:tc>
        <w:tc>
          <w:tcPr>
            <w:tcW w:w="746" w:type="pct"/>
          </w:tcPr>
          <w:p w14:paraId="51F9B8F1"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Fistill</w:t>
            </w:r>
            <w:r w:rsidR="00273980">
              <w:rPr>
                <w:color w:val="auto"/>
                <w:sz w:val="18"/>
                <w:szCs w:val="18"/>
                <w:vertAlign w:val="superscript"/>
                <w:lang w:val="is-IS"/>
              </w:rPr>
              <w:t>b,d</w:t>
            </w:r>
          </w:p>
          <w:p w14:paraId="7438E737" w14:textId="717421BA" w:rsidR="00273980" w:rsidRDefault="00273980" w:rsidP="008B60B2">
            <w:pPr>
              <w:suppressAutoHyphens/>
              <w:spacing w:after="0" w:line="240" w:lineRule="auto"/>
              <w:ind w:left="0" w:firstLine="0"/>
              <w:rPr>
                <w:color w:val="auto"/>
                <w:sz w:val="18"/>
                <w:szCs w:val="18"/>
                <w:lang w:val="is-IS"/>
              </w:rPr>
            </w:pPr>
            <w:r>
              <w:rPr>
                <w:color w:val="auto"/>
                <w:sz w:val="18"/>
                <w:szCs w:val="18"/>
                <w:lang w:val="is-IS"/>
              </w:rPr>
              <w:t>Vöðvaslappleiki</w:t>
            </w:r>
          </w:p>
          <w:p w14:paraId="460B17E0"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Bakverkur </w:t>
            </w:r>
          </w:p>
        </w:tc>
        <w:tc>
          <w:tcPr>
            <w:tcW w:w="371" w:type="pct"/>
          </w:tcPr>
          <w:p w14:paraId="329FBF9F"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7" w:type="pct"/>
            <w:noWrap/>
          </w:tcPr>
          <w:p w14:paraId="35870909"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820" w:type="pct"/>
            <w:noWrap/>
          </w:tcPr>
          <w:p w14:paraId="187262AF"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672" w:type="pct"/>
            <w:noWrap/>
          </w:tcPr>
          <w:p w14:paraId="774080D4" w14:textId="77777777" w:rsidR="006C06D6" w:rsidRPr="00DB5B49" w:rsidRDefault="00614B09" w:rsidP="008B60B2">
            <w:pPr>
              <w:suppressAutoHyphens/>
              <w:spacing w:after="0" w:line="240" w:lineRule="auto"/>
              <w:ind w:left="0" w:firstLine="0"/>
              <w:rPr>
                <w:color w:val="auto"/>
                <w:sz w:val="18"/>
                <w:szCs w:val="18"/>
                <w:vertAlign w:val="superscript"/>
                <w:lang w:val="is-IS"/>
              </w:rPr>
            </w:pPr>
            <w:r w:rsidRPr="00DB5B49">
              <w:rPr>
                <w:color w:val="auto"/>
                <w:sz w:val="18"/>
                <w:szCs w:val="18"/>
                <w:lang w:val="is-IS"/>
              </w:rPr>
              <w:t>Beindrep í kjálka</w:t>
            </w:r>
            <w:r w:rsidRPr="00DB5B49">
              <w:rPr>
                <w:color w:val="auto"/>
                <w:sz w:val="18"/>
                <w:szCs w:val="18"/>
                <w:vertAlign w:val="superscript"/>
                <w:lang w:val="is-IS"/>
              </w:rPr>
              <w:t xml:space="preserve">a,b </w:t>
            </w:r>
          </w:p>
          <w:p w14:paraId="009B3A22"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Beindrep annars staðar en í kjálka</w:t>
            </w:r>
            <w:r w:rsidRPr="00DB5B49">
              <w:rPr>
                <w:color w:val="auto"/>
                <w:sz w:val="18"/>
                <w:szCs w:val="18"/>
                <w:vertAlign w:val="superscript"/>
                <w:lang w:val="is-IS"/>
              </w:rPr>
              <w:t>a,f</w:t>
            </w:r>
          </w:p>
        </w:tc>
      </w:tr>
      <w:tr w:rsidR="005E257F" w:rsidRPr="00DB5B49" w14:paraId="03EE6DFB" w14:textId="77777777" w:rsidTr="007566FC">
        <w:trPr>
          <w:cantSplit/>
          <w:trHeight w:val="300"/>
        </w:trPr>
        <w:tc>
          <w:tcPr>
            <w:tcW w:w="747" w:type="pct"/>
            <w:noWrap/>
          </w:tcPr>
          <w:p w14:paraId="6DEDE5E5"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Nýru og þvagfæri</w:t>
            </w:r>
          </w:p>
        </w:tc>
        <w:tc>
          <w:tcPr>
            <w:tcW w:w="898" w:type="pct"/>
            <w:noWrap/>
          </w:tcPr>
          <w:p w14:paraId="5A996D0A"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Prótein í þvagi</w:t>
            </w:r>
            <w:r w:rsidRPr="00DB5B49">
              <w:rPr>
                <w:color w:val="auto"/>
                <w:sz w:val="18"/>
                <w:szCs w:val="18"/>
                <w:vertAlign w:val="superscript"/>
                <w:lang w:val="is-IS"/>
              </w:rPr>
              <w:t>b,d</w:t>
            </w:r>
            <w:r w:rsidRPr="00DB5B49">
              <w:rPr>
                <w:color w:val="auto"/>
                <w:sz w:val="18"/>
                <w:szCs w:val="18"/>
                <w:lang w:val="is-IS"/>
              </w:rPr>
              <w:t xml:space="preserve"> </w:t>
            </w:r>
          </w:p>
        </w:tc>
        <w:tc>
          <w:tcPr>
            <w:tcW w:w="746" w:type="pct"/>
          </w:tcPr>
          <w:p w14:paraId="4AF8F35F" w14:textId="77777777" w:rsidR="00614B09" w:rsidRPr="00DB5B49" w:rsidRDefault="00614B09" w:rsidP="008B60B2">
            <w:pPr>
              <w:suppressAutoHyphens/>
              <w:spacing w:after="0" w:line="240" w:lineRule="auto"/>
              <w:ind w:left="0" w:firstLine="0"/>
              <w:rPr>
                <w:color w:val="auto"/>
                <w:sz w:val="18"/>
                <w:szCs w:val="18"/>
                <w:lang w:val="is-IS"/>
              </w:rPr>
            </w:pPr>
          </w:p>
        </w:tc>
        <w:tc>
          <w:tcPr>
            <w:tcW w:w="371" w:type="pct"/>
          </w:tcPr>
          <w:p w14:paraId="4B9D5C14" w14:textId="77777777" w:rsidR="00614B09" w:rsidRPr="00DB5B49" w:rsidRDefault="00614B09" w:rsidP="008B60B2">
            <w:pPr>
              <w:suppressAutoHyphens/>
              <w:spacing w:after="0" w:line="240" w:lineRule="auto"/>
              <w:ind w:left="0" w:firstLine="0"/>
              <w:rPr>
                <w:color w:val="auto"/>
                <w:sz w:val="18"/>
                <w:szCs w:val="18"/>
                <w:lang w:val="is-IS"/>
              </w:rPr>
            </w:pPr>
          </w:p>
        </w:tc>
        <w:tc>
          <w:tcPr>
            <w:tcW w:w="747" w:type="pct"/>
            <w:noWrap/>
          </w:tcPr>
          <w:p w14:paraId="6EE23990" w14:textId="77777777" w:rsidR="00614B09" w:rsidRPr="00DB5B49" w:rsidRDefault="00614B09" w:rsidP="008B60B2">
            <w:pPr>
              <w:suppressAutoHyphens/>
              <w:spacing w:after="0" w:line="240" w:lineRule="auto"/>
              <w:ind w:left="0" w:firstLine="0"/>
              <w:rPr>
                <w:color w:val="auto"/>
                <w:sz w:val="18"/>
                <w:szCs w:val="18"/>
                <w:lang w:val="is-IS"/>
              </w:rPr>
            </w:pPr>
          </w:p>
        </w:tc>
        <w:tc>
          <w:tcPr>
            <w:tcW w:w="820" w:type="pct"/>
            <w:noWrap/>
          </w:tcPr>
          <w:p w14:paraId="77C74265" w14:textId="77777777" w:rsidR="00614B09" w:rsidRPr="00DB5B49" w:rsidRDefault="00614B09" w:rsidP="008B60B2">
            <w:pPr>
              <w:suppressAutoHyphens/>
              <w:spacing w:after="0" w:line="240" w:lineRule="auto"/>
              <w:ind w:left="0" w:firstLine="0"/>
              <w:rPr>
                <w:color w:val="auto"/>
                <w:sz w:val="18"/>
                <w:szCs w:val="18"/>
                <w:lang w:val="is-IS"/>
              </w:rPr>
            </w:pPr>
          </w:p>
        </w:tc>
        <w:tc>
          <w:tcPr>
            <w:tcW w:w="672" w:type="pct"/>
            <w:noWrap/>
          </w:tcPr>
          <w:p w14:paraId="324B0AE9" w14:textId="77777777" w:rsidR="00614B09" w:rsidRPr="00DB5B49" w:rsidRDefault="00614B09" w:rsidP="008B60B2">
            <w:pPr>
              <w:suppressAutoHyphens/>
              <w:spacing w:after="0" w:line="240" w:lineRule="auto"/>
              <w:ind w:left="0" w:firstLine="0"/>
              <w:rPr>
                <w:color w:val="auto"/>
                <w:sz w:val="18"/>
                <w:szCs w:val="18"/>
                <w:lang w:val="is-IS"/>
              </w:rPr>
            </w:pPr>
          </w:p>
        </w:tc>
      </w:tr>
      <w:tr w:rsidR="005E257F" w:rsidRPr="00DB5B49" w14:paraId="7F439ED6" w14:textId="77777777" w:rsidTr="007566FC">
        <w:trPr>
          <w:cantSplit/>
          <w:trHeight w:val="300"/>
        </w:trPr>
        <w:tc>
          <w:tcPr>
            <w:tcW w:w="747" w:type="pct"/>
            <w:noWrap/>
          </w:tcPr>
          <w:p w14:paraId="6CFDE7C9"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Æxlunarfæri og brjóst </w:t>
            </w:r>
          </w:p>
        </w:tc>
        <w:tc>
          <w:tcPr>
            <w:tcW w:w="898" w:type="pct"/>
            <w:noWrap/>
          </w:tcPr>
          <w:p w14:paraId="63B1ED4C"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Skert starfsemi eggjastokka</w:t>
            </w:r>
            <w:r w:rsidRPr="00DB5B49">
              <w:rPr>
                <w:color w:val="auto"/>
                <w:sz w:val="18"/>
                <w:szCs w:val="18"/>
                <w:vertAlign w:val="superscript"/>
                <w:lang w:val="is-IS"/>
              </w:rPr>
              <w:t>b,c,d</w:t>
            </w:r>
            <w:r w:rsidRPr="00DB5B49">
              <w:rPr>
                <w:color w:val="auto"/>
                <w:sz w:val="18"/>
                <w:szCs w:val="18"/>
                <w:lang w:val="is-IS"/>
              </w:rPr>
              <w:t xml:space="preserve"> </w:t>
            </w:r>
          </w:p>
        </w:tc>
        <w:tc>
          <w:tcPr>
            <w:tcW w:w="746" w:type="pct"/>
          </w:tcPr>
          <w:p w14:paraId="3BE97060"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Verkir í grindarholi </w:t>
            </w:r>
          </w:p>
        </w:tc>
        <w:tc>
          <w:tcPr>
            <w:tcW w:w="371" w:type="pct"/>
          </w:tcPr>
          <w:p w14:paraId="0588DEB5" w14:textId="77777777" w:rsidR="00614B09" w:rsidRPr="00DB5B49" w:rsidRDefault="00614B09" w:rsidP="008B60B2">
            <w:pPr>
              <w:suppressAutoHyphens/>
              <w:spacing w:after="0" w:line="240" w:lineRule="auto"/>
              <w:ind w:left="0" w:firstLine="0"/>
              <w:rPr>
                <w:color w:val="auto"/>
                <w:sz w:val="18"/>
                <w:szCs w:val="18"/>
                <w:lang w:val="is-IS"/>
              </w:rPr>
            </w:pPr>
          </w:p>
        </w:tc>
        <w:tc>
          <w:tcPr>
            <w:tcW w:w="747" w:type="pct"/>
            <w:noWrap/>
          </w:tcPr>
          <w:p w14:paraId="6ED47255" w14:textId="77777777" w:rsidR="00614B09" w:rsidRPr="00DB5B49" w:rsidRDefault="00614B09" w:rsidP="008B60B2">
            <w:pPr>
              <w:suppressAutoHyphens/>
              <w:spacing w:after="0" w:line="240" w:lineRule="auto"/>
              <w:ind w:left="0" w:firstLine="0"/>
              <w:rPr>
                <w:color w:val="auto"/>
                <w:sz w:val="18"/>
                <w:szCs w:val="18"/>
                <w:lang w:val="is-IS"/>
              </w:rPr>
            </w:pPr>
          </w:p>
        </w:tc>
        <w:tc>
          <w:tcPr>
            <w:tcW w:w="820" w:type="pct"/>
            <w:noWrap/>
          </w:tcPr>
          <w:p w14:paraId="67332A00" w14:textId="77777777" w:rsidR="00614B09" w:rsidRPr="00DB5B49" w:rsidRDefault="00614B09" w:rsidP="008B60B2">
            <w:pPr>
              <w:suppressAutoHyphens/>
              <w:spacing w:after="0" w:line="240" w:lineRule="auto"/>
              <w:ind w:left="0" w:firstLine="0"/>
              <w:rPr>
                <w:color w:val="auto"/>
                <w:sz w:val="18"/>
                <w:szCs w:val="18"/>
                <w:lang w:val="is-IS"/>
              </w:rPr>
            </w:pPr>
          </w:p>
        </w:tc>
        <w:tc>
          <w:tcPr>
            <w:tcW w:w="672" w:type="pct"/>
            <w:noWrap/>
          </w:tcPr>
          <w:p w14:paraId="30DF3D68" w14:textId="77777777" w:rsidR="00614B09" w:rsidRPr="00DB5B49" w:rsidRDefault="00614B09" w:rsidP="008B60B2">
            <w:pPr>
              <w:suppressAutoHyphens/>
              <w:spacing w:after="0" w:line="240" w:lineRule="auto"/>
              <w:ind w:left="0" w:firstLine="0"/>
              <w:rPr>
                <w:color w:val="auto"/>
                <w:sz w:val="18"/>
                <w:szCs w:val="18"/>
                <w:lang w:val="is-IS"/>
              </w:rPr>
            </w:pPr>
          </w:p>
        </w:tc>
      </w:tr>
      <w:tr w:rsidR="005E257F" w:rsidRPr="00DB5B49" w14:paraId="351A7A13" w14:textId="77777777" w:rsidTr="007566FC">
        <w:trPr>
          <w:cantSplit/>
          <w:trHeight w:val="300"/>
        </w:trPr>
        <w:tc>
          <w:tcPr>
            <w:tcW w:w="747" w:type="pct"/>
            <w:noWrap/>
          </w:tcPr>
          <w:p w14:paraId="603172B3"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Meðfætt og fjölskyldubundið/arfgengt ástand </w:t>
            </w:r>
          </w:p>
        </w:tc>
        <w:tc>
          <w:tcPr>
            <w:tcW w:w="898" w:type="pct"/>
            <w:noWrap/>
          </w:tcPr>
          <w:p w14:paraId="640A19B6"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6" w:type="pct"/>
          </w:tcPr>
          <w:p w14:paraId="72894F67"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371" w:type="pct"/>
          </w:tcPr>
          <w:p w14:paraId="18B81F07"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747" w:type="pct"/>
            <w:noWrap/>
          </w:tcPr>
          <w:p w14:paraId="6A8B05B7"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820" w:type="pct"/>
            <w:noWrap/>
          </w:tcPr>
          <w:p w14:paraId="726723D4"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 </w:t>
            </w:r>
          </w:p>
        </w:tc>
        <w:tc>
          <w:tcPr>
            <w:tcW w:w="672" w:type="pct"/>
            <w:noWrap/>
          </w:tcPr>
          <w:p w14:paraId="79D680DC" w14:textId="77777777" w:rsidR="00614B09" w:rsidRPr="00BC278C" w:rsidRDefault="00614B09" w:rsidP="008B60B2">
            <w:pPr>
              <w:suppressAutoHyphens/>
              <w:spacing w:after="0" w:line="240" w:lineRule="auto"/>
              <w:ind w:left="0" w:firstLine="0"/>
              <w:rPr>
                <w:color w:val="auto"/>
                <w:sz w:val="18"/>
                <w:szCs w:val="18"/>
                <w:lang w:val="is-IS"/>
              </w:rPr>
            </w:pPr>
            <w:r w:rsidRPr="00BC278C">
              <w:rPr>
                <w:color w:val="auto"/>
                <w:sz w:val="18"/>
                <w:szCs w:val="18"/>
                <w:lang w:val="is-IS"/>
              </w:rPr>
              <w:t>Óeðlileg fóstur</w:t>
            </w:r>
            <w:r w:rsidRPr="00BC278C">
              <w:rPr>
                <w:color w:val="auto"/>
                <w:sz w:val="18"/>
                <w:szCs w:val="18"/>
                <w:vertAlign w:val="superscript"/>
                <w:lang w:val="is-IS"/>
              </w:rPr>
              <w:t>a,b</w:t>
            </w:r>
            <w:r w:rsidRPr="00BC278C">
              <w:rPr>
                <w:color w:val="auto"/>
                <w:sz w:val="18"/>
                <w:szCs w:val="18"/>
                <w:lang w:val="is-IS"/>
              </w:rPr>
              <w:t xml:space="preserve"> </w:t>
            </w:r>
          </w:p>
        </w:tc>
      </w:tr>
      <w:tr w:rsidR="005E257F" w:rsidRPr="00DB5B49" w14:paraId="4977D37F" w14:textId="77777777" w:rsidTr="007566FC">
        <w:trPr>
          <w:cantSplit/>
          <w:trHeight w:val="300"/>
        </w:trPr>
        <w:tc>
          <w:tcPr>
            <w:tcW w:w="747" w:type="pct"/>
            <w:noWrap/>
          </w:tcPr>
          <w:p w14:paraId="53C9F202"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Almennar aukaverkanir og aukaverkanir á íkomustað</w:t>
            </w:r>
          </w:p>
        </w:tc>
        <w:tc>
          <w:tcPr>
            <w:tcW w:w="898" w:type="pct"/>
            <w:noWrap/>
          </w:tcPr>
          <w:p w14:paraId="05561F08"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Þróttleysi</w:t>
            </w:r>
          </w:p>
          <w:p w14:paraId="53F12363" w14:textId="77777777" w:rsidR="00570240"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Þreyta </w:t>
            </w:r>
          </w:p>
          <w:p w14:paraId="64E7709E"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Hiti</w:t>
            </w:r>
          </w:p>
          <w:p w14:paraId="1DD84D92" w14:textId="77777777" w:rsidR="006C06D6"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Verkur</w:t>
            </w:r>
          </w:p>
          <w:p w14:paraId="0E248A4C"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Slímhúðarbólga</w:t>
            </w:r>
          </w:p>
        </w:tc>
        <w:tc>
          <w:tcPr>
            <w:tcW w:w="746" w:type="pct"/>
          </w:tcPr>
          <w:p w14:paraId="2ADA3830"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Svefnhöfgi</w:t>
            </w:r>
          </w:p>
        </w:tc>
        <w:tc>
          <w:tcPr>
            <w:tcW w:w="371" w:type="pct"/>
          </w:tcPr>
          <w:p w14:paraId="10AA5438" w14:textId="77777777" w:rsidR="00614B09" w:rsidRPr="00DB5B49" w:rsidRDefault="00614B09" w:rsidP="008B60B2">
            <w:pPr>
              <w:suppressAutoHyphens/>
              <w:spacing w:after="0" w:line="240" w:lineRule="auto"/>
              <w:ind w:left="0" w:firstLine="0"/>
              <w:rPr>
                <w:color w:val="auto"/>
                <w:sz w:val="18"/>
                <w:szCs w:val="18"/>
                <w:lang w:val="is-IS"/>
              </w:rPr>
            </w:pPr>
          </w:p>
        </w:tc>
        <w:tc>
          <w:tcPr>
            <w:tcW w:w="747" w:type="pct"/>
            <w:noWrap/>
          </w:tcPr>
          <w:p w14:paraId="716DA675" w14:textId="77777777" w:rsidR="00614B09" w:rsidRPr="00DB5B49" w:rsidRDefault="00614B09" w:rsidP="008B60B2">
            <w:pPr>
              <w:suppressAutoHyphens/>
              <w:spacing w:after="0" w:line="240" w:lineRule="auto"/>
              <w:ind w:left="0" w:firstLine="0"/>
              <w:rPr>
                <w:color w:val="auto"/>
                <w:sz w:val="18"/>
                <w:szCs w:val="18"/>
                <w:lang w:val="is-IS"/>
              </w:rPr>
            </w:pPr>
          </w:p>
        </w:tc>
        <w:tc>
          <w:tcPr>
            <w:tcW w:w="820" w:type="pct"/>
            <w:noWrap/>
          </w:tcPr>
          <w:p w14:paraId="1697C699" w14:textId="77777777" w:rsidR="00614B09" w:rsidRPr="00DB5B49" w:rsidRDefault="00614B09" w:rsidP="008B60B2">
            <w:pPr>
              <w:suppressAutoHyphens/>
              <w:spacing w:after="0" w:line="240" w:lineRule="auto"/>
              <w:ind w:left="0" w:firstLine="0"/>
              <w:rPr>
                <w:color w:val="auto"/>
                <w:sz w:val="18"/>
                <w:szCs w:val="18"/>
                <w:lang w:val="is-IS"/>
              </w:rPr>
            </w:pPr>
          </w:p>
        </w:tc>
        <w:tc>
          <w:tcPr>
            <w:tcW w:w="672" w:type="pct"/>
            <w:noWrap/>
          </w:tcPr>
          <w:p w14:paraId="57AAAB3B" w14:textId="77777777" w:rsidR="00614B09" w:rsidRPr="00DB5B49" w:rsidRDefault="00614B09" w:rsidP="008B60B2">
            <w:pPr>
              <w:suppressAutoHyphens/>
              <w:spacing w:after="0" w:line="240" w:lineRule="auto"/>
              <w:ind w:left="0" w:firstLine="0"/>
              <w:rPr>
                <w:color w:val="auto"/>
                <w:sz w:val="18"/>
                <w:szCs w:val="18"/>
                <w:lang w:val="is-IS"/>
              </w:rPr>
            </w:pPr>
          </w:p>
        </w:tc>
      </w:tr>
      <w:tr w:rsidR="005E257F" w:rsidRPr="00DB5B49" w14:paraId="341069C1" w14:textId="77777777" w:rsidTr="007566FC">
        <w:trPr>
          <w:cantSplit/>
          <w:trHeight w:val="300"/>
        </w:trPr>
        <w:tc>
          <w:tcPr>
            <w:tcW w:w="747" w:type="pct"/>
            <w:noWrap/>
          </w:tcPr>
          <w:p w14:paraId="14F9798B"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Rannsókna</w:t>
            </w:r>
            <w:r w:rsidR="004D62E6" w:rsidRPr="00DB5B49">
              <w:rPr>
                <w:color w:val="auto"/>
                <w:sz w:val="18"/>
                <w:szCs w:val="18"/>
                <w:lang w:val="is-IS"/>
              </w:rPr>
              <w:t>-</w:t>
            </w:r>
            <w:r w:rsidRPr="00DB5B49">
              <w:rPr>
                <w:color w:val="auto"/>
                <w:sz w:val="18"/>
                <w:szCs w:val="18"/>
                <w:lang w:val="is-IS"/>
              </w:rPr>
              <w:t xml:space="preserve">niðurstöður </w:t>
            </w:r>
          </w:p>
        </w:tc>
        <w:tc>
          <w:tcPr>
            <w:tcW w:w="898" w:type="pct"/>
            <w:noWrap/>
          </w:tcPr>
          <w:p w14:paraId="41B88B22" w14:textId="77777777" w:rsidR="00614B09" w:rsidRPr="00DB5B49" w:rsidRDefault="00614B09" w:rsidP="008B60B2">
            <w:pPr>
              <w:suppressAutoHyphens/>
              <w:spacing w:after="0" w:line="240" w:lineRule="auto"/>
              <w:ind w:left="0" w:firstLine="0"/>
              <w:rPr>
                <w:color w:val="auto"/>
                <w:sz w:val="18"/>
                <w:szCs w:val="18"/>
                <w:lang w:val="is-IS"/>
              </w:rPr>
            </w:pPr>
            <w:r w:rsidRPr="00DB5B49">
              <w:rPr>
                <w:color w:val="auto"/>
                <w:sz w:val="18"/>
                <w:szCs w:val="18"/>
                <w:lang w:val="is-IS"/>
              </w:rPr>
              <w:t xml:space="preserve">Þyngdartap </w:t>
            </w:r>
          </w:p>
        </w:tc>
        <w:tc>
          <w:tcPr>
            <w:tcW w:w="746" w:type="pct"/>
          </w:tcPr>
          <w:p w14:paraId="5FBE75AF" w14:textId="77777777" w:rsidR="00614B09" w:rsidRPr="00DB5B49" w:rsidRDefault="00614B09" w:rsidP="008B60B2">
            <w:pPr>
              <w:suppressAutoHyphens/>
              <w:spacing w:after="0" w:line="240" w:lineRule="auto"/>
              <w:ind w:left="0" w:firstLine="0"/>
              <w:rPr>
                <w:color w:val="auto"/>
                <w:sz w:val="18"/>
                <w:szCs w:val="18"/>
                <w:lang w:val="is-IS"/>
              </w:rPr>
            </w:pPr>
          </w:p>
        </w:tc>
        <w:tc>
          <w:tcPr>
            <w:tcW w:w="371" w:type="pct"/>
          </w:tcPr>
          <w:p w14:paraId="28B5AEB7" w14:textId="77777777" w:rsidR="00614B09" w:rsidRPr="00DB5B49" w:rsidRDefault="00614B09" w:rsidP="008B60B2">
            <w:pPr>
              <w:suppressAutoHyphens/>
              <w:spacing w:after="0" w:line="240" w:lineRule="auto"/>
              <w:ind w:left="0" w:firstLine="0"/>
              <w:rPr>
                <w:color w:val="auto"/>
                <w:sz w:val="18"/>
                <w:szCs w:val="18"/>
                <w:lang w:val="is-IS"/>
              </w:rPr>
            </w:pPr>
          </w:p>
        </w:tc>
        <w:tc>
          <w:tcPr>
            <w:tcW w:w="747" w:type="pct"/>
            <w:noWrap/>
          </w:tcPr>
          <w:p w14:paraId="5CFC6AC9" w14:textId="77777777" w:rsidR="00614B09" w:rsidRPr="00DB5B49" w:rsidRDefault="00614B09" w:rsidP="008B60B2">
            <w:pPr>
              <w:suppressAutoHyphens/>
              <w:spacing w:after="0" w:line="240" w:lineRule="auto"/>
              <w:ind w:left="0" w:firstLine="0"/>
              <w:rPr>
                <w:color w:val="auto"/>
                <w:sz w:val="18"/>
                <w:szCs w:val="18"/>
                <w:lang w:val="is-IS"/>
              </w:rPr>
            </w:pPr>
          </w:p>
        </w:tc>
        <w:tc>
          <w:tcPr>
            <w:tcW w:w="820" w:type="pct"/>
            <w:noWrap/>
          </w:tcPr>
          <w:p w14:paraId="5A9985B9" w14:textId="77777777" w:rsidR="00614B09" w:rsidRPr="00DB5B49" w:rsidRDefault="00614B09" w:rsidP="008B60B2">
            <w:pPr>
              <w:suppressAutoHyphens/>
              <w:spacing w:after="0" w:line="240" w:lineRule="auto"/>
              <w:ind w:left="0" w:firstLine="0"/>
              <w:rPr>
                <w:color w:val="auto"/>
                <w:sz w:val="18"/>
                <w:szCs w:val="18"/>
                <w:lang w:val="is-IS"/>
              </w:rPr>
            </w:pPr>
          </w:p>
        </w:tc>
        <w:tc>
          <w:tcPr>
            <w:tcW w:w="672" w:type="pct"/>
            <w:noWrap/>
          </w:tcPr>
          <w:p w14:paraId="4EABE8D7" w14:textId="77777777" w:rsidR="00614B09" w:rsidRPr="00DB5B49" w:rsidRDefault="00614B09" w:rsidP="008B60B2">
            <w:pPr>
              <w:suppressAutoHyphens/>
              <w:spacing w:after="0" w:line="240" w:lineRule="auto"/>
              <w:ind w:left="0" w:firstLine="0"/>
              <w:rPr>
                <w:color w:val="auto"/>
                <w:sz w:val="18"/>
                <w:szCs w:val="18"/>
                <w:lang w:val="is-IS"/>
              </w:rPr>
            </w:pPr>
          </w:p>
        </w:tc>
      </w:tr>
    </w:tbl>
    <w:p w14:paraId="74B5EF4C" w14:textId="77777777" w:rsidR="00614B09" w:rsidRPr="000F5591" w:rsidRDefault="00614B09" w:rsidP="008B60B2">
      <w:pPr>
        <w:suppressAutoHyphens/>
        <w:spacing w:after="0" w:line="240" w:lineRule="auto"/>
        <w:ind w:left="0" w:firstLine="0"/>
        <w:rPr>
          <w:color w:val="auto"/>
          <w:sz w:val="20"/>
          <w:lang w:val="is-IS"/>
        </w:rPr>
      </w:pPr>
    </w:p>
    <w:p w14:paraId="02AA1CD1" w14:textId="77777777" w:rsidR="006C06D6" w:rsidRPr="009F7642" w:rsidRDefault="00C708C8" w:rsidP="008B60B2">
      <w:pPr>
        <w:pStyle w:val="Default"/>
        <w:suppressAutoHyphens/>
        <w:rPr>
          <w:color w:val="auto"/>
          <w:sz w:val="20"/>
          <w:szCs w:val="20"/>
          <w:lang w:val="is-IS"/>
        </w:rPr>
      </w:pPr>
      <w:r w:rsidRPr="009F7642">
        <w:rPr>
          <w:color w:val="auto"/>
          <w:sz w:val="20"/>
          <w:szCs w:val="20"/>
          <w:lang w:val="is-IS"/>
        </w:rPr>
        <w:t>Ef aukaverkanir voru taldar upp bæði meðal aukaverkana af öllum alvarleikastigum og aukaverkana af alvarleikastigum 3-5 í klínískum rannsóknum er skráð tíðni sú hæsta sem sést hefur hjá sjúklingum. Gögnin hafa ekki verið leiðrétt fyrir mismunandi meðferðarlengd.</w:t>
      </w:r>
    </w:p>
    <w:p w14:paraId="5320281C" w14:textId="77777777" w:rsidR="00C708C8" w:rsidRPr="009F7642" w:rsidRDefault="00C708C8" w:rsidP="008B60B2">
      <w:pPr>
        <w:pStyle w:val="Default"/>
        <w:suppressAutoHyphens/>
        <w:rPr>
          <w:color w:val="auto"/>
          <w:sz w:val="20"/>
          <w:szCs w:val="20"/>
          <w:lang w:val="is-IS"/>
        </w:rPr>
      </w:pPr>
    </w:p>
    <w:p w14:paraId="13AF9E22" w14:textId="77777777" w:rsidR="006C06D6" w:rsidRPr="009F7642" w:rsidRDefault="00C708C8" w:rsidP="008B60B2">
      <w:pPr>
        <w:pStyle w:val="Default"/>
        <w:suppressAutoHyphens/>
        <w:ind w:left="567" w:hanging="567"/>
        <w:rPr>
          <w:color w:val="auto"/>
          <w:sz w:val="20"/>
          <w:szCs w:val="20"/>
          <w:lang w:val="is-IS"/>
        </w:rPr>
      </w:pPr>
      <w:r w:rsidRPr="009F7642">
        <w:rPr>
          <w:color w:val="auto"/>
          <w:sz w:val="20"/>
          <w:szCs w:val="20"/>
          <w:vertAlign w:val="superscript"/>
          <w:lang w:val="is-IS"/>
        </w:rPr>
        <w:t>a</w:t>
      </w:r>
      <w:r w:rsidRPr="009F7642">
        <w:rPr>
          <w:color w:val="auto"/>
          <w:sz w:val="20"/>
          <w:szCs w:val="20"/>
          <w:lang w:val="is-IS"/>
        </w:rPr>
        <w:tab/>
        <w:t xml:space="preserve">Sjá frekari upplýsingar í töflu 3 </w:t>
      </w:r>
      <w:r w:rsidR="000B398F">
        <w:rPr>
          <w:color w:val="auto"/>
          <w:sz w:val="20"/>
          <w:szCs w:val="20"/>
          <w:lang w:val="is-IS"/>
        </w:rPr>
        <w:t>„</w:t>
      </w:r>
      <w:r w:rsidRPr="009F7642">
        <w:rPr>
          <w:color w:val="auto"/>
          <w:sz w:val="20"/>
          <w:szCs w:val="20"/>
          <w:lang w:val="is-IS"/>
        </w:rPr>
        <w:t>Aukaverkanir sem tilkynnt hefur verið um eftir markaðssetningu</w:t>
      </w:r>
      <w:r w:rsidR="000B398F">
        <w:rPr>
          <w:color w:val="auto"/>
          <w:sz w:val="20"/>
          <w:szCs w:val="20"/>
          <w:lang w:val="is-IS"/>
        </w:rPr>
        <w:t>“</w:t>
      </w:r>
      <w:r w:rsidRPr="009F7642">
        <w:rPr>
          <w:color w:val="auto"/>
          <w:sz w:val="20"/>
          <w:szCs w:val="20"/>
          <w:lang w:val="is-IS"/>
        </w:rPr>
        <w:t>.</w:t>
      </w:r>
    </w:p>
    <w:p w14:paraId="53522E4E" w14:textId="77777777" w:rsidR="006C06D6" w:rsidRPr="009F7642" w:rsidRDefault="00C708C8" w:rsidP="008B60B2">
      <w:pPr>
        <w:pStyle w:val="Default"/>
        <w:suppressAutoHyphens/>
        <w:ind w:left="567" w:hanging="567"/>
        <w:rPr>
          <w:color w:val="auto"/>
          <w:sz w:val="20"/>
          <w:szCs w:val="20"/>
          <w:lang w:val="is-IS"/>
        </w:rPr>
      </w:pPr>
      <w:r w:rsidRPr="009F7642">
        <w:rPr>
          <w:color w:val="auto"/>
          <w:sz w:val="20"/>
          <w:szCs w:val="20"/>
          <w:vertAlign w:val="superscript"/>
          <w:lang w:val="is-IS"/>
        </w:rPr>
        <w:t>b</w:t>
      </w:r>
      <w:r w:rsidRPr="009F7642">
        <w:rPr>
          <w:color w:val="auto"/>
          <w:sz w:val="20"/>
          <w:szCs w:val="20"/>
          <w:lang w:val="is-IS"/>
        </w:rPr>
        <w:tab/>
        <w:t>Skráðar aukaverkanir eiga við flokk tilvika sem lýsa læknisfræðilegum hugtökum, frekar en stökum kvillum eða hugtökum samkvæmt MedDRA (Medical Dictionary for Regulatory Activities). Hver slíkur flokkur læknisfræðilegra hugtaka getur byggt á sömu undirliggjandi lífeðlisfræðilegri meingerð (t.d. sameinaðir slagæðasegarekssjúkdómar, þar á meðal heilablóðfall, hjartadrep, skammvinnt blóðþurrðarkast og önnur segarekstilvik í slagæðum).</w:t>
      </w:r>
    </w:p>
    <w:p w14:paraId="12C749C5" w14:textId="77777777" w:rsidR="006C06D6" w:rsidRPr="009F7642" w:rsidRDefault="00C708C8" w:rsidP="008B60B2">
      <w:pPr>
        <w:pStyle w:val="Default"/>
        <w:suppressAutoHyphens/>
        <w:ind w:left="567" w:hanging="567"/>
        <w:rPr>
          <w:color w:val="auto"/>
          <w:sz w:val="20"/>
          <w:szCs w:val="20"/>
          <w:lang w:val="is-IS"/>
        </w:rPr>
      </w:pPr>
      <w:r w:rsidRPr="009F7642">
        <w:rPr>
          <w:color w:val="auto"/>
          <w:sz w:val="20"/>
          <w:szCs w:val="20"/>
          <w:vertAlign w:val="superscript"/>
          <w:lang w:val="is-IS"/>
        </w:rPr>
        <w:t>c</w:t>
      </w:r>
      <w:r w:rsidRPr="009F7642">
        <w:rPr>
          <w:color w:val="auto"/>
          <w:sz w:val="20"/>
          <w:szCs w:val="20"/>
          <w:lang w:val="is-IS"/>
        </w:rPr>
        <w:tab/>
        <w:t>Byggt á undirrannsókn NSABP C-08 rannsóknarinnar, með 295 sjúklingum.</w:t>
      </w:r>
    </w:p>
    <w:p w14:paraId="0265BF78" w14:textId="77777777" w:rsidR="006C06D6" w:rsidRPr="009F7642" w:rsidRDefault="00C708C8" w:rsidP="008B60B2">
      <w:pPr>
        <w:pStyle w:val="Default"/>
        <w:suppressAutoHyphens/>
        <w:ind w:left="567" w:hanging="567"/>
        <w:rPr>
          <w:color w:val="auto"/>
          <w:sz w:val="20"/>
          <w:szCs w:val="20"/>
          <w:lang w:val="is-IS"/>
        </w:rPr>
      </w:pPr>
      <w:r w:rsidRPr="009F7642">
        <w:rPr>
          <w:color w:val="auto"/>
          <w:sz w:val="20"/>
          <w:szCs w:val="20"/>
          <w:vertAlign w:val="superscript"/>
          <w:lang w:val="is-IS"/>
        </w:rPr>
        <w:t>d</w:t>
      </w:r>
      <w:r w:rsidRPr="009F7642">
        <w:rPr>
          <w:color w:val="auto"/>
          <w:sz w:val="20"/>
          <w:szCs w:val="20"/>
          <w:lang w:val="is-IS"/>
        </w:rPr>
        <w:tab/>
        <w:t xml:space="preserve">Sjá frekari upplýsingar í kaflanum </w:t>
      </w:r>
      <w:r w:rsidR="00D80F10">
        <w:rPr>
          <w:color w:val="auto"/>
          <w:sz w:val="20"/>
          <w:szCs w:val="20"/>
          <w:lang w:val="is-IS"/>
        </w:rPr>
        <w:t>„</w:t>
      </w:r>
      <w:r w:rsidR="00530322" w:rsidRPr="00F2274F">
        <w:rPr>
          <w:color w:val="auto"/>
          <w:sz w:val="20"/>
          <w:szCs w:val="20"/>
          <w:lang w:val="is-IS"/>
        </w:rPr>
        <w:t>Lýsing valinna alvarlegra aukaverkana</w:t>
      </w:r>
      <w:r w:rsidR="00D80F10">
        <w:rPr>
          <w:color w:val="auto"/>
          <w:sz w:val="20"/>
          <w:szCs w:val="20"/>
          <w:lang w:val="is-IS"/>
        </w:rPr>
        <w:t>“</w:t>
      </w:r>
      <w:r w:rsidRPr="009F7642">
        <w:rPr>
          <w:color w:val="auto"/>
          <w:sz w:val="20"/>
          <w:szCs w:val="20"/>
          <w:lang w:val="is-IS"/>
        </w:rPr>
        <w:t xml:space="preserve"> hér fyrir neðan.</w:t>
      </w:r>
    </w:p>
    <w:p w14:paraId="146F1B37" w14:textId="77777777" w:rsidR="006C06D6" w:rsidRPr="009F7642" w:rsidRDefault="00C708C8" w:rsidP="008B60B2">
      <w:pPr>
        <w:pStyle w:val="Default"/>
        <w:suppressAutoHyphens/>
        <w:ind w:left="567" w:hanging="567"/>
        <w:rPr>
          <w:color w:val="auto"/>
          <w:sz w:val="20"/>
          <w:szCs w:val="20"/>
          <w:lang w:val="is-IS"/>
        </w:rPr>
      </w:pPr>
      <w:r w:rsidRPr="009F7642">
        <w:rPr>
          <w:color w:val="auto"/>
          <w:sz w:val="20"/>
          <w:szCs w:val="20"/>
          <w:vertAlign w:val="superscript"/>
          <w:lang w:val="is-IS"/>
        </w:rPr>
        <w:t>e</w:t>
      </w:r>
      <w:r w:rsidRPr="009F7642">
        <w:rPr>
          <w:color w:val="auto"/>
          <w:sz w:val="20"/>
          <w:szCs w:val="20"/>
          <w:lang w:val="is-IS"/>
        </w:rPr>
        <w:tab/>
        <w:t>Endaþarms-leggangafistlar eru algengustu fistlar í flokki meltingarfæra- og leggangafistla.</w:t>
      </w:r>
    </w:p>
    <w:p w14:paraId="0573BE70" w14:textId="77777777" w:rsidR="0051706E" w:rsidRPr="009F7642" w:rsidRDefault="00C708C8" w:rsidP="008B60B2">
      <w:pPr>
        <w:pStyle w:val="Default"/>
        <w:suppressAutoHyphens/>
        <w:ind w:left="567" w:hanging="567"/>
        <w:rPr>
          <w:color w:val="auto"/>
          <w:sz w:val="20"/>
          <w:szCs w:val="20"/>
          <w:lang w:val="is-IS"/>
        </w:rPr>
      </w:pPr>
      <w:r w:rsidRPr="009F7642">
        <w:rPr>
          <w:color w:val="auto"/>
          <w:sz w:val="20"/>
          <w:szCs w:val="20"/>
          <w:vertAlign w:val="superscript"/>
          <w:lang w:val="is-IS"/>
        </w:rPr>
        <w:t>f</w:t>
      </w:r>
      <w:r w:rsidRPr="009F7642">
        <w:rPr>
          <w:color w:val="auto"/>
          <w:sz w:val="20"/>
          <w:szCs w:val="20"/>
          <w:lang w:val="is-IS"/>
        </w:rPr>
        <w:tab/>
        <w:t>Hefur eingöngu sést hjá börnum.</w:t>
      </w:r>
    </w:p>
    <w:p w14:paraId="445D94AC" w14:textId="77777777" w:rsidR="00C708C8" w:rsidRPr="007309A2" w:rsidRDefault="00C708C8" w:rsidP="008B60B2">
      <w:pPr>
        <w:suppressAutoHyphens/>
        <w:spacing w:after="0" w:line="240" w:lineRule="auto"/>
        <w:ind w:left="0" w:firstLine="0"/>
        <w:rPr>
          <w:color w:val="auto"/>
          <w:lang w:val="is-IS"/>
        </w:rPr>
      </w:pPr>
    </w:p>
    <w:p w14:paraId="551D56FC" w14:textId="77777777" w:rsidR="006C06D6" w:rsidRPr="00EA3CD6" w:rsidRDefault="009A62AF" w:rsidP="000120DA">
      <w:pPr>
        <w:keepNext/>
        <w:suppressAutoHyphens/>
        <w:spacing w:after="0" w:line="240" w:lineRule="auto"/>
        <w:ind w:left="0" w:firstLine="0"/>
        <w:rPr>
          <w:b/>
          <w:bCs/>
          <w:color w:val="auto"/>
          <w:lang w:val="is-IS"/>
        </w:rPr>
      </w:pPr>
      <w:r w:rsidRPr="00EA3CD6">
        <w:rPr>
          <w:b/>
          <w:bCs/>
          <w:color w:val="auto"/>
          <w:lang w:val="is-IS"/>
        </w:rPr>
        <w:t>Tafla 2</w:t>
      </w:r>
      <w:r w:rsidR="00FA281C" w:rsidRPr="00EA3CD6">
        <w:rPr>
          <w:b/>
          <w:bCs/>
          <w:color w:val="auto"/>
          <w:lang w:val="is-IS"/>
        </w:rPr>
        <w:t>.</w:t>
      </w:r>
      <w:r w:rsidR="00CE16F8" w:rsidRPr="00EA3CD6">
        <w:rPr>
          <w:b/>
          <w:bCs/>
          <w:color w:val="auto"/>
          <w:lang w:val="is-IS"/>
        </w:rPr>
        <w:t xml:space="preserve"> </w:t>
      </w:r>
      <w:r w:rsidR="00564614" w:rsidRPr="00EA3CD6">
        <w:rPr>
          <w:b/>
          <w:bCs/>
          <w:color w:val="auto"/>
          <w:lang w:val="is-IS"/>
        </w:rPr>
        <w:t>Alvarlegar aukaverkanir, flokkaðar eftir tíðni</w:t>
      </w:r>
    </w:p>
    <w:p w14:paraId="619EECD8" w14:textId="77777777" w:rsidR="005F36F3" w:rsidRPr="009F7642" w:rsidRDefault="005F36F3" w:rsidP="00F2274F">
      <w:pPr>
        <w:keepNext/>
        <w:suppressAutoHyphens/>
        <w:spacing w:after="0" w:line="240" w:lineRule="auto"/>
        <w:ind w:left="0" w:firstLine="0"/>
        <w:rPr>
          <w:color w:val="auto"/>
          <w:lang w:val="is-I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814"/>
        <w:gridCol w:w="708"/>
        <w:gridCol w:w="1134"/>
        <w:gridCol w:w="993"/>
        <w:gridCol w:w="1842"/>
      </w:tblGrid>
      <w:tr w:rsidR="001A44CF" w:rsidRPr="009F7642" w14:paraId="4B066C94" w14:textId="77777777" w:rsidTr="00215918">
        <w:trPr>
          <w:cantSplit/>
          <w:trHeight w:val="300"/>
          <w:tblHeader/>
        </w:trPr>
        <w:tc>
          <w:tcPr>
            <w:tcW w:w="1555" w:type="dxa"/>
            <w:noWrap/>
            <w:hideMark/>
          </w:tcPr>
          <w:p w14:paraId="28F0F881" w14:textId="77777777" w:rsidR="00D4644F" w:rsidRPr="009F7642" w:rsidRDefault="00D4644F" w:rsidP="00F2274F">
            <w:pPr>
              <w:keepNext/>
              <w:suppressAutoHyphens/>
              <w:spacing w:after="0" w:line="240" w:lineRule="auto"/>
              <w:ind w:left="0" w:firstLine="0"/>
              <w:jc w:val="center"/>
              <w:rPr>
                <w:b/>
                <w:color w:val="auto"/>
                <w:sz w:val="18"/>
                <w:szCs w:val="18"/>
                <w:lang w:val="is-IS"/>
              </w:rPr>
            </w:pPr>
            <w:r w:rsidRPr="009F7642">
              <w:rPr>
                <w:b/>
                <w:color w:val="auto"/>
                <w:sz w:val="18"/>
                <w:szCs w:val="18"/>
                <w:lang w:val="is-IS"/>
              </w:rPr>
              <w:t>Líffæraflokkur</w:t>
            </w:r>
          </w:p>
        </w:tc>
        <w:tc>
          <w:tcPr>
            <w:tcW w:w="1701" w:type="dxa"/>
            <w:noWrap/>
            <w:hideMark/>
          </w:tcPr>
          <w:p w14:paraId="3F7A4521" w14:textId="77777777" w:rsidR="00D4644F" w:rsidRPr="009F7642" w:rsidRDefault="00D4644F" w:rsidP="00F2274F">
            <w:pPr>
              <w:keepNext/>
              <w:suppressAutoHyphens/>
              <w:spacing w:after="0" w:line="240" w:lineRule="auto"/>
              <w:ind w:left="0" w:firstLine="0"/>
              <w:jc w:val="center"/>
              <w:rPr>
                <w:b/>
                <w:color w:val="auto"/>
                <w:sz w:val="18"/>
                <w:szCs w:val="18"/>
                <w:lang w:val="is-IS"/>
              </w:rPr>
            </w:pPr>
            <w:r w:rsidRPr="009F7642">
              <w:rPr>
                <w:b/>
                <w:color w:val="auto"/>
                <w:sz w:val="18"/>
                <w:szCs w:val="18"/>
                <w:lang w:val="is-IS"/>
              </w:rPr>
              <w:t>Mjög algengar</w:t>
            </w:r>
          </w:p>
        </w:tc>
        <w:tc>
          <w:tcPr>
            <w:tcW w:w="1814" w:type="dxa"/>
            <w:noWrap/>
            <w:hideMark/>
          </w:tcPr>
          <w:p w14:paraId="50BADBC7" w14:textId="77777777" w:rsidR="00D4644F" w:rsidRPr="009F7642" w:rsidRDefault="00D4644F" w:rsidP="00F2274F">
            <w:pPr>
              <w:keepNext/>
              <w:suppressAutoHyphens/>
              <w:spacing w:after="0" w:line="240" w:lineRule="auto"/>
              <w:ind w:left="0" w:firstLine="0"/>
              <w:jc w:val="center"/>
              <w:rPr>
                <w:b/>
                <w:color w:val="auto"/>
                <w:sz w:val="18"/>
                <w:szCs w:val="18"/>
                <w:lang w:val="is-IS"/>
              </w:rPr>
            </w:pPr>
            <w:r w:rsidRPr="009F7642">
              <w:rPr>
                <w:b/>
                <w:color w:val="auto"/>
                <w:sz w:val="18"/>
                <w:szCs w:val="18"/>
                <w:lang w:val="is-IS"/>
              </w:rPr>
              <w:t>Algengar</w:t>
            </w:r>
          </w:p>
        </w:tc>
        <w:tc>
          <w:tcPr>
            <w:tcW w:w="708" w:type="dxa"/>
            <w:noWrap/>
            <w:hideMark/>
          </w:tcPr>
          <w:p w14:paraId="2B8E4480" w14:textId="77777777" w:rsidR="00D4644F" w:rsidRPr="009F7642" w:rsidRDefault="00D4644F" w:rsidP="00F2274F">
            <w:pPr>
              <w:keepNext/>
              <w:suppressAutoHyphens/>
              <w:spacing w:after="0" w:line="240" w:lineRule="auto"/>
              <w:ind w:left="0" w:firstLine="0"/>
              <w:jc w:val="center"/>
              <w:rPr>
                <w:b/>
                <w:color w:val="auto"/>
                <w:sz w:val="18"/>
                <w:szCs w:val="18"/>
                <w:lang w:val="is-IS"/>
              </w:rPr>
            </w:pPr>
            <w:r w:rsidRPr="009F7642">
              <w:rPr>
                <w:b/>
                <w:color w:val="auto"/>
                <w:sz w:val="18"/>
                <w:szCs w:val="18"/>
                <w:lang w:val="is-IS"/>
              </w:rPr>
              <w:t>Sjaldgæfar</w:t>
            </w:r>
          </w:p>
        </w:tc>
        <w:tc>
          <w:tcPr>
            <w:tcW w:w="1134" w:type="dxa"/>
            <w:noWrap/>
            <w:hideMark/>
          </w:tcPr>
          <w:p w14:paraId="0BE6A8DC" w14:textId="77777777" w:rsidR="00D4644F" w:rsidRPr="009F7642" w:rsidRDefault="00D4644F" w:rsidP="00F2274F">
            <w:pPr>
              <w:keepNext/>
              <w:suppressAutoHyphens/>
              <w:spacing w:after="0" w:line="240" w:lineRule="auto"/>
              <w:ind w:left="0" w:firstLine="0"/>
              <w:jc w:val="center"/>
              <w:rPr>
                <w:b/>
                <w:color w:val="auto"/>
                <w:sz w:val="18"/>
                <w:szCs w:val="18"/>
                <w:lang w:val="is-IS"/>
              </w:rPr>
            </w:pPr>
            <w:r w:rsidRPr="009F7642">
              <w:rPr>
                <w:b/>
                <w:color w:val="auto"/>
                <w:sz w:val="18"/>
                <w:szCs w:val="18"/>
                <w:lang w:val="is-IS"/>
              </w:rPr>
              <w:t>Mjög sjaldgæfar</w:t>
            </w:r>
          </w:p>
        </w:tc>
        <w:tc>
          <w:tcPr>
            <w:tcW w:w="993" w:type="dxa"/>
            <w:noWrap/>
            <w:hideMark/>
          </w:tcPr>
          <w:p w14:paraId="2AE8C8E7" w14:textId="77777777" w:rsidR="00D4644F" w:rsidRPr="009F7642" w:rsidRDefault="00D4644F" w:rsidP="00F2274F">
            <w:pPr>
              <w:keepNext/>
              <w:suppressAutoHyphens/>
              <w:spacing w:after="0" w:line="240" w:lineRule="auto"/>
              <w:ind w:left="0" w:firstLine="0"/>
              <w:jc w:val="center"/>
              <w:rPr>
                <w:b/>
                <w:color w:val="auto"/>
                <w:sz w:val="18"/>
                <w:szCs w:val="18"/>
                <w:lang w:val="is-IS"/>
              </w:rPr>
            </w:pPr>
            <w:r w:rsidRPr="00796078">
              <w:rPr>
                <w:b/>
                <w:color w:val="auto"/>
                <w:sz w:val="18"/>
                <w:szCs w:val="18"/>
                <w:lang w:val="is-IS"/>
              </w:rPr>
              <w:t>Koma</w:t>
            </w:r>
            <w:r w:rsidR="00774472" w:rsidRPr="00796078">
              <w:rPr>
                <w:b/>
                <w:color w:val="auto"/>
                <w:sz w:val="18"/>
                <w:szCs w:val="18"/>
                <w:lang w:val="is-IS"/>
              </w:rPr>
              <w:t xml:space="preserve"> </w:t>
            </w:r>
            <w:r w:rsidRPr="00796078">
              <w:rPr>
                <w:b/>
                <w:color w:val="auto"/>
                <w:sz w:val="18"/>
                <w:szCs w:val="18"/>
                <w:lang w:val="is-IS"/>
              </w:rPr>
              <w:t>ör</w:t>
            </w:r>
            <w:r w:rsidRPr="009F7642">
              <w:rPr>
                <w:b/>
                <w:color w:val="auto"/>
                <w:sz w:val="18"/>
                <w:szCs w:val="18"/>
                <w:lang w:val="is-IS"/>
              </w:rPr>
              <w:t>sjaldan fyrir</w:t>
            </w:r>
          </w:p>
        </w:tc>
        <w:tc>
          <w:tcPr>
            <w:tcW w:w="1842" w:type="dxa"/>
            <w:noWrap/>
            <w:hideMark/>
          </w:tcPr>
          <w:p w14:paraId="3F701C9C" w14:textId="77777777" w:rsidR="00D4644F" w:rsidRPr="009F7642" w:rsidRDefault="00D4644F" w:rsidP="00F2274F">
            <w:pPr>
              <w:keepNext/>
              <w:suppressAutoHyphens/>
              <w:spacing w:after="0" w:line="240" w:lineRule="auto"/>
              <w:ind w:left="0" w:firstLine="0"/>
              <w:jc w:val="center"/>
              <w:rPr>
                <w:b/>
                <w:color w:val="auto"/>
                <w:sz w:val="18"/>
                <w:szCs w:val="18"/>
                <w:lang w:val="is-IS"/>
              </w:rPr>
            </w:pPr>
            <w:r w:rsidRPr="009F7642">
              <w:rPr>
                <w:b/>
                <w:color w:val="auto"/>
                <w:sz w:val="18"/>
                <w:szCs w:val="18"/>
                <w:lang w:val="is-IS"/>
              </w:rPr>
              <w:t>Tíðni ekki þekkt</w:t>
            </w:r>
          </w:p>
        </w:tc>
      </w:tr>
      <w:tr w:rsidR="001A44CF" w:rsidRPr="009F7642" w14:paraId="1CDFC6CA" w14:textId="77777777" w:rsidTr="00215918">
        <w:trPr>
          <w:cantSplit/>
          <w:trHeight w:val="300"/>
        </w:trPr>
        <w:tc>
          <w:tcPr>
            <w:tcW w:w="1555" w:type="dxa"/>
            <w:noWrap/>
            <w:hideMark/>
          </w:tcPr>
          <w:p w14:paraId="508056C9"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Sýkingar af völdum sýkla og sníkjudýra</w:t>
            </w:r>
          </w:p>
        </w:tc>
        <w:tc>
          <w:tcPr>
            <w:tcW w:w="1701" w:type="dxa"/>
          </w:tcPr>
          <w:p w14:paraId="668E41DF"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 </w:t>
            </w:r>
          </w:p>
        </w:tc>
        <w:tc>
          <w:tcPr>
            <w:tcW w:w="1814" w:type="dxa"/>
            <w:noWrap/>
            <w:hideMark/>
          </w:tcPr>
          <w:p w14:paraId="7A81F494"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Blóðsýking</w:t>
            </w:r>
          </w:p>
          <w:p w14:paraId="6690D989"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Húðbeðsbólga,</w:t>
            </w:r>
          </w:p>
          <w:p w14:paraId="5DF63BB4"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Ígerð</w:t>
            </w:r>
            <w:r w:rsidRPr="009F7642">
              <w:rPr>
                <w:color w:val="auto"/>
                <w:sz w:val="18"/>
                <w:szCs w:val="18"/>
                <w:vertAlign w:val="superscript"/>
                <w:lang w:val="is-IS"/>
              </w:rPr>
              <w:t>a,b</w:t>
            </w:r>
          </w:p>
          <w:p w14:paraId="4A5D478D"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Sýking,</w:t>
            </w:r>
          </w:p>
          <w:p w14:paraId="778EB9EC"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Þvagfærasýking </w:t>
            </w:r>
          </w:p>
        </w:tc>
        <w:tc>
          <w:tcPr>
            <w:tcW w:w="708" w:type="dxa"/>
          </w:tcPr>
          <w:p w14:paraId="397F7A70"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6A88DD26"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1F98D911"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hideMark/>
          </w:tcPr>
          <w:p w14:paraId="45CC27FC" w14:textId="77777777" w:rsidR="006C06D6" w:rsidRPr="009F7642" w:rsidRDefault="00D4644F" w:rsidP="00D23E35">
            <w:pPr>
              <w:suppressAutoHyphens/>
              <w:spacing w:after="0" w:line="240" w:lineRule="auto"/>
              <w:ind w:left="0" w:firstLine="0"/>
              <w:rPr>
                <w:color w:val="auto"/>
                <w:sz w:val="18"/>
                <w:szCs w:val="18"/>
                <w:lang w:val="is-IS"/>
              </w:rPr>
            </w:pPr>
            <w:r w:rsidRPr="009F7642">
              <w:rPr>
                <w:color w:val="auto"/>
                <w:sz w:val="18"/>
                <w:szCs w:val="18"/>
                <w:lang w:val="is-IS"/>
              </w:rPr>
              <w:t>Sinafellsbólga með drepi</w:t>
            </w:r>
          </w:p>
          <w:p w14:paraId="4426BAF9" w14:textId="77777777" w:rsidR="00D4644F" w:rsidRPr="009F7642" w:rsidRDefault="00165A55" w:rsidP="00380AB2">
            <w:pPr>
              <w:suppressAutoHyphens/>
              <w:spacing w:after="0" w:line="240" w:lineRule="auto"/>
              <w:ind w:left="0" w:firstLine="0"/>
              <w:rPr>
                <w:color w:val="auto"/>
                <w:sz w:val="18"/>
                <w:szCs w:val="18"/>
                <w:lang w:val="is-IS"/>
              </w:rPr>
            </w:pPr>
            <w:r>
              <w:rPr>
                <w:color w:val="auto"/>
                <w:sz w:val="18"/>
                <w:szCs w:val="18"/>
                <w:lang w:val="is-IS"/>
              </w:rPr>
              <w:t xml:space="preserve">(Necrotising </w:t>
            </w:r>
            <w:r w:rsidR="00D4644F" w:rsidRPr="009F7642">
              <w:rPr>
                <w:color w:val="auto"/>
                <w:sz w:val="18"/>
                <w:szCs w:val="18"/>
                <w:lang w:val="is-IS"/>
              </w:rPr>
              <w:t>fasciitis)</w:t>
            </w:r>
            <w:r w:rsidR="00D4644F" w:rsidRPr="009F7642">
              <w:rPr>
                <w:color w:val="auto"/>
                <w:sz w:val="18"/>
                <w:szCs w:val="18"/>
                <w:vertAlign w:val="superscript"/>
                <w:lang w:val="is-IS"/>
              </w:rPr>
              <w:t>c</w:t>
            </w:r>
            <w:r w:rsidR="00D4644F" w:rsidRPr="009F7642">
              <w:rPr>
                <w:color w:val="auto"/>
                <w:sz w:val="18"/>
                <w:szCs w:val="18"/>
                <w:lang w:val="is-IS"/>
              </w:rPr>
              <w:t xml:space="preserve"> </w:t>
            </w:r>
          </w:p>
        </w:tc>
      </w:tr>
      <w:tr w:rsidR="001A44CF" w:rsidRPr="009F7642" w14:paraId="490966D4" w14:textId="77777777" w:rsidTr="00215918">
        <w:trPr>
          <w:cantSplit/>
          <w:trHeight w:val="300"/>
        </w:trPr>
        <w:tc>
          <w:tcPr>
            <w:tcW w:w="1555" w:type="dxa"/>
            <w:noWrap/>
            <w:hideMark/>
          </w:tcPr>
          <w:p w14:paraId="4FD9EF2D"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Blóð og eitlar</w:t>
            </w:r>
          </w:p>
        </w:tc>
        <w:tc>
          <w:tcPr>
            <w:tcW w:w="1701" w:type="dxa"/>
            <w:noWrap/>
            <w:hideMark/>
          </w:tcPr>
          <w:p w14:paraId="76B9693C"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Daufkyrningafæð með hita</w:t>
            </w:r>
          </w:p>
          <w:p w14:paraId="42072579"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Hvítkornafæð</w:t>
            </w:r>
          </w:p>
          <w:p w14:paraId="27356468"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Daufkyrningafæð</w:t>
            </w:r>
            <w:r w:rsidRPr="009F7642">
              <w:rPr>
                <w:color w:val="auto"/>
                <w:sz w:val="18"/>
                <w:szCs w:val="18"/>
                <w:vertAlign w:val="superscript"/>
                <w:lang w:val="is-IS"/>
              </w:rPr>
              <w:t>a</w:t>
            </w:r>
          </w:p>
          <w:p w14:paraId="4659AE44"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Blóðflagnafæð </w:t>
            </w:r>
          </w:p>
        </w:tc>
        <w:tc>
          <w:tcPr>
            <w:tcW w:w="1814" w:type="dxa"/>
            <w:noWrap/>
            <w:hideMark/>
          </w:tcPr>
          <w:p w14:paraId="797F414A" w14:textId="77777777" w:rsidR="00D4644F" w:rsidRPr="009F7642" w:rsidRDefault="00D4644F" w:rsidP="009523B7">
            <w:pPr>
              <w:suppressAutoHyphens/>
              <w:spacing w:after="0" w:line="240" w:lineRule="auto"/>
              <w:ind w:left="0" w:firstLine="0"/>
              <w:rPr>
                <w:color w:val="auto"/>
                <w:sz w:val="18"/>
                <w:szCs w:val="18"/>
                <w:lang w:val="is-IS"/>
              </w:rPr>
            </w:pPr>
            <w:r w:rsidRPr="009F7642">
              <w:rPr>
                <w:color w:val="auto"/>
                <w:sz w:val="18"/>
                <w:szCs w:val="18"/>
                <w:lang w:val="is-IS"/>
              </w:rPr>
              <w:t xml:space="preserve">Blóðleysi, Eitilfrumnafæð </w:t>
            </w:r>
          </w:p>
        </w:tc>
        <w:tc>
          <w:tcPr>
            <w:tcW w:w="708" w:type="dxa"/>
          </w:tcPr>
          <w:p w14:paraId="21F8A4E0"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5AD9FBEA"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77A23857"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tcPr>
          <w:p w14:paraId="255856DF" w14:textId="77777777" w:rsidR="00D4644F" w:rsidRPr="009F7642" w:rsidRDefault="00D4644F" w:rsidP="008B60B2">
            <w:pPr>
              <w:suppressAutoHyphens/>
              <w:spacing w:after="0" w:line="240" w:lineRule="auto"/>
              <w:ind w:left="0" w:firstLine="0"/>
              <w:rPr>
                <w:color w:val="auto"/>
                <w:sz w:val="18"/>
                <w:szCs w:val="18"/>
                <w:lang w:val="is-IS"/>
              </w:rPr>
            </w:pPr>
          </w:p>
        </w:tc>
      </w:tr>
      <w:tr w:rsidR="001A44CF" w:rsidRPr="009F7642" w14:paraId="401405D2" w14:textId="77777777" w:rsidTr="00215918">
        <w:trPr>
          <w:cantSplit/>
          <w:trHeight w:val="300"/>
        </w:trPr>
        <w:tc>
          <w:tcPr>
            <w:tcW w:w="1555" w:type="dxa"/>
            <w:noWrap/>
            <w:hideMark/>
          </w:tcPr>
          <w:p w14:paraId="08BAA73D"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Ónæmiskerfi</w:t>
            </w:r>
          </w:p>
        </w:tc>
        <w:tc>
          <w:tcPr>
            <w:tcW w:w="1701" w:type="dxa"/>
          </w:tcPr>
          <w:p w14:paraId="7BAE88ED" w14:textId="77777777" w:rsidR="00D4644F" w:rsidRPr="009F7642" w:rsidRDefault="00D4644F" w:rsidP="008B60B2">
            <w:pPr>
              <w:suppressAutoHyphens/>
              <w:spacing w:after="0" w:line="240" w:lineRule="auto"/>
              <w:ind w:left="0" w:firstLine="0"/>
              <w:rPr>
                <w:color w:val="auto"/>
                <w:sz w:val="18"/>
                <w:szCs w:val="18"/>
                <w:lang w:val="is-IS"/>
              </w:rPr>
            </w:pPr>
          </w:p>
        </w:tc>
        <w:tc>
          <w:tcPr>
            <w:tcW w:w="1814" w:type="dxa"/>
          </w:tcPr>
          <w:p w14:paraId="71C7EE05" w14:textId="41A18D23" w:rsidR="00D4644F" w:rsidRPr="009F7642" w:rsidRDefault="001C4A29" w:rsidP="008B60B2">
            <w:pPr>
              <w:suppressAutoHyphens/>
              <w:spacing w:after="0" w:line="240" w:lineRule="auto"/>
              <w:ind w:left="0" w:firstLine="0"/>
              <w:rPr>
                <w:color w:val="auto"/>
                <w:sz w:val="18"/>
                <w:szCs w:val="18"/>
                <w:lang w:val="is-IS"/>
              </w:rPr>
            </w:pPr>
            <w:r w:rsidRPr="009F7642">
              <w:rPr>
                <w:color w:val="auto"/>
                <w:sz w:val="18"/>
                <w:szCs w:val="18"/>
                <w:lang w:val="is-IS"/>
              </w:rPr>
              <w:t>Ofnæmi, innrennslisviðbrögð</w:t>
            </w:r>
            <w:r w:rsidRPr="009F7642">
              <w:rPr>
                <w:color w:val="auto"/>
                <w:sz w:val="18"/>
                <w:szCs w:val="18"/>
                <w:vertAlign w:val="superscript"/>
                <w:lang w:val="is-IS"/>
              </w:rPr>
              <w:t>a,b,c</w:t>
            </w:r>
          </w:p>
        </w:tc>
        <w:tc>
          <w:tcPr>
            <w:tcW w:w="708" w:type="dxa"/>
            <w:noWrap/>
            <w:hideMark/>
          </w:tcPr>
          <w:p w14:paraId="1E0334D2"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noWrap/>
            <w:hideMark/>
          </w:tcPr>
          <w:p w14:paraId="7C0E31A1" w14:textId="43BB8B3F" w:rsidR="00D4644F" w:rsidRPr="009F7642" w:rsidRDefault="00845621" w:rsidP="00845621">
            <w:pPr>
              <w:suppressAutoHyphens/>
              <w:spacing w:after="0" w:line="240" w:lineRule="auto"/>
              <w:ind w:left="0" w:firstLine="0"/>
              <w:rPr>
                <w:color w:val="auto"/>
                <w:sz w:val="18"/>
                <w:szCs w:val="18"/>
                <w:lang w:val="is-IS"/>
              </w:rPr>
            </w:pPr>
            <w:r>
              <w:rPr>
                <w:color w:val="auto"/>
                <w:sz w:val="18"/>
                <w:szCs w:val="18"/>
                <w:lang w:val="is-IS"/>
              </w:rPr>
              <w:t>Bráðao</w:t>
            </w:r>
            <w:r w:rsidR="001C4A29">
              <w:rPr>
                <w:color w:val="auto"/>
                <w:sz w:val="18"/>
                <w:szCs w:val="18"/>
                <w:lang w:val="is-IS"/>
              </w:rPr>
              <w:t>f</w:t>
            </w:r>
            <w:r w:rsidR="00787B3F">
              <w:rPr>
                <w:color w:val="auto"/>
                <w:sz w:val="18"/>
                <w:szCs w:val="18"/>
                <w:lang w:val="is-IS"/>
              </w:rPr>
              <w:t>-</w:t>
            </w:r>
            <w:r w:rsidR="001C4A29">
              <w:rPr>
                <w:color w:val="auto"/>
                <w:sz w:val="18"/>
                <w:szCs w:val="18"/>
                <w:lang w:val="is-IS"/>
              </w:rPr>
              <w:t>næmislost</w:t>
            </w:r>
          </w:p>
        </w:tc>
        <w:tc>
          <w:tcPr>
            <w:tcW w:w="993" w:type="dxa"/>
            <w:noWrap/>
            <w:hideMark/>
          </w:tcPr>
          <w:p w14:paraId="4792E96B"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hideMark/>
          </w:tcPr>
          <w:p w14:paraId="6A11987E" w14:textId="34B86676" w:rsidR="00D4644F" w:rsidRPr="009F7642" w:rsidRDefault="00D4644F" w:rsidP="001C4A29">
            <w:pPr>
              <w:suppressAutoHyphens/>
              <w:spacing w:after="0" w:line="240" w:lineRule="auto"/>
              <w:ind w:left="0" w:firstLine="0"/>
              <w:rPr>
                <w:color w:val="auto"/>
                <w:sz w:val="18"/>
                <w:szCs w:val="18"/>
                <w:lang w:val="is-IS"/>
              </w:rPr>
            </w:pPr>
          </w:p>
        </w:tc>
      </w:tr>
      <w:tr w:rsidR="001A44CF" w:rsidRPr="009F7642" w14:paraId="5B094DF7" w14:textId="77777777" w:rsidTr="00215918">
        <w:trPr>
          <w:cantSplit/>
          <w:trHeight w:val="300"/>
        </w:trPr>
        <w:tc>
          <w:tcPr>
            <w:tcW w:w="1555" w:type="dxa"/>
            <w:noWrap/>
            <w:hideMark/>
          </w:tcPr>
          <w:p w14:paraId="5B302048"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Efnaskipti og næring</w:t>
            </w:r>
          </w:p>
        </w:tc>
        <w:tc>
          <w:tcPr>
            <w:tcW w:w="1701" w:type="dxa"/>
          </w:tcPr>
          <w:p w14:paraId="60533F93" w14:textId="77777777" w:rsidR="00D4644F" w:rsidRPr="009F7642" w:rsidRDefault="00D4644F" w:rsidP="008B60B2">
            <w:pPr>
              <w:suppressAutoHyphens/>
              <w:spacing w:after="0" w:line="240" w:lineRule="auto"/>
              <w:ind w:left="0" w:firstLine="0"/>
              <w:rPr>
                <w:color w:val="auto"/>
                <w:sz w:val="18"/>
                <w:szCs w:val="18"/>
                <w:lang w:val="is-IS"/>
              </w:rPr>
            </w:pPr>
          </w:p>
        </w:tc>
        <w:tc>
          <w:tcPr>
            <w:tcW w:w="1814" w:type="dxa"/>
            <w:noWrap/>
            <w:hideMark/>
          </w:tcPr>
          <w:p w14:paraId="74BAC6F0"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Vessaþurrð</w:t>
            </w:r>
          </w:p>
          <w:p w14:paraId="3C6ECB8A" w14:textId="77777777" w:rsidR="006C06D6" w:rsidRPr="009F7642" w:rsidRDefault="00D4644F" w:rsidP="00C04E51">
            <w:pPr>
              <w:suppressAutoHyphens/>
              <w:spacing w:after="0" w:line="240" w:lineRule="auto"/>
              <w:ind w:left="0" w:firstLine="0"/>
              <w:rPr>
                <w:color w:val="auto"/>
                <w:sz w:val="18"/>
                <w:szCs w:val="18"/>
                <w:lang w:val="is-IS"/>
              </w:rPr>
            </w:pPr>
            <w:r w:rsidRPr="009F7642">
              <w:rPr>
                <w:color w:val="auto"/>
                <w:sz w:val="18"/>
                <w:szCs w:val="18"/>
                <w:lang w:val="is-IS"/>
              </w:rPr>
              <w:t>Natríumlækkun</w:t>
            </w:r>
          </w:p>
          <w:p w14:paraId="01834BC5" w14:textId="77777777" w:rsidR="00D4644F" w:rsidRPr="009F7642" w:rsidRDefault="00D4644F" w:rsidP="00D81FD5">
            <w:pPr>
              <w:suppressAutoHyphens/>
              <w:spacing w:after="0" w:line="240" w:lineRule="auto"/>
              <w:ind w:left="0" w:firstLine="0"/>
              <w:rPr>
                <w:color w:val="auto"/>
                <w:sz w:val="18"/>
                <w:szCs w:val="18"/>
                <w:lang w:val="is-IS"/>
              </w:rPr>
            </w:pPr>
            <w:r w:rsidRPr="009F7642">
              <w:rPr>
                <w:color w:val="auto"/>
                <w:sz w:val="18"/>
                <w:szCs w:val="18"/>
                <w:lang w:val="is-IS"/>
              </w:rPr>
              <w:t xml:space="preserve">í blóði </w:t>
            </w:r>
          </w:p>
        </w:tc>
        <w:tc>
          <w:tcPr>
            <w:tcW w:w="708" w:type="dxa"/>
          </w:tcPr>
          <w:p w14:paraId="24FE87DB"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53AE9461"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noWrap/>
            <w:hideMark/>
          </w:tcPr>
          <w:p w14:paraId="6B7F3EF1"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hideMark/>
          </w:tcPr>
          <w:p w14:paraId="0B9E82B7" w14:textId="77777777" w:rsidR="00D4644F" w:rsidRPr="009F7642" w:rsidRDefault="00D4644F" w:rsidP="008B60B2">
            <w:pPr>
              <w:suppressAutoHyphens/>
              <w:spacing w:after="0" w:line="240" w:lineRule="auto"/>
              <w:ind w:left="0" w:firstLine="0"/>
              <w:rPr>
                <w:color w:val="auto"/>
                <w:sz w:val="18"/>
                <w:szCs w:val="18"/>
                <w:lang w:val="is-IS"/>
              </w:rPr>
            </w:pPr>
          </w:p>
        </w:tc>
      </w:tr>
      <w:tr w:rsidR="001A44CF" w:rsidRPr="00602B8C" w14:paraId="132A15B8" w14:textId="77777777" w:rsidTr="00215918">
        <w:trPr>
          <w:cantSplit/>
          <w:trHeight w:val="300"/>
        </w:trPr>
        <w:tc>
          <w:tcPr>
            <w:tcW w:w="1555" w:type="dxa"/>
            <w:noWrap/>
            <w:hideMark/>
          </w:tcPr>
          <w:p w14:paraId="0F00F25F"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lastRenderedPageBreak/>
              <w:t>Taugakerfi</w:t>
            </w:r>
          </w:p>
        </w:tc>
        <w:tc>
          <w:tcPr>
            <w:tcW w:w="1701" w:type="dxa"/>
            <w:noWrap/>
            <w:hideMark/>
          </w:tcPr>
          <w:p w14:paraId="325EE0BB"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Útlægur skyntaugakvilli</w:t>
            </w:r>
            <w:r w:rsidRPr="009F7642">
              <w:rPr>
                <w:color w:val="auto"/>
                <w:sz w:val="18"/>
                <w:szCs w:val="18"/>
                <w:vertAlign w:val="superscript"/>
                <w:lang w:val="is-IS"/>
              </w:rPr>
              <w:t>a</w:t>
            </w:r>
            <w:r w:rsidRPr="009F7642">
              <w:rPr>
                <w:color w:val="auto"/>
                <w:sz w:val="18"/>
                <w:szCs w:val="18"/>
                <w:lang w:val="is-IS"/>
              </w:rPr>
              <w:t xml:space="preserve"> </w:t>
            </w:r>
          </w:p>
        </w:tc>
        <w:tc>
          <w:tcPr>
            <w:tcW w:w="1814" w:type="dxa"/>
            <w:noWrap/>
            <w:hideMark/>
          </w:tcPr>
          <w:p w14:paraId="7CE044F0"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Heilablóðfall</w:t>
            </w:r>
          </w:p>
          <w:p w14:paraId="42C1B7AE"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Yfirlið</w:t>
            </w:r>
          </w:p>
          <w:p w14:paraId="1CB057DE"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Svefndrungi</w:t>
            </w:r>
          </w:p>
          <w:p w14:paraId="3427A854"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Höfuðverkur </w:t>
            </w:r>
          </w:p>
        </w:tc>
        <w:tc>
          <w:tcPr>
            <w:tcW w:w="708" w:type="dxa"/>
          </w:tcPr>
          <w:p w14:paraId="70717FB2"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4D3CC00E"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2EA0C49C"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hideMark/>
          </w:tcPr>
          <w:p w14:paraId="68A3613F"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Afturkræft aftara</w:t>
            </w:r>
          </w:p>
          <w:p w14:paraId="5ED6A027"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heilakvillaheilkenni (posterior reversible</w:t>
            </w:r>
            <w:r w:rsidR="001B60EF">
              <w:rPr>
                <w:color w:val="auto"/>
                <w:sz w:val="18"/>
                <w:szCs w:val="18"/>
                <w:lang w:val="is-IS"/>
              </w:rPr>
              <w:t xml:space="preserve"> </w:t>
            </w:r>
            <w:r w:rsidR="00C54CAB">
              <w:rPr>
                <w:color w:val="auto"/>
                <w:sz w:val="18"/>
                <w:szCs w:val="18"/>
                <w:lang w:val="is-IS"/>
              </w:rPr>
              <w:t>encephalo</w:t>
            </w:r>
            <w:r w:rsidRPr="009F7642">
              <w:rPr>
                <w:color w:val="auto"/>
                <w:sz w:val="18"/>
                <w:szCs w:val="18"/>
                <w:lang w:val="is-IS"/>
              </w:rPr>
              <w:t>pathy</w:t>
            </w:r>
          </w:p>
          <w:p w14:paraId="6ACAD214" w14:textId="77777777" w:rsidR="006C06D6" w:rsidRPr="00C04E51" w:rsidRDefault="00D4644F" w:rsidP="008B60B2">
            <w:pPr>
              <w:suppressAutoHyphens/>
              <w:spacing w:after="0" w:line="240" w:lineRule="auto"/>
              <w:ind w:left="0" w:firstLine="0"/>
              <w:rPr>
                <w:color w:val="auto"/>
                <w:sz w:val="18"/>
                <w:szCs w:val="18"/>
                <w:vertAlign w:val="superscript"/>
                <w:lang w:val="is-IS"/>
              </w:rPr>
            </w:pPr>
            <w:r w:rsidRPr="009F7642">
              <w:rPr>
                <w:color w:val="auto"/>
                <w:sz w:val="18"/>
                <w:szCs w:val="18"/>
                <w:lang w:val="is-IS"/>
              </w:rPr>
              <w:t>syndrome)</w:t>
            </w:r>
            <w:r w:rsidRPr="009F7642">
              <w:rPr>
                <w:color w:val="auto"/>
                <w:sz w:val="18"/>
                <w:szCs w:val="18"/>
                <w:vertAlign w:val="superscript"/>
                <w:lang w:val="is-IS"/>
              </w:rPr>
              <w:t>a,b,c</w:t>
            </w:r>
          </w:p>
          <w:p w14:paraId="01EA4846" w14:textId="77777777" w:rsidR="006C06D6" w:rsidRPr="009F7642" w:rsidRDefault="00D4644F" w:rsidP="00C04E51">
            <w:pPr>
              <w:suppressAutoHyphens/>
              <w:spacing w:after="0" w:line="240" w:lineRule="auto"/>
              <w:ind w:left="0" w:firstLine="0"/>
              <w:rPr>
                <w:color w:val="auto"/>
                <w:sz w:val="18"/>
                <w:szCs w:val="18"/>
                <w:lang w:val="is-IS"/>
              </w:rPr>
            </w:pPr>
            <w:r w:rsidRPr="009F7642">
              <w:rPr>
                <w:color w:val="auto"/>
                <w:sz w:val="18"/>
                <w:szCs w:val="18"/>
                <w:lang w:val="is-IS"/>
              </w:rPr>
              <w:t>Háþrýstingsheilakvilli</w:t>
            </w:r>
          </w:p>
          <w:p w14:paraId="13E3546A" w14:textId="77777777" w:rsidR="00D4644F" w:rsidRPr="009F7642" w:rsidRDefault="00C54CAB" w:rsidP="00C7584B">
            <w:pPr>
              <w:suppressAutoHyphens/>
              <w:spacing w:after="0" w:line="240" w:lineRule="auto"/>
              <w:ind w:left="0" w:firstLine="0"/>
              <w:rPr>
                <w:color w:val="auto"/>
                <w:sz w:val="18"/>
                <w:szCs w:val="18"/>
                <w:lang w:val="is-IS"/>
              </w:rPr>
            </w:pPr>
            <w:r>
              <w:rPr>
                <w:color w:val="auto"/>
                <w:sz w:val="18"/>
                <w:szCs w:val="18"/>
                <w:lang w:val="is-IS"/>
              </w:rPr>
              <w:t>(hypertensive encephalo</w:t>
            </w:r>
            <w:r w:rsidR="00D4644F" w:rsidRPr="009F7642">
              <w:rPr>
                <w:color w:val="auto"/>
                <w:sz w:val="18"/>
                <w:szCs w:val="18"/>
                <w:lang w:val="is-IS"/>
              </w:rPr>
              <w:t>pathy)</w:t>
            </w:r>
            <w:r w:rsidR="00D4644F" w:rsidRPr="009F7642">
              <w:rPr>
                <w:color w:val="auto"/>
                <w:sz w:val="18"/>
                <w:szCs w:val="18"/>
                <w:vertAlign w:val="superscript"/>
                <w:lang w:val="is-IS"/>
              </w:rPr>
              <w:t>c</w:t>
            </w:r>
          </w:p>
        </w:tc>
      </w:tr>
      <w:tr w:rsidR="001A44CF" w:rsidRPr="009F7642" w14:paraId="69AEFB51" w14:textId="77777777" w:rsidTr="00215918">
        <w:trPr>
          <w:cantSplit/>
          <w:trHeight w:val="300"/>
        </w:trPr>
        <w:tc>
          <w:tcPr>
            <w:tcW w:w="1555" w:type="dxa"/>
            <w:noWrap/>
          </w:tcPr>
          <w:p w14:paraId="508FE898"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Hjarta</w:t>
            </w:r>
          </w:p>
        </w:tc>
        <w:tc>
          <w:tcPr>
            <w:tcW w:w="1701" w:type="dxa"/>
            <w:noWrap/>
          </w:tcPr>
          <w:p w14:paraId="3BDAE443" w14:textId="77777777" w:rsidR="00D4644F" w:rsidRPr="009F7642" w:rsidRDefault="00D4644F" w:rsidP="008B60B2">
            <w:pPr>
              <w:suppressAutoHyphens/>
              <w:spacing w:after="0" w:line="240" w:lineRule="auto"/>
              <w:ind w:left="0" w:firstLine="0"/>
              <w:rPr>
                <w:color w:val="auto"/>
                <w:sz w:val="18"/>
                <w:szCs w:val="18"/>
                <w:lang w:val="is-IS"/>
              </w:rPr>
            </w:pPr>
          </w:p>
        </w:tc>
        <w:tc>
          <w:tcPr>
            <w:tcW w:w="1814" w:type="dxa"/>
            <w:noWrap/>
          </w:tcPr>
          <w:p w14:paraId="5773BE66"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Blóðríkishjartabilun</w:t>
            </w:r>
            <w:r w:rsidRPr="009F7642">
              <w:rPr>
                <w:color w:val="auto"/>
                <w:sz w:val="18"/>
                <w:szCs w:val="18"/>
                <w:vertAlign w:val="superscript"/>
                <w:lang w:val="is-IS"/>
              </w:rPr>
              <w:t>a,b</w:t>
            </w:r>
          </w:p>
          <w:p w14:paraId="0E5C23A7"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Ofansleglahraðtaktur </w:t>
            </w:r>
          </w:p>
        </w:tc>
        <w:tc>
          <w:tcPr>
            <w:tcW w:w="708" w:type="dxa"/>
          </w:tcPr>
          <w:p w14:paraId="7FD073EA"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7AFBC553"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27CE01F5"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tcPr>
          <w:p w14:paraId="252DD0C6" w14:textId="77777777" w:rsidR="00D4644F" w:rsidRPr="009F7642" w:rsidRDefault="00D4644F" w:rsidP="008B60B2">
            <w:pPr>
              <w:suppressAutoHyphens/>
              <w:spacing w:after="0" w:line="240" w:lineRule="auto"/>
              <w:ind w:left="0" w:firstLine="0"/>
              <w:rPr>
                <w:color w:val="auto"/>
                <w:sz w:val="18"/>
                <w:szCs w:val="18"/>
                <w:lang w:val="is-IS"/>
              </w:rPr>
            </w:pPr>
          </w:p>
        </w:tc>
      </w:tr>
      <w:tr w:rsidR="001A44CF" w:rsidRPr="009F7642" w14:paraId="224C11DB" w14:textId="77777777" w:rsidTr="00215918">
        <w:trPr>
          <w:cantSplit/>
          <w:trHeight w:val="300"/>
        </w:trPr>
        <w:tc>
          <w:tcPr>
            <w:tcW w:w="1555" w:type="dxa"/>
            <w:noWrap/>
            <w:hideMark/>
          </w:tcPr>
          <w:p w14:paraId="78EC45E3"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Æðar</w:t>
            </w:r>
          </w:p>
        </w:tc>
        <w:tc>
          <w:tcPr>
            <w:tcW w:w="1701" w:type="dxa"/>
            <w:noWrap/>
            <w:hideMark/>
          </w:tcPr>
          <w:p w14:paraId="1B421226"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Háþrýstingur</w:t>
            </w:r>
            <w:r w:rsidRPr="009F7642">
              <w:rPr>
                <w:color w:val="auto"/>
                <w:sz w:val="18"/>
                <w:szCs w:val="18"/>
                <w:vertAlign w:val="superscript"/>
                <w:lang w:val="is-IS"/>
              </w:rPr>
              <w:t>a,b</w:t>
            </w:r>
            <w:r w:rsidRPr="009F7642">
              <w:rPr>
                <w:color w:val="auto"/>
                <w:sz w:val="18"/>
                <w:szCs w:val="18"/>
                <w:lang w:val="is-IS"/>
              </w:rPr>
              <w:t xml:space="preserve"> </w:t>
            </w:r>
          </w:p>
        </w:tc>
        <w:tc>
          <w:tcPr>
            <w:tcW w:w="1814" w:type="dxa"/>
            <w:noWrap/>
            <w:hideMark/>
          </w:tcPr>
          <w:p w14:paraId="50BEF8DF"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Segarek í slagæðum</w:t>
            </w:r>
            <w:r w:rsidRPr="009F7642">
              <w:rPr>
                <w:color w:val="auto"/>
                <w:sz w:val="18"/>
                <w:szCs w:val="18"/>
                <w:vertAlign w:val="superscript"/>
                <w:lang w:val="is-IS"/>
              </w:rPr>
              <w:t>a,b</w:t>
            </w:r>
          </w:p>
          <w:p w14:paraId="495E5E46"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Blæðing</w:t>
            </w:r>
            <w:r w:rsidRPr="009F7642">
              <w:rPr>
                <w:color w:val="auto"/>
                <w:sz w:val="18"/>
                <w:szCs w:val="18"/>
                <w:vertAlign w:val="superscript"/>
                <w:lang w:val="is-IS"/>
              </w:rPr>
              <w:t>a,b</w:t>
            </w:r>
          </w:p>
          <w:p w14:paraId="44538669"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Segarek í bláæðum</w:t>
            </w:r>
            <w:r w:rsidRPr="009F7642">
              <w:rPr>
                <w:color w:val="auto"/>
                <w:sz w:val="18"/>
                <w:szCs w:val="18"/>
                <w:vertAlign w:val="superscript"/>
                <w:lang w:val="is-IS"/>
              </w:rPr>
              <w:t>a,b</w:t>
            </w:r>
          </w:p>
          <w:p w14:paraId="535841F6"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Segamyndun í djúpbláæðum </w:t>
            </w:r>
          </w:p>
        </w:tc>
        <w:tc>
          <w:tcPr>
            <w:tcW w:w="708" w:type="dxa"/>
          </w:tcPr>
          <w:p w14:paraId="7BE74FB5"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73E9CEAF"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6BAAFA32"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hideMark/>
          </w:tcPr>
          <w:p w14:paraId="194D3C4A" w14:textId="77777777" w:rsidR="00D4644F" w:rsidRDefault="00D4644F" w:rsidP="008B60B2">
            <w:pPr>
              <w:suppressAutoHyphens/>
              <w:spacing w:after="0" w:line="240" w:lineRule="auto"/>
              <w:ind w:left="0" w:firstLine="0"/>
              <w:rPr>
                <w:color w:val="auto"/>
                <w:sz w:val="18"/>
                <w:szCs w:val="18"/>
                <w:vertAlign w:val="superscript"/>
                <w:lang w:val="is-IS"/>
              </w:rPr>
            </w:pPr>
            <w:r w:rsidRPr="009F7642">
              <w:rPr>
                <w:color w:val="auto"/>
                <w:sz w:val="18"/>
                <w:szCs w:val="18"/>
                <w:lang w:val="is-IS"/>
              </w:rPr>
              <w:t xml:space="preserve">Blóðstorku- smáæðakvilli í nýrum (renal </w:t>
            </w:r>
            <w:r w:rsidR="00165A55">
              <w:rPr>
                <w:color w:val="auto"/>
                <w:sz w:val="18"/>
                <w:szCs w:val="18"/>
                <w:lang w:val="is-IS"/>
              </w:rPr>
              <w:t xml:space="preserve">thrombotic </w:t>
            </w:r>
            <w:r w:rsidR="00C54CAB">
              <w:rPr>
                <w:color w:val="auto"/>
                <w:sz w:val="18"/>
                <w:szCs w:val="18"/>
                <w:lang w:val="is-IS"/>
              </w:rPr>
              <w:t>micro</w:t>
            </w:r>
            <w:r w:rsidRPr="009F7642">
              <w:rPr>
                <w:color w:val="auto"/>
                <w:sz w:val="18"/>
                <w:szCs w:val="18"/>
                <w:lang w:val="is-IS"/>
              </w:rPr>
              <w:t>angiopathy)</w:t>
            </w:r>
            <w:r w:rsidRPr="009F7642">
              <w:rPr>
                <w:color w:val="auto"/>
                <w:sz w:val="18"/>
                <w:szCs w:val="18"/>
                <w:vertAlign w:val="superscript"/>
                <w:lang w:val="is-IS"/>
              </w:rPr>
              <w:t>b,c</w:t>
            </w:r>
          </w:p>
          <w:p w14:paraId="430E9A8E" w14:textId="77777777" w:rsidR="00E47F01" w:rsidRPr="009F7642" w:rsidRDefault="00E47F01" w:rsidP="008B60B2">
            <w:pPr>
              <w:suppressAutoHyphens/>
              <w:spacing w:after="0" w:line="240" w:lineRule="auto"/>
              <w:ind w:left="0" w:firstLine="0"/>
              <w:rPr>
                <w:color w:val="auto"/>
                <w:sz w:val="18"/>
                <w:szCs w:val="18"/>
                <w:lang w:val="is-IS"/>
              </w:rPr>
            </w:pPr>
            <w:r w:rsidRPr="00E47F01">
              <w:rPr>
                <w:color w:val="auto"/>
                <w:sz w:val="18"/>
                <w:szCs w:val="18"/>
                <w:lang w:val="is-IS"/>
              </w:rPr>
              <w:t>Slagæðargúlpur og flysjun slagæðar</w:t>
            </w:r>
          </w:p>
        </w:tc>
      </w:tr>
      <w:tr w:rsidR="001A44CF" w:rsidRPr="00AD2908" w14:paraId="18C12B31" w14:textId="77777777" w:rsidTr="00215918">
        <w:trPr>
          <w:cantSplit/>
          <w:trHeight w:val="300"/>
        </w:trPr>
        <w:tc>
          <w:tcPr>
            <w:tcW w:w="1555" w:type="dxa"/>
            <w:noWrap/>
          </w:tcPr>
          <w:p w14:paraId="5B55B0FC"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Öndunarfæri, brjósthol og miðmæti</w:t>
            </w:r>
          </w:p>
        </w:tc>
        <w:tc>
          <w:tcPr>
            <w:tcW w:w="1701" w:type="dxa"/>
            <w:noWrap/>
          </w:tcPr>
          <w:p w14:paraId="017396C2"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 </w:t>
            </w:r>
          </w:p>
        </w:tc>
        <w:tc>
          <w:tcPr>
            <w:tcW w:w="1814" w:type="dxa"/>
            <w:noWrap/>
          </w:tcPr>
          <w:p w14:paraId="4A6B3078"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Lungnablæðing/</w:t>
            </w:r>
          </w:p>
          <w:p w14:paraId="0D2F5AF1"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blóðhósti</w:t>
            </w:r>
            <w:r w:rsidRPr="009F7642">
              <w:rPr>
                <w:color w:val="auto"/>
                <w:sz w:val="18"/>
                <w:szCs w:val="18"/>
                <w:vertAlign w:val="superscript"/>
                <w:lang w:val="is-IS"/>
              </w:rPr>
              <w:t>a,b</w:t>
            </w:r>
          </w:p>
          <w:p w14:paraId="6CC08B57"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Lungnasegarek</w:t>
            </w:r>
          </w:p>
          <w:p w14:paraId="31AE86DC"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Blóðnasir</w:t>
            </w:r>
          </w:p>
          <w:p w14:paraId="0F788250"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Mæði</w:t>
            </w:r>
          </w:p>
          <w:p w14:paraId="1D2BE91E"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Vefildisskortur </w:t>
            </w:r>
          </w:p>
        </w:tc>
        <w:tc>
          <w:tcPr>
            <w:tcW w:w="708" w:type="dxa"/>
          </w:tcPr>
          <w:p w14:paraId="389AE443"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2933B94E"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4058AC71"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tcPr>
          <w:p w14:paraId="24DC535A"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Lungna-</w:t>
            </w:r>
          </w:p>
          <w:p w14:paraId="3376778B"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háþrýstingur</w:t>
            </w:r>
            <w:r w:rsidRPr="009F7642">
              <w:rPr>
                <w:color w:val="auto"/>
                <w:sz w:val="18"/>
                <w:szCs w:val="18"/>
                <w:vertAlign w:val="superscript"/>
                <w:lang w:val="is-IS"/>
              </w:rPr>
              <w:t>c</w:t>
            </w:r>
          </w:p>
          <w:p w14:paraId="62D4CCC9" w14:textId="0F3EE29F" w:rsidR="00D4644F" w:rsidRPr="009F7642" w:rsidRDefault="00AE3D30" w:rsidP="008B60B2">
            <w:pPr>
              <w:suppressAutoHyphens/>
              <w:spacing w:after="0" w:line="240" w:lineRule="auto"/>
              <w:ind w:left="0" w:firstLine="0"/>
              <w:rPr>
                <w:color w:val="auto"/>
                <w:sz w:val="18"/>
                <w:szCs w:val="18"/>
                <w:lang w:val="is-IS"/>
              </w:rPr>
            </w:pPr>
            <w:r>
              <w:rPr>
                <w:color w:val="auto"/>
                <w:sz w:val="18"/>
                <w:szCs w:val="18"/>
                <w:lang w:val="is-IS"/>
              </w:rPr>
              <w:t>Rof</w:t>
            </w:r>
            <w:r w:rsidR="00D4644F" w:rsidRPr="009F7642">
              <w:rPr>
                <w:color w:val="auto"/>
                <w:sz w:val="18"/>
                <w:szCs w:val="18"/>
                <w:lang w:val="is-IS"/>
              </w:rPr>
              <w:t xml:space="preserve"> á miðsnesi</w:t>
            </w:r>
            <w:r w:rsidR="00D4644F" w:rsidRPr="009F7642">
              <w:rPr>
                <w:color w:val="auto"/>
                <w:sz w:val="18"/>
                <w:szCs w:val="18"/>
                <w:vertAlign w:val="superscript"/>
                <w:lang w:val="is-IS"/>
              </w:rPr>
              <w:t>c</w:t>
            </w:r>
          </w:p>
        </w:tc>
      </w:tr>
      <w:tr w:rsidR="001A44CF" w:rsidRPr="00AD2908" w14:paraId="15CA86C2" w14:textId="77777777" w:rsidTr="00215918">
        <w:trPr>
          <w:cantSplit/>
          <w:trHeight w:val="300"/>
        </w:trPr>
        <w:tc>
          <w:tcPr>
            <w:tcW w:w="1555" w:type="dxa"/>
            <w:noWrap/>
            <w:hideMark/>
          </w:tcPr>
          <w:p w14:paraId="45A2A70E"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Meltingarfæri</w:t>
            </w:r>
          </w:p>
        </w:tc>
        <w:tc>
          <w:tcPr>
            <w:tcW w:w="1701" w:type="dxa"/>
          </w:tcPr>
          <w:p w14:paraId="0BEF9D08"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Niðurgangur</w:t>
            </w:r>
          </w:p>
          <w:p w14:paraId="0267E053"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Ógleði</w:t>
            </w:r>
          </w:p>
          <w:p w14:paraId="66158E44"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Uppköst, </w:t>
            </w:r>
          </w:p>
          <w:p w14:paraId="63FFB6CC"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Kviðverkir </w:t>
            </w:r>
          </w:p>
        </w:tc>
        <w:tc>
          <w:tcPr>
            <w:tcW w:w="1814" w:type="dxa"/>
            <w:noWrap/>
            <w:hideMark/>
          </w:tcPr>
          <w:p w14:paraId="641496C2" w14:textId="7A889F96" w:rsidR="006C06D6" w:rsidRPr="009F7642" w:rsidRDefault="00AE3D30" w:rsidP="008B60B2">
            <w:pPr>
              <w:suppressAutoHyphens/>
              <w:spacing w:after="0" w:line="240" w:lineRule="auto"/>
              <w:ind w:left="0" w:firstLine="0"/>
              <w:rPr>
                <w:color w:val="auto"/>
                <w:sz w:val="18"/>
                <w:szCs w:val="18"/>
                <w:lang w:val="is-IS"/>
              </w:rPr>
            </w:pPr>
            <w:r>
              <w:rPr>
                <w:color w:val="auto"/>
                <w:sz w:val="18"/>
                <w:szCs w:val="18"/>
                <w:lang w:val="is-IS"/>
              </w:rPr>
              <w:t>Rof</w:t>
            </w:r>
            <w:r w:rsidR="00D4644F" w:rsidRPr="009F7642">
              <w:rPr>
                <w:color w:val="auto"/>
                <w:sz w:val="18"/>
                <w:szCs w:val="18"/>
                <w:lang w:val="is-IS"/>
              </w:rPr>
              <w:t xml:space="preserve"> á þörmum</w:t>
            </w:r>
          </w:p>
          <w:p w14:paraId="04E88AD7"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Garnastífla</w:t>
            </w:r>
          </w:p>
          <w:p w14:paraId="6822FEF8" w14:textId="77777777" w:rsidR="00F035CB" w:rsidRDefault="00165A55" w:rsidP="008B60B2">
            <w:pPr>
              <w:suppressAutoHyphens/>
              <w:spacing w:after="0" w:line="240" w:lineRule="auto"/>
              <w:ind w:left="0" w:firstLine="0"/>
              <w:rPr>
                <w:color w:val="auto"/>
                <w:sz w:val="18"/>
                <w:szCs w:val="18"/>
                <w:lang w:val="is-IS"/>
              </w:rPr>
            </w:pPr>
            <w:r>
              <w:rPr>
                <w:color w:val="auto"/>
                <w:sz w:val="18"/>
                <w:szCs w:val="18"/>
                <w:lang w:val="is-IS"/>
              </w:rPr>
              <w:t xml:space="preserve">Þarmateppa </w:t>
            </w:r>
          </w:p>
          <w:p w14:paraId="219C5805"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Endaþarms-</w:t>
            </w:r>
          </w:p>
          <w:p w14:paraId="05E98F30" w14:textId="77777777" w:rsidR="006C06D6" w:rsidRPr="00165A55" w:rsidRDefault="00D4644F" w:rsidP="008B60B2">
            <w:pPr>
              <w:suppressAutoHyphens/>
              <w:spacing w:after="0" w:line="240" w:lineRule="auto"/>
              <w:ind w:left="0" w:firstLine="0"/>
              <w:rPr>
                <w:color w:val="auto"/>
                <w:sz w:val="18"/>
                <w:szCs w:val="18"/>
                <w:vertAlign w:val="superscript"/>
                <w:lang w:val="is-IS"/>
              </w:rPr>
            </w:pPr>
            <w:r w:rsidRPr="009F7642">
              <w:rPr>
                <w:color w:val="auto"/>
                <w:sz w:val="18"/>
                <w:szCs w:val="18"/>
                <w:lang w:val="is-IS"/>
              </w:rPr>
              <w:t>leggangafistlar</w:t>
            </w:r>
            <w:r w:rsidRPr="009F7642">
              <w:rPr>
                <w:color w:val="auto"/>
                <w:sz w:val="18"/>
                <w:szCs w:val="18"/>
                <w:vertAlign w:val="superscript"/>
                <w:lang w:val="is-IS"/>
              </w:rPr>
              <w:t>c,</w:t>
            </w:r>
            <w:r w:rsidR="00165A55">
              <w:rPr>
                <w:color w:val="auto"/>
                <w:sz w:val="18"/>
                <w:szCs w:val="18"/>
                <w:vertAlign w:val="superscript"/>
                <w:lang w:val="is-IS"/>
              </w:rPr>
              <w:t>d</w:t>
            </w:r>
            <w:r w:rsidRPr="009F7642">
              <w:rPr>
                <w:color w:val="auto"/>
                <w:sz w:val="18"/>
                <w:szCs w:val="18"/>
                <w:lang w:val="is-IS"/>
              </w:rPr>
              <w:t>,</w:t>
            </w:r>
          </w:p>
          <w:p w14:paraId="6C26CFF8"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Meltingarfærakvillar</w:t>
            </w:r>
          </w:p>
          <w:p w14:paraId="28054B64"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Munnbólga,</w:t>
            </w:r>
          </w:p>
          <w:p w14:paraId="6E29FD30"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Bakraufarverkur </w:t>
            </w:r>
          </w:p>
        </w:tc>
        <w:tc>
          <w:tcPr>
            <w:tcW w:w="708" w:type="dxa"/>
            <w:noWrap/>
            <w:hideMark/>
          </w:tcPr>
          <w:p w14:paraId="5BE30DAD"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noWrap/>
            <w:hideMark/>
          </w:tcPr>
          <w:p w14:paraId="30908DC6"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noWrap/>
            <w:hideMark/>
          </w:tcPr>
          <w:p w14:paraId="349BBC4C"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hideMark/>
          </w:tcPr>
          <w:p w14:paraId="55938181" w14:textId="665F35AD" w:rsidR="006C06D6" w:rsidRPr="00C04E51" w:rsidRDefault="00AE3D30" w:rsidP="008B60B2">
            <w:pPr>
              <w:suppressAutoHyphens/>
              <w:spacing w:after="0" w:line="240" w:lineRule="auto"/>
              <w:ind w:left="0" w:firstLine="0"/>
              <w:rPr>
                <w:color w:val="auto"/>
                <w:sz w:val="18"/>
                <w:szCs w:val="18"/>
                <w:vertAlign w:val="superscript"/>
                <w:lang w:val="is-IS"/>
              </w:rPr>
            </w:pPr>
            <w:r>
              <w:rPr>
                <w:color w:val="auto"/>
                <w:sz w:val="18"/>
                <w:szCs w:val="18"/>
                <w:lang w:val="is-IS"/>
              </w:rPr>
              <w:t>Rof</w:t>
            </w:r>
            <w:r w:rsidR="00D4644F" w:rsidRPr="009F7642">
              <w:rPr>
                <w:color w:val="auto"/>
                <w:sz w:val="18"/>
                <w:szCs w:val="18"/>
                <w:lang w:val="is-IS"/>
              </w:rPr>
              <w:t xml:space="preserve"> á meltingarvegi</w:t>
            </w:r>
            <w:r w:rsidR="00D4644F" w:rsidRPr="009F7642">
              <w:rPr>
                <w:color w:val="auto"/>
                <w:sz w:val="18"/>
                <w:szCs w:val="18"/>
                <w:vertAlign w:val="superscript"/>
                <w:lang w:val="is-IS"/>
              </w:rPr>
              <w:t>a,b</w:t>
            </w:r>
          </w:p>
          <w:p w14:paraId="02190416" w14:textId="77777777" w:rsidR="00673CC2" w:rsidRDefault="00D4644F" w:rsidP="00C04E51">
            <w:pPr>
              <w:suppressAutoHyphens/>
              <w:spacing w:after="0" w:line="240" w:lineRule="auto"/>
              <w:ind w:left="0" w:firstLine="0"/>
              <w:rPr>
                <w:color w:val="auto"/>
                <w:sz w:val="18"/>
                <w:szCs w:val="18"/>
                <w:lang w:val="is-IS"/>
              </w:rPr>
            </w:pPr>
            <w:r w:rsidRPr="009F7642">
              <w:rPr>
                <w:color w:val="auto"/>
                <w:sz w:val="18"/>
                <w:szCs w:val="18"/>
                <w:lang w:val="is-IS"/>
              </w:rPr>
              <w:t>Sár í meltingarvegi</w:t>
            </w:r>
            <w:r w:rsidRPr="009F7642">
              <w:rPr>
                <w:color w:val="auto"/>
                <w:sz w:val="18"/>
                <w:szCs w:val="18"/>
                <w:vertAlign w:val="superscript"/>
                <w:lang w:val="is-IS"/>
              </w:rPr>
              <w:t>c</w:t>
            </w:r>
            <w:r w:rsidRPr="009F7642">
              <w:rPr>
                <w:color w:val="auto"/>
                <w:sz w:val="18"/>
                <w:szCs w:val="18"/>
                <w:lang w:val="is-IS"/>
              </w:rPr>
              <w:t xml:space="preserve">, </w:t>
            </w:r>
          </w:p>
          <w:p w14:paraId="16DC2029" w14:textId="53B92DA5" w:rsidR="00D4644F" w:rsidRPr="009F7642" w:rsidRDefault="00D4644F" w:rsidP="00C04E51">
            <w:pPr>
              <w:suppressAutoHyphens/>
              <w:spacing w:after="0" w:line="240" w:lineRule="auto"/>
              <w:ind w:left="0" w:firstLine="0"/>
              <w:rPr>
                <w:color w:val="auto"/>
                <w:sz w:val="18"/>
                <w:szCs w:val="18"/>
                <w:lang w:val="is-IS"/>
              </w:rPr>
            </w:pPr>
            <w:r w:rsidRPr="009F7642">
              <w:rPr>
                <w:color w:val="auto"/>
                <w:sz w:val="18"/>
                <w:szCs w:val="18"/>
                <w:lang w:val="is-IS"/>
              </w:rPr>
              <w:t xml:space="preserve">Blæðing frá endaþarmi </w:t>
            </w:r>
          </w:p>
        </w:tc>
      </w:tr>
      <w:tr w:rsidR="001A44CF" w:rsidRPr="009F7642" w14:paraId="7433AD01" w14:textId="77777777" w:rsidTr="00215918">
        <w:trPr>
          <w:cantSplit/>
          <w:trHeight w:val="300"/>
        </w:trPr>
        <w:tc>
          <w:tcPr>
            <w:tcW w:w="1555" w:type="dxa"/>
            <w:noWrap/>
            <w:hideMark/>
          </w:tcPr>
          <w:p w14:paraId="15A08D5B" w14:textId="77777777" w:rsidR="00D4644F" w:rsidRPr="009F7642" w:rsidRDefault="00D4644F" w:rsidP="000A5000">
            <w:pPr>
              <w:keepNext/>
              <w:suppressAutoHyphens/>
              <w:spacing w:after="0" w:line="240" w:lineRule="auto"/>
              <w:ind w:left="0" w:firstLine="0"/>
              <w:rPr>
                <w:color w:val="auto"/>
                <w:sz w:val="18"/>
                <w:szCs w:val="18"/>
                <w:lang w:val="is-IS"/>
              </w:rPr>
            </w:pPr>
            <w:r w:rsidRPr="009F7642">
              <w:rPr>
                <w:color w:val="auto"/>
                <w:sz w:val="18"/>
                <w:szCs w:val="18"/>
                <w:lang w:val="is-IS"/>
              </w:rPr>
              <w:t>Lifur og gall</w:t>
            </w:r>
          </w:p>
        </w:tc>
        <w:tc>
          <w:tcPr>
            <w:tcW w:w="1701" w:type="dxa"/>
          </w:tcPr>
          <w:p w14:paraId="4B5B9D78" w14:textId="77777777" w:rsidR="00D4644F" w:rsidRPr="009F7642" w:rsidRDefault="00D4644F" w:rsidP="008B60B2">
            <w:pPr>
              <w:suppressAutoHyphens/>
              <w:spacing w:after="0" w:line="240" w:lineRule="auto"/>
              <w:ind w:left="0" w:firstLine="0"/>
              <w:rPr>
                <w:color w:val="auto"/>
                <w:sz w:val="18"/>
                <w:szCs w:val="18"/>
                <w:lang w:val="is-IS"/>
              </w:rPr>
            </w:pPr>
          </w:p>
        </w:tc>
        <w:tc>
          <w:tcPr>
            <w:tcW w:w="1814" w:type="dxa"/>
            <w:noWrap/>
            <w:hideMark/>
          </w:tcPr>
          <w:p w14:paraId="14B4F464" w14:textId="77777777" w:rsidR="00D4644F" w:rsidRPr="009F7642" w:rsidRDefault="00D4644F" w:rsidP="008B60B2">
            <w:pPr>
              <w:suppressAutoHyphens/>
              <w:spacing w:after="0" w:line="240" w:lineRule="auto"/>
              <w:ind w:left="0" w:firstLine="0"/>
              <w:rPr>
                <w:color w:val="auto"/>
                <w:sz w:val="18"/>
                <w:szCs w:val="18"/>
                <w:lang w:val="is-IS"/>
              </w:rPr>
            </w:pPr>
          </w:p>
        </w:tc>
        <w:tc>
          <w:tcPr>
            <w:tcW w:w="708" w:type="dxa"/>
          </w:tcPr>
          <w:p w14:paraId="7D10541A"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767756FD"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5B511754"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tcPr>
          <w:p w14:paraId="50F8CF40" w14:textId="6D9B152C" w:rsidR="00D4644F" w:rsidRPr="009F7642" w:rsidRDefault="00AE3D30" w:rsidP="008B60B2">
            <w:pPr>
              <w:suppressAutoHyphens/>
              <w:spacing w:after="0" w:line="240" w:lineRule="auto"/>
              <w:ind w:left="0" w:firstLine="0"/>
              <w:rPr>
                <w:color w:val="auto"/>
                <w:sz w:val="18"/>
                <w:szCs w:val="18"/>
                <w:lang w:val="is-IS"/>
              </w:rPr>
            </w:pPr>
            <w:r>
              <w:rPr>
                <w:color w:val="auto"/>
                <w:sz w:val="18"/>
                <w:szCs w:val="18"/>
                <w:lang w:val="is-IS"/>
              </w:rPr>
              <w:t>Rof</w:t>
            </w:r>
            <w:r w:rsidR="00D4644F" w:rsidRPr="009F7642">
              <w:rPr>
                <w:color w:val="auto"/>
                <w:sz w:val="18"/>
                <w:szCs w:val="18"/>
                <w:lang w:val="is-IS"/>
              </w:rPr>
              <w:t xml:space="preserve"> á gallblöðru</w:t>
            </w:r>
            <w:r w:rsidR="00D4644F" w:rsidRPr="009F7642">
              <w:rPr>
                <w:color w:val="auto"/>
                <w:sz w:val="18"/>
                <w:szCs w:val="18"/>
                <w:vertAlign w:val="superscript"/>
                <w:lang w:val="is-IS"/>
              </w:rPr>
              <w:t>b,c</w:t>
            </w:r>
            <w:r w:rsidR="00D4644F" w:rsidRPr="009F7642">
              <w:rPr>
                <w:color w:val="auto"/>
                <w:sz w:val="18"/>
                <w:szCs w:val="18"/>
                <w:lang w:val="is-IS"/>
              </w:rPr>
              <w:t xml:space="preserve"> </w:t>
            </w:r>
          </w:p>
        </w:tc>
      </w:tr>
      <w:tr w:rsidR="001A44CF" w:rsidRPr="00AD2908" w14:paraId="469CE5C3" w14:textId="77777777" w:rsidTr="00215918">
        <w:trPr>
          <w:cantSplit/>
          <w:trHeight w:val="300"/>
        </w:trPr>
        <w:tc>
          <w:tcPr>
            <w:tcW w:w="1555" w:type="dxa"/>
            <w:noWrap/>
          </w:tcPr>
          <w:p w14:paraId="7D80E8A2"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Húð og undirhúð</w:t>
            </w:r>
          </w:p>
        </w:tc>
        <w:tc>
          <w:tcPr>
            <w:tcW w:w="1701" w:type="dxa"/>
          </w:tcPr>
          <w:p w14:paraId="556996FF"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 </w:t>
            </w:r>
          </w:p>
        </w:tc>
        <w:tc>
          <w:tcPr>
            <w:tcW w:w="1814" w:type="dxa"/>
            <w:noWrap/>
          </w:tcPr>
          <w:p w14:paraId="4ED29020"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Vandamál við sáragræðslu</w:t>
            </w:r>
            <w:r w:rsidRPr="009F7642">
              <w:rPr>
                <w:color w:val="auto"/>
                <w:sz w:val="18"/>
                <w:szCs w:val="18"/>
                <w:vertAlign w:val="superscript"/>
                <w:lang w:val="is-IS"/>
              </w:rPr>
              <w:t>a,b</w:t>
            </w:r>
          </w:p>
          <w:p w14:paraId="7EEFED25"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Handa-fóta heilkenni </w:t>
            </w:r>
          </w:p>
        </w:tc>
        <w:tc>
          <w:tcPr>
            <w:tcW w:w="708" w:type="dxa"/>
          </w:tcPr>
          <w:p w14:paraId="55699642"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4EB63885"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3FA3184A"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tcPr>
          <w:p w14:paraId="6EE79DC8" w14:textId="77777777" w:rsidR="00D4644F" w:rsidRPr="009F7642" w:rsidRDefault="00D4644F" w:rsidP="008B60B2">
            <w:pPr>
              <w:suppressAutoHyphens/>
              <w:spacing w:after="0" w:line="240" w:lineRule="auto"/>
              <w:ind w:left="0" w:firstLine="0"/>
              <w:rPr>
                <w:color w:val="auto"/>
                <w:sz w:val="18"/>
                <w:szCs w:val="18"/>
                <w:lang w:val="is-IS"/>
              </w:rPr>
            </w:pPr>
          </w:p>
        </w:tc>
      </w:tr>
      <w:tr w:rsidR="001A44CF" w:rsidRPr="009F7642" w14:paraId="68E99AAD" w14:textId="77777777" w:rsidTr="00215918">
        <w:trPr>
          <w:cantSplit/>
          <w:trHeight w:val="300"/>
        </w:trPr>
        <w:tc>
          <w:tcPr>
            <w:tcW w:w="1555" w:type="dxa"/>
            <w:noWrap/>
            <w:hideMark/>
          </w:tcPr>
          <w:p w14:paraId="0C273718" w14:textId="213F88D9"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Stoðkerfi og </w:t>
            </w:r>
            <w:r w:rsidR="00EF6528">
              <w:rPr>
                <w:color w:val="auto"/>
                <w:sz w:val="18"/>
                <w:szCs w:val="18"/>
                <w:lang w:val="is-IS"/>
              </w:rPr>
              <w:t>band</w:t>
            </w:r>
            <w:r w:rsidR="00EF6528" w:rsidRPr="009F7642">
              <w:rPr>
                <w:color w:val="auto"/>
                <w:sz w:val="18"/>
                <w:szCs w:val="18"/>
                <w:lang w:val="is-IS"/>
              </w:rPr>
              <w:t>vefur</w:t>
            </w:r>
          </w:p>
        </w:tc>
        <w:tc>
          <w:tcPr>
            <w:tcW w:w="1701" w:type="dxa"/>
          </w:tcPr>
          <w:p w14:paraId="5779519C" w14:textId="77777777" w:rsidR="00D4644F" w:rsidRPr="009F7642" w:rsidRDefault="00D4644F" w:rsidP="008B60B2">
            <w:pPr>
              <w:suppressAutoHyphens/>
              <w:spacing w:after="0" w:line="240" w:lineRule="auto"/>
              <w:ind w:left="0" w:firstLine="0"/>
              <w:rPr>
                <w:color w:val="auto"/>
                <w:sz w:val="18"/>
                <w:szCs w:val="18"/>
                <w:lang w:val="is-IS"/>
              </w:rPr>
            </w:pPr>
          </w:p>
        </w:tc>
        <w:tc>
          <w:tcPr>
            <w:tcW w:w="1814" w:type="dxa"/>
            <w:noWrap/>
            <w:hideMark/>
          </w:tcPr>
          <w:p w14:paraId="643CA8DC"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Fistill</w:t>
            </w:r>
            <w:r w:rsidRPr="001B60EF">
              <w:rPr>
                <w:color w:val="auto"/>
                <w:sz w:val="18"/>
                <w:szCs w:val="18"/>
                <w:vertAlign w:val="superscript"/>
                <w:lang w:val="is-IS"/>
              </w:rPr>
              <w:t>a,b</w:t>
            </w:r>
          </w:p>
          <w:p w14:paraId="0626DBF0"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Vöðvaverkir</w:t>
            </w:r>
          </w:p>
          <w:p w14:paraId="1BD03BC4"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Liðverkir</w:t>
            </w:r>
          </w:p>
          <w:p w14:paraId="1E917CD0"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Vöðva-</w:t>
            </w:r>
          </w:p>
          <w:p w14:paraId="4E6DEA4A" w14:textId="77777777" w:rsidR="006C06D6"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slappleiki,</w:t>
            </w:r>
          </w:p>
          <w:p w14:paraId="69C1F198"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Bakverkur </w:t>
            </w:r>
          </w:p>
        </w:tc>
        <w:tc>
          <w:tcPr>
            <w:tcW w:w="708" w:type="dxa"/>
          </w:tcPr>
          <w:p w14:paraId="505E56D1"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4E3580C4"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noWrap/>
            <w:hideMark/>
          </w:tcPr>
          <w:p w14:paraId="7599CE2B"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hideMark/>
          </w:tcPr>
          <w:p w14:paraId="28874833"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Beindrep í kjálka</w:t>
            </w:r>
            <w:r w:rsidRPr="009F7642">
              <w:rPr>
                <w:color w:val="auto"/>
                <w:sz w:val="18"/>
                <w:szCs w:val="18"/>
                <w:vertAlign w:val="superscript"/>
                <w:lang w:val="is-IS"/>
              </w:rPr>
              <w:t>b,c</w:t>
            </w:r>
            <w:r w:rsidRPr="009F7642">
              <w:rPr>
                <w:color w:val="auto"/>
                <w:sz w:val="18"/>
                <w:szCs w:val="18"/>
                <w:lang w:val="is-IS"/>
              </w:rPr>
              <w:t xml:space="preserve"> </w:t>
            </w:r>
          </w:p>
        </w:tc>
      </w:tr>
      <w:tr w:rsidR="001A44CF" w:rsidRPr="009F7642" w14:paraId="70B9FD48" w14:textId="77777777" w:rsidTr="00215918">
        <w:trPr>
          <w:cantSplit/>
          <w:trHeight w:val="300"/>
        </w:trPr>
        <w:tc>
          <w:tcPr>
            <w:tcW w:w="1555" w:type="dxa"/>
            <w:noWrap/>
            <w:hideMark/>
          </w:tcPr>
          <w:p w14:paraId="64DFC9FE"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Nýru og þvagfæri</w:t>
            </w:r>
          </w:p>
        </w:tc>
        <w:tc>
          <w:tcPr>
            <w:tcW w:w="1701" w:type="dxa"/>
          </w:tcPr>
          <w:p w14:paraId="78550BBB" w14:textId="77777777" w:rsidR="00D4644F" w:rsidRPr="009F7642" w:rsidRDefault="00D4644F" w:rsidP="008B60B2">
            <w:pPr>
              <w:suppressAutoHyphens/>
              <w:spacing w:after="0" w:line="240" w:lineRule="auto"/>
              <w:ind w:left="0" w:firstLine="0"/>
              <w:rPr>
                <w:color w:val="auto"/>
                <w:sz w:val="18"/>
                <w:szCs w:val="18"/>
                <w:lang w:val="is-IS"/>
              </w:rPr>
            </w:pPr>
          </w:p>
        </w:tc>
        <w:tc>
          <w:tcPr>
            <w:tcW w:w="1814" w:type="dxa"/>
            <w:noWrap/>
            <w:hideMark/>
          </w:tcPr>
          <w:p w14:paraId="71B00BCD"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Prótein í þvagi</w:t>
            </w:r>
            <w:r w:rsidRPr="009F7642">
              <w:rPr>
                <w:color w:val="auto"/>
                <w:sz w:val="18"/>
                <w:szCs w:val="18"/>
                <w:vertAlign w:val="superscript"/>
                <w:lang w:val="is-IS"/>
              </w:rPr>
              <w:t>a,b</w:t>
            </w:r>
            <w:r w:rsidRPr="009F7642">
              <w:rPr>
                <w:color w:val="auto"/>
                <w:sz w:val="18"/>
                <w:szCs w:val="18"/>
                <w:lang w:val="is-IS"/>
              </w:rPr>
              <w:t xml:space="preserve"> </w:t>
            </w:r>
          </w:p>
        </w:tc>
        <w:tc>
          <w:tcPr>
            <w:tcW w:w="708" w:type="dxa"/>
          </w:tcPr>
          <w:p w14:paraId="09C1B5E1"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noWrap/>
          </w:tcPr>
          <w:p w14:paraId="676B3CB2"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noWrap/>
          </w:tcPr>
          <w:p w14:paraId="18046F34"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tcPr>
          <w:p w14:paraId="7D2ADF00" w14:textId="77777777" w:rsidR="00D4644F" w:rsidRPr="009F7642" w:rsidRDefault="00D4644F" w:rsidP="008B60B2">
            <w:pPr>
              <w:suppressAutoHyphens/>
              <w:spacing w:after="0" w:line="240" w:lineRule="auto"/>
              <w:ind w:left="0" w:firstLine="0"/>
              <w:rPr>
                <w:color w:val="auto"/>
                <w:sz w:val="18"/>
                <w:szCs w:val="18"/>
                <w:lang w:val="is-IS"/>
              </w:rPr>
            </w:pPr>
          </w:p>
        </w:tc>
      </w:tr>
      <w:tr w:rsidR="001A44CF" w:rsidRPr="009F7642" w14:paraId="2884CE88" w14:textId="77777777" w:rsidTr="00215918">
        <w:trPr>
          <w:cantSplit/>
          <w:trHeight w:val="549"/>
        </w:trPr>
        <w:tc>
          <w:tcPr>
            <w:tcW w:w="1555" w:type="dxa"/>
            <w:noWrap/>
            <w:hideMark/>
          </w:tcPr>
          <w:p w14:paraId="2A369DC8"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Æxlunarfæri og brjóst </w:t>
            </w:r>
          </w:p>
        </w:tc>
        <w:tc>
          <w:tcPr>
            <w:tcW w:w="1701" w:type="dxa"/>
          </w:tcPr>
          <w:p w14:paraId="0C4FC76B" w14:textId="77777777" w:rsidR="00D4644F" w:rsidRPr="009F7642" w:rsidRDefault="00D4644F" w:rsidP="008B60B2">
            <w:pPr>
              <w:suppressAutoHyphens/>
              <w:spacing w:after="0" w:line="240" w:lineRule="auto"/>
              <w:ind w:left="0" w:firstLine="0"/>
              <w:rPr>
                <w:color w:val="auto"/>
                <w:sz w:val="18"/>
                <w:szCs w:val="18"/>
                <w:lang w:val="is-IS"/>
              </w:rPr>
            </w:pPr>
          </w:p>
        </w:tc>
        <w:tc>
          <w:tcPr>
            <w:tcW w:w="1814" w:type="dxa"/>
          </w:tcPr>
          <w:p w14:paraId="6BA20B77"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Verkir í grindarholi </w:t>
            </w:r>
          </w:p>
        </w:tc>
        <w:tc>
          <w:tcPr>
            <w:tcW w:w="708" w:type="dxa"/>
          </w:tcPr>
          <w:p w14:paraId="429ECBE4"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6100C6D0"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noWrap/>
            <w:hideMark/>
          </w:tcPr>
          <w:p w14:paraId="75D8035C"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noWrap/>
            <w:hideMark/>
          </w:tcPr>
          <w:p w14:paraId="7B05CC8A"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Skert starfsemi eggjastokka</w:t>
            </w:r>
            <w:proofErr w:type="spellStart"/>
            <w:r w:rsidR="00A651BC" w:rsidRPr="00E30038">
              <w:rPr>
                <w:sz w:val="18"/>
                <w:szCs w:val="18"/>
                <w:vertAlign w:val="superscript"/>
              </w:rPr>
              <w:t>a,b</w:t>
            </w:r>
            <w:proofErr w:type="spellEnd"/>
          </w:p>
        </w:tc>
      </w:tr>
      <w:tr w:rsidR="001A44CF" w:rsidRPr="009F7642" w14:paraId="5C2F5D7B" w14:textId="77777777" w:rsidTr="00215918">
        <w:trPr>
          <w:cantSplit/>
          <w:trHeight w:val="698"/>
        </w:trPr>
        <w:tc>
          <w:tcPr>
            <w:tcW w:w="1555" w:type="dxa"/>
            <w:noWrap/>
            <w:hideMark/>
          </w:tcPr>
          <w:p w14:paraId="09F40FC0" w14:textId="77777777" w:rsidR="00D4644F" w:rsidRPr="009F7642" w:rsidRDefault="00343A62" w:rsidP="008B60B2">
            <w:pPr>
              <w:suppressAutoHyphens/>
              <w:spacing w:after="0" w:line="240" w:lineRule="auto"/>
              <w:ind w:left="0" w:firstLine="0"/>
              <w:rPr>
                <w:color w:val="auto"/>
                <w:sz w:val="18"/>
                <w:szCs w:val="18"/>
                <w:lang w:val="is-IS"/>
              </w:rPr>
            </w:pPr>
            <w:r>
              <w:rPr>
                <w:color w:val="auto"/>
                <w:sz w:val="18"/>
                <w:szCs w:val="18"/>
                <w:lang w:val="is-IS"/>
              </w:rPr>
              <w:t>Meðfætt og fjölskyldu</w:t>
            </w:r>
            <w:r w:rsidR="00D4644F" w:rsidRPr="009F7642">
              <w:rPr>
                <w:color w:val="auto"/>
                <w:sz w:val="18"/>
                <w:szCs w:val="18"/>
                <w:lang w:val="is-IS"/>
              </w:rPr>
              <w:t xml:space="preserve">bundið/arfgengt ástand </w:t>
            </w:r>
          </w:p>
        </w:tc>
        <w:tc>
          <w:tcPr>
            <w:tcW w:w="1701" w:type="dxa"/>
            <w:noWrap/>
            <w:hideMark/>
          </w:tcPr>
          <w:p w14:paraId="730CF224" w14:textId="77777777" w:rsidR="00D4644F" w:rsidRPr="009F7642" w:rsidRDefault="00D4644F" w:rsidP="008B60B2">
            <w:pPr>
              <w:suppressAutoHyphens/>
              <w:spacing w:after="0" w:line="240" w:lineRule="auto"/>
              <w:ind w:left="0" w:firstLine="0"/>
              <w:rPr>
                <w:color w:val="auto"/>
                <w:sz w:val="18"/>
                <w:szCs w:val="18"/>
                <w:lang w:val="is-IS"/>
              </w:rPr>
            </w:pPr>
          </w:p>
        </w:tc>
        <w:tc>
          <w:tcPr>
            <w:tcW w:w="1814" w:type="dxa"/>
            <w:noWrap/>
            <w:hideMark/>
          </w:tcPr>
          <w:p w14:paraId="52B25486" w14:textId="77777777" w:rsidR="00D4644F" w:rsidRPr="009F7642" w:rsidRDefault="00D4644F" w:rsidP="008B60B2">
            <w:pPr>
              <w:suppressAutoHyphens/>
              <w:spacing w:after="0" w:line="240" w:lineRule="auto"/>
              <w:ind w:left="0" w:firstLine="0"/>
              <w:rPr>
                <w:color w:val="auto"/>
                <w:sz w:val="18"/>
                <w:szCs w:val="18"/>
                <w:lang w:val="is-IS"/>
              </w:rPr>
            </w:pPr>
          </w:p>
        </w:tc>
        <w:tc>
          <w:tcPr>
            <w:tcW w:w="708" w:type="dxa"/>
          </w:tcPr>
          <w:p w14:paraId="1E6185DA"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1E58C8A0"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4F156017"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tcPr>
          <w:p w14:paraId="02143484" w14:textId="77777777" w:rsidR="00D4644F" w:rsidRPr="00343A62" w:rsidRDefault="00D4644F" w:rsidP="008B60B2">
            <w:pPr>
              <w:suppressAutoHyphens/>
              <w:spacing w:after="0" w:line="240" w:lineRule="auto"/>
              <w:ind w:left="0" w:firstLine="0"/>
              <w:rPr>
                <w:color w:val="auto"/>
                <w:sz w:val="18"/>
                <w:szCs w:val="18"/>
                <w:lang w:val="is-IS"/>
              </w:rPr>
            </w:pPr>
            <w:r w:rsidRPr="00343A62">
              <w:rPr>
                <w:color w:val="auto"/>
                <w:sz w:val="18"/>
                <w:szCs w:val="18"/>
                <w:lang w:val="is-IS"/>
              </w:rPr>
              <w:t>Óeðlileg fóstur</w:t>
            </w:r>
            <w:r w:rsidRPr="00343A62">
              <w:rPr>
                <w:color w:val="auto"/>
                <w:sz w:val="18"/>
                <w:szCs w:val="18"/>
                <w:vertAlign w:val="superscript"/>
                <w:lang w:val="is-IS"/>
              </w:rPr>
              <w:t>a,c</w:t>
            </w:r>
          </w:p>
        </w:tc>
      </w:tr>
      <w:tr w:rsidR="001A44CF" w:rsidRPr="009F7642" w14:paraId="69699EDB" w14:textId="77777777" w:rsidTr="00215918">
        <w:trPr>
          <w:cantSplit/>
          <w:trHeight w:val="695"/>
        </w:trPr>
        <w:tc>
          <w:tcPr>
            <w:tcW w:w="1555" w:type="dxa"/>
            <w:noWrap/>
          </w:tcPr>
          <w:p w14:paraId="20221400" w14:textId="77777777" w:rsidR="00D4644F" w:rsidRPr="009F7642" w:rsidRDefault="00D4644F" w:rsidP="008B60B2">
            <w:pPr>
              <w:pStyle w:val="Default"/>
              <w:suppressAutoHyphens/>
              <w:rPr>
                <w:color w:val="auto"/>
                <w:sz w:val="18"/>
                <w:szCs w:val="18"/>
                <w:lang w:val="is-IS"/>
              </w:rPr>
            </w:pPr>
            <w:r w:rsidRPr="009F7642">
              <w:rPr>
                <w:color w:val="auto"/>
                <w:sz w:val="18"/>
                <w:szCs w:val="18"/>
                <w:lang w:val="is-IS"/>
              </w:rPr>
              <w:t>Almennar aukaverkanir og aukaverkanir á íkomustað</w:t>
            </w:r>
          </w:p>
        </w:tc>
        <w:tc>
          <w:tcPr>
            <w:tcW w:w="1701" w:type="dxa"/>
            <w:noWrap/>
          </w:tcPr>
          <w:p w14:paraId="56660616" w14:textId="77777777" w:rsidR="006C06D6" w:rsidRPr="009F7642" w:rsidRDefault="00D4644F" w:rsidP="008B60B2">
            <w:pPr>
              <w:pStyle w:val="Default"/>
              <w:suppressAutoHyphens/>
              <w:rPr>
                <w:color w:val="auto"/>
                <w:sz w:val="18"/>
                <w:szCs w:val="18"/>
                <w:lang w:val="is-IS"/>
              </w:rPr>
            </w:pPr>
            <w:r w:rsidRPr="009F7642">
              <w:rPr>
                <w:color w:val="auto"/>
                <w:sz w:val="18"/>
                <w:szCs w:val="18"/>
                <w:lang w:val="is-IS"/>
              </w:rPr>
              <w:t>Þróttleysi</w:t>
            </w:r>
          </w:p>
          <w:p w14:paraId="23045BC7" w14:textId="77777777" w:rsidR="00D4644F" w:rsidRPr="009F7642" w:rsidRDefault="00D4644F" w:rsidP="008B60B2">
            <w:pPr>
              <w:suppressAutoHyphens/>
              <w:spacing w:after="0" w:line="240" w:lineRule="auto"/>
              <w:ind w:left="0" w:firstLine="0"/>
              <w:rPr>
                <w:color w:val="auto"/>
                <w:sz w:val="18"/>
                <w:szCs w:val="18"/>
                <w:lang w:val="is-IS"/>
              </w:rPr>
            </w:pPr>
            <w:r w:rsidRPr="009F7642">
              <w:rPr>
                <w:color w:val="auto"/>
                <w:sz w:val="18"/>
                <w:szCs w:val="18"/>
                <w:lang w:val="is-IS"/>
              </w:rPr>
              <w:t xml:space="preserve">Þreyta </w:t>
            </w:r>
          </w:p>
        </w:tc>
        <w:tc>
          <w:tcPr>
            <w:tcW w:w="1814" w:type="dxa"/>
            <w:noWrap/>
          </w:tcPr>
          <w:p w14:paraId="79419657" w14:textId="77777777" w:rsidR="006C06D6" w:rsidRPr="009F7642" w:rsidRDefault="00D4644F" w:rsidP="008B60B2">
            <w:pPr>
              <w:pStyle w:val="Default"/>
              <w:suppressAutoHyphens/>
              <w:rPr>
                <w:color w:val="auto"/>
                <w:sz w:val="18"/>
                <w:szCs w:val="18"/>
                <w:lang w:val="is-IS"/>
              </w:rPr>
            </w:pPr>
            <w:r w:rsidRPr="009F7642">
              <w:rPr>
                <w:color w:val="auto"/>
                <w:sz w:val="18"/>
                <w:szCs w:val="18"/>
                <w:lang w:val="is-IS"/>
              </w:rPr>
              <w:t>Verkur</w:t>
            </w:r>
          </w:p>
          <w:p w14:paraId="64317885" w14:textId="77777777" w:rsidR="006C06D6" w:rsidRPr="009F7642" w:rsidRDefault="00D4644F" w:rsidP="008B60B2">
            <w:pPr>
              <w:pStyle w:val="Default"/>
              <w:suppressAutoHyphens/>
              <w:rPr>
                <w:color w:val="auto"/>
                <w:sz w:val="18"/>
                <w:szCs w:val="18"/>
                <w:lang w:val="is-IS"/>
              </w:rPr>
            </w:pPr>
            <w:r w:rsidRPr="009F7642">
              <w:rPr>
                <w:color w:val="auto"/>
                <w:sz w:val="18"/>
                <w:szCs w:val="18"/>
                <w:lang w:val="is-IS"/>
              </w:rPr>
              <w:t>Svefndrungi</w:t>
            </w:r>
          </w:p>
          <w:p w14:paraId="58E97C54" w14:textId="77777777" w:rsidR="00D4644F" w:rsidRPr="009F7642" w:rsidRDefault="00581886" w:rsidP="008B60B2">
            <w:pPr>
              <w:suppressAutoHyphens/>
              <w:spacing w:after="0" w:line="240" w:lineRule="auto"/>
              <w:ind w:left="0" w:firstLine="0"/>
              <w:rPr>
                <w:color w:val="auto"/>
                <w:sz w:val="18"/>
                <w:szCs w:val="18"/>
                <w:lang w:val="is-IS"/>
              </w:rPr>
            </w:pPr>
            <w:r>
              <w:rPr>
                <w:color w:val="auto"/>
                <w:sz w:val="18"/>
                <w:szCs w:val="18"/>
                <w:lang w:val="is-IS"/>
              </w:rPr>
              <w:t>Slímhúðar</w:t>
            </w:r>
            <w:r w:rsidR="00D4644F" w:rsidRPr="009F7642">
              <w:rPr>
                <w:color w:val="auto"/>
                <w:sz w:val="18"/>
                <w:szCs w:val="18"/>
                <w:lang w:val="is-IS"/>
              </w:rPr>
              <w:t xml:space="preserve">bólga </w:t>
            </w:r>
          </w:p>
        </w:tc>
        <w:tc>
          <w:tcPr>
            <w:tcW w:w="708" w:type="dxa"/>
          </w:tcPr>
          <w:p w14:paraId="10537F94" w14:textId="77777777" w:rsidR="00D4644F" w:rsidRPr="009F7642" w:rsidRDefault="00D4644F" w:rsidP="008B60B2">
            <w:pPr>
              <w:suppressAutoHyphens/>
              <w:spacing w:after="0" w:line="240" w:lineRule="auto"/>
              <w:ind w:left="0" w:firstLine="0"/>
              <w:rPr>
                <w:color w:val="auto"/>
                <w:sz w:val="18"/>
                <w:szCs w:val="18"/>
                <w:lang w:val="is-IS"/>
              </w:rPr>
            </w:pPr>
          </w:p>
        </w:tc>
        <w:tc>
          <w:tcPr>
            <w:tcW w:w="1134" w:type="dxa"/>
          </w:tcPr>
          <w:p w14:paraId="6E521B2B" w14:textId="77777777" w:rsidR="00D4644F" w:rsidRPr="009F7642" w:rsidRDefault="00D4644F" w:rsidP="008B60B2">
            <w:pPr>
              <w:suppressAutoHyphens/>
              <w:spacing w:after="0" w:line="240" w:lineRule="auto"/>
              <w:ind w:left="0" w:firstLine="0"/>
              <w:rPr>
                <w:color w:val="auto"/>
                <w:sz w:val="18"/>
                <w:szCs w:val="18"/>
                <w:lang w:val="is-IS"/>
              </w:rPr>
            </w:pPr>
          </w:p>
        </w:tc>
        <w:tc>
          <w:tcPr>
            <w:tcW w:w="993" w:type="dxa"/>
          </w:tcPr>
          <w:p w14:paraId="5EE9289F" w14:textId="77777777" w:rsidR="00D4644F" w:rsidRPr="009F7642" w:rsidRDefault="00D4644F" w:rsidP="008B60B2">
            <w:pPr>
              <w:suppressAutoHyphens/>
              <w:spacing w:after="0" w:line="240" w:lineRule="auto"/>
              <w:ind w:left="0" w:firstLine="0"/>
              <w:rPr>
                <w:color w:val="auto"/>
                <w:sz w:val="18"/>
                <w:szCs w:val="18"/>
                <w:lang w:val="is-IS"/>
              </w:rPr>
            </w:pPr>
          </w:p>
        </w:tc>
        <w:tc>
          <w:tcPr>
            <w:tcW w:w="1842" w:type="dxa"/>
          </w:tcPr>
          <w:p w14:paraId="31C83A19" w14:textId="77777777" w:rsidR="00D4644F" w:rsidRPr="009F7642" w:rsidRDefault="00D4644F" w:rsidP="008B60B2">
            <w:pPr>
              <w:suppressAutoHyphens/>
              <w:spacing w:after="0" w:line="240" w:lineRule="auto"/>
              <w:ind w:left="0" w:firstLine="0"/>
              <w:rPr>
                <w:color w:val="auto"/>
                <w:sz w:val="18"/>
                <w:szCs w:val="18"/>
                <w:u w:val="single" w:color="000000"/>
                <w:lang w:val="is-IS"/>
              </w:rPr>
            </w:pPr>
          </w:p>
        </w:tc>
      </w:tr>
    </w:tbl>
    <w:p w14:paraId="1400263B" w14:textId="77777777" w:rsidR="00B00AA0" w:rsidRPr="009F7642" w:rsidRDefault="00B00AA0" w:rsidP="008B60B2">
      <w:pPr>
        <w:suppressAutoHyphens/>
        <w:spacing w:after="0" w:line="240" w:lineRule="auto"/>
        <w:ind w:left="0" w:firstLine="0"/>
        <w:rPr>
          <w:color w:val="auto"/>
          <w:sz w:val="20"/>
          <w:szCs w:val="20"/>
          <w:lang w:val="is-IS"/>
        </w:rPr>
      </w:pPr>
    </w:p>
    <w:p w14:paraId="64C763C6" w14:textId="77777777" w:rsidR="006C06D6" w:rsidRPr="009F7642" w:rsidRDefault="007A04BD" w:rsidP="008B60B2">
      <w:pPr>
        <w:suppressAutoHyphens/>
        <w:autoSpaceDE w:val="0"/>
        <w:autoSpaceDN w:val="0"/>
        <w:adjustRightInd w:val="0"/>
        <w:spacing w:after="0" w:line="240" w:lineRule="auto"/>
        <w:ind w:left="0" w:firstLine="0"/>
        <w:rPr>
          <w:color w:val="auto"/>
          <w:sz w:val="20"/>
          <w:szCs w:val="20"/>
          <w:lang w:val="is-IS" w:eastAsia="en-IN"/>
        </w:rPr>
      </w:pPr>
      <w:r w:rsidRPr="009F7642">
        <w:rPr>
          <w:color w:val="auto"/>
          <w:sz w:val="20"/>
          <w:szCs w:val="20"/>
          <w:lang w:val="is-IS" w:eastAsia="en-IN"/>
        </w:rPr>
        <w:t>Í töflu</w:t>
      </w:r>
      <w:r w:rsidR="00A651BC">
        <w:rPr>
          <w:color w:val="auto"/>
          <w:sz w:val="20"/>
          <w:szCs w:val="20"/>
          <w:lang w:val="is-IS" w:eastAsia="en-IN"/>
        </w:rPr>
        <w:t> </w:t>
      </w:r>
      <w:r w:rsidRPr="009F7642">
        <w:rPr>
          <w:color w:val="auto"/>
          <w:sz w:val="20"/>
          <w:szCs w:val="20"/>
          <w:lang w:val="is-IS" w:eastAsia="en-IN"/>
        </w:rPr>
        <w:t>2 eru alvarlegar aukaverkanir, flokkaðar eftir tíðni. Alvarlegar aukaverkanir eru skilgreindar sem aukaverkanir með a.m.k. 2% mun miðað við samanburðarhóp í klínískum rannsóknum fyrir aukaverkanir af NCI-CTCAE stigi</w:t>
      </w:r>
      <w:r w:rsidR="00A651BC">
        <w:rPr>
          <w:color w:val="auto"/>
          <w:sz w:val="20"/>
          <w:szCs w:val="20"/>
          <w:lang w:val="is-IS" w:eastAsia="en-IN"/>
        </w:rPr>
        <w:t> </w:t>
      </w:r>
      <w:r w:rsidRPr="009F7642">
        <w:rPr>
          <w:color w:val="auto"/>
          <w:sz w:val="20"/>
          <w:szCs w:val="20"/>
          <w:lang w:val="is-IS" w:eastAsia="en-IN"/>
        </w:rPr>
        <w:t>3-5. Í töflu</w:t>
      </w:r>
      <w:r w:rsidR="00A651BC">
        <w:rPr>
          <w:color w:val="auto"/>
          <w:sz w:val="20"/>
          <w:szCs w:val="20"/>
          <w:lang w:val="is-IS" w:eastAsia="en-IN"/>
        </w:rPr>
        <w:t> </w:t>
      </w:r>
      <w:r w:rsidRPr="009F7642">
        <w:rPr>
          <w:color w:val="auto"/>
          <w:sz w:val="20"/>
          <w:szCs w:val="20"/>
          <w:lang w:val="is-IS" w:eastAsia="en-IN"/>
        </w:rPr>
        <w:t>2 eru einnig aukaverkanir sem markaðsleyfishafi telur klínískt mikilvægar eða alvarlegar. Tilkynnt var um þessar klínískt mikilvægu aukaverkanir í klínískum rannsóknum, en þær þessara aukaverkana sem voru af alvarleikastigi 3-5 uppfylltu ekki skilyrðið um a.m.k. 2% mun miðað við samanburðarhópinn. Í töflu</w:t>
      </w:r>
      <w:r w:rsidR="00A651BC">
        <w:rPr>
          <w:color w:val="auto"/>
          <w:sz w:val="20"/>
          <w:szCs w:val="20"/>
          <w:lang w:val="is-IS" w:eastAsia="en-IN"/>
        </w:rPr>
        <w:t> </w:t>
      </w:r>
      <w:r w:rsidRPr="009F7642">
        <w:rPr>
          <w:color w:val="auto"/>
          <w:sz w:val="20"/>
          <w:szCs w:val="20"/>
          <w:lang w:val="is-IS" w:eastAsia="en-IN"/>
        </w:rPr>
        <w:t>2 eru einnig klínískt mikilvægar aukaverkanir sem eingöngu sáust eftir markaðssetningu lyfsins og því eru tíðni og NCI-CTCAE alvarleikastig ekki þekkt. Þessar klínískt mikilvægu aukaverkanir hafa því verið teknar með í töflu</w:t>
      </w:r>
      <w:r w:rsidR="00A25A33">
        <w:rPr>
          <w:color w:val="auto"/>
          <w:sz w:val="20"/>
          <w:szCs w:val="20"/>
          <w:lang w:val="is-IS" w:eastAsia="en-IN"/>
        </w:rPr>
        <w:t> </w:t>
      </w:r>
      <w:r w:rsidRPr="009F7642">
        <w:rPr>
          <w:color w:val="auto"/>
          <w:sz w:val="20"/>
          <w:szCs w:val="20"/>
          <w:lang w:val="is-IS" w:eastAsia="en-IN"/>
        </w:rPr>
        <w:t xml:space="preserve">2, í dálkunum </w:t>
      </w:r>
      <w:r w:rsidR="00D80F10">
        <w:rPr>
          <w:color w:val="auto"/>
          <w:sz w:val="20"/>
          <w:szCs w:val="20"/>
          <w:lang w:val="is-IS" w:eastAsia="en-IN"/>
        </w:rPr>
        <w:t>„</w:t>
      </w:r>
      <w:r w:rsidRPr="009F7642">
        <w:rPr>
          <w:color w:val="auto"/>
          <w:sz w:val="20"/>
          <w:szCs w:val="20"/>
          <w:lang w:val="is-IS" w:eastAsia="en-IN"/>
        </w:rPr>
        <w:t>Tíðni ekki þekkt</w:t>
      </w:r>
      <w:r w:rsidR="00D80F10">
        <w:rPr>
          <w:color w:val="auto"/>
          <w:sz w:val="20"/>
          <w:szCs w:val="20"/>
          <w:lang w:val="is-IS" w:eastAsia="en-IN"/>
        </w:rPr>
        <w:t>“</w:t>
      </w:r>
      <w:r w:rsidR="00D80F10" w:rsidRPr="009F7642">
        <w:rPr>
          <w:color w:val="auto"/>
          <w:sz w:val="20"/>
          <w:szCs w:val="20"/>
          <w:lang w:val="is-IS" w:eastAsia="en-IN"/>
        </w:rPr>
        <w:t>.</w:t>
      </w:r>
    </w:p>
    <w:p w14:paraId="504B8190" w14:textId="77777777" w:rsidR="007A04BD" w:rsidRPr="009F7642" w:rsidRDefault="007A04BD" w:rsidP="008B60B2">
      <w:pPr>
        <w:suppressAutoHyphens/>
        <w:autoSpaceDE w:val="0"/>
        <w:autoSpaceDN w:val="0"/>
        <w:adjustRightInd w:val="0"/>
        <w:spacing w:after="0" w:line="240" w:lineRule="auto"/>
        <w:ind w:left="0" w:firstLine="0"/>
        <w:rPr>
          <w:color w:val="auto"/>
          <w:sz w:val="20"/>
          <w:szCs w:val="20"/>
          <w:lang w:val="is-IS" w:eastAsia="en-IN"/>
        </w:rPr>
      </w:pPr>
    </w:p>
    <w:p w14:paraId="7BB65AF5" w14:textId="77777777" w:rsidR="006C06D6" w:rsidRPr="009F7642" w:rsidRDefault="007A04BD" w:rsidP="008B60B2">
      <w:pPr>
        <w:suppressAutoHyphens/>
        <w:autoSpaceDE w:val="0"/>
        <w:autoSpaceDN w:val="0"/>
        <w:adjustRightInd w:val="0"/>
        <w:spacing w:after="0" w:line="240" w:lineRule="auto"/>
        <w:ind w:left="567" w:hanging="567"/>
        <w:rPr>
          <w:color w:val="auto"/>
          <w:sz w:val="20"/>
          <w:szCs w:val="20"/>
          <w:lang w:val="is-IS" w:eastAsia="en-IN"/>
        </w:rPr>
      </w:pPr>
      <w:r w:rsidRPr="009F7642">
        <w:rPr>
          <w:color w:val="auto"/>
          <w:sz w:val="20"/>
          <w:szCs w:val="20"/>
          <w:vertAlign w:val="superscript"/>
          <w:lang w:val="is-IS" w:eastAsia="en-IN"/>
        </w:rPr>
        <w:t>a</w:t>
      </w:r>
      <w:r w:rsidRPr="009F7642">
        <w:rPr>
          <w:color w:val="auto"/>
          <w:sz w:val="20"/>
          <w:szCs w:val="20"/>
          <w:lang w:val="is-IS" w:eastAsia="en-IN"/>
        </w:rPr>
        <w:tab/>
        <w:t xml:space="preserve">Skráðar aukaverkanir eiga við flokk tilvika sem lýsa læknisfræðilegum hugtökum, frekar en stökum kvillum eða hugtökum samkvæmt MedDRA (Medical Dictionary for Regulatory Activities). Hver slíkur flokkur læknisfræðilegra hugtaka getur byggt á sömu undirliggjandi lífeðlisfræðilegri meingerð (t.d. </w:t>
      </w:r>
      <w:r w:rsidRPr="009F7642">
        <w:rPr>
          <w:color w:val="auto"/>
          <w:sz w:val="20"/>
          <w:szCs w:val="20"/>
          <w:lang w:val="is-IS" w:eastAsia="en-IN"/>
        </w:rPr>
        <w:lastRenderedPageBreak/>
        <w:t>sameinaðir slagæðasegarekssjúkdómar, þar á meðal heilablóðfall, hjartadrep, skammvinnt blóðþurrðarkast og önnur segarekstilvik í slagæðum).</w:t>
      </w:r>
    </w:p>
    <w:p w14:paraId="1DCC6D8E" w14:textId="77777777" w:rsidR="006C06D6" w:rsidRPr="009F7642" w:rsidRDefault="007A04BD" w:rsidP="008B60B2">
      <w:pPr>
        <w:suppressAutoHyphens/>
        <w:autoSpaceDE w:val="0"/>
        <w:autoSpaceDN w:val="0"/>
        <w:adjustRightInd w:val="0"/>
        <w:spacing w:after="0" w:line="240" w:lineRule="auto"/>
        <w:ind w:left="567" w:hanging="567"/>
        <w:rPr>
          <w:color w:val="auto"/>
          <w:sz w:val="20"/>
          <w:szCs w:val="20"/>
          <w:lang w:val="is-IS" w:eastAsia="en-IN"/>
        </w:rPr>
      </w:pPr>
      <w:r w:rsidRPr="009F7642">
        <w:rPr>
          <w:color w:val="auto"/>
          <w:sz w:val="20"/>
          <w:szCs w:val="20"/>
          <w:vertAlign w:val="superscript"/>
          <w:lang w:val="is-IS" w:eastAsia="en-IN"/>
        </w:rPr>
        <w:t>b</w:t>
      </w:r>
      <w:r w:rsidRPr="009F7642">
        <w:rPr>
          <w:color w:val="auto"/>
          <w:sz w:val="20"/>
          <w:szCs w:val="20"/>
          <w:lang w:val="is-IS" w:eastAsia="en-IN"/>
        </w:rPr>
        <w:tab/>
        <w:t xml:space="preserve">Sjá frekari upplýsingar í kaflanum </w:t>
      </w:r>
      <w:r w:rsidR="00AC141D">
        <w:rPr>
          <w:color w:val="auto"/>
          <w:sz w:val="20"/>
          <w:szCs w:val="20"/>
          <w:lang w:val="is-IS" w:eastAsia="en-IN"/>
        </w:rPr>
        <w:t>„</w:t>
      </w:r>
      <w:r w:rsidR="00530322" w:rsidRPr="008477E0">
        <w:rPr>
          <w:color w:val="auto"/>
          <w:sz w:val="20"/>
          <w:szCs w:val="20"/>
          <w:lang w:val="is-IS"/>
        </w:rPr>
        <w:t>Lýsing valinna alvarlegra aukaverkana</w:t>
      </w:r>
      <w:r w:rsidR="00AC141D">
        <w:rPr>
          <w:color w:val="auto"/>
          <w:sz w:val="20"/>
          <w:szCs w:val="20"/>
          <w:lang w:val="is-IS"/>
        </w:rPr>
        <w:t>“</w:t>
      </w:r>
      <w:r w:rsidRPr="009F7642">
        <w:rPr>
          <w:color w:val="auto"/>
          <w:sz w:val="20"/>
          <w:szCs w:val="20"/>
          <w:lang w:val="is-IS" w:eastAsia="en-IN"/>
        </w:rPr>
        <w:t xml:space="preserve"> hér fyrir neðan.</w:t>
      </w:r>
    </w:p>
    <w:p w14:paraId="4693A080" w14:textId="77777777" w:rsidR="006C06D6" w:rsidRPr="009F7642" w:rsidRDefault="007A04BD" w:rsidP="008B60B2">
      <w:pPr>
        <w:suppressAutoHyphens/>
        <w:autoSpaceDE w:val="0"/>
        <w:autoSpaceDN w:val="0"/>
        <w:adjustRightInd w:val="0"/>
        <w:spacing w:after="0" w:line="240" w:lineRule="auto"/>
        <w:ind w:left="567" w:hanging="567"/>
        <w:rPr>
          <w:color w:val="auto"/>
          <w:sz w:val="20"/>
          <w:szCs w:val="20"/>
          <w:lang w:val="is-IS" w:eastAsia="en-IN"/>
        </w:rPr>
      </w:pPr>
      <w:r w:rsidRPr="009F7642">
        <w:rPr>
          <w:color w:val="auto"/>
          <w:sz w:val="20"/>
          <w:szCs w:val="20"/>
          <w:vertAlign w:val="superscript"/>
          <w:lang w:val="is-IS" w:eastAsia="en-IN"/>
        </w:rPr>
        <w:t>c</w:t>
      </w:r>
      <w:r w:rsidRPr="009F7642">
        <w:rPr>
          <w:color w:val="auto"/>
          <w:sz w:val="20"/>
          <w:szCs w:val="20"/>
          <w:lang w:val="is-IS" w:eastAsia="en-IN"/>
        </w:rPr>
        <w:tab/>
        <w:t>Sjá frekari upplýsingar í töflu 3, „Aukaverkanir sem tilkynnt hefur verið um eftir markaðssetningu“.</w:t>
      </w:r>
    </w:p>
    <w:p w14:paraId="28812605" w14:textId="77777777" w:rsidR="007A04BD" w:rsidRPr="009F7642" w:rsidRDefault="007A04BD" w:rsidP="008B60B2">
      <w:pPr>
        <w:suppressAutoHyphens/>
        <w:autoSpaceDE w:val="0"/>
        <w:autoSpaceDN w:val="0"/>
        <w:adjustRightInd w:val="0"/>
        <w:spacing w:after="0" w:line="240" w:lineRule="auto"/>
        <w:ind w:left="567" w:hanging="567"/>
        <w:rPr>
          <w:color w:val="auto"/>
          <w:sz w:val="20"/>
          <w:szCs w:val="20"/>
          <w:lang w:val="is-IS"/>
        </w:rPr>
      </w:pPr>
      <w:r w:rsidRPr="009F7642">
        <w:rPr>
          <w:color w:val="auto"/>
          <w:sz w:val="20"/>
          <w:szCs w:val="20"/>
          <w:vertAlign w:val="superscript"/>
          <w:lang w:val="is-IS" w:eastAsia="en-IN"/>
        </w:rPr>
        <w:t>d</w:t>
      </w:r>
      <w:r w:rsidRPr="009F7642">
        <w:rPr>
          <w:color w:val="auto"/>
          <w:sz w:val="20"/>
          <w:szCs w:val="20"/>
          <w:lang w:val="is-IS" w:eastAsia="en-IN"/>
        </w:rPr>
        <w:tab/>
        <w:t>Endaþarms-leggangafistlar eru algengustu fistlar í flokki meltingarfæra- og leggangafistla.</w:t>
      </w:r>
    </w:p>
    <w:p w14:paraId="7D9C4748" w14:textId="77777777" w:rsidR="007A04BD" w:rsidRPr="009F7642" w:rsidRDefault="007A04BD" w:rsidP="008B60B2">
      <w:pPr>
        <w:suppressAutoHyphens/>
        <w:spacing w:after="0" w:line="240" w:lineRule="auto"/>
        <w:ind w:left="0" w:firstLine="0"/>
        <w:rPr>
          <w:color w:val="auto"/>
          <w:lang w:val="is-IS"/>
        </w:rPr>
      </w:pPr>
    </w:p>
    <w:p w14:paraId="6F67A192" w14:textId="77777777" w:rsidR="006C06D6" w:rsidRPr="005D0BF9" w:rsidRDefault="00564614" w:rsidP="008B60B2">
      <w:pPr>
        <w:keepNext/>
        <w:suppressAutoHyphens/>
        <w:spacing w:after="0" w:line="240" w:lineRule="auto"/>
        <w:ind w:left="0" w:firstLine="0"/>
        <w:rPr>
          <w:color w:val="auto"/>
          <w:u w:val="single"/>
          <w:lang w:val="is-IS"/>
        </w:rPr>
      </w:pPr>
      <w:r w:rsidRPr="005D0BF9">
        <w:rPr>
          <w:color w:val="auto"/>
          <w:u w:val="single"/>
          <w:lang w:val="is-IS"/>
        </w:rPr>
        <w:t>Lýsing valinna alvarlegra aukaverkana</w:t>
      </w:r>
    </w:p>
    <w:p w14:paraId="75AE4729" w14:textId="77777777" w:rsidR="005F36F3" w:rsidRPr="009F7642" w:rsidRDefault="005F36F3" w:rsidP="008B60B2">
      <w:pPr>
        <w:keepNext/>
        <w:suppressAutoHyphens/>
        <w:spacing w:after="0" w:line="240" w:lineRule="auto"/>
        <w:ind w:left="0" w:firstLine="0"/>
        <w:rPr>
          <w:color w:val="auto"/>
          <w:lang w:val="is-IS"/>
        </w:rPr>
      </w:pPr>
    </w:p>
    <w:p w14:paraId="39ECEA1A" w14:textId="77777777" w:rsidR="006C06D6" w:rsidRPr="005D0BF9" w:rsidRDefault="00564614" w:rsidP="008B60B2">
      <w:pPr>
        <w:keepNext/>
        <w:suppressAutoHyphens/>
        <w:spacing w:after="0" w:line="240" w:lineRule="auto"/>
        <w:ind w:left="0" w:firstLine="0"/>
        <w:rPr>
          <w:i/>
          <w:color w:val="auto"/>
          <w:u w:val="single"/>
          <w:lang w:val="is-IS"/>
        </w:rPr>
      </w:pPr>
      <w:r w:rsidRPr="005D0BF9">
        <w:rPr>
          <w:color w:val="auto"/>
          <w:u w:val="single"/>
          <w:lang w:val="is-IS"/>
        </w:rPr>
        <w:t>Rof</w:t>
      </w:r>
      <w:r w:rsidRPr="005D0BF9">
        <w:rPr>
          <w:i/>
          <w:color w:val="auto"/>
          <w:u w:val="single"/>
          <w:lang w:val="is-IS"/>
        </w:rPr>
        <w:t xml:space="preserve"> og fistlar í maga og þörmum (sjá kafla 4.4)</w:t>
      </w:r>
    </w:p>
    <w:p w14:paraId="50DDCB2D" w14:textId="77777777" w:rsidR="007A04BD" w:rsidRPr="009F7642" w:rsidRDefault="007A04BD" w:rsidP="008B60B2">
      <w:pPr>
        <w:keepNext/>
        <w:suppressAutoHyphens/>
        <w:spacing w:after="0" w:line="240" w:lineRule="auto"/>
        <w:ind w:left="0" w:firstLine="0"/>
        <w:rPr>
          <w:color w:val="auto"/>
          <w:lang w:val="is-IS"/>
        </w:rPr>
      </w:pPr>
    </w:p>
    <w:p w14:paraId="67C84E1E" w14:textId="77777777" w:rsidR="005F36F3" w:rsidRPr="009F7642" w:rsidRDefault="00690564" w:rsidP="008B60B2">
      <w:pPr>
        <w:suppressAutoHyphens/>
        <w:spacing w:after="0" w:line="240" w:lineRule="auto"/>
        <w:ind w:left="0" w:firstLine="0"/>
        <w:rPr>
          <w:color w:val="auto"/>
          <w:lang w:val="is-IS"/>
        </w:rPr>
      </w:pPr>
      <w:r w:rsidRPr="00F2274F">
        <w:rPr>
          <w:lang w:val="is-IS"/>
        </w:rPr>
        <w:t>Bevacízúmab</w:t>
      </w:r>
      <w:r w:rsidR="00564614" w:rsidRPr="009F7642">
        <w:rPr>
          <w:color w:val="auto"/>
          <w:lang w:val="is-IS"/>
        </w:rPr>
        <w:t xml:space="preserve"> hefur tengst alvarlegum til</w:t>
      </w:r>
      <w:r w:rsidR="003C161D" w:rsidRPr="009F7642">
        <w:rPr>
          <w:color w:val="auto"/>
          <w:lang w:val="is-IS"/>
        </w:rPr>
        <w:t>vikum um rof á maga og þörmum.</w:t>
      </w:r>
    </w:p>
    <w:p w14:paraId="0A69CDC3" w14:textId="77777777" w:rsidR="005F36F3" w:rsidRPr="009F7642" w:rsidRDefault="005F36F3" w:rsidP="008B60B2">
      <w:pPr>
        <w:suppressAutoHyphens/>
        <w:spacing w:after="0" w:line="240" w:lineRule="auto"/>
        <w:ind w:left="0" w:firstLine="0"/>
        <w:rPr>
          <w:color w:val="auto"/>
          <w:lang w:val="is-IS"/>
        </w:rPr>
      </w:pPr>
    </w:p>
    <w:p w14:paraId="180764CB"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Í klínískum rannsóknum hefur verið tilkynnt um rof á maga og þörmum með minna en 1% tíðni hjá sjúklingum með lungnakrabbamein sem var hvorki af flöguþekju- né smáfrumugerð, allt að 1,3% hjá sjúklingum með brjóstakrabbamein með meinvörpum, allt að 2,0% hjá sjúklingum með nýrnafrumukrabbamein með meinvörpum og sjúklingum með krabbamein í eggjastokkum og allt að 2,7% (þ.m.t. fistlar og ígerð í maga og þörmum) hjá sjúklingum með krabbamein í ristl</w:t>
      </w:r>
      <w:r w:rsidR="003C161D" w:rsidRPr="009F7642">
        <w:rPr>
          <w:color w:val="auto"/>
          <w:lang w:val="is-IS"/>
        </w:rPr>
        <w:t>i og endaþarmi með meinvörpu</w:t>
      </w:r>
      <w:r w:rsidR="003C161D" w:rsidRPr="00E85A3F">
        <w:rPr>
          <w:color w:val="auto"/>
          <w:lang w:val="is-IS"/>
        </w:rPr>
        <w:t>m</w:t>
      </w:r>
      <w:r w:rsidR="003C161D" w:rsidRPr="00433F35">
        <w:rPr>
          <w:color w:val="auto"/>
          <w:lang w:val="is-IS"/>
        </w:rPr>
        <w:t>.</w:t>
      </w:r>
      <w:r w:rsidR="00E839EB" w:rsidRPr="00363B58">
        <w:rPr>
          <w:color w:val="auto"/>
          <w:lang w:val="is-IS"/>
        </w:rPr>
        <w:t xml:space="preserve"> </w:t>
      </w:r>
      <w:r w:rsidRPr="00363B58">
        <w:rPr>
          <w:color w:val="auto"/>
          <w:lang w:val="is-IS"/>
        </w:rPr>
        <w:t>Í klínískri</w:t>
      </w:r>
      <w:r w:rsidRPr="009F7642">
        <w:rPr>
          <w:color w:val="auto"/>
          <w:lang w:val="is-IS"/>
        </w:rPr>
        <w:t xml:space="preserve"> rannsókn hjá sjúklingum með krabbamein í leghálsi sem var þrálátt og endurkomið eða með meinvörpum (GOG-0240 rannsóknin), var tilkynnt um rof á meltingarvegi (af öllum alvarleikastigum) hjá 3,2% sjúklinga og höfðu þeir allir áður fengið geislameðferð á grindarholssvæði</w:t>
      </w:r>
      <w:r w:rsidRPr="009F7642">
        <w:rPr>
          <w:i/>
          <w:color w:val="auto"/>
          <w:lang w:val="is-IS"/>
        </w:rPr>
        <w:t>.</w:t>
      </w:r>
    </w:p>
    <w:p w14:paraId="6EB28700" w14:textId="77777777" w:rsidR="005F36F3" w:rsidRPr="009F7642" w:rsidRDefault="005F36F3" w:rsidP="008B60B2">
      <w:pPr>
        <w:suppressAutoHyphens/>
        <w:spacing w:after="0" w:line="240" w:lineRule="auto"/>
        <w:ind w:left="0" w:firstLine="0"/>
        <w:rPr>
          <w:color w:val="auto"/>
          <w:lang w:val="is-IS"/>
        </w:rPr>
      </w:pPr>
    </w:p>
    <w:p w14:paraId="51F2013C"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Áföll þessi voru af ýmsum gerðum og alvarleika, allt frá því að loft sást á venjulegri röntgenmynd af kviðarholi sem hjaðnaði án meðferðar til þess að rof kom á þarma með ígerð í kviðarholi og banvænum afleiðingum. Í sumum tilvikum var um að ræða undirliggjandi bólgu í kviðarholi, annaðhvort frá magasári, æxlisdrepi, sarpbólgu eða ristilbólgu í tengslum við krabbameinslyfjameðferðina.</w:t>
      </w:r>
    </w:p>
    <w:p w14:paraId="4C264CEA" w14:textId="77777777" w:rsidR="005F36F3" w:rsidRPr="009F7642" w:rsidRDefault="005F36F3" w:rsidP="008B60B2">
      <w:pPr>
        <w:suppressAutoHyphens/>
        <w:spacing w:after="0" w:line="240" w:lineRule="auto"/>
        <w:ind w:left="0" w:firstLine="0"/>
        <w:rPr>
          <w:color w:val="auto"/>
          <w:lang w:val="is-IS"/>
        </w:rPr>
      </w:pPr>
    </w:p>
    <w:p w14:paraId="746178FB"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Tilkynnt var um </w:t>
      </w:r>
      <w:r w:rsidRPr="00363B58">
        <w:rPr>
          <w:color w:val="auto"/>
          <w:lang w:val="is-IS"/>
        </w:rPr>
        <w:t>dauð</w:t>
      </w:r>
      <w:r w:rsidR="00E839EB" w:rsidRPr="00363B58">
        <w:rPr>
          <w:color w:val="auto"/>
          <w:lang w:val="is-IS"/>
        </w:rPr>
        <w:t>sfall</w:t>
      </w:r>
      <w:r w:rsidRPr="009F7642">
        <w:rPr>
          <w:color w:val="auto"/>
          <w:lang w:val="is-IS"/>
        </w:rPr>
        <w:t xml:space="preserve"> í um þriðjungi alvarlegra tilvika rofs á maga og þörmum, en það er 0,2%</w:t>
      </w:r>
      <w:r w:rsidR="009B44E3">
        <w:rPr>
          <w:color w:val="auto"/>
          <w:lang w:val="is-IS"/>
        </w:rPr>
        <w:noBreakHyphen/>
      </w:r>
      <w:r w:rsidRPr="009F7642">
        <w:rPr>
          <w:color w:val="auto"/>
          <w:lang w:val="is-IS"/>
        </w:rPr>
        <w:t xml:space="preserve">1% allra sjúklinga sem fengu </w:t>
      </w:r>
      <w:r w:rsidR="00690564" w:rsidRPr="00F2274F">
        <w:rPr>
          <w:color w:val="auto"/>
          <w:lang w:val="is-IS"/>
        </w:rPr>
        <w:t>bevacízúmab</w:t>
      </w:r>
      <w:r w:rsidRPr="009F7642">
        <w:rPr>
          <w:color w:val="auto"/>
          <w:lang w:val="is-IS"/>
        </w:rPr>
        <w:t>.</w:t>
      </w:r>
    </w:p>
    <w:p w14:paraId="5A6B3C6E" w14:textId="77777777" w:rsidR="005F36F3" w:rsidRPr="009F7642" w:rsidRDefault="005F36F3" w:rsidP="008B60B2">
      <w:pPr>
        <w:suppressAutoHyphens/>
        <w:spacing w:after="0" w:line="240" w:lineRule="auto"/>
        <w:ind w:left="0" w:firstLine="0"/>
        <w:rPr>
          <w:color w:val="auto"/>
          <w:lang w:val="is-IS"/>
        </w:rPr>
      </w:pPr>
    </w:p>
    <w:p w14:paraId="5EFA1C8E"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Í klínískum rannsóknum á </w:t>
      </w:r>
      <w:r w:rsidR="00690564" w:rsidRPr="00F2274F">
        <w:rPr>
          <w:lang w:val="is-IS"/>
        </w:rPr>
        <w:t>bevacízúmab</w:t>
      </w:r>
      <w:r w:rsidR="00530322" w:rsidRPr="00F2274F">
        <w:rPr>
          <w:lang w:val="is-IS"/>
        </w:rPr>
        <w:t>i</w:t>
      </w:r>
      <w:r w:rsidRPr="009F7642">
        <w:rPr>
          <w:color w:val="auto"/>
          <w:lang w:val="is-IS"/>
        </w:rPr>
        <w:t xml:space="preserve"> hefur verið tilkynnt um fistla í meltingarvegi (af öllum alvarleikastigum) hjá allt að 2% sjúklinga með krabbamein í ristli eða endaþarmi eða krabbamein í leghálsi með meinvörpum, en einnig með minni tíðni hjá sjúklingum m</w:t>
      </w:r>
      <w:r w:rsidR="003C161D" w:rsidRPr="009F7642">
        <w:rPr>
          <w:color w:val="auto"/>
          <w:lang w:val="is-IS"/>
        </w:rPr>
        <w:t>eð aðrar tegundir krabbameina.</w:t>
      </w:r>
    </w:p>
    <w:p w14:paraId="3C265033" w14:textId="77777777" w:rsidR="005F36F3" w:rsidRPr="009F7642" w:rsidRDefault="005F36F3" w:rsidP="008B60B2">
      <w:pPr>
        <w:suppressAutoHyphens/>
        <w:spacing w:after="0" w:line="240" w:lineRule="auto"/>
        <w:ind w:left="0" w:firstLine="0"/>
        <w:rPr>
          <w:color w:val="auto"/>
          <w:lang w:val="is-IS"/>
        </w:rPr>
      </w:pPr>
    </w:p>
    <w:p w14:paraId="24DF7B7D" w14:textId="77777777" w:rsidR="006C06D6" w:rsidRPr="009F7642" w:rsidRDefault="00564614" w:rsidP="008B60B2">
      <w:pPr>
        <w:keepNext/>
        <w:suppressAutoHyphens/>
        <w:spacing w:after="0" w:line="240" w:lineRule="auto"/>
        <w:ind w:left="0" w:firstLine="0"/>
        <w:rPr>
          <w:i/>
          <w:color w:val="auto"/>
          <w:u w:val="single"/>
          <w:lang w:val="is-IS"/>
        </w:rPr>
      </w:pPr>
      <w:r w:rsidRPr="009F7642">
        <w:rPr>
          <w:i/>
          <w:color w:val="auto"/>
          <w:u w:val="single"/>
          <w:lang w:val="is-IS"/>
        </w:rPr>
        <w:t>Meltingarfæra- og leggangafistlar í GOG-0240 rannsókninni</w:t>
      </w:r>
    </w:p>
    <w:p w14:paraId="2C911E69" w14:textId="77777777" w:rsidR="007A04BD" w:rsidRPr="009F7642" w:rsidRDefault="007A04BD" w:rsidP="008B60B2">
      <w:pPr>
        <w:keepNext/>
        <w:suppressAutoHyphens/>
        <w:spacing w:after="0" w:line="240" w:lineRule="auto"/>
        <w:ind w:left="0" w:firstLine="0"/>
        <w:rPr>
          <w:color w:val="auto"/>
          <w:lang w:val="is-IS"/>
        </w:rPr>
      </w:pPr>
    </w:p>
    <w:p w14:paraId="56487E3B"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rannsókn hjá sjúklingum með krabbamein í leghálsi sem var þrálátt og endurkomið eða með meinvörpum var tíðni meltingarfæra- og leggangafistla 8,3% hjá sjúklingum sem fengu </w:t>
      </w:r>
      <w:r w:rsidR="004526D5" w:rsidRPr="00F2274F">
        <w:rPr>
          <w:color w:val="auto"/>
          <w:lang w:val="is-IS"/>
        </w:rPr>
        <w:t>bevacízúmab</w:t>
      </w:r>
      <w:r w:rsidRPr="009F7642">
        <w:rPr>
          <w:color w:val="auto"/>
          <w:lang w:val="is-IS"/>
        </w:rPr>
        <w:t xml:space="preserve"> en 0,9% hjá samanburðarsjúklingum, en allir þessir sjúklingar höfðu áður fengið geislameðferð á grindarholssvæði. Tíðni meltingarfæra- og leggangafistla hjá hópnum sem fékk </w:t>
      </w:r>
      <w:r w:rsidR="004526D5" w:rsidRPr="00F2274F">
        <w:rPr>
          <w:color w:val="auto"/>
          <w:lang w:val="is-IS"/>
        </w:rPr>
        <w:t>bevacízúmab</w:t>
      </w:r>
      <w:r w:rsidRPr="009F7642">
        <w:rPr>
          <w:color w:val="auto"/>
          <w:lang w:val="is-IS"/>
        </w:rPr>
        <w:t xml:space="preserve"> ásamt krabbameinslyfjum var meiri hjá sjúklingum með endurkomið krabbamein á svæði sem áður hafði fengið geislameðferð (16,7%) en hjá sjúklingum sem ekki höfðu áður fengið geislameðferð og/eða voru ekki með endurkomið krabbamein innan svæðis sem áður hafði fengið geislameðferð (3,6%). Sambærileg tíðni hjá samanburðarhópnum sem eingöngu fékk krabbameinslyf var 1,1% og 0,8%. Sjúklingar sem fá meltingarfæra- og leggangafistla gætu einnig verið með þarmateppu og þarfnast skurðaðgerðar og stóma.</w:t>
      </w:r>
    </w:p>
    <w:p w14:paraId="361F8057" w14:textId="77777777" w:rsidR="005F36F3" w:rsidRPr="009F7642" w:rsidRDefault="005F36F3" w:rsidP="008B60B2">
      <w:pPr>
        <w:suppressAutoHyphens/>
        <w:spacing w:after="0" w:line="240" w:lineRule="auto"/>
        <w:ind w:left="0" w:firstLine="0"/>
        <w:rPr>
          <w:color w:val="auto"/>
          <w:lang w:val="is-IS"/>
        </w:rPr>
      </w:pPr>
    </w:p>
    <w:p w14:paraId="718B5A73" w14:textId="77777777" w:rsidR="006C06D6" w:rsidRPr="009F7642" w:rsidRDefault="00564614" w:rsidP="008B60B2">
      <w:pPr>
        <w:keepNext/>
        <w:suppressAutoHyphens/>
        <w:spacing w:after="0" w:line="240" w:lineRule="auto"/>
        <w:ind w:left="0" w:firstLine="0"/>
        <w:rPr>
          <w:color w:val="auto"/>
          <w:u w:val="single"/>
          <w:lang w:val="is-IS"/>
        </w:rPr>
      </w:pPr>
      <w:r w:rsidRPr="009F7642">
        <w:rPr>
          <w:i/>
          <w:color w:val="auto"/>
          <w:u w:val="single"/>
          <w:lang w:val="is-IS"/>
        </w:rPr>
        <w:t>Fistlar utan meltin</w:t>
      </w:r>
      <w:r w:rsidRPr="00363B58">
        <w:rPr>
          <w:i/>
          <w:color w:val="auto"/>
          <w:u w:val="single"/>
          <w:lang w:val="is-IS"/>
        </w:rPr>
        <w:t>garveg</w:t>
      </w:r>
      <w:r w:rsidR="00BE16C8" w:rsidRPr="00363B58">
        <w:rPr>
          <w:i/>
          <w:color w:val="auto"/>
          <w:u w:val="single"/>
          <w:lang w:val="is-IS"/>
        </w:rPr>
        <w:t>ar</w:t>
      </w:r>
      <w:r w:rsidRPr="009F7642">
        <w:rPr>
          <w:color w:val="auto"/>
          <w:u w:val="single"/>
          <w:lang w:val="is-IS"/>
        </w:rPr>
        <w:t xml:space="preserve"> (sjá kafla 4.4)</w:t>
      </w:r>
    </w:p>
    <w:p w14:paraId="0A19ED9C" w14:textId="77777777" w:rsidR="007A04BD" w:rsidRPr="009F7642" w:rsidRDefault="007A04BD" w:rsidP="008B60B2">
      <w:pPr>
        <w:keepNext/>
        <w:suppressAutoHyphens/>
        <w:spacing w:after="0" w:line="240" w:lineRule="auto"/>
        <w:ind w:left="0" w:firstLine="0"/>
        <w:rPr>
          <w:color w:val="auto"/>
          <w:lang w:val="is-IS"/>
        </w:rPr>
      </w:pPr>
    </w:p>
    <w:p w14:paraId="1FBD28A7"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Notkun </w:t>
      </w:r>
      <w:r w:rsidR="00690564" w:rsidRPr="00F2274F">
        <w:rPr>
          <w:lang w:val="is-IS"/>
        </w:rPr>
        <w:t>bevacízúmab</w:t>
      </w:r>
      <w:r w:rsidR="006A0B61" w:rsidRPr="00F2274F">
        <w:rPr>
          <w:lang w:val="is-IS"/>
        </w:rPr>
        <w:t>s</w:t>
      </w:r>
      <w:r w:rsidRPr="009F7642">
        <w:rPr>
          <w:color w:val="auto"/>
          <w:lang w:val="is-IS"/>
        </w:rPr>
        <w:t xml:space="preserve"> hefur tengst alvarlegum tilfellum af fistlum að meðtöldum tilvikum sem leiddu til dauða.</w:t>
      </w:r>
    </w:p>
    <w:p w14:paraId="36CD643D" w14:textId="77777777" w:rsidR="005F36F3" w:rsidRPr="009F7642" w:rsidRDefault="005F36F3" w:rsidP="008B60B2">
      <w:pPr>
        <w:suppressAutoHyphens/>
        <w:spacing w:after="0" w:line="240" w:lineRule="auto"/>
        <w:ind w:left="0" w:firstLine="0"/>
        <w:rPr>
          <w:color w:val="auto"/>
          <w:lang w:val="is-IS"/>
        </w:rPr>
      </w:pPr>
    </w:p>
    <w:p w14:paraId="008B3C46"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Í klínískri rannsókn hjá sjúklingum með krabbamein í leghálsi sem var þrálátt og endurkomið eða með meinvörpum (GOG-</w:t>
      </w:r>
      <w:r w:rsidR="00A25A33">
        <w:rPr>
          <w:color w:val="auto"/>
          <w:lang w:val="is-IS"/>
        </w:rPr>
        <w:t>0</w:t>
      </w:r>
      <w:r w:rsidRPr="009F7642">
        <w:rPr>
          <w:color w:val="auto"/>
          <w:lang w:val="is-IS"/>
        </w:rPr>
        <w:t xml:space="preserve">240) var tilkynnt um fistla í leggöngum, þvagblöðru eða kynfærum kvenna sem ekki tengdust meltingarfærum hjá 1,8% sjúklinga sem fengu </w:t>
      </w:r>
      <w:r w:rsidR="00690564" w:rsidRPr="00F2274F">
        <w:rPr>
          <w:lang w:val="is-IS"/>
        </w:rPr>
        <w:t>bevacízúmab</w:t>
      </w:r>
      <w:r w:rsidR="00530322" w:rsidRPr="009F7642" w:rsidDel="00530322">
        <w:rPr>
          <w:color w:val="auto"/>
          <w:lang w:val="is-IS"/>
        </w:rPr>
        <w:t xml:space="preserve"> </w:t>
      </w:r>
      <w:r w:rsidRPr="009F7642">
        <w:rPr>
          <w:color w:val="auto"/>
          <w:lang w:val="is-IS"/>
        </w:rPr>
        <w:t>en 1,4% hjá samanburðarsjúklingum.</w:t>
      </w:r>
    </w:p>
    <w:p w14:paraId="7894012C" w14:textId="77777777" w:rsidR="005F36F3" w:rsidRPr="009F7642" w:rsidRDefault="005F36F3" w:rsidP="008B60B2">
      <w:pPr>
        <w:suppressAutoHyphens/>
        <w:spacing w:after="0" w:line="240" w:lineRule="auto"/>
        <w:ind w:left="0" w:firstLine="0"/>
        <w:rPr>
          <w:color w:val="auto"/>
          <w:lang w:val="is-IS"/>
        </w:rPr>
      </w:pPr>
    </w:p>
    <w:p w14:paraId="60FDFA95" w14:textId="77777777" w:rsidR="006C06D6" w:rsidRPr="009F7642" w:rsidRDefault="00A23670" w:rsidP="008B60B2">
      <w:pPr>
        <w:suppressAutoHyphens/>
        <w:spacing w:after="0" w:line="240" w:lineRule="auto"/>
        <w:ind w:left="0" w:firstLine="0"/>
        <w:rPr>
          <w:color w:val="auto"/>
          <w:lang w:val="is-IS"/>
        </w:rPr>
      </w:pPr>
      <w:r>
        <w:rPr>
          <w:color w:val="auto"/>
          <w:lang w:val="is-IS"/>
        </w:rPr>
        <w:lastRenderedPageBreak/>
        <w:t>Sjaldgæfar (≥ </w:t>
      </w:r>
      <w:r w:rsidR="00564614" w:rsidRPr="009F7642">
        <w:rPr>
          <w:color w:val="auto"/>
          <w:lang w:val="is-IS"/>
        </w:rPr>
        <w:t xml:space="preserve">0,1% til </w:t>
      </w:r>
      <w:r w:rsidR="00540AC4">
        <w:rPr>
          <w:color w:val="auto"/>
          <w:lang w:val="is-IS"/>
        </w:rPr>
        <w:t>&lt; </w:t>
      </w:r>
      <w:r w:rsidR="00564614" w:rsidRPr="009F7642">
        <w:rPr>
          <w:color w:val="auto"/>
          <w:lang w:val="is-IS"/>
        </w:rPr>
        <w:t>1%) tilkynningar um fistla sem ná til annarra svæða líkamans heldur en meltingarvegar (t.d. berkjufleiðru- og gallfistlar) komu fram við ýmsar ábendingar. Eftir markaðssetningu hefur einnig verið tilkynnt um fistla.</w:t>
      </w:r>
    </w:p>
    <w:p w14:paraId="0A83066A" w14:textId="77777777" w:rsidR="005F36F3" w:rsidRPr="009F7642" w:rsidRDefault="005F36F3" w:rsidP="008B60B2">
      <w:pPr>
        <w:suppressAutoHyphens/>
        <w:spacing w:after="0" w:line="240" w:lineRule="auto"/>
        <w:ind w:left="0" w:firstLine="0"/>
        <w:rPr>
          <w:color w:val="auto"/>
          <w:lang w:val="is-IS"/>
        </w:rPr>
      </w:pPr>
    </w:p>
    <w:p w14:paraId="5F99D3A4"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Tilkynnt var um tilvikin á mismunandi tímapunktum meðferðarinnar, allt frá einni viku upp í yfir 1 ár frá því að </w:t>
      </w:r>
      <w:r w:rsidR="00690564" w:rsidRPr="00F2274F">
        <w:rPr>
          <w:lang w:val="is-IS"/>
        </w:rPr>
        <w:t>bevacízúmab</w:t>
      </w:r>
      <w:r w:rsidRPr="009F7642">
        <w:rPr>
          <w:color w:val="auto"/>
          <w:lang w:val="is-IS"/>
        </w:rPr>
        <w:t xml:space="preserve"> meðferð hófst, en flest tilfellin komu fram á fyrstu 6 mánuðum meðferðarinnar.</w:t>
      </w:r>
    </w:p>
    <w:p w14:paraId="2B593131" w14:textId="77777777" w:rsidR="005F36F3" w:rsidRPr="009F7642" w:rsidRDefault="005F36F3" w:rsidP="008B60B2">
      <w:pPr>
        <w:suppressAutoHyphens/>
        <w:spacing w:after="0" w:line="240" w:lineRule="auto"/>
        <w:ind w:left="0" w:firstLine="0"/>
        <w:rPr>
          <w:color w:val="auto"/>
          <w:lang w:val="is-IS"/>
        </w:rPr>
      </w:pPr>
    </w:p>
    <w:p w14:paraId="17C0ECE2" w14:textId="77777777" w:rsidR="006C06D6" w:rsidRPr="009F7642" w:rsidRDefault="00564614" w:rsidP="008B60B2">
      <w:pPr>
        <w:keepNext/>
        <w:suppressAutoHyphens/>
        <w:spacing w:after="0" w:line="240" w:lineRule="auto"/>
        <w:ind w:left="0" w:firstLine="0"/>
        <w:rPr>
          <w:color w:val="auto"/>
          <w:u w:val="single"/>
          <w:lang w:val="is-IS"/>
        </w:rPr>
      </w:pPr>
      <w:r w:rsidRPr="009F7642">
        <w:rPr>
          <w:i/>
          <w:color w:val="auto"/>
          <w:u w:val="single"/>
          <w:lang w:val="is-IS"/>
        </w:rPr>
        <w:t>Sáragræðsla</w:t>
      </w:r>
      <w:r w:rsidRPr="009F7642">
        <w:rPr>
          <w:color w:val="auto"/>
          <w:u w:val="single"/>
          <w:lang w:val="is-IS"/>
        </w:rPr>
        <w:t xml:space="preserve"> (sjá kafla 4.4)</w:t>
      </w:r>
    </w:p>
    <w:p w14:paraId="5F4C69E6" w14:textId="77777777" w:rsidR="008B6845" w:rsidRPr="009F7642" w:rsidRDefault="008B6845" w:rsidP="008B60B2">
      <w:pPr>
        <w:keepNext/>
        <w:suppressAutoHyphens/>
        <w:spacing w:after="0" w:line="240" w:lineRule="auto"/>
        <w:ind w:left="0" w:firstLine="0"/>
        <w:rPr>
          <w:color w:val="auto"/>
          <w:lang w:val="is-IS"/>
        </w:rPr>
      </w:pPr>
    </w:p>
    <w:p w14:paraId="1187878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Þar sem </w:t>
      </w:r>
      <w:r w:rsidR="00690564" w:rsidRPr="00F2274F">
        <w:rPr>
          <w:lang w:val="is-IS"/>
        </w:rPr>
        <w:t>bevacízúmab</w:t>
      </w:r>
      <w:r w:rsidRPr="009F7642">
        <w:rPr>
          <w:color w:val="auto"/>
          <w:lang w:val="is-IS"/>
        </w:rPr>
        <w:t xml:space="preserve"> getur haft óæskileg áhrif á að sár grói, voru sjúklingar sem farið höfðu í stóra skurðaðgerð á undangengnum 28 dögum útilokaðir frá þátttöku í III. stigs klínískum rannsóknum.</w:t>
      </w:r>
    </w:p>
    <w:p w14:paraId="176814C0" w14:textId="77777777" w:rsidR="005F36F3" w:rsidRPr="009F7642" w:rsidRDefault="005F36F3" w:rsidP="008B60B2">
      <w:pPr>
        <w:suppressAutoHyphens/>
        <w:spacing w:after="0" w:line="240" w:lineRule="auto"/>
        <w:ind w:left="0" w:firstLine="0"/>
        <w:rPr>
          <w:color w:val="auto"/>
          <w:lang w:val="is-IS"/>
        </w:rPr>
      </w:pPr>
    </w:p>
    <w:p w14:paraId="0EF0CC24"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klínískum rannsóknum á krabbameini í ristli eða endaþarmi með meinvörpum varð ekki vart við aukna hættu á blæðingu eftir uppskurð eða fylgikvilla tengda græðingu sára hjá sjúklingum sem fóru í stóra skurðaðgerð 28-60 dögum áður en meðferð með </w:t>
      </w:r>
      <w:r w:rsidR="00690564" w:rsidRPr="00F2274F">
        <w:rPr>
          <w:lang w:val="is-IS"/>
        </w:rPr>
        <w:t>bevacízúmab</w:t>
      </w:r>
      <w:r w:rsidR="00530322" w:rsidRPr="00F2274F">
        <w:rPr>
          <w:lang w:val="is-IS"/>
        </w:rPr>
        <w:t>i</w:t>
      </w:r>
      <w:r w:rsidRPr="009F7642">
        <w:rPr>
          <w:color w:val="auto"/>
          <w:lang w:val="is-IS"/>
        </w:rPr>
        <w:t xml:space="preserve"> hófst. Vart varð við aukna tíðni blæðingar eftir uppskurð eða fylgikvilla tengda græðingu sára sem komu fram innan 60 daga frá stórri skurðaðgerð ef sjúklingurinn var á meðferð með </w:t>
      </w:r>
      <w:r w:rsidR="00690564" w:rsidRPr="00F2274F">
        <w:rPr>
          <w:lang w:val="is-IS"/>
        </w:rPr>
        <w:t>bevacízúmab</w:t>
      </w:r>
      <w:r w:rsidR="00530322" w:rsidRPr="00F2274F">
        <w:rPr>
          <w:lang w:val="is-IS"/>
        </w:rPr>
        <w:t>i</w:t>
      </w:r>
      <w:r w:rsidRPr="009F7642">
        <w:rPr>
          <w:color w:val="auto"/>
          <w:lang w:val="is-IS"/>
        </w:rPr>
        <w:t xml:space="preserve"> þegar skurðaðgerðin var gerð. Tíðnin var á bilinu 10% (4/40) til 20% (3/15).</w:t>
      </w:r>
    </w:p>
    <w:p w14:paraId="46D43202" w14:textId="77777777" w:rsidR="005F36F3" w:rsidRPr="009F7642" w:rsidRDefault="005F36F3" w:rsidP="008B60B2">
      <w:pPr>
        <w:suppressAutoHyphens/>
        <w:spacing w:after="0" w:line="240" w:lineRule="auto"/>
        <w:ind w:left="0" w:firstLine="0"/>
        <w:rPr>
          <w:color w:val="auto"/>
          <w:lang w:val="is-IS"/>
        </w:rPr>
      </w:pPr>
    </w:p>
    <w:p w14:paraId="558F41A7"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Tilkynnt hefur verið um alvarleg vandamál við sáragræðslu, þ.m.t.samgötunarvandamál (anastomotic complications), sem stundum hafa verið banvæn.</w:t>
      </w:r>
    </w:p>
    <w:p w14:paraId="73D69615" w14:textId="77777777" w:rsidR="005F36F3" w:rsidRPr="009F7642" w:rsidRDefault="005F36F3" w:rsidP="008B60B2">
      <w:pPr>
        <w:suppressAutoHyphens/>
        <w:spacing w:after="0" w:line="240" w:lineRule="auto"/>
        <w:ind w:left="0" w:firstLine="0"/>
        <w:rPr>
          <w:color w:val="auto"/>
          <w:lang w:val="is-IS"/>
        </w:rPr>
      </w:pPr>
    </w:p>
    <w:p w14:paraId="0A488B7C"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Í rannsóknum á endurteknu staðbundnu brjóstakrabbameini og brjóstakrabbameini með meinvörpum varð vart við 3.-5.</w:t>
      </w:r>
      <w:r w:rsidR="00A25A33">
        <w:rPr>
          <w:color w:val="auto"/>
          <w:lang w:val="is-IS"/>
        </w:rPr>
        <w:t> </w:t>
      </w:r>
      <w:r w:rsidRPr="009F7642">
        <w:rPr>
          <w:color w:val="auto"/>
          <w:lang w:val="is-IS"/>
        </w:rPr>
        <w:t xml:space="preserve">stigs vandamál við að sár gréru hjá allt að 1,1% sjúklinga sem fengu </w:t>
      </w:r>
      <w:r w:rsidR="00690564" w:rsidRPr="00F2274F">
        <w:rPr>
          <w:lang w:val="is-IS"/>
        </w:rPr>
        <w:t>bevacízúmab</w:t>
      </w:r>
      <w:r w:rsidR="00893F06" w:rsidRPr="009F7642" w:rsidDel="00893F06">
        <w:rPr>
          <w:color w:val="auto"/>
          <w:lang w:val="is-IS"/>
        </w:rPr>
        <w:t xml:space="preserve"> </w:t>
      </w:r>
      <w:r w:rsidRPr="009F7642">
        <w:rPr>
          <w:color w:val="auto"/>
          <w:lang w:val="is-IS"/>
        </w:rPr>
        <w:t>samanborið við allt að 0,9% sjúklinga í samanburðarhópum (NCI-CTCAE, 3.</w:t>
      </w:r>
      <w:r w:rsidR="00A25A33">
        <w:rPr>
          <w:color w:val="auto"/>
          <w:lang w:val="is-IS"/>
        </w:rPr>
        <w:t> </w:t>
      </w:r>
      <w:r w:rsidRPr="009F7642">
        <w:rPr>
          <w:color w:val="auto"/>
          <w:lang w:val="is-IS"/>
        </w:rPr>
        <w:t>útg.).</w:t>
      </w:r>
    </w:p>
    <w:p w14:paraId="1C1BBE3C" w14:textId="77777777" w:rsidR="005F36F3" w:rsidRPr="009F7642" w:rsidRDefault="005F36F3" w:rsidP="008B60B2">
      <w:pPr>
        <w:suppressAutoHyphens/>
        <w:spacing w:after="0" w:line="240" w:lineRule="auto"/>
        <w:ind w:left="0" w:firstLine="0"/>
        <w:rPr>
          <w:color w:val="auto"/>
          <w:lang w:val="is-IS"/>
        </w:rPr>
      </w:pPr>
    </w:p>
    <w:p w14:paraId="6F5DC163"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Í klínískum rannsóknum á krabbameini í eggjastokkum varð vart við 3.-5.</w:t>
      </w:r>
      <w:r w:rsidR="00A25A33">
        <w:rPr>
          <w:color w:val="auto"/>
          <w:lang w:val="is-IS"/>
        </w:rPr>
        <w:t> </w:t>
      </w:r>
      <w:r w:rsidRPr="009F7642">
        <w:rPr>
          <w:color w:val="auto"/>
          <w:lang w:val="is-IS"/>
        </w:rPr>
        <w:t xml:space="preserve">stigs vandamál við að sár gréru hjá allt að 1,8% sjúklinga sem fengu </w:t>
      </w:r>
      <w:r w:rsidR="006A0B61" w:rsidRPr="009F7642">
        <w:rPr>
          <w:color w:val="auto"/>
          <w:lang w:val="is-IS"/>
        </w:rPr>
        <w:t>bevac</w:t>
      </w:r>
      <w:r w:rsidR="006A0B61">
        <w:rPr>
          <w:color w:val="auto"/>
          <w:lang w:val="is-IS"/>
        </w:rPr>
        <w:t>í</w:t>
      </w:r>
      <w:r w:rsidR="006A0B61" w:rsidRPr="009F7642">
        <w:rPr>
          <w:color w:val="auto"/>
          <w:lang w:val="is-IS"/>
        </w:rPr>
        <w:t>zúmab</w:t>
      </w:r>
      <w:r w:rsidRPr="009F7642">
        <w:rPr>
          <w:color w:val="auto"/>
          <w:lang w:val="is-IS"/>
        </w:rPr>
        <w:t>, borið saman við 0,1% sjúklinga í samanburðarhópnum (NCI-CTCAE, 3.</w:t>
      </w:r>
      <w:r w:rsidR="00A25A33">
        <w:rPr>
          <w:color w:val="auto"/>
          <w:lang w:val="is-IS"/>
        </w:rPr>
        <w:t> </w:t>
      </w:r>
      <w:r w:rsidRPr="009F7642">
        <w:rPr>
          <w:color w:val="auto"/>
          <w:lang w:val="is-IS"/>
        </w:rPr>
        <w:t>útg.).</w:t>
      </w:r>
    </w:p>
    <w:p w14:paraId="7AD0D8A4" w14:textId="77777777" w:rsidR="005F36F3" w:rsidRPr="009F7642" w:rsidRDefault="005F36F3" w:rsidP="008B60B2">
      <w:pPr>
        <w:suppressAutoHyphens/>
        <w:spacing w:after="0" w:line="240" w:lineRule="auto"/>
        <w:ind w:left="0" w:firstLine="0"/>
        <w:rPr>
          <w:color w:val="auto"/>
          <w:lang w:val="is-IS"/>
        </w:rPr>
      </w:pPr>
    </w:p>
    <w:p w14:paraId="3913F826" w14:textId="77777777" w:rsidR="006C06D6" w:rsidRPr="009F7642" w:rsidRDefault="00564614" w:rsidP="008B60B2">
      <w:pPr>
        <w:keepNext/>
        <w:suppressAutoHyphens/>
        <w:spacing w:after="0" w:line="240" w:lineRule="auto"/>
        <w:ind w:left="0" w:firstLine="0"/>
        <w:rPr>
          <w:i/>
          <w:color w:val="auto"/>
          <w:u w:val="single"/>
          <w:lang w:val="is-IS"/>
        </w:rPr>
      </w:pPr>
      <w:r w:rsidRPr="009F7642">
        <w:rPr>
          <w:i/>
          <w:color w:val="auto"/>
          <w:u w:val="single"/>
          <w:lang w:val="is-IS"/>
        </w:rPr>
        <w:t xml:space="preserve">Háþrýstingur </w:t>
      </w:r>
      <w:r w:rsidRPr="009F7642">
        <w:rPr>
          <w:color w:val="auto"/>
          <w:u w:val="single"/>
          <w:lang w:val="is-IS"/>
        </w:rPr>
        <w:t>(sjá kafla 4.4)</w:t>
      </w:r>
    </w:p>
    <w:p w14:paraId="4E23AB49" w14:textId="77777777" w:rsidR="008B6845" w:rsidRPr="009F7642" w:rsidRDefault="008B6845" w:rsidP="008B60B2">
      <w:pPr>
        <w:keepNext/>
        <w:suppressAutoHyphens/>
        <w:spacing w:after="0" w:line="240" w:lineRule="auto"/>
        <w:ind w:left="0" w:firstLine="0"/>
        <w:rPr>
          <w:color w:val="auto"/>
          <w:lang w:val="is-IS"/>
        </w:rPr>
      </w:pPr>
    </w:p>
    <w:p w14:paraId="496EF56C"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klínískum rannsóknum, að frátalinni JO25567-rannsókninni, var heildartíðni háþrýstings (öll stig) allt að 42,1% hjá hópum sem fengu </w:t>
      </w:r>
      <w:r w:rsidR="00690564" w:rsidRPr="00F2274F">
        <w:rPr>
          <w:lang w:val="is-IS"/>
        </w:rPr>
        <w:t>bevacízúmab</w:t>
      </w:r>
      <w:r w:rsidRPr="009F7642">
        <w:rPr>
          <w:color w:val="auto"/>
          <w:lang w:val="is-IS"/>
        </w:rPr>
        <w:t xml:space="preserve">, samanborið við allt að 14% í samanburðarhópunum. Heildartíðni 3. og 4. stigs háþrýstings (NCI-CTC) hjá sjúklingum sem fengu </w:t>
      </w:r>
      <w:r w:rsidR="00690564" w:rsidRPr="00F2274F">
        <w:rPr>
          <w:lang w:val="is-IS"/>
        </w:rPr>
        <w:t>bevacízúmab</w:t>
      </w:r>
      <w:r w:rsidRPr="009F7642">
        <w:rPr>
          <w:color w:val="auto"/>
          <w:lang w:val="is-IS"/>
        </w:rPr>
        <w:t xml:space="preserve"> var á bilinu 0,4% til 17,9%. 4. stigs háþrýstingur (háþrýstingskreppa) kom fyrir hjá allt að 1,0% sjúklinga sem fengu </w:t>
      </w:r>
      <w:r w:rsidR="00690564" w:rsidRPr="00F2274F">
        <w:rPr>
          <w:lang w:val="is-IS"/>
        </w:rPr>
        <w:t>bevacízúmab</w:t>
      </w:r>
      <w:r w:rsidRPr="009F7642">
        <w:rPr>
          <w:color w:val="auto"/>
          <w:lang w:val="is-IS"/>
        </w:rPr>
        <w:t xml:space="preserve"> og krabbameinslyfjameðferð samanborið við allt að 0,2% sjúklinga sem fengu sömu krabbameinslyfjameðferð eina sér.</w:t>
      </w:r>
    </w:p>
    <w:p w14:paraId="40CA0B46" w14:textId="77777777" w:rsidR="005F36F3" w:rsidRPr="009F7642" w:rsidRDefault="005F36F3" w:rsidP="008B60B2">
      <w:pPr>
        <w:suppressAutoHyphens/>
        <w:spacing w:after="0" w:line="240" w:lineRule="auto"/>
        <w:ind w:left="0" w:firstLine="0"/>
        <w:rPr>
          <w:color w:val="auto"/>
          <w:lang w:val="is-IS"/>
        </w:rPr>
      </w:pPr>
    </w:p>
    <w:p w14:paraId="221F4A82"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JO25567-rannsókninni sást háþrýstingur á einhverju stigi hjá 77,3% sjúklinga sem fengu </w:t>
      </w:r>
      <w:r w:rsidR="00690564" w:rsidRPr="00F2274F">
        <w:rPr>
          <w:lang w:val="is-IS"/>
        </w:rPr>
        <w:t>bevacízúmab</w:t>
      </w:r>
      <w:r w:rsidRPr="009F7642">
        <w:rPr>
          <w:color w:val="auto"/>
          <w:lang w:val="is-IS"/>
        </w:rPr>
        <w:t xml:space="preserve"> ásamt erlótíníbi sem fyrstu meðferð við lungnakrabbameini sem ekki var af flöguþekjugerð eða smáfrumugerð og var með virkjandi stökkbreytingar í EGFR, samanborið við 14,3% sjúklinga sem fengu erlótíníb eingöngu. Háþrýstingur á stigi 3 sást hjá 60,0% sjúklinga sem fengu </w:t>
      </w:r>
      <w:r w:rsidR="00690564" w:rsidRPr="00F2274F">
        <w:rPr>
          <w:lang w:val="is-IS"/>
        </w:rPr>
        <w:t>bevacízúmab</w:t>
      </w:r>
      <w:r w:rsidRPr="009F7642">
        <w:rPr>
          <w:color w:val="auto"/>
          <w:lang w:val="is-IS"/>
        </w:rPr>
        <w:t xml:space="preserve"> ásamt erlótíníbi, samanborið við 11,7% sjúklinga sem fengu erlótíníb eingöngu. Ekki sáust nein tilvik háþrýstings á stigi 4 eða 5.</w:t>
      </w:r>
    </w:p>
    <w:p w14:paraId="257A1B0B" w14:textId="77777777" w:rsidR="005F36F3" w:rsidRPr="009F7642" w:rsidRDefault="005F36F3" w:rsidP="008B60B2">
      <w:pPr>
        <w:suppressAutoHyphens/>
        <w:spacing w:after="0" w:line="240" w:lineRule="auto"/>
        <w:ind w:left="0" w:firstLine="0"/>
        <w:rPr>
          <w:color w:val="auto"/>
          <w:lang w:val="is-IS"/>
        </w:rPr>
      </w:pPr>
    </w:p>
    <w:p w14:paraId="586C4937"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Háþrýstingi var yfirleitt vel stjórnað með blóðþrýstingslækkandi lyfjum til inntöku, svo sem ACE</w:t>
      </w:r>
      <w:r w:rsidR="003D4A14">
        <w:rPr>
          <w:color w:val="auto"/>
          <w:lang w:val="is-IS"/>
        </w:rPr>
        <w:noBreakHyphen/>
      </w:r>
      <w:r w:rsidRPr="009F7642">
        <w:rPr>
          <w:color w:val="auto"/>
          <w:lang w:val="is-IS"/>
        </w:rPr>
        <w:t xml:space="preserve">hemlum, þvagræsilyfjum og kalsíumgangalokum. Í mjög sjaldgæfum tilfellum leiddi þetta til rofs á </w:t>
      </w:r>
      <w:r w:rsidR="00690564" w:rsidRPr="00F2274F">
        <w:rPr>
          <w:lang w:val="is-IS"/>
        </w:rPr>
        <w:t>bevacízúmab</w:t>
      </w:r>
      <w:r w:rsidRPr="009F7642">
        <w:rPr>
          <w:color w:val="auto"/>
          <w:lang w:val="is-IS"/>
        </w:rPr>
        <w:t xml:space="preserve"> meðferð eða innlagnar á sjúkrahús.</w:t>
      </w:r>
    </w:p>
    <w:p w14:paraId="4D41A31D" w14:textId="77777777" w:rsidR="005F36F3" w:rsidRPr="009F7642" w:rsidRDefault="005F36F3" w:rsidP="008B60B2">
      <w:pPr>
        <w:suppressAutoHyphens/>
        <w:spacing w:after="0" w:line="240" w:lineRule="auto"/>
        <w:ind w:left="0" w:firstLine="0"/>
        <w:rPr>
          <w:color w:val="auto"/>
          <w:lang w:val="is-IS"/>
        </w:rPr>
      </w:pPr>
    </w:p>
    <w:p w14:paraId="6A1B6B18"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Örsjaldan hefur verið tilkynnt um tilfelli af háþrýstingsheilakvilla, sem sum voru banvæn.</w:t>
      </w:r>
    </w:p>
    <w:p w14:paraId="38E87693" w14:textId="77777777" w:rsidR="005F36F3" w:rsidRPr="009F7642" w:rsidRDefault="005F36F3" w:rsidP="008B60B2">
      <w:pPr>
        <w:suppressAutoHyphens/>
        <w:spacing w:after="0" w:line="240" w:lineRule="auto"/>
        <w:ind w:left="0" w:firstLine="0"/>
        <w:rPr>
          <w:color w:val="auto"/>
          <w:lang w:val="is-IS"/>
        </w:rPr>
      </w:pPr>
    </w:p>
    <w:p w14:paraId="4919ACBC" w14:textId="75ED688B"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Ekki var fylgni milli hættu á háþrýstingi </w:t>
      </w:r>
      <w:r w:rsidR="00AE3D30">
        <w:rPr>
          <w:color w:val="auto"/>
          <w:lang w:val="is-IS"/>
        </w:rPr>
        <w:t xml:space="preserve">sem tengdist </w:t>
      </w:r>
      <w:r w:rsidR="00AE3D30" w:rsidRPr="00F2274F">
        <w:rPr>
          <w:lang w:val="is-IS"/>
        </w:rPr>
        <w:t>bevacízúmab</w:t>
      </w:r>
      <w:r w:rsidR="00AE3D30">
        <w:rPr>
          <w:lang w:val="is-IS"/>
        </w:rPr>
        <w:t xml:space="preserve"> </w:t>
      </w:r>
      <w:r w:rsidRPr="009F7642">
        <w:rPr>
          <w:color w:val="auto"/>
          <w:lang w:val="is-IS"/>
        </w:rPr>
        <w:t xml:space="preserve">og </w:t>
      </w:r>
      <w:r w:rsidR="00AE3D30" w:rsidRPr="00AE3D30">
        <w:rPr>
          <w:color w:val="auto"/>
          <w:lang w:val="is-IS"/>
        </w:rPr>
        <w:t>upphafs</w:t>
      </w:r>
      <w:r w:rsidRPr="009F7642">
        <w:rPr>
          <w:color w:val="auto"/>
          <w:lang w:val="is-IS"/>
        </w:rPr>
        <w:t>einkenn</w:t>
      </w:r>
      <w:r w:rsidR="00AE3D30">
        <w:rPr>
          <w:color w:val="auto"/>
          <w:lang w:val="is-IS"/>
        </w:rPr>
        <w:t>a</w:t>
      </w:r>
      <w:r w:rsidRPr="009F7642">
        <w:rPr>
          <w:color w:val="auto"/>
          <w:lang w:val="is-IS"/>
        </w:rPr>
        <w:t xml:space="preserve"> sjúklinga, </w:t>
      </w:r>
      <w:r w:rsidR="00AE3D30" w:rsidRPr="009F7642">
        <w:rPr>
          <w:color w:val="auto"/>
          <w:lang w:val="is-IS"/>
        </w:rPr>
        <w:t>sjúkdóm</w:t>
      </w:r>
      <w:r w:rsidR="00AE3D30">
        <w:rPr>
          <w:color w:val="auto"/>
          <w:lang w:val="is-IS"/>
        </w:rPr>
        <w:t>sins</w:t>
      </w:r>
      <w:r w:rsidR="00AE3D30" w:rsidRPr="009F7642">
        <w:rPr>
          <w:color w:val="auto"/>
          <w:lang w:val="is-IS"/>
        </w:rPr>
        <w:t xml:space="preserve"> </w:t>
      </w:r>
      <w:r w:rsidRPr="009F7642">
        <w:rPr>
          <w:color w:val="auto"/>
          <w:lang w:val="is-IS"/>
        </w:rPr>
        <w:t>sem verið var að meðhöndla eða samhliða meðferð</w:t>
      </w:r>
      <w:r w:rsidR="00AE3D30">
        <w:rPr>
          <w:color w:val="auto"/>
          <w:lang w:val="is-IS"/>
        </w:rPr>
        <w:t>ar</w:t>
      </w:r>
      <w:r w:rsidRPr="009F7642">
        <w:rPr>
          <w:color w:val="auto"/>
          <w:lang w:val="is-IS"/>
        </w:rPr>
        <w:t>.</w:t>
      </w:r>
    </w:p>
    <w:p w14:paraId="79047F23" w14:textId="77777777" w:rsidR="005F36F3" w:rsidRPr="009F7642" w:rsidRDefault="005F36F3" w:rsidP="008B60B2">
      <w:pPr>
        <w:suppressAutoHyphens/>
        <w:spacing w:after="0" w:line="240" w:lineRule="auto"/>
        <w:ind w:left="0" w:firstLine="0"/>
        <w:rPr>
          <w:color w:val="auto"/>
          <w:lang w:val="is-IS"/>
        </w:rPr>
      </w:pPr>
    </w:p>
    <w:p w14:paraId="3C8E4F8F" w14:textId="77777777" w:rsidR="00EC751C" w:rsidRDefault="00564614" w:rsidP="008B60B2">
      <w:pPr>
        <w:keepNext/>
        <w:suppressAutoHyphens/>
        <w:spacing w:after="0" w:line="240" w:lineRule="auto"/>
        <w:ind w:left="0" w:firstLine="0"/>
        <w:rPr>
          <w:color w:val="auto"/>
          <w:u w:val="single"/>
          <w:lang w:val="is-IS"/>
        </w:rPr>
      </w:pPr>
      <w:r w:rsidRPr="009F7642">
        <w:rPr>
          <w:i/>
          <w:color w:val="auto"/>
          <w:u w:val="single"/>
          <w:lang w:val="is-IS"/>
        </w:rPr>
        <w:lastRenderedPageBreak/>
        <w:t>Afturkræf</w:t>
      </w:r>
      <w:r w:rsidR="003D4A14">
        <w:rPr>
          <w:i/>
          <w:color w:val="auto"/>
          <w:u w:val="single"/>
          <w:lang w:val="is-IS"/>
        </w:rPr>
        <w:t>t</w:t>
      </w:r>
      <w:r w:rsidRPr="009F7642">
        <w:rPr>
          <w:i/>
          <w:color w:val="auto"/>
          <w:u w:val="single"/>
          <w:lang w:val="is-IS"/>
        </w:rPr>
        <w:t xml:space="preserve"> aftar</w:t>
      </w:r>
      <w:r w:rsidR="003D4A14">
        <w:rPr>
          <w:i/>
          <w:color w:val="auto"/>
          <w:u w:val="single"/>
          <w:lang w:val="is-IS"/>
        </w:rPr>
        <w:t>a</w:t>
      </w:r>
      <w:r w:rsidRPr="009F7642">
        <w:rPr>
          <w:i/>
          <w:color w:val="auto"/>
          <w:u w:val="single"/>
          <w:lang w:val="is-IS"/>
        </w:rPr>
        <w:t xml:space="preserve"> heilakvill</w:t>
      </w:r>
      <w:r w:rsidR="003D4A14">
        <w:rPr>
          <w:i/>
          <w:color w:val="auto"/>
          <w:u w:val="single"/>
          <w:lang w:val="is-IS"/>
        </w:rPr>
        <w:t>aheilkenni</w:t>
      </w:r>
      <w:r w:rsidRPr="009F7642">
        <w:rPr>
          <w:i/>
          <w:color w:val="auto"/>
          <w:u w:val="single"/>
          <w:lang w:val="is-IS"/>
        </w:rPr>
        <w:t xml:space="preserve"> (Posterior Reversible Encephalopathy Syndrome, PRES) </w:t>
      </w:r>
      <w:r w:rsidRPr="009F7642">
        <w:rPr>
          <w:color w:val="auto"/>
          <w:u w:val="single"/>
          <w:lang w:val="is-IS"/>
        </w:rPr>
        <w:t>(sjá kafla 4.4)</w:t>
      </w:r>
    </w:p>
    <w:p w14:paraId="3A8F05E1" w14:textId="77777777" w:rsidR="00EC751C" w:rsidRDefault="00EC751C" w:rsidP="008B60B2">
      <w:pPr>
        <w:keepNext/>
        <w:suppressAutoHyphens/>
        <w:spacing w:after="0" w:line="240" w:lineRule="auto"/>
        <w:ind w:left="0" w:firstLine="0"/>
        <w:rPr>
          <w:color w:val="auto"/>
          <w:lang w:val="is-IS"/>
        </w:rPr>
      </w:pPr>
    </w:p>
    <w:p w14:paraId="1BE155EB" w14:textId="77777777" w:rsidR="005F36F3" w:rsidRPr="009F7642" w:rsidRDefault="00564614" w:rsidP="008B60B2">
      <w:pPr>
        <w:suppressAutoHyphens/>
        <w:spacing w:after="0" w:line="240" w:lineRule="auto"/>
        <w:ind w:left="0" w:firstLine="0"/>
        <w:rPr>
          <w:color w:val="auto"/>
          <w:lang w:val="is-IS"/>
        </w:rPr>
      </w:pPr>
      <w:r w:rsidRPr="00EC751C">
        <w:rPr>
          <w:color w:val="auto"/>
          <w:lang w:val="is-IS"/>
        </w:rPr>
        <w:t>Í</w:t>
      </w:r>
      <w:r w:rsidR="00EC751C">
        <w:rPr>
          <w:color w:val="auto"/>
          <w:lang w:val="is-IS"/>
        </w:rPr>
        <w:t xml:space="preserve"> </w:t>
      </w:r>
      <w:r w:rsidRPr="009F7642">
        <w:rPr>
          <w:color w:val="auto"/>
          <w:lang w:val="is-IS"/>
        </w:rPr>
        <w:t xml:space="preserve">mjög sjaldgæfum tilvikum hefur verið tilkynnt um að sjúklingar á </w:t>
      </w:r>
      <w:r w:rsidR="00690564" w:rsidRPr="00F2274F">
        <w:rPr>
          <w:lang w:val="is-IS"/>
        </w:rPr>
        <w:t>bevacízúmab</w:t>
      </w:r>
      <w:r w:rsidRPr="009F7642">
        <w:rPr>
          <w:color w:val="auto"/>
          <w:lang w:val="is-IS"/>
        </w:rPr>
        <w:t xml:space="preserve"> meðferð hafi þróað með sér einkenni sem eru í samræmi við PRES, mjög sjaldgæfan taugasjúkdóm. Einkenni hans geta meðal annars verið flog, höfuðverkur, breytt andlegt ástand, sjóntruflanir eða barkarblinda, með eða án tengds háþrýstings. Klínísk birtingarmynd PRES er oft ósértæk og því þarf að staðfesta greiningu PRES með myndgreiningu á heila, helst með segulómun (MRI).</w:t>
      </w:r>
    </w:p>
    <w:p w14:paraId="2EA9CF4B" w14:textId="77777777" w:rsidR="005F36F3" w:rsidRPr="009F7642" w:rsidRDefault="005F36F3" w:rsidP="008B60B2">
      <w:pPr>
        <w:suppressAutoHyphens/>
        <w:spacing w:after="0" w:line="240" w:lineRule="auto"/>
        <w:ind w:left="0" w:firstLine="0"/>
        <w:rPr>
          <w:color w:val="auto"/>
          <w:lang w:val="is-IS"/>
        </w:rPr>
      </w:pPr>
    </w:p>
    <w:p w14:paraId="43824F8E"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Hjá sjúklingum sem þróa með sér PRES, er ráðlagt að greina einkenni strax og hefja tafarlaust meðferð einstakra einkenna, þ.m.t. stjórnun á háþrýstingi (ef kvillinn tengist alvarlegum ómeðhöndluðum háþrýstingi), ásamt því að hætta meðferð með </w:t>
      </w:r>
      <w:r w:rsidR="007908E5" w:rsidRPr="009F7642">
        <w:rPr>
          <w:color w:val="auto"/>
          <w:lang w:val="is-IS"/>
        </w:rPr>
        <w:t>bevac</w:t>
      </w:r>
      <w:r w:rsidR="007908E5">
        <w:rPr>
          <w:color w:val="auto"/>
          <w:lang w:val="is-IS"/>
        </w:rPr>
        <w:t>í</w:t>
      </w:r>
      <w:r w:rsidR="007908E5" w:rsidRPr="009F7642">
        <w:rPr>
          <w:color w:val="auto"/>
          <w:lang w:val="is-IS"/>
        </w:rPr>
        <w:t>zúmabi</w:t>
      </w:r>
      <w:r w:rsidRPr="009F7642">
        <w:rPr>
          <w:color w:val="auto"/>
          <w:lang w:val="is-IS"/>
        </w:rPr>
        <w:t xml:space="preserve">. Einkenni hverfa yfirleitt eða batna innan nokkurra daga eftir að meðferð er hætt, þótt nokkrir sjúklingar hafi fengið afleidda taugakvilla. Öryggi þess að hefja aftur </w:t>
      </w:r>
      <w:r w:rsidR="00690564" w:rsidRPr="00F2274F">
        <w:rPr>
          <w:lang w:val="is-IS"/>
        </w:rPr>
        <w:t>bevacízúmab</w:t>
      </w:r>
      <w:r w:rsidRPr="009F7642">
        <w:rPr>
          <w:color w:val="auto"/>
          <w:lang w:val="is-IS"/>
        </w:rPr>
        <w:t xml:space="preserve"> meðferð hjá sjúklingum sem hafa fengið PRES er ekki þekkt.</w:t>
      </w:r>
    </w:p>
    <w:p w14:paraId="7932D638" w14:textId="77777777" w:rsidR="005F36F3" w:rsidRPr="009F7642" w:rsidRDefault="005F36F3" w:rsidP="008B60B2">
      <w:pPr>
        <w:suppressAutoHyphens/>
        <w:spacing w:after="0" w:line="240" w:lineRule="auto"/>
        <w:ind w:left="0" w:firstLine="0"/>
        <w:rPr>
          <w:color w:val="auto"/>
          <w:lang w:val="is-IS"/>
        </w:rPr>
      </w:pPr>
    </w:p>
    <w:p w14:paraId="2E51282B"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Átta tilvik PRES hafa verið tilkynnt í klínískum rannsóknum. Tvö þessara átta tilv</w:t>
      </w:r>
      <w:r w:rsidR="00676E6B" w:rsidRPr="009F7642">
        <w:rPr>
          <w:color w:val="auto"/>
          <w:lang w:val="is-IS"/>
        </w:rPr>
        <w:t>ika voru ekki staðfest með MRI.</w:t>
      </w:r>
    </w:p>
    <w:p w14:paraId="7A7EBCFA" w14:textId="77777777" w:rsidR="005F36F3" w:rsidRPr="009F7642" w:rsidRDefault="005F36F3" w:rsidP="008B60B2">
      <w:pPr>
        <w:suppressAutoHyphens/>
        <w:spacing w:after="0" w:line="240" w:lineRule="auto"/>
        <w:ind w:left="0" w:firstLine="0"/>
        <w:rPr>
          <w:color w:val="auto"/>
          <w:lang w:val="is-IS"/>
        </w:rPr>
      </w:pPr>
    </w:p>
    <w:p w14:paraId="6B24CE56" w14:textId="77777777" w:rsidR="005F36F3" w:rsidRPr="009F7642" w:rsidRDefault="00564614" w:rsidP="008B60B2">
      <w:pPr>
        <w:keepNext/>
        <w:suppressAutoHyphens/>
        <w:spacing w:after="0" w:line="240" w:lineRule="auto"/>
        <w:ind w:left="0" w:firstLine="0"/>
        <w:rPr>
          <w:color w:val="auto"/>
          <w:u w:val="single"/>
          <w:lang w:val="is-IS"/>
        </w:rPr>
      </w:pPr>
      <w:r w:rsidRPr="009F7642">
        <w:rPr>
          <w:i/>
          <w:color w:val="auto"/>
          <w:u w:val="single"/>
          <w:lang w:val="is-IS"/>
        </w:rPr>
        <w:t xml:space="preserve">Prótein í þvagi </w:t>
      </w:r>
      <w:r w:rsidRPr="009F7642">
        <w:rPr>
          <w:color w:val="auto"/>
          <w:u w:val="single"/>
          <w:lang w:val="is-IS"/>
        </w:rPr>
        <w:t>(sjá kafla 4.4)</w:t>
      </w:r>
    </w:p>
    <w:p w14:paraId="7E0C9B78" w14:textId="77777777" w:rsidR="008B6845" w:rsidRPr="009F7642" w:rsidRDefault="008B6845" w:rsidP="008B60B2">
      <w:pPr>
        <w:keepNext/>
        <w:suppressAutoHyphens/>
        <w:spacing w:after="0" w:line="240" w:lineRule="auto"/>
        <w:ind w:left="0" w:firstLine="0"/>
        <w:rPr>
          <w:color w:val="auto"/>
          <w:lang w:val="is-IS"/>
        </w:rPr>
      </w:pPr>
    </w:p>
    <w:p w14:paraId="44B54FE4"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Í klínískum rannsóknum hefur verið tilkynnt um prótein í þvagi hjá milli 0,7% og 5</w:t>
      </w:r>
      <w:r w:rsidR="00676E6B" w:rsidRPr="009F7642">
        <w:rPr>
          <w:color w:val="auto"/>
          <w:lang w:val="is-IS"/>
        </w:rPr>
        <w:t xml:space="preserve">4,7% sjúklinga sem fá </w:t>
      </w:r>
      <w:r w:rsidR="00690564" w:rsidRPr="00F2274F">
        <w:rPr>
          <w:lang w:val="is-IS"/>
        </w:rPr>
        <w:t>bevacízúmab</w:t>
      </w:r>
      <w:r w:rsidR="00676E6B" w:rsidRPr="009F7642">
        <w:rPr>
          <w:color w:val="auto"/>
          <w:lang w:val="is-IS"/>
        </w:rPr>
        <w:t>.</w:t>
      </w:r>
    </w:p>
    <w:p w14:paraId="7AC6BD0F" w14:textId="77777777" w:rsidR="005F36F3" w:rsidRPr="009F7642" w:rsidRDefault="005F36F3" w:rsidP="008B60B2">
      <w:pPr>
        <w:suppressAutoHyphens/>
        <w:spacing w:after="0" w:line="240" w:lineRule="auto"/>
        <w:ind w:left="0" w:firstLine="0"/>
        <w:rPr>
          <w:color w:val="auto"/>
          <w:lang w:val="is-IS"/>
        </w:rPr>
      </w:pPr>
    </w:p>
    <w:p w14:paraId="354FE37C"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Prótein í þvagi var misalvarlegt, allt frá því að vera einkennalaust, tímabundið, örlítið prótein í þvagi til þess að valda nýrungaheilkenni, en hjá miklum meirihluta var þetta 1.</w:t>
      </w:r>
      <w:r w:rsidR="0018021C">
        <w:rPr>
          <w:color w:val="auto"/>
          <w:lang w:val="is-IS"/>
        </w:rPr>
        <w:t> </w:t>
      </w:r>
      <w:r w:rsidRPr="009F7642">
        <w:rPr>
          <w:color w:val="auto"/>
          <w:lang w:val="is-IS"/>
        </w:rPr>
        <w:t>stigs prótein í þvagi (NCI</w:t>
      </w:r>
      <w:r w:rsidR="008B6845" w:rsidRPr="009F7642">
        <w:rPr>
          <w:color w:val="auto"/>
          <w:lang w:val="is-IS"/>
        </w:rPr>
        <w:noBreakHyphen/>
      </w:r>
      <w:r w:rsidRPr="009F7642">
        <w:rPr>
          <w:color w:val="auto"/>
          <w:lang w:val="is-IS"/>
        </w:rPr>
        <w:t>CTCAE, 3.</w:t>
      </w:r>
      <w:r w:rsidR="0018021C">
        <w:rPr>
          <w:color w:val="auto"/>
          <w:lang w:val="is-IS"/>
        </w:rPr>
        <w:t> </w:t>
      </w:r>
      <w:r w:rsidRPr="009F7642">
        <w:rPr>
          <w:color w:val="auto"/>
          <w:lang w:val="is-IS"/>
        </w:rPr>
        <w:t>útg.). Hjá allt að 10,9% sjúklinga á meðferð var tilkynnt um 3.</w:t>
      </w:r>
      <w:r w:rsidR="009210ED">
        <w:rPr>
          <w:color w:val="auto"/>
          <w:lang w:val="is-IS"/>
        </w:rPr>
        <w:t> </w:t>
      </w:r>
      <w:r w:rsidRPr="009F7642">
        <w:rPr>
          <w:color w:val="auto"/>
          <w:lang w:val="is-IS"/>
        </w:rPr>
        <w:t>stigs prótein í þvagi. Vart varð við 4.</w:t>
      </w:r>
      <w:r w:rsidR="009210ED">
        <w:rPr>
          <w:color w:val="auto"/>
          <w:lang w:val="is-IS"/>
        </w:rPr>
        <w:t> </w:t>
      </w:r>
      <w:r w:rsidRPr="009F7642">
        <w:rPr>
          <w:color w:val="auto"/>
          <w:lang w:val="is-IS"/>
        </w:rPr>
        <w:t xml:space="preserve">stigs prótein í þvagi (nýrungaheilkenni) hjá allt að 1,4% sjúklinga á meðferð. Mælt er með að mæla prótein í þvagi áður en meðferð með </w:t>
      </w:r>
      <w:r w:rsidR="001764F7" w:rsidRPr="00F2274F">
        <w:rPr>
          <w:lang w:val="is-IS"/>
        </w:rPr>
        <w:t>MVASI</w:t>
      </w:r>
      <w:r w:rsidRPr="009F7642">
        <w:rPr>
          <w:color w:val="auto"/>
          <w:lang w:val="is-IS"/>
        </w:rPr>
        <w:t xml:space="preserve"> hefst. Í flestum klínískum rannsóknum leiddu próteingildi í þvagi sem námu </w:t>
      </w:r>
      <w:r w:rsidR="00540AC4">
        <w:rPr>
          <w:color w:val="auto"/>
          <w:lang w:val="is-IS"/>
        </w:rPr>
        <w:t>≥ </w:t>
      </w:r>
      <w:r w:rsidRPr="009F7642">
        <w:rPr>
          <w:color w:val="auto"/>
          <w:lang w:val="is-IS"/>
        </w:rPr>
        <w:t>2</w:t>
      </w:r>
      <w:r w:rsidR="00E73BBB">
        <w:rPr>
          <w:color w:val="auto"/>
          <w:lang w:val="is-IS"/>
        </w:rPr>
        <w:t> </w:t>
      </w:r>
      <w:r w:rsidRPr="009F7642">
        <w:rPr>
          <w:color w:val="auto"/>
          <w:lang w:val="is-IS"/>
        </w:rPr>
        <w:t>g/24</w:t>
      </w:r>
      <w:r w:rsidR="0018021C">
        <w:rPr>
          <w:color w:val="auto"/>
          <w:lang w:val="is-IS"/>
        </w:rPr>
        <w:t> </w:t>
      </w:r>
      <w:r w:rsidRPr="009F7642">
        <w:rPr>
          <w:color w:val="auto"/>
          <w:lang w:val="is-IS"/>
        </w:rPr>
        <w:t xml:space="preserve">klst. til þess að meðferð með </w:t>
      </w:r>
      <w:r w:rsidR="00690564" w:rsidRPr="00F2274F">
        <w:rPr>
          <w:lang w:val="is-IS"/>
        </w:rPr>
        <w:t>bevacízúmab</w:t>
      </w:r>
      <w:r w:rsidR="00893F06" w:rsidRPr="00F2274F">
        <w:rPr>
          <w:lang w:val="is-IS"/>
        </w:rPr>
        <w:t>i</w:t>
      </w:r>
      <w:r w:rsidRPr="009F7642">
        <w:rPr>
          <w:color w:val="auto"/>
          <w:lang w:val="is-IS"/>
        </w:rPr>
        <w:t xml:space="preserve"> var stöðvuð þar til bat</w:t>
      </w:r>
      <w:r w:rsidR="00A90C76" w:rsidRPr="009F7642">
        <w:rPr>
          <w:color w:val="auto"/>
          <w:lang w:val="is-IS"/>
        </w:rPr>
        <w:t xml:space="preserve">a upp á </w:t>
      </w:r>
      <w:r w:rsidR="00540AC4">
        <w:rPr>
          <w:color w:val="auto"/>
          <w:lang w:val="is-IS"/>
        </w:rPr>
        <w:t>&lt; </w:t>
      </w:r>
      <w:r w:rsidR="00A90C76" w:rsidRPr="009F7642">
        <w:rPr>
          <w:color w:val="auto"/>
          <w:lang w:val="is-IS"/>
        </w:rPr>
        <w:t>2 </w:t>
      </w:r>
      <w:r w:rsidR="00676E6B" w:rsidRPr="009F7642">
        <w:rPr>
          <w:color w:val="auto"/>
          <w:lang w:val="is-IS"/>
        </w:rPr>
        <w:t>g/24</w:t>
      </w:r>
      <w:r w:rsidR="0018021C">
        <w:rPr>
          <w:color w:val="auto"/>
          <w:lang w:val="is-IS"/>
        </w:rPr>
        <w:t> </w:t>
      </w:r>
      <w:r w:rsidR="00676E6B" w:rsidRPr="009F7642">
        <w:rPr>
          <w:color w:val="auto"/>
          <w:lang w:val="is-IS"/>
        </w:rPr>
        <w:t>klst. var náð.</w:t>
      </w:r>
    </w:p>
    <w:p w14:paraId="54D6C96A" w14:textId="77777777" w:rsidR="005F36F3" w:rsidRPr="009F7642" w:rsidRDefault="005F36F3" w:rsidP="008B60B2">
      <w:pPr>
        <w:suppressAutoHyphens/>
        <w:spacing w:after="0" w:line="240" w:lineRule="auto"/>
        <w:ind w:left="0" w:firstLine="0"/>
        <w:rPr>
          <w:color w:val="auto"/>
          <w:lang w:val="is-IS"/>
        </w:rPr>
      </w:pPr>
    </w:p>
    <w:p w14:paraId="4EF9B848" w14:textId="77777777" w:rsidR="005F36F3" w:rsidRPr="009F7642" w:rsidRDefault="00564614" w:rsidP="008B60B2">
      <w:pPr>
        <w:keepNext/>
        <w:suppressAutoHyphens/>
        <w:spacing w:after="0" w:line="240" w:lineRule="auto"/>
        <w:ind w:left="0" w:firstLine="0"/>
        <w:rPr>
          <w:color w:val="auto"/>
          <w:u w:val="single"/>
          <w:lang w:val="is-IS"/>
        </w:rPr>
      </w:pPr>
      <w:r w:rsidRPr="009F7642">
        <w:rPr>
          <w:i/>
          <w:color w:val="auto"/>
          <w:u w:val="single"/>
          <w:lang w:val="is-IS"/>
        </w:rPr>
        <w:t xml:space="preserve">Blæðing </w:t>
      </w:r>
      <w:r w:rsidRPr="009F7642">
        <w:rPr>
          <w:color w:val="auto"/>
          <w:u w:val="single"/>
          <w:lang w:val="is-IS"/>
        </w:rPr>
        <w:t>(sjá kafla 4.4)</w:t>
      </w:r>
    </w:p>
    <w:p w14:paraId="5D1F74A7" w14:textId="77777777" w:rsidR="008B6845" w:rsidRPr="009F7642" w:rsidRDefault="008B6845" w:rsidP="008B60B2">
      <w:pPr>
        <w:keepNext/>
        <w:suppressAutoHyphens/>
        <w:spacing w:after="0" w:line="240" w:lineRule="auto"/>
        <w:ind w:left="0" w:firstLine="0"/>
        <w:rPr>
          <w:color w:val="auto"/>
          <w:u w:val="single"/>
          <w:lang w:val="is-IS"/>
        </w:rPr>
      </w:pPr>
    </w:p>
    <w:p w14:paraId="1ACB03FC"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Í klínískum rannsóknum á öllum ábendingum var heildartíðni á NCI-CTCAE, 3.</w:t>
      </w:r>
      <w:r w:rsidR="0018021C">
        <w:rPr>
          <w:color w:val="auto"/>
          <w:lang w:val="is-IS"/>
        </w:rPr>
        <w:t> </w:t>
      </w:r>
      <w:r w:rsidRPr="009F7642">
        <w:rPr>
          <w:color w:val="auto"/>
          <w:lang w:val="is-IS"/>
        </w:rPr>
        <w:t>útg. 3.-5.</w:t>
      </w:r>
      <w:r w:rsidR="0018021C">
        <w:rPr>
          <w:color w:val="auto"/>
          <w:lang w:val="is-IS"/>
        </w:rPr>
        <w:t> </w:t>
      </w:r>
      <w:r w:rsidRPr="009F7642">
        <w:rPr>
          <w:color w:val="auto"/>
          <w:lang w:val="is-IS"/>
        </w:rPr>
        <w:t xml:space="preserve">stigs blæðingartilvikum á bilinu 0,4% til 6,9% hjá sjúklingum sem fengu </w:t>
      </w:r>
      <w:r w:rsidR="00690564" w:rsidRPr="00F2274F">
        <w:rPr>
          <w:lang w:val="is-IS"/>
        </w:rPr>
        <w:t>bevacízúmab</w:t>
      </w:r>
      <w:r w:rsidRPr="009F7642">
        <w:rPr>
          <w:color w:val="auto"/>
          <w:lang w:val="is-IS"/>
        </w:rPr>
        <w:t>, samanborið við allt að 4,5% sjúklinga í samanburðarh</w:t>
      </w:r>
      <w:r w:rsidR="00676E6B" w:rsidRPr="009F7642">
        <w:rPr>
          <w:color w:val="auto"/>
          <w:lang w:val="is-IS"/>
        </w:rPr>
        <w:t>ópi á krabbameinslyfjameðferð.</w:t>
      </w:r>
    </w:p>
    <w:p w14:paraId="7964A1CD" w14:textId="77777777" w:rsidR="005F36F3" w:rsidRPr="009F7642" w:rsidRDefault="005F36F3" w:rsidP="008B60B2">
      <w:pPr>
        <w:suppressAutoHyphens/>
        <w:spacing w:after="0" w:line="240" w:lineRule="auto"/>
        <w:ind w:left="0" w:firstLine="0"/>
        <w:rPr>
          <w:color w:val="auto"/>
          <w:lang w:val="is-IS"/>
        </w:rPr>
      </w:pPr>
    </w:p>
    <w:p w14:paraId="24A02BB6"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Í klínískri rannsókn hjá sjúklingum með krabbamein í leghálsi sem var þrálátt og endurkomið eða með meinvörpum (GOG-</w:t>
      </w:r>
      <w:r w:rsidR="00EE49BF">
        <w:rPr>
          <w:color w:val="auto"/>
          <w:lang w:val="is-IS"/>
        </w:rPr>
        <w:t>0</w:t>
      </w:r>
      <w:r w:rsidRPr="009F7642">
        <w:rPr>
          <w:color w:val="auto"/>
          <w:lang w:val="is-IS"/>
        </w:rPr>
        <w:t xml:space="preserve">240 rannsóknin) var tilkynnt um blæðingar af alvarleikastigi 3-5 hjá allt að 8,3% sjúklinga sem fengu </w:t>
      </w:r>
      <w:r w:rsidR="00690564" w:rsidRPr="00F2274F">
        <w:rPr>
          <w:lang w:val="is-IS"/>
        </w:rPr>
        <w:t>bevacízúmab</w:t>
      </w:r>
      <w:r w:rsidRPr="009F7642">
        <w:rPr>
          <w:color w:val="auto"/>
          <w:lang w:val="is-IS"/>
        </w:rPr>
        <w:t xml:space="preserve"> ásamt paklítaxeli og tópótekani en allt að 4,6% hjá sjúklingum sem fengu eingöngu</w:t>
      </w:r>
      <w:r w:rsidR="00676E6B" w:rsidRPr="009F7642">
        <w:rPr>
          <w:color w:val="auto"/>
          <w:lang w:val="is-IS"/>
        </w:rPr>
        <w:t xml:space="preserve"> paklítaxel og tópótekan.</w:t>
      </w:r>
    </w:p>
    <w:p w14:paraId="2FB9B0DF" w14:textId="77777777" w:rsidR="005F36F3" w:rsidRPr="009F7642" w:rsidRDefault="005F36F3" w:rsidP="008B60B2">
      <w:pPr>
        <w:suppressAutoHyphens/>
        <w:spacing w:after="0" w:line="240" w:lineRule="auto"/>
        <w:ind w:left="0" w:firstLine="0"/>
        <w:rPr>
          <w:color w:val="auto"/>
          <w:lang w:val="is-IS"/>
        </w:rPr>
      </w:pPr>
    </w:p>
    <w:p w14:paraId="01C326FE"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Þau blæðingartilvik sem hafa komið fram í klínískum rannsóknum hafa aðallega verið æxlistengd blæðing (sjá hér að aftan) og minni háttar blæðing á húð</w:t>
      </w:r>
      <w:r w:rsidR="00676E6B" w:rsidRPr="009F7642">
        <w:rPr>
          <w:color w:val="auto"/>
          <w:lang w:val="is-IS"/>
        </w:rPr>
        <w:t xml:space="preserve"> og slímhúðum (t.d. blóðnasir).</w:t>
      </w:r>
    </w:p>
    <w:p w14:paraId="36BB98CB" w14:textId="77777777" w:rsidR="005F36F3" w:rsidRPr="009F7642" w:rsidRDefault="005F36F3" w:rsidP="008B60B2">
      <w:pPr>
        <w:suppressAutoHyphens/>
        <w:spacing w:after="0" w:line="240" w:lineRule="auto"/>
        <w:ind w:left="0" w:firstLine="0"/>
        <w:rPr>
          <w:color w:val="auto"/>
          <w:lang w:val="is-IS"/>
        </w:rPr>
      </w:pPr>
    </w:p>
    <w:p w14:paraId="55E17844" w14:textId="77777777" w:rsidR="005F36F3" w:rsidRPr="009F7642" w:rsidRDefault="00564614" w:rsidP="008B60B2">
      <w:pPr>
        <w:keepNext/>
        <w:suppressAutoHyphens/>
        <w:spacing w:after="0" w:line="240" w:lineRule="auto"/>
        <w:ind w:left="0" w:firstLine="0"/>
        <w:rPr>
          <w:color w:val="auto"/>
          <w:u w:val="single"/>
          <w:lang w:val="is-IS"/>
        </w:rPr>
      </w:pPr>
      <w:r w:rsidRPr="009F7642">
        <w:rPr>
          <w:i/>
          <w:color w:val="auto"/>
          <w:u w:val="single"/>
          <w:lang w:val="is-IS"/>
        </w:rPr>
        <w:t>Æxlistengd blæðing</w:t>
      </w:r>
      <w:r w:rsidR="00676E6B" w:rsidRPr="009F7642">
        <w:rPr>
          <w:color w:val="auto"/>
          <w:u w:val="single"/>
          <w:lang w:val="is-IS"/>
        </w:rPr>
        <w:t xml:space="preserve"> (sjá kafla 4.4)</w:t>
      </w:r>
    </w:p>
    <w:p w14:paraId="45CFB559" w14:textId="77777777" w:rsidR="008B6845" w:rsidRPr="009F7642" w:rsidRDefault="008B6845" w:rsidP="008B60B2">
      <w:pPr>
        <w:keepNext/>
        <w:suppressAutoHyphens/>
        <w:spacing w:after="0" w:line="240" w:lineRule="auto"/>
        <w:ind w:left="0" w:firstLine="0"/>
        <w:rPr>
          <w:color w:val="auto"/>
          <w:lang w:val="is-IS"/>
        </w:rPr>
      </w:pPr>
    </w:p>
    <w:p w14:paraId="4C6CFFB5"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Vart hefur orðið við meiri háttar eða kröftuga blæðingu/</w:t>
      </w:r>
      <w:r w:rsidR="009B65F8" w:rsidRPr="009F7642">
        <w:rPr>
          <w:color w:val="auto"/>
          <w:lang w:val="is-IS"/>
        </w:rPr>
        <w:t>blóð</w:t>
      </w:r>
      <w:r w:rsidR="009B65F8">
        <w:rPr>
          <w:color w:val="auto"/>
          <w:lang w:val="is-IS"/>
        </w:rPr>
        <w:t>hósta</w:t>
      </w:r>
      <w:r w:rsidRPr="009F7642">
        <w:rPr>
          <w:color w:val="auto"/>
          <w:lang w:val="is-IS"/>
        </w:rPr>
        <w:t xml:space="preserve">, einkum í rannsóknum hjá sjúklingum með lungnakrabbamein sem var ekki af smáfrumugerð. Hugsanlegir áhættuþættir eru flöguþekjukrabbamein, meðferð með gigtarlyfjum/bólgueyðandi efnum, meðferð með segavarnarlyfjum, fyrri geislameðferð, </w:t>
      </w:r>
      <w:r w:rsidR="00690564" w:rsidRPr="00F2274F">
        <w:rPr>
          <w:lang w:val="is-IS"/>
        </w:rPr>
        <w:t>bevacízúmab</w:t>
      </w:r>
      <w:r w:rsidRPr="009F7642">
        <w:rPr>
          <w:color w:val="auto"/>
          <w:lang w:val="is-IS"/>
        </w:rPr>
        <w:t xml:space="preserve"> meðferð, saga um fituhrörnun (atherosclerosis), miðlægt æxli og holmyndun í æxlum fyrir og meðan á meðferð stóð. Einu breyturnar með tölfræðilega marktæka fylgni við blæðingu voru </w:t>
      </w:r>
      <w:r w:rsidR="00690564" w:rsidRPr="00F2274F">
        <w:rPr>
          <w:lang w:val="is-IS"/>
        </w:rPr>
        <w:t>bevacízúmab</w:t>
      </w:r>
      <w:r w:rsidRPr="009F7642">
        <w:rPr>
          <w:color w:val="auto"/>
          <w:lang w:val="is-IS"/>
        </w:rPr>
        <w:t xml:space="preserve"> meðferð og flöguþekjukrabbamein. Sjúklingar með lungnakrabbamein sem er ekki af smáfrumugerð og af þekktri flöguþekjugerð eða af blandaðri frumugerð þar sem flöguþekjufrumur eru ríkjandi voru útilokaðir frá frekari III. stigs rannsóknum en sjúklingar með óþekktan æxlisvef voru</w:t>
      </w:r>
      <w:r w:rsidR="00676E6B" w:rsidRPr="009F7642">
        <w:rPr>
          <w:color w:val="auto"/>
          <w:lang w:val="is-IS"/>
        </w:rPr>
        <w:t xml:space="preserve"> teknir með.</w:t>
      </w:r>
    </w:p>
    <w:p w14:paraId="0C9A9D92" w14:textId="77777777" w:rsidR="005F36F3" w:rsidRPr="009F7642" w:rsidRDefault="005F36F3" w:rsidP="008B60B2">
      <w:pPr>
        <w:suppressAutoHyphens/>
        <w:spacing w:after="0" w:line="240" w:lineRule="auto"/>
        <w:ind w:left="0" w:firstLine="0"/>
        <w:rPr>
          <w:color w:val="auto"/>
          <w:lang w:val="is-IS"/>
        </w:rPr>
      </w:pPr>
    </w:p>
    <w:p w14:paraId="229BA336"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Hjá sjúklingum með lungnakrabbamein sem var ekki af smáfrumugerð að undanskildum þeim með ríkjandi flöguþekjugerð sáust öll stig með tíðni allt að 9,3% þegar meðhöndlað var með </w:t>
      </w:r>
      <w:r w:rsidR="00690564" w:rsidRPr="00F2274F">
        <w:rPr>
          <w:lang w:val="is-IS"/>
        </w:rPr>
        <w:t>bevacízúmab</w:t>
      </w:r>
      <w:r w:rsidR="008E7220" w:rsidRPr="00F2274F">
        <w:rPr>
          <w:lang w:val="is-IS"/>
        </w:rPr>
        <w:t>i</w:t>
      </w:r>
      <w:r w:rsidRPr="009F7642">
        <w:rPr>
          <w:color w:val="auto"/>
          <w:lang w:val="is-IS"/>
        </w:rPr>
        <w:t xml:space="preserve"> ásamt krabbameinslyfjameðferð samanborið við allt að 5% hjá sjúklingum sem fengu krabbameinslyfjameðferð eina sér. 3.-5.</w:t>
      </w:r>
      <w:r w:rsidR="0018021C">
        <w:rPr>
          <w:color w:val="auto"/>
          <w:lang w:val="is-IS"/>
        </w:rPr>
        <w:t> </w:t>
      </w:r>
      <w:r w:rsidRPr="009F7642">
        <w:rPr>
          <w:color w:val="auto"/>
          <w:lang w:val="is-IS"/>
        </w:rPr>
        <w:t xml:space="preserve">stigs atvik komu fram hjá allt að 2,3% sjúklinga sem fengu </w:t>
      </w:r>
      <w:r w:rsidR="00690564" w:rsidRPr="00F2274F">
        <w:rPr>
          <w:lang w:val="is-IS"/>
        </w:rPr>
        <w:t>bevacízúmab</w:t>
      </w:r>
      <w:r w:rsidRPr="009F7642">
        <w:rPr>
          <w:color w:val="auto"/>
          <w:lang w:val="is-IS"/>
        </w:rPr>
        <w:t xml:space="preserve"> ásamt krabbameinslyfjameðferð samanborið við </w:t>
      </w:r>
      <w:r w:rsidR="00540AC4">
        <w:rPr>
          <w:color w:val="auto"/>
          <w:lang w:val="is-IS"/>
        </w:rPr>
        <w:t>&lt; </w:t>
      </w:r>
      <w:r w:rsidRPr="009F7642">
        <w:rPr>
          <w:color w:val="auto"/>
          <w:lang w:val="is-IS"/>
        </w:rPr>
        <w:t>1% hjá sjúklingum sem fengu krabbameinslyfjameðferð eina sér (NCI-CTCAE, 3.</w:t>
      </w:r>
      <w:r w:rsidR="0018021C">
        <w:rPr>
          <w:color w:val="auto"/>
          <w:lang w:val="is-IS"/>
        </w:rPr>
        <w:t> </w:t>
      </w:r>
      <w:r w:rsidRPr="009F7642">
        <w:rPr>
          <w:color w:val="auto"/>
          <w:lang w:val="is-IS"/>
        </w:rPr>
        <w:t>útg.). Meiri háttar eða kröftug blæðing/blóð</w:t>
      </w:r>
      <w:r w:rsidR="009B65F8">
        <w:rPr>
          <w:color w:val="auto"/>
          <w:lang w:val="is-IS"/>
        </w:rPr>
        <w:t>hóst</w:t>
      </w:r>
      <w:r w:rsidR="00433F35">
        <w:rPr>
          <w:color w:val="auto"/>
          <w:lang w:val="is-IS"/>
        </w:rPr>
        <w:t>i</w:t>
      </w:r>
      <w:r w:rsidRPr="009F7642">
        <w:rPr>
          <w:color w:val="auto"/>
          <w:lang w:val="is-IS"/>
        </w:rPr>
        <w:t xml:space="preserve"> getur komið fram skyndilega og allt að tveir þriðjuhlutar alvarlegra lu</w:t>
      </w:r>
      <w:r w:rsidR="00676E6B" w:rsidRPr="009F7642">
        <w:rPr>
          <w:color w:val="auto"/>
          <w:lang w:val="is-IS"/>
        </w:rPr>
        <w:t>ngnablæðinga leiddu til dauða.</w:t>
      </w:r>
    </w:p>
    <w:p w14:paraId="47D118CC" w14:textId="77777777" w:rsidR="005F36F3" w:rsidRPr="009F7642" w:rsidRDefault="005F36F3" w:rsidP="008B60B2">
      <w:pPr>
        <w:suppressAutoHyphens/>
        <w:spacing w:after="0" w:line="240" w:lineRule="auto"/>
        <w:ind w:left="0" w:firstLine="0"/>
        <w:rPr>
          <w:color w:val="auto"/>
          <w:lang w:val="is-IS"/>
        </w:rPr>
      </w:pPr>
    </w:p>
    <w:p w14:paraId="3BB11D35"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Tilkynnt hefur verið um blæðingar í meltingarvegi, að meðtalinni blæðingu frá endaþarmi og sortusaur (melena) hjá sjúklingum með krabbamein í ristli og endaþarmi og hafa þær verið met</w:t>
      </w:r>
      <w:r w:rsidR="00676E6B" w:rsidRPr="009F7642">
        <w:rPr>
          <w:color w:val="auto"/>
          <w:lang w:val="is-IS"/>
        </w:rPr>
        <w:t>nar sem æxlistengdar blæðingar.</w:t>
      </w:r>
    </w:p>
    <w:p w14:paraId="14BA3E97" w14:textId="77777777" w:rsidR="005F36F3" w:rsidRPr="009F7642" w:rsidRDefault="005F36F3" w:rsidP="008B60B2">
      <w:pPr>
        <w:suppressAutoHyphens/>
        <w:spacing w:after="0" w:line="240" w:lineRule="auto"/>
        <w:ind w:left="0" w:firstLine="0"/>
        <w:rPr>
          <w:color w:val="auto"/>
          <w:lang w:val="is-IS"/>
        </w:rPr>
      </w:pPr>
    </w:p>
    <w:p w14:paraId="47FFF382"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Í mjög sjaldgæfum tilvikum sást einnig æxlistengd blæðing við aðrar gerðir æxla og annars staðar, að meðtöldum tilvikum um blæðingu í miðtaugakerfi hjá sjúklingum með meinvörp í</w:t>
      </w:r>
      <w:r w:rsidR="00676E6B" w:rsidRPr="009F7642">
        <w:rPr>
          <w:color w:val="auto"/>
          <w:lang w:val="is-IS"/>
        </w:rPr>
        <w:t xml:space="preserve"> miðtaugakerfi (sjá kafla 4.4).</w:t>
      </w:r>
    </w:p>
    <w:p w14:paraId="412D9519" w14:textId="77777777" w:rsidR="005F36F3" w:rsidRPr="009F7642" w:rsidRDefault="005F36F3" w:rsidP="008B60B2">
      <w:pPr>
        <w:suppressAutoHyphens/>
        <w:spacing w:after="0" w:line="240" w:lineRule="auto"/>
        <w:ind w:left="0" w:firstLine="0"/>
        <w:rPr>
          <w:color w:val="auto"/>
          <w:lang w:val="is-IS"/>
        </w:rPr>
      </w:pPr>
    </w:p>
    <w:p w14:paraId="0CBDB5E1"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Tíðni blæðingar í miðtaugakerfi hjá sjúklingum með ómeðhöndluð meinvörp í miðtaugakerfi sem fá bevacízúmab hefur ekki verið metin framvirkt í slembiröðuðum klínískum rannsóknum. Í afturvirkri rannsóknargreiningu á upplýsingum úr 13 slembiröðuðum rannsóknum sem var lokið, hjá sjúklingum með ýmsar æxlisgerðir, kom fram blæðing í miðtaugakerfi (í öllum tilvikum 4.</w:t>
      </w:r>
      <w:r w:rsidR="0018021C">
        <w:rPr>
          <w:color w:val="auto"/>
          <w:lang w:val="is-IS"/>
        </w:rPr>
        <w:t> </w:t>
      </w:r>
      <w:r w:rsidRPr="009F7642">
        <w:rPr>
          <w:color w:val="auto"/>
          <w:lang w:val="is-IS"/>
        </w:rPr>
        <w:t>stig) hjá 3 sjúklingum af 91 (3,3%) með meinvörp í heila þegar þeir fengu meðferð með bevacízúmabi samanborið við 1 tilvik (5.</w:t>
      </w:r>
      <w:r w:rsidR="0018021C">
        <w:rPr>
          <w:color w:val="auto"/>
          <w:lang w:val="is-IS"/>
        </w:rPr>
        <w:t> </w:t>
      </w:r>
      <w:r w:rsidRPr="009F7642">
        <w:rPr>
          <w:color w:val="auto"/>
          <w:lang w:val="is-IS"/>
        </w:rPr>
        <w:t>stig) af 96 sjúklingum (1%) sem fengu ekki bevacízúmab. Í tveimur síðari rannsóknum hjá sjúklingum með meðhöndluð meinvörp í heila (u.þ.b. 800 sjúklingar samtals) var tilkynnt um eitt 2.</w:t>
      </w:r>
      <w:r w:rsidR="0018021C">
        <w:rPr>
          <w:color w:val="auto"/>
          <w:lang w:val="is-IS"/>
        </w:rPr>
        <w:t> </w:t>
      </w:r>
      <w:r w:rsidRPr="009F7642">
        <w:rPr>
          <w:color w:val="auto"/>
          <w:lang w:val="is-IS"/>
        </w:rPr>
        <w:t>stigs tilvik blæðingar í miðtaugakerfi meðal 83 einstaklinga sem fengu bevacízúmab (1,2%) á þeim tíma sem milliöryggisgreining</w:t>
      </w:r>
      <w:r w:rsidR="00676E6B" w:rsidRPr="009F7642">
        <w:rPr>
          <w:color w:val="auto"/>
          <w:lang w:val="is-IS"/>
        </w:rPr>
        <w:t xml:space="preserve"> var gerð (NCI-CTCAE, 3.</w:t>
      </w:r>
      <w:r w:rsidR="0018021C">
        <w:rPr>
          <w:color w:val="auto"/>
          <w:lang w:val="is-IS"/>
        </w:rPr>
        <w:t> </w:t>
      </w:r>
      <w:r w:rsidR="00676E6B" w:rsidRPr="009F7642">
        <w:rPr>
          <w:color w:val="auto"/>
          <w:lang w:val="is-IS"/>
        </w:rPr>
        <w:t>útg.).</w:t>
      </w:r>
    </w:p>
    <w:p w14:paraId="64F72B63" w14:textId="77777777" w:rsidR="005F36F3" w:rsidRPr="009F7642" w:rsidRDefault="005F36F3" w:rsidP="008B60B2">
      <w:pPr>
        <w:suppressAutoHyphens/>
        <w:spacing w:after="0" w:line="240" w:lineRule="auto"/>
        <w:ind w:left="0" w:firstLine="0"/>
        <w:rPr>
          <w:color w:val="auto"/>
          <w:lang w:val="is-IS"/>
        </w:rPr>
      </w:pPr>
    </w:p>
    <w:p w14:paraId="79486D12"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Í öllum klínískum rannsóknum hefur orðið vart við blæðingu í húð og slímhúð</w:t>
      </w:r>
      <w:r w:rsidRPr="009F7642">
        <w:rPr>
          <w:b/>
          <w:i/>
          <w:color w:val="auto"/>
          <w:lang w:val="is-IS"/>
        </w:rPr>
        <w:t xml:space="preserve"> </w:t>
      </w:r>
      <w:r w:rsidRPr="009F7642">
        <w:rPr>
          <w:color w:val="auto"/>
          <w:lang w:val="is-IS"/>
        </w:rPr>
        <w:t xml:space="preserve">hjá allt að 50% sjúklinga sem fengu </w:t>
      </w:r>
      <w:r w:rsidR="00690564" w:rsidRPr="00F2274F">
        <w:rPr>
          <w:lang w:val="is-IS"/>
        </w:rPr>
        <w:t>bevacízúmab</w:t>
      </w:r>
      <w:r w:rsidRPr="009F7642">
        <w:rPr>
          <w:color w:val="auto"/>
          <w:lang w:val="is-IS"/>
        </w:rPr>
        <w:t xml:space="preserve"> meðferð. Algengast var að þetta væru 1. stigs blóðnasir skv. flokkun NCI-CTCAE, 3.</w:t>
      </w:r>
      <w:r w:rsidR="0018021C">
        <w:rPr>
          <w:color w:val="auto"/>
          <w:lang w:val="is-IS"/>
        </w:rPr>
        <w:t> </w:t>
      </w:r>
      <w:r w:rsidRPr="009F7642">
        <w:rPr>
          <w:color w:val="auto"/>
          <w:lang w:val="is-IS"/>
        </w:rPr>
        <w:t xml:space="preserve">útg., sem stóðu skemur en 5 mínútur, hjöðnuðu án læknismeðferðar og kölluðu ekki á breytingar á meðferðaráætlun með </w:t>
      </w:r>
      <w:r w:rsidR="00690564" w:rsidRPr="00F2274F">
        <w:rPr>
          <w:lang w:val="is-IS"/>
        </w:rPr>
        <w:t>bevacízúmab</w:t>
      </w:r>
      <w:r w:rsidR="008E7220" w:rsidRPr="00F2274F">
        <w:rPr>
          <w:lang w:val="is-IS"/>
        </w:rPr>
        <w:t>i</w:t>
      </w:r>
      <w:r w:rsidRPr="009F7642">
        <w:rPr>
          <w:color w:val="auto"/>
          <w:lang w:val="is-IS"/>
        </w:rPr>
        <w:t>. Klínískar öryggisupplýsingar benda til þess að tilvik smávægilegra slímu- og húðarblæðinga (t.d. bl</w:t>
      </w:r>
      <w:r w:rsidR="00676E6B" w:rsidRPr="009F7642">
        <w:rPr>
          <w:color w:val="auto"/>
          <w:lang w:val="is-IS"/>
        </w:rPr>
        <w:t>óðnasir) geti verið skammtaháð.</w:t>
      </w:r>
    </w:p>
    <w:p w14:paraId="6A8D5242" w14:textId="77777777" w:rsidR="005F36F3" w:rsidRPr="009F7642" w:rsidRDefault="005F36F3" w:rsidP="008B60B2">
      <w:pPr>
        <w:suppressAutoHyphens/>
        <w:spacing w:after="0" w:line="240" w:lineRule="auto"/>
        <w:ind w:left="0" w:firstLine="0"/>
        <w:rPr>
          <w:color w:val="auto"/>
          <w:lang w:val="is-IS"/>
        </w:rPr>
      </w:pPr>
    </w:p>
    <w:p w14:paraId="4A999E98"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Einnig hafa komið upp sjaldgæfari tilvik minni háttar blæðinga í húð og slímhúð á öðrum svæðum, svo sem blæðingar</w:t>
      </w:r>
      <w:r w:rsidR="00676E6B" w:rsidRPr="009F7642">
        <w:rPr>
          <w:color w:val="auto"/>
          <w:lang w:val="is-IS"/>
        </w:rPr>
        <w:t xml:space="preserve"> í tannholdi eða frá leggöngum.</w:t>
      </w:r>
    </w:p>
    <w:p w14:paraId="02660749" w14:textId="77777777" w:rsidR="005F36F3" w:rsidRPr="009F7642" w:rsidRDefault="005F36F3" w:rsidP="008B60B2">
      <w:pPr>
        <w:suppressAutoHyphens/>
        <w:spacing w:after="0" w:line="240" w:lineRule="auto"/>
        <w:ind w:left="0" w:firstLine="0"/>
        <w:rPr>
          <w:color w:val="auto"/>
          <w:lang w:val="is-IS"/>
        </w:rPr>
      </w:pPr>
    </w:p>
    <w:p w14:paraId="1F323BBC" w14:textId="77777777" w:rsidR="005F36F3" w:rsidRPr="009F7642" w:rsidRDefault="00564614" w:rsidP="008B60B2">
      <w:pPr>
        <w:keepNext/>
        <w:suppressAutoHyphens/>
        <w:spacing w:after="0" w:line="240" w:lineRule="auto"/>
        <w:ind w:left="0" w:firstLine="0"/>
        <w:rPr>
          <w:color w:val="auto"/>
          <w:u w:val="single"/>
          <w:lang w:val="is-IS"/>
        </w:rPr>
      </w:pPr>
      <w:r w:rsidRPr="009F7642">
        <w:rPr>
          <w:i/>
          <w:color w:val="auto"/>
          <w:u w:val="single"/>
          <w:lang w:val="is-IS"/>
        </w:rPr>
        <w:t xml:space="preserve">Segarek </w:t>
      </w:r>
      <w:r w:rsidRPr="009F7642">
        <w:rPr>
          <w:color w:val="auto"/>
          <w:u w:val="single"/>
          <w:lang w:val="is-IS"/>
        </w:rPr>
        <w:t>(sjá kafla 4.4)</w:t>
      </w:r>
    </w:p>
    <w:p w14:paraId="652A6853" w14:textId="77777777" w:rsidR="005F36F3" w:rsidRPr="009F7642" w:rsidRDefault="005F36F3" w:rsidP="008B60B2">
      <w:pPr>
        <w:keepNext/>
        <w:suppressAutoHyphens/>
        <w:spacing w:after="0" w:line="240" w:lineRule="auto"/>
        <w:ind w:left="0" w:firstLine="0"/>
        <w:rPr>
          <w:color w:val="auto"/>
          <w:lang w:val="is-IS"/>
        </w:rPr>
      </w:pPr>
    </w:p>
    <w:p w14:paraId="26F11E82" w14:textId="77777777" w:rsidR="005F36F3" w:rsidRPr="009F7642" w:rsidRDefault="00564614" w:rsidP="008B60B2">
      <w:pPr>
        <w:suppressAutoHyphens/>
        <w:spacing w:after="0" w:line="240" w:lineRule="auto"/>
        <w:ind w:left="0" w:firstLine="0"/>
        <w:rPr>
          <w:color w:val="auto"/>
          <w:lang w:val="is-IS"/>
        </w:rPr>
      </w:pPr>
      <w:r w:rsidRPr="009F7642">
        <w:rPr>
          <w:i/>
          <w:color w:val="auto"/>
          <w:lang w:val="is-IS"/>
        </w:rPr>
        <w:t xml:space="preserve">Segarek í slagæðum: </w:t>
      </w:r>
      <w:r w:rsidRPr="009F7642">
        <w:rPr>
          <w:color w:val="auto"/>
          <w:lang w:val="is-IS"/>
        </w:rPr>
        <w:t xml:space="preserve">Vart varð við aukna tíðni segareks í slagæðum hjá sjúklingum sem fengu meðferð með </w:t>
      </w:r>
      <w:r w:rsidR="00690564" w:rsidRPr="00F2274F">
        <w:rPr>
          <w:lang w:val="is-IS"/>
        </w:rPr>
        <w:t>bevacízúmab</w:t>
      </w:r>
      <w:r w:rsidR="008E7220" w:rsidRPr="00F2274F">
        <w:rPr>
          <w:lang w:val="is-IS"/>
        </w:rPr>
        <w:t>i</w:t>
      </w:r>
      <w:r w:rsidRPr="009F7642">
        <w:rPr>
          <w:color w:val="auto"/>
          <w:lang w:val="is-IS"/>
        </w:rPr>
        <w:t xml:space="preserve"> við hvaða ábendingu sem er, að meðtöldu heilablóðfalli, hjartadrepi, skammvinnum blóðþurrðarköstum og öðrum segarekssjúkdómum í slagæðum.</w:t>
      </w:r>
    </w:p>
    <w:p w14:paraId="0B2C195A" w14:textId="77777777" w:rsidR="005F36F3" w:rsidRPr="009F7642" w:rsidRDefault="005F36F3" w:rsidP="008B60B2">
      <w:pPr>
        <w:suppressAutoHyphens/>
        <w:spacing w:after="0" w:line="240" w:lineRule="auto"/>
        <w:ind w:left="0" w:firstLine="0"/>
        <w:rPr>
          <w:color w:val="auto"/>
          <w:lang w:val="is-IS"/>
        </w:rPr>
      </w:pPr>
    </w:p>
    <w:p w14:paraId="35D5470C"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Í klínískum rannsóknum var heildartíðni segareks í slagæðum allt að 3,8% hjá sjúklingahópum sem fengu meðferð sem innihélt </w:t>
      </w:r>
      <w:r w:rsidR="00690564" w:rsidRPr="00F2274F">
        <w:rPr>
          <w:lang w:val="is-IS"/>
        </w:rPr>
        <w:t>bevacízúmab</w:t>
      </w:r>
      <w:r w:rsidRPr="009F7642">
        <w:rPr>
          <w:color w:val="auto"/>
          <w:lang w:val="is-IS"/>
        </w:rPr>
        <w:t xml:space="preserve"> samanborið við allt að 2,1% hjá samanburðarhópum á krabbameinslyfjameðferð. Tilkynnt var um dauðsföll hjá 0,8% sjúklinga sem fengu </w:t>
      </w:r>
      <w:r w:rsidR="00690564" w:rsidRPr="00F2274F">
        <w:rPr>
          <w:lang w:val="is-IS"/>
        </w:rPr>
        <w:t>bevacízúmab</w:t>
      </w:r>
      <w:r w:rsidR="008E7220" w:rsidRPr="009F7642" w:rsidDel="008E7220">
        <w:rPr>
          <w:color w:val="auto"/>
          <w:lang w:val="is-IS"/>
        </w:rPr>
        <w:t xml:space="preserve"> </w:t>
      </w:r>
      <w:r w:rsidRPr="009F7642">
        <w:rPr>
          <w:color w:val="auto"/>
          <w:lang w:val="is-IS"/>
        </w:rPr>
        <w:t xml:space="preserve">samanborið við 0,5% hjá sjúklingum sem fengu krabbameinslyfjameðferð eina sér. Tilkynnt var um heilablóðfall (að meðtöldum skammvinnum blóðþurrðarköstum) hjá allt að 2,7% sjúklinga sem fengu </w:t>
      </w:r>
      <w:r w:rsidR="00690564" w:rsidRPr="00F2274F">
        <w:rPr>
          <w:lang w:val="is-IS"/>
        </w:rPr>
        <w:t>bevacízúmab</w:t>
      </w:r>
      <w:r w:rsidRPr="009F7642">
        <w:rPr>
          <w:color w:val="auto"/>
          <w:lang w:val="is-IS"/>
        </w:rPr>
        <w:t xml:space="preserve"> ásamt krabbameinslyfjameðferð samanborið við allt að 0,5% sjúklinga sem fengu krabbameinslyfjameðferð eina sér. Tilkynnt var um hjartadrep hjá allt að 1,4% sjúklinga sem fengu </w:t>
      </w:r>
      <w:r w:rsidR="00690564" w:rsidRPr="00F2274F">
        <w:rPr>
          <w:lang w:val="is-IS"/>
        </w:rPr>
        <w:t>bevacízúmab</w:t>
      </w:r>
      <w:r w:rsidRPr="009F7642">
        <w:rPr>
          <w:color w:val="auto"/>
          <w:lang w:val="is-IS"/>
        </w:rPr>
        <w:t xml:space="preserve"> ásamt krabbameinslyfjameðferð samanborið við allt að 0,7% sjúklinga sem fengu kr</w:t>
      </w:r>
      <w:r w:rsidR="00676E6B" w:rsidRPr="009F7642">
        <w:rPr>
          <w:color w:val="auto"/>
          <w:lang w:val="is-IS"/>
        </w:rPr>
        <w:t>abbameinslyfjameðferð eina sér.</w:t>
      </w:r>
    </w:p>
    <w:p w14:paraId="5213576C" w14:textId="77777777" w:rsidR="005F36F3" w:rsidRPr="009F7642" w:rsidRDefault="005F36F3" w:rsidP="008B60B2">
      <w:pPr>
        <w:suppressAutoHyphens/>
        <w:spacing w:after="0" w:line="240" w:lineRule="auto"/>
        <w:ind w:left="0" w:firstLine="0"/>
        <w:rPr>
          <w:color w:val="auto"/>
          <w:lang w:val="is-IS"/>
        </w:rPr>
      </w:pPr>
    </w:p>
    <w:p w14:paraId="4B0DAFB0"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Í einni klínískri rannsókn sem metur </w:t>
      </w:r>
      <w:r w:rsidR="00690564" w:rsidRPr="00F2274F">
        <w:rPr>
          <w:lang w:val="is-IS"/>
        </w:rPr>
        <w:t>bevacízúmab</w:t>
      </w:r>
      <w:r w:rsidRPr="009F7642">
        <w:rPr>
          <w:color w:val="auto"/>
          <w:lang w:val="is-IS"/>
        </w:rPr>
        <w:t xml:space="preserve"> ásamt 5-flúoróúracíl/fólínínsýru, AVF2192g, voru rannsakaðir sjúklingar með krabbamein í ristli og endaþarmi með meinvörpum þar sem meðferð með írínótekani hentaði ekki. Í þeirri rannsókn varð vart við segarek í slagæðum hjá 11% (11/100) sjúklinga samanborið við 5,8% (6/104) í samanburðar</w:t>
      </w:r>
      <w:r w:rsidR="00676E6B" w:rsidRPr="009F7642">
        <w:rPr>
          <w:color w:val="auto"/>
          <w:lang w:val="is-IS"/>
        </w:rPr>
        <w:t>hópi á krabbameinslyfjameðferð.</w:t>
      </w:r>
    </w:p>
    <w:p w14:paraId="6719CA87" w14:textId="77777777" w:rsidR="005F36F3" w:rsidRPr="009F7642" w:rsidRDefault="005F36F3" w:rsidP="008B60B2">
      <w:pPr>
        <w:suppressAutoHyphens/>
        <w:spacing w:after="0" w:line="240" w:lineRule="auto"/>
        <w:ind w:left="0" w:firstLine="0"/>
        <w:rPr>
          <w:color w:val="auto"/>
          <w:lang w:val="is-IS"/>
        </w:rPr>
      </w:pPr>
    </w:p>
    <w:p w14:paraId="637B83D8" w14:textId="77777777" w:rsidR="005F36F3" w:rsidRPr="009F7642" w:rsidRDefault="00564614" w:rsidP="008B60B2">
      <w:pPr>
        <w:suppressAutoHyphens/>
        <w:spacing w:after="0" w:line="240" w:lineRule="auto"/>
        <w:ind w:left="0" w:firstLine="0"/>
        <w:rPr>
          <w:color w:val="auto"/>
          <w:lang w:val="is-IS"/>
        </w:rPr>
      </w:pPr>
      <w:r w:rsidRPr="009F7642">
        <w:rPr>
          <w:i/>
          <w:color w:val="auto"/>
          <w:lang w:val="is-IS"/>
        </w:rPr>
        <w:lastRenderedPageBreak/>
        <w:t xml:space="preserve">Segarek í bláæðum: </w:t>
      </w:r>
      <w:r w:rsidRPr="009F7642">
        <w:rPr>
          <w:color w:val="auto"/>
          <w:lang w:val="is-IS"/>
        </w:rPr>
        <w:t xml:space="preserve">Tíðni segarekssjúkdóma í bláæðum í klínískum rannsóknum var svipuð hjá sjúklingum sem fengu </w:t>
      </w:r>
      <w:r w:rsidR="00690564" w:rsidRPr="00F2274F">
        <w:rPr>
          <w:lang w:val="is-IS"/>
        </w:rPr>
        <w:t>bevacízúmab</w:t>
      </w:r>
      <w:r w:rsidRPr="009F7642">
        <w:rPr>
          <w:color w:val="auto"/>
          <w:lang w:val="is-IS"/>
        </w:rPr>
        <w:t xml:space="preserve"> ásamt krabbameinslyfjameðferð og hjá þeim sem fengu krabbameinslyfjameðferð eina sér. Til segarekssjúkdóma í bláæðum heyra segamyndun í djúpum bláæðum, lu</w:t>
      </w:r>
      <w:r w:rsidR="00676E6B" w:rsidRPr="009F7642">
        <w:rPr>
          <w:color w:val="auto"/>
          <w:lang w:val="is-IS"/>
        </w:rPr>
        <w:t>ngnablóðrek og segabláæðabólga.</w:t>
      </w:r>
    </w:p>
    <w:p w14:paraId="147DD767" w14:textId="77777777" w:rsidR="005F36F3" w:rsidRPr="009F7642" w:rsidRDefault="005F36F3" w:rsidP="008B60B2">
      <w:pPr>
        <w:suppressAutoHyphens/>
        <w:spacing w:after="0" w:line="240" w:lineRule="auto"/>
        <w:ind w:left="0" w:firstLine="0"/>
        <w:rPr>
          <w:color w:val="auto"/>
          <w:lang w:val="is-IS"/>
        </w:rPr>
      </w:pPr>
    </w:p>
    <w:p w14:paraId="3ABD4D68"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Í klínískum rannsóknum á hvaða ábendingu sem er var heildartíðni segareks í bláæðum á bilinu 2,8% til 17,3% sjúklinga á </w:t>
      </w:r>
      <w:r w:rsidR="00690564" w:rsidRPr="00F2274F">
        <w:rPr>
          <w:lang w:val="is-IS"/>
        </w:rPr>
        <w:t>bevacízúmab</w:t>
      </w:r>
      <w:r w:rsidRPr="009F7642">
        <w:rPr>
          <w:color w:val="auto"/>
          <w:lang w:val="is-IS"/>
        </w:rPr>
        <w:t xml:space="preserve"> meðferð samanborið við 3,2% t</w:t>
      </w:r>
      <w:r w:rsidR="00676E6B" w:rsidRPr="009F7642">
        <w:rPr>
          <w:color w:val="auto"/>
          <w:lang w:val="is-IS"/>
        </w:rPr>
        <w:t>il 15,6% hjá samanburðarhópum.</w:t>
      </w:r>
    </w:p>
    <w:p w14:paraId="0B4F5119" w14:textId="77777777" w:rsidR="005F36F3" w:rsidRPr="009F7642" w:rsidRDefault="005F36F3" w:rsidP="008B60B2">
      <w:pPr>
        <w:suppressAutoHyphens/>
        <w:spacing w:after="0" w:line="240" w:lineRule="auto"/>
        <w:ind w:left="0" w:firstLine="0"/>
        <w:rPr>
          <w:color w:val="auto"/>
          <w:lang w:val="is-IS"/>
        </w:rPr>
      </w:pPr>
    </w:p>
    <w:p w14:paraId="7CE6D60A"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Tilkynnt hefur verið um 3.-5.</w:t>
      </w:r>
      <w:r w:rsidR="0018021C">
        <w:rPr>
          <w:color w:val="auto"/>
          <w:lang w:val="is-IS"/>
        </w:rPr>
        <w:t> </w:t>
      </w:r>
      <w:r w:rsidRPr="009F7642">
        <w:rPr>
          <w:color w:val="auto"/>
          <w:lang w:val="is-IS"/>
        </w:rPr>
        <w:t>stigs segarekssjúkdóma (NCI-CTCAE, 3.</w:t>
      </w:r>
      <w:r w:rsidR="0018021C">
        <w:rPr>
          <w:color w:val="auto"/>
          <w:lang w:val="is-IS"/>
        </w:rPr>
        <w:t> </w:t>
      </w:r>
      <w:r w:rsidRPr="009F7642">
        <w:rPr>
          <w:color w:val="auto"/>
          <w:lang w:val="is-IS"/>
        </w:rPr>
        <w:t xml:space="preserve">útg.) í bláæðum hjá allt að 7,8% sjúklinga sem fengu krabbameinslyfjameðferð auk bevacízúmabs samanborið við allt að 4,9% hjá sjúklingum á krabbameinslyfjameðferð einni sér (við öllum ábendingum, að undanskildu krabbameini í leghálsi sem er þrálátt og </w:t>
      </w:r>
      <w:r w:rsidR="00676E6B" w:rsidRPr="009F7642">
        <w:rPr>
          <w:color w:val="auto"/>
          <w:lang w:val="is-IS"/>
        </w:rPr>
        <w:t>endurkomið eða með meinvörpum).</w:t>
      </w:r>
    </w:p>
    <w:p w14:paraId="3EAE330C" w14:textId="77777777" w:rsidR="005F36F3" w:rsidRPr="009F7642" w:rsidRDefault="005F36F3" w:rsidP="008B60B2">
      <w:pPr>
        <w:suppressAutoHyphens/>
        <w:spacing w:after="0" w:line="240" w:lineRule="auto"/>
        <w:ind w:left="0" w:firstLine="0"/>
        <w:rPr>
          <w:color w:val="auto"/>
          <w:lang w:val="is-IS"/>
        </w:rPr>
      </w:pPr>
    </w:p>
    <w:p w14:paraId="3BE91F1D"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Í klínískri rannsókn hjá sjúklingum með krabbamein í leghálsi sem var þrálátt og endurkomið eða með meinvörpum (GOG-</w:t>
      </w:r>
      <w:r w:rsidR="0018021C">
        <w:rPr>
          <w:color w:val="auto"/>
          <w:lang w:val="is-IS"/>
        </w:rPr>
        <w:t>0</w:t>
      </w:r>
      <w:r w:rsidRPr="009F7642">
        <w:rPr>
          <w:color w:val="auto"/>
          <w:lang w:val="is-IS"/>
        </w:rPr>
        <w:t xml:space="preserve">240 rannsóknin) var tilkynnt um segarek í bláæðum af alvarleikastigi 3-5 hjá allt að 15,6% sjúklinga sem fengu </w:t>
      </w:r>
      <w:r w:rsidR="00690564" w:rsidRPr="00F2274F">
        <w:rPr>
          <w:lang w:val="is-IS"/>
        </w:rPr>
        <w:t>bevacízúmab</w:t>
      </w:r>
      <w:r w:rsidRPr="009F7642">
        <w:rPr>
          <w:color w:val="auto"/>
          <w:lang w:val="is-IS"/>
        </w:rPr>
        <w:t xml:space="preserve"> ásamt paklítaxeli og cisplatíni en allt að 7,0% hjá sjúklingum sem fengu eingön</w:t>
      </w:r>
      <w:r w:rsidR="00676E6B" w:rsidRPr="009F7642">
        <w:rPr>
          <w:color w:val="auto"/>
          <w:lang w:val="is-IS"/>
        </w:rPr>
        <w:t>gu paklítaxel og cisplatín.</w:t>
      </w:r>
    </w:p>
    <w:p w14:paraId="795B6782" w14:textId="77777777" w:rsidR="005F36F3" w:rsidRPr="009F7642" w:rsidRDefault="005F36F3" w:rsidP="008B60B2">
      <w:pPr>
        <w:suppressAutoHyphens/>
        <w:spacing w:after="0" w:line="240" w:lineRule="auto"/>
        <w:ind w:left="0" w:firstLine="0"/>
        <w:rPr>
          <w:color w:val="auto"/>
          <w:lang w:val="is-IS"/>
        </w:rPr>
      </w:pPr>
    </w:p>
    <w:p w14:paraId="429EED79"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Sjúklingar sem hafa fengið segarekssjúkdóm í bláæðum geta verið í meiri hættu á að sjúkdómurinn taki sig upp að nýju ef þeir fá </w:t>
      </w:r>
      <w:r w:rsidR="00690564" w:rsidRPr="00F2274F">
        <w:rPr>
          <w:lang w:val="is-IS"/>
        </w:rPr>
        <w:t>bevacízúmab</w:t>
      </w:r>
      <w:r w:rsidRPr="009F7642">
        <w:rPr>
          <w:color w:val="auto"/>
          <w:lang w:val="is-IS"/>
        </w:rPr>
        <w:t xml:space="preserve"> ásamt krabbameinslyfjameðferð miðað við kr</w:t>
      </w:r>
      <w:r w:rsidR="00676E6B" w:rsidRPr="009F7642">
        <w:rPr>
          <w:color w:val="auto"/>
          <w:lang w:val="is-IS"/>
        </w:rPr>
        <w:t>abbameinslyfjameðferð eina sér.</w:t>
      </w:r>
    </w:p>
    <w:p w14:paraId="66090F8D" w14:textId="77777777" w:rsidR="005F36F3" w:rsidRPr="009F7642" w:rsidRDefault="005F36F3" w:rsidP="008B60B2">
      <w:pPr>
        <w:suppressAutoHyphens/>
        <w:spacing w:after="0" w:line="240" w:lineRule="auto"/>
        <w:ind w:left="0" w:firstLine="0"/>
        <w:rPr>
          <w:color w:val="auto"/>
          <w:lang w:val="is-IS"/>
        </w:rPr>
      </w:pPr>
    </w:p>
    <w:p w14:paraId="04A670D7" w14:textId="77777777" w:rsidR="006C06D6" w:rsidRPr="009F7642" w:rsidRDefault="00564614" w:rsidP="008B60B2">
      <w:pPr>
        <w:keepNext/>
        <w:suppressAutoHyphens/>
        <w:spacing w:after="0" w:line="240" w:lineRule="auto"/>
        <w:ind w:left="0" w:firstLine="0"/>
        <w:rPr>
          <w:i/>
          <w:color w:val="auto"/>
          <w:u w:val="single"/>
          <w:lang w:val="is-IS"/>
        </w:rPr>
      </w:pPr>
      <w:r w:rsidRPr="009F7642">
        <w:rPr>
          <w:i/>
          <w:color w:val="auto"/>
          <w:u w:val="single"/>
          <w:lang w:val="is-IS"/>
        </w:rPr>
        <w:t>Hjartabilun (CHF)</w:t>
      </w:r>
    </w:p>
    <w:p w14:paraId="004388B4" w14:textId="77777777" w:rsidR="00F91C9A" w:rsidRPr="009F7642" w:rsidRDefault="00F91C9A" w:rsidP="008B60B2">
      <w:pPr>
        <w:keepNext/>
        <w:suppressAutoHyphens/>
        <w:spacing w:after="0" w:line="240" w:lineRule="auto"/>
        <w:ind w:left="0" w:firstLine="0"/>
        <w:rPr>
          <w:color w:val="auto"/>
          <w:lang w:val="is-IS"/>
        </w:rPr>
      </w:pPr>
    </w:p>
    <w:p w14:paraId="39E01564"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Í klínískum rannsóknum á </w:t>
      </w:r>
      <w:r w:rsidR="00690564" w:rsidRPr="00F2274F">
        <w:rPr>
          <w:lang w:val="is-IS"/>
        </w:rPr>
        <w:t>bevacízúmab</w:t>
      </w:r>
      <w:r w:rsidR="008E7220" w:rsidRPr="00F2274F">
        <w:rPr>
          <w:lang w:val="is-IS"/>
        </w:rPr>
        <w:t>i</w:t>
      </w:r>
      <w:r w:rsidRPr="009F7642">
        <w:rPr>
          <w:color w:val="auto"/>
          <w:lang w:val="is-IS"/>
        </w:rPr>
        <w:t xml:space="preserve"> varð vart við hjartabilun við allar tegundir krabbameins sem rannsakaðar hafa verið fram að þessu, en hún kom aðallega fram hjá sjúklingum með brjóstakrabbamein með meinvörpum. Í fjórum III. stigs rannsóknum (AVF2119g, E2100, BO17708 og AVF3694g) á sjúklingum með brjóstakrabbamein með meinvörpum var tilkynnt um á 3. stigs hjartabilun eða þar yfir (NCI-CTCAE, 3.</w:t>
      </w:r>
      <w:r w:rsidR="0018021C">
        <w:rPr>
          <w:color w:val="auto"/>
          <w:lang w:val="is-IS"/>
        </w:rPr>
        <w:t> </w:t>
      </w:r>
      <w:r w:rsidRPr="009F7642">
        <w:rPr>
          <w:color w:val="auto"/>
          <w:lang w:val="is-IS"/>
        </w:rPr>
        <w:t xml:space="preserve">útg.) hjá allt að 3,5% sjúklinga sem meðhöndlaðir voru með </w:t>
      </w:r>
      <w:r w:rsidR="00690564" w:rsidRPr="00F2274F">
        <w:rPr>
          <w:lang w:val="is-IS"/>
        </w:rPr>
        <w:t>bevacízúmab</w:t>
      </w:r>
      <w:r w:rsidR="008E7220" w:rsidRPr="00F2274F">
        <w:rPr>
          <w:lang w:val="is-IS"/>
        </w:rPr>
        <w:t>i</w:t>
      </w:r>
      <w:r w:rsidRPr="009F7642">
        <w:rPr>
          <w:color w:val="auto"/>
          <w:lang w:val="is-IS"/>
        </w:rPr>
        <w:t xml:space="preserve"> ásamt öðrum krabbameinslyfjum, samanborið við allt að 0,9% hjá samanburðarhópum. Hjá sjúklingum í AVF3694g-rannsókninni, sem fengu antracýklín ásamt bevacízúmabi, var tíðni 3. stigs hjartabilunar eða þar yfir í bevacízúmab-hópnum og viðmiðunarhópnum svipuð og í sambærilegum hópum í öðrum rannsóknum á brjóstakrabbameini með meinvörpum: 2,9% í hópnum sem fékk antracýklín ásamt bevacízúmabi og 0% í hópnum sem fékk antracýklín ásamt lyfleysu. Að auki var tíðni hvers kyns hjartabilana svipuð í hópnum sem fékk antracýklín ásamt </w:t>
      </w:r>
      <w:r w:rsidR="00690564" w:rsidRPr="00F2274F">
        <w:rPr>
          <w:lang w:val="is-IS"/>
        </w:rPr>
        <w:t>bevacízúmab</w:t>
      </w:r>
      <w:r w:rsidR="008E7220" w:rsidRPr="00F2274F">
        <w:rPr>
          <w:lang w:val="is-IS"/>
        </w:rPr>
        <w:t>i</w:t>
      </w:r>
      <w:r w:rsidRPr="009F7642">
        <w:rPr>
          <w:color w:val="auto"/>
          <w:lang w:val="is-IS"/>
        </w:rPr>
        <w:t xml:space="preserve"> (6,2%) og í hópnum sem fékk antracýklín ásamt lyfleysu </w:t>
      </w:r>
      <w:r w:rsidR="00676E6B" w:rsidRPr="009F7642">
        <w:rPr>
          <w:color w:val="auto"/>
          <w:lang w:val="is-IS"/>
        </w:rPr>
        <w:t>(6,0%) í AVF3694g-rannsókninni.</w:t>
      </w:r>
    </w:p>
    <w:p w14:paraId="64A1796A" w14:textId="77777777" w:rsidR="005F36F3" w:rsidRPr="009F7642" w:rsidRDefault="005F36F3" w:rsidP="008B60B2">
      <w:pPr>
        <w:suppressAutoHyphens/>
        <w:spacing w:after="0" w:line="240" w:lineRule="auto"/>
        <w:ind w:left="0" w:firstLine="0"/>
        <w:rPr>
          <w:color w:val="auto"/>
          <w:lang w:val="is-IS"/>
        </w:rPr>
      </w:pPr>
    </w:p>
    <w:p w14:paraId="21BBC8CD"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Flestir sjúklingar sem fengu hjartabilun meðan á þátttöku þeirra í rannsóknum á brjóstakrabbameini með meinvörpum stóð fengu bót á einkennum og/eða starfsemi vinstri slegils eftir viðeig</w:t>
      </w:r>
      <w:r w:rsidR="00676E6B" w:rsidRPr="009F7642">
        <w:rPr>
          <w:color w:val="auto"/>
          <w:lang w:val="is-IS"/>
        </w:rPr>
        <w:t>andi læknismeðferð.</w:t>
      </w:r>
    </w:p>
    <w:p w14:paraId="3C132C87" w14:textId="77777777" w:rsidR="005F36F3" w:rsidRPr="009F7642" w:rsidRDefault="005F36F3" w:rsidP="008B60B2">
      <w:pPr>
        <w:suppressAutoHyphens/>
        <w:spacing w:after="0" w:line="240" w:lineRule="auto"/>
        <w:ind w:left="0" w:firstLine="0"/>
        <w:rPr>
          <w:color w:val="auto"/>
          <w:lang w:val="is-IS"/>
        </w:rPr>
      </w:pPr>
    </w:p>
    <w:p w14:paraId="469FF888"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Í flestum klínískum rannsóknum á </w:t>
      </w:r>
      <w:r w:rsidR="00690564" w:rsidRPr="00F2274F">
        <w:rPr>
          <w:lang w:val="is-IS"/>
        </w:rPr>
        <w:t>bevacízúmab</w:t>
      </w:r>
      <w:r w:rsidR="008E7220" w:rsidRPr="00F2274F">
        <w:rPr>
          <w:lang w:val="is-IS"/>
        </w:rPr>
        <w:t>i</w:t>
      </w:r>
      <w:r w:rsidRPr="009F7642">
        <w:rPr>
          <w:color w:val="auto"/>
          <w:lang w:val="is-IS"/>
        </w:rPr>
        <w:t xml:space="preserve"> voru sjúklingar sem voru með hjartabilun NYHA (New York Heart Association) II-IV fyrir útilokaðir frá þátttöku og því liggja engar upplýsingar fyrir um hættu á hjartab</w:t>
      </w:r>
      <w:r w:rsidR="003C161D" w:rsidRPr="009F7642">
        <w:rPr>
          <w:color w:val="auto"/>
          <w:lang w:val="is-IS"/>
        </w:rPr>
        <w:t>ilun hjá þessum sjúklingahópi.</w:t>
      </w:r>
    </w:p>
    <w:p w14:paraId="020E49CF" w14:textId="77777777" w:rsidR="005F36F3" w:rsidRPr="009F7642" w:rsidRDefault="005F36F3" w:rsidP="008B60B2">
      <w:pPr>
        <w:suppressAutoHyphens/>
        <w:spacing w:after="0" w:line="240" w:lineRule="auto"/>
        <w:ind w:left="0" w:firstLine="0"/>
        <w:rPr>
          <w:color w:val="auto"/>
          <w:lang w:val="is-IS"/>
        </w:rPr>
      </w:pPr>
    </w:p>
    <w:p w14:paraId="793239DA"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Fyrri notkun antracýklína og/eða fyrri geislun á brjóstkassa geta verið hugsanlegir áhættuþættir </w:t>
      </w:r>
      <w:r w:rsidRPr="00363B58">
        <w:rPr>
          <w:color w:val="auto"/>
          <w:lang w:val="is-IS"/>
        </w:rPr>
        <w:t>fyrir hjartabilun.</w:t>
      </w:r>
    </w:p>
    <w:p w14:paraId="16E24E1F" w14:textId="77777777" w:rsidR="005F36F3" w:rsidRPr="009F7642" w:rsidRDefault="005F36F3" w:rsidP="008B60B2">
      <w:pPr>
        <w:suppressAutoHyphens/>
        <w:spacing w:after="0" w:line="240" w:lineRule="auto"/>
        <w:ind w:left="0" w:firstLine="0"/>
        <w:rPr>
          <w:color w:val="auto"/>
          <w:lang w:val="is-IS"/>
        </w:rPr>
      </w:pPr>
    </w:p>
    <w:p w14:paraId="02DBB14A" w14:textId="77777777" w:rsidR="006C06D6" w:rsidRPr="009F7642" w:rsidRDefault="00564614" w:rsidP="00F3218F">
      <w:pPr>
        <w:suppressAutoHyphens/>
        <w:spacing w:after="0" w:line="240" w:lineRule="auto"/>
        <w:ind w:left="0" w:right="-2" w:firstLine="0"/>
        <w:rPr>
          <w:color w:val="auto"/>
          <w:lang w:val="is-IS"/>
        </w:rPr>
      </w:pPr>
      <w:r w:rsidRPr="009F7642">
        <w:rPr>
          <w:color w:val="auto"/>
          <w:lang w:val="is-IS"/>
        </w:rPr>
        <w:t xml:space="preserve">Aukin tíðni hjartabilunar sást í klínískri rannsókn á sjúklingum með dreifð og stór B-eitilfrumuæxli þegar þeir fengu bevacízúmab ásamt uppsöfnuðum skammti doxórúbicíns sem </w:t>
      </w:r>
      <w:r w:rsidR="00937B97" w:rsidRPr="009F7642">
        <w:rPr>
          <w:color w:val="auto"/>
          <w:lang w:val="is-IS"/>
        </w:rPr>
        <w:t xml:space="preserve">var stærri en </w:t>
      </w:r>
      <w:r w:rsidR="001B731E" w:rsidRPr="009F7642">
        <w:rPr>
          <w:color w:val="auto"/>
          <w:lang w:val="is-IS"/>
        </w:rPr>
        <w:t>300 </w:t>
      </w:r>
      <w:r w:rsidRPr="009F7642">
        <w:rPr>
          <w:color w:val="auto"/>
          <w:lang w:val="is-IS"/>
        </w:rPr>
        <w:t>mg/m</w:t>
      </w:r>
      <w:r w:rsidRPr="009F7642">
        <w:rPr>
          <w:color w:val="auto"/>
          <w:vertAlign w:val="superscript"/>
          <w:lang w:val="is-IS"/>
        </w:rPr>
        <w:t>2</w:t>
      </w:r>
      <w:r w:rsidRPr="009F7642">
        <w:rPr>
          <w:color w:val="auto"/>
          <w:lang w:val="is-IS"/>
        </w:rPr>
        <w:t xml:space="preserve">. Í þessari III. stigs klínísku rannsókn var meðferð með rítúxímab/cýklófosfamíði/doxórúbicíni/vinkristíni/prednisón (R-CHOP) ásamt bevacízúmabi borin saman við meðferð með R-CHOP án bevacízúmabs. Þó tíðni hjartabilunar í báðum hópum hafi verið hærri en áður hafði sést við meðferð með doxórúbicíni, var hún hærri hjá hópnum sem fékk (R-CHOP) ásamt bevacízúmabi en samanburðarhópnum. Þessar niðurstöður benda til þess að íhuga ætti að fylgjast náið með klínískum einkennum og framkvæma viðeigandi mat á hjartastarfsemi hjá </w:t>
      </w:r>
      <w:r w:rsidRPr="009F7642">
        <w:rPr>
          <w:color w:val="auto"/>
          <w:lang w:val="is-IS"/>
        </w:rPr>
        <w:lastRenderedPageBreak/>
        <w:t>sjúklingum sem fá uppsafnaða skammta dox</w:t>
      </w:r>
      <w:r w:rsidR="001B731E" w:rsidRPr="009F7642">
        <w:rPr>
          <w:color w:val="auto"/>
          <w:lang w:val="is-IS"/>
        </w:rPr>
        <w:t>órúbicíns sem eru stærri en 300 </w:t>
      </w:r>
      <w:r w:rsidRPr="009F7642">
        <w:rPr>
          <w:color w:val="auto"/>
          <w:lang w:val="is-IS"/>
        </w:rPr>
        <w:t>mg/m</w:t>
      </w:r>
      <w:r w:rsidRPr="009F7642">
        <w:rPr>
          <w:color w:val="auto"/>
          <w:vertAlign w:val="superscript"/>
          <w:lang w:val="is-IS"/>
        </w:rPr>
        <w:t>2</w:t>
      </w:r>
      <w:r w:rsidRPr="009F7642">
        <w:rPr>
          <w:color w:val="auto"/>
          <w:lang w:val="is-IS"/>
        </w:rPr>
        <w:t xml:space="preserve"> þegar lyfið er gefið samtímis bevacízúmabi.</w:t>
      </w:r>
    </w:p>
    <w:p w14:paraId="412D15EF" w14:textId="77777777" w:rsidR="005F36F3" w:rsidRPr="009F7642" w:rsidRDefault="005F36F3" w:rsidP="008B60B2">
      <w:pPr>
        <w:suppressAutoHyphens/>
        <w:spacing w:after="0" w:line="240" w:lineRule="auto"/>
        <w:ind w:left="0" w:firstLine="0"/>
        <w:rPr>
          <w:color w:val="auto"/>
          <w:lang w:val="is-IS"/>
        </w:rPr>
      </w:pPr>
    </w:p>
    <w:p w14:paraId="79AF588D" w14:textId="4D4FA5C0" w:rsidR="00B576FB" w:rsidRDefault="00564614" w:rsidP="008B60B2">
      <w:pPr>
        <w:keepNext/>
        <w:suppressAutoHyphens/>
        <w:spacing w:after="0" w:line="240" w:lineRule="auto"/>
        <w:ind w:left="0" w:firstLine="0"/>
        <w:rPr>
          <w:color w:val="auto"/>
          <w:u w:val="single"/>
          <w:lang w:val="is-IS"/>
        </w:rPr>
      </w:pPr>
      <w:r w:rsidRPr="009F7642">
        <w:rPr>
          <w:i/>
          <w:color w:val="auto"/>
          <w:u w:val="single"/>
          <w:lang w:val="is-IS"/>
        </w:rPr>
        <w:t>Ofnæmisviðbrögð</w:t>
      </w:r>
      <w:r w:rsidR="001C4A29">
        <w:rPr>
          <w:i/>
          <w:color w:val="auto"/>
          <w:u w:val="single"/>
          <w:lang w:val="is-IS"/>
        </w:rPr>
        <w:t xml:space="preserve"> (þ.m.t. </w:t>
      </w:r>
      <w:r w:rsidR="00845621">
        <w:rPr>
          <w:i/>
          <w:color w:val="auto"/>
          <w:u w:val="single"/>
          <w:lang w:val="is-IS"/>
        </w:rPr>
        <w:t>bráða</w:t>
      </w:r>
      <w:r w:rsidR="001C4A29">
        <w:rPr>
          <w:i/>
          <w:color w:val="auto"/>
          <w:u w:val="single"/>
          <w:lang w:val="is-IS"/>
        </w:rPr>
        <w:t>ofnæmislost)</w:t>
      </w:r>
      <w:r w:rsidRPr="009F7642">
        <w:rPr>
          <w:i/>
          <w:color w:val="auto"/>
          <w:u w:val="single"/>
          <w:lang w:val="is-IS"/>
        </w:rPr>
        <w:t xml:space="preserve">/innrennslisviðbrögð </w:t>
      </w:r>
      <w:r w:rsidRPr="009F7642">
        <w:rPr>
          <w:color w:val="auto"/>
          <w:u w:val="single"/>
          <w:lang w:val="is-IS"/>
        </w:rPr>
        <w:t xml:space="preserve">(sjá kafla 4.4 og </w:t>
      </w:r>
      <w:r w:rsidRPr="009F7642">
        <w:rPr>
          <w:i/>
          <w:color w:val="auto"/>
          <w:u w:val="single"/>
          <w:lang w:val="is-IS"/>
        </w:rPr>
        <w:t>Reynsla eftir markaðssetningu</w:t>
      </w:r>
      <w:r w:rsidRPr="009F7642">
        <w:rPr>
          <w:color w:val="auto"/>
          <w:u w:val="single"/>
          <w:lang w:val="is-IS"/>
        </w:rPr>
        <w:t xml:space="preserve"> hér að neðan)</w:t>
      </w:r>
    </w:p>
    <w:p w14:paraId="56E50B30" w14:textId="77777777" w:rsidR="00B576FB" w:rsidRDefault="00B576FB" w:rsidP="008B60B2">
      <w:pPr>
        <w:keepNext/>
        <w:suppressAutoHyphens/>
        <w:spacing w:after="0" w:line="240" w:lineRule="auto"/>
        <w:ind w:left="0" w:firstLine="0"/>
        <w:rPr>
          <w:color w:val="auto"/>
          <w:lang w:val="is-IS"/>
        </w:rPr>
      </w:pPr>
    </w:p>
    <w:p w14:paraId="2BEB14EB" w14:textId="77777777" w:rsidR="006C06D6" w:rsidRPr="009F7642" w:rsidRDefault="00564614" w:rsidP="008B60B2">
      <w:pPr>
        <w:suppressAutoHyphens/>
        <w:spacing w:after="0" w:line="240" w:lineRule="auto"/>
        <w:ind w:left="0" w:firstLine="0"/>
        <w:rPr>
          <w:color w:val="auto"/>
          <w:lang w:val="is-IS"/>
        </w:rPr>
      </w:pPr>
      <w:r w:rsidRPr="00B576FB">
        <w:rPr>
          <w:color w:val="auto"/>
          <w:lang w:val="is-IS"/>
        </w:rPr>
        <w:t>Í</w:t>
      </w:r>
      <w:r w:rsidR="00B576FB">
        <w:rPr>
          <w:color w:val="auto"/>
          <w:lang w:val="is-IS"/>
        </w:rPr>
        <w:t xml:space="preserve"> </w:t>
      </w:r>
      <w:r w:rsidRPr="009F7642">
        <w:rPr>
          <w:color w:val="auto"/>
          <w:lang w:val="is-IS"/>
        </w:rPr>
        <w:t xml:space="preserve">sumum klínískum rannsóknum voru bráðaofnæmisviðbrögð og bráðaofnæmislík viðbrögð tíðari hjá sjúklingum í krabbameinslyfjameðferð sem fengu </w:t>
      </w:r>
      <w:r w:rsidR="00690564" w:rsidRPr="00F2274F">
        <w:rPr>
          <w:lang w:val="is-IS"/>
        </w:rPr>
        <w:t>bevacízúmab</w:t>
      </w:r>
      <w:r w:rsidRPr="009F7642">
        <w:rPr>
          <w:color w:val="auto"/>
          <w:lang w:val="is-IS"/>
        </w:rPr>
        <w:t xml:space="preserve"> samhliða en hjá sjúklingum sem voru einvörðungu í krabbameinslyfjameðferð. Slík viðbrögð voru algeng í sumum klínískum rannsóknum á </w:t>
      </w:r>
      <w:r w:rsidR="00690564" w:rsidRPr="00F2274F">
        <w:rPr>
          <w:lang w:val="is-IS"/>
        </w:rPr>
        <w:t>bevacízúmab</w:t>
      </w:r>
      <w:r w:rsidR="004A5EB9" w:rsidRPr="00F2274F">
        <w:rPr>
          <w:lang w:val="is-IS"/>
        </w:rPr>
        <w:t>i</w:t>
      </w:r>
      <w:r w:rsidRPr="009F7642">
        <w:rPr>
          <w:color w:val="auto"/>
          <w:lang w:val="is-IS"/>
        </w:rPr>
        <w:t xml:space="preserve"> (sáust hjá allt að 5% sjúklinga sem fengu bevacízúmab).</w:t>
      </w:r>
    </w:p>
    <w:p w14:paraId="748E4519" w14:textId="77777777" w:rsidR="005F36F3" w:rsidRPr="009F7642" w:rsidRDefault="005F36F3" w:rsidP="008B60B2">
      <w:pPr>
        <w:suppressAutoHyphens/>
        <w:spacing w:after="0" w:line="240" w:lineRule="auto"/>
        <w:ind w:left="0" w:firstLine="0"/>
        <w:rPr>
          <w:color w:val="auto"/>
          <w:lang w:val="is-IS"/>
        </w:rPr>
      </w:pPr>
    </w:p>
    <w:p w14:paraId="10FDC619" w14:textId="77777777" w:rsidR="006C06D6" w:rsidRPr="009F7642" w:rsidRDefault="00564614" w:rsidP="008B60B2">
      <w:pPr>
        <w:keepNext/>
        <w:suppressAutoHyphens/>
        <w:spacing w:after="0" w:line="240" w:lineRule="auto"/>
        <w:ind w:left="0" w:firstLine="0"/>
        <w:rPr>
          <w:i/>
          <w:color w:val="auto"/>
          <w:u w:val="single"/>
          <w:lang w:val="is-IS"/>
        </w:rPr>
      </w:pPr>
      <w:r w:rsidRPr="009F7642">
        <w:rPr>
          <w:i/>
          <w:color w:val="auto"/>
          <w:u w:val="single"/>
          <w:lang w:val="is-IS"/>
        </w:rPr>
        <w:t>Sýkingar</w:t>
      </w:r>
    </w:p>
    <w:p w14:paraId="72A563DA" w14:textId="77777777" w:rsidR="00937B97" w:rsidRPr="009F7642" w:rsidRDefault="00937B97" w:rsidP="008B60B2">
      <w:pPr>
        <w:keepNext/>
        <w:suppressAutoHyphens/>
        <w:spacing w:after="0" w:line="240" w:lineRule="auto"/>
        <w:ind w:left="0" w:firstLine="0"/>
        <w:rPr>
          <w:color w:val="auto"/>
          <w:lang w:val="is-IS"/>
        </w:rPr>
      </w:pPr>
    </w:p>
    <w:p w14:paraId="4DF499E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Í klínískri rannsókn hjá sjúklingum með krabbamein í leghálsi sem var þrálátt og endurkomið eða með meinvörpum (GOG-</w:t>
      </w:r>
      <w:r w:rsidR="0018021C">
        <w:rPr>
          <w:color w:val="auto"/>
          <w:lang w:val="is-IS"/>
        </w:rPr>
        <w:t>0</w:t>
      </w:r>
      <w:r w:rsidRPr="009F7642">
        <w:rPr>
          <w:color w:val="auto"/>
          <w:lang w:val="is-IS"/>
        </w:rPr>
        <w:t xml:space="preserve">240 rannsóknin) var tilkynnt um sýkingar af alvarleikastigi 3-5 hjá allt að 24% sjúklinga sem fengu </w:t>
      </w:r>
      <w:r w:rsidR="00690564" w:rsidRPr="00F2274F">
        <w:rPr>
          <w:lang w:val="is-IS"/>
        </w:rPr>
        <w:t>bevacízúmab</w:t>
      </w:r>
      <w:r w:rsidRPr="009F7642">
        <w:rPr>
          <w:color w:val="auto"/>
          <w:lang w:val="is-IS"/>
        </w:rPr>
        <w:t xml:space="preserve"> ásamt paklítaxeli og tópótekani en allt að 13% hjá sjúklingum sem fengu eingöngu paklítaxel og tópótekan.</w:t>
      </w:r>
    </w:p>
    <w:p w14:paraId="3BC2237E" w14:textId="77777777" w:rsidR="005F36F3" w:rsidRPr="009F7642" w:rsidRDefault="005F36F3" w:rsidP="008B60B2">
      <w:pPr>
        <w:suppressAutoHyphens/>
        <w:spacing w:after="0" w:line="240" w:lineRule="auto"/>
        <w:ind w:left="0" w:firstLine="0"/>
        <w:rPr>
          <w:color w:val="auto"/>
          <w:lang w:val="is-IS"/>
        </w:rPr>
      </w:pPr>
    </w:p>
    <w:p w14:paraId="21D85F0F" w14:textId="77777777" w:rsidR="006C06D6" w:rsidRPr="009F7642" w:rsidRDefault="00564614" w:rsidP="008B60B2">
      <w:pPr>
        <w:keepNext/>
        <w:suppressAutoHyphens/>
        <w:spacing w:after="0" w:line="240" w:lineRule="auto"/>
        <w:ind w:left="0" w:firstLine="0"/>
        <w:rPr>
          <w:i/>
          <w:color w:val="auto"/>
          <w:u w:val="single"/>
          <w:lang w:val="is-IS"/>
        </w:rPr>
      </w:pPr>
      <w:r w:rsidRPr="009F7642">
        <w:rPr>
          <w:i/>
          <w:color w:val="auto"/>
          <w:u w:val="single"/>
          <w:lang w:val="is-IS"/>
        </w:rPr>
        <w:t xml:space="preserve">Skert starfsemi eggjastokka/frjósemi </w:t>
      </w:r>
      <w:r w:rsidRPr="009F7642">
        <w:rPr>
          <w:color w:val="auto"/>
          <w:u w:val="single"/>
          <w:lang w:val="is-IS"/>
        </w:rPr>
        <w:t>(sjá kafla 4.4 og 4.6)</w:t>
      </w:r>
    </w:p>
    <w:p w14:paraId="04C38477" w14:textId="77777777" w:rsidR="00937B97" w:rsidRPr="009F7642" w:rsidRDefault="00937B97" w:rsidP="008B60B2">
      <w:pPr>
        <w:keepNext/>
        <w:suppressAutoHyphens/>
        <w:spacing w:after="0" w:line="240" w:lineRule="auto"/>
        <w:ind w:left="0" w:firstLine="0"/>
        <w:rPr>
          <w:color w:val="auto"/>
          <w:lang w:val="is-IS"/>
        </w:rPr>
      </w:pPr>
    </w:p>
    <w:p w14:paraId="5BBD7DA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NSABP C-08 rannsókninni, III. stigs klínískri rannsókn á </w:t>
      </w:r>
      <w:r w:rsidR="00690564" w:rsidRPr="00F2274F">
        <w:rPr>
          <w:lang w:val="is-IS"/>
        </w:rPr>
        <w:t>bevacízúmab</w:t>
      </w:r>
      <w:r w:rsidR="004A5EB9" w:rsidRPr="00F2274F">
        <w:rPr>
          <w:lang w:val="is-IS"/>
        </w:rPr>
        <w:t>i</w:t>
      </w:r>
      <w:r w:rsidRPr="009F7642">
        <w:rPr>
          <w:color w:val="auto"/>
          <w:lang w:val="is-IS"/>
        </w:rPr>
        <w:t xml:space="preserve"> sem viðbótarmeðferð hjá sjúklingum með krabbamein í ristli, var tíðni nýrra tilfella af skertri starfsemi eggjastokka, sem skilgreind var sem tíðateppa í 3 m</w:t>
      </w:r>
      <w:r w:rsidR="009D2BA1" w:rsidRPr="009F7642">
        <w:rPr>
          <w:color w:val="auto"/>
          <w:lang w:val="is-IS"/>
        </w:rPr>
        <w:t xml:space="preserve">ánuði eða lengur, FSH gildi </w:t>
      </w:r>
      <w:r w:rsidR="00540AC4">
        <w:rPr>
          <w:color w:val="auto"/>
          <w:lang w:val="is-IS"/>
        </w:rPr>
        <w:t>≥ </w:t>
      </w:r>
      <w:r w:rsidR="009D2BA1" w:rsidRPr="009F7642">
        <w:rPr>
          <w:color w:val="auto"/>
          <w:lang w:val="is-IS"/>
        </w:rPr>
        <w:t>30 </w:t>
      </w:r>
      <w:r w:rsidRPr="009F7642">
        <w:rPr>
          <w:color w:val="auto"/>
          <w:lang w:val="is-IS"/>
        </w:rPr>
        <w:t>mIU/ml og neikvætt þungunarpróf sem byggði á mælingu β-HCG í sermi, metin hjá 295 konum á barneignaraldri. Tilkynnt var um ný tilfelli af skertri starfsemi eggjastokka hjá 2,6% sjúklinga í mFOLFOX-6 hópnum, borið saman við 39% hjá hópnum sem fékk mFOLFOX-6 ásamt bevacízúmabi. Eftir að meðferð með bevacízúmabi var hætt endurheimtist virkni eggjastokka hjá 86,2% þessara kvenna, sem hægt var að meta. Langtímaáhrif meðferðar með bevacízúmabi á frjósemi eru ekki þekkt.</w:t>
      </w:r>
    </w:p>
    <w:p w14:paraId="0F8B5BBF" w14:textId="77777777" w:rsidR="005F36F3" w:rsidRPr="009F7642" w:rsidRDefault="005F36F3" w:rsidP="008B60B2">
      <w:pPr>
        <w:suppressAutoHyphens/>
        <w:spacing w:after="0" w:line="240" w:lineRule="auto"/>
        <w:ind w:left="0" w:firstLine="0"/>
        <w:rPr>
          <w:color w:val="auto"/>
          <w:lang w:val="is-IS"/>
        </w:rPr>
      </w:pPr>
    </w:p>
    <w:p w14:paraId="704B7890" w14:textId="77777777" w:rsidR="006C06D6" w:rsidRPr="009F7642" w:rsidRDefault="00564614" w:rsidP="008B60B2">
      <w:pPr>
        <w:keepNext/>
        <w:suppressAutoHyphens/>
        <w:spacing w:after="0" w:line="240" w:lineRule="auto"/>
        <w:ind w:left="0" w:firstLine="0"/>
        <w:rPr>
          <w:i/>
          <w:color w:val="auto"/>
          <w:u w:val="single"/>
          <w:lang w:val="is-IS"/>
        </w:rPr>
      </w:pPr>
      <w:r w:rsidRPr="009F7642">
        <w:rPr>
          <w:i/>
          <w:color w:val="auto"/>
          <w:u w:val="single"/>
          <w:lang w:val="is-IS"/>
        </w:rPr>
        <w:t>Rannsóknarstofufrávik</w:t>
      </w:r>
    </w:p>
    <w:p w14:paraId="1A5D25C6" w14:textId="77777777" w:rsidR="00413359" w:rsidRPr="009F7642" w:rsidRDefault="00413359" w:rsidP="008B60B2">
      <w:pPr>
        <w:keepNext/>
        <w:suppressAutoHyphens/>
        <w:spacing w:after="0" w:line="240" w:lineRule="auto"/>
        <w:ind w:left="0" w:firstLine="0"/>
        <w:rPr>
          <w:color w:val="auto"/>
          <w:lang w:val="is-IS"/>
        </w:rPr>
      </w:pPr>
    </w:p>
    <w:p w14:paraId="027EE158"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Fækkun daufkyrninga, hvítra blóðkorna og prótein í þvagi geta tengst meðferð með </w:t>
      </w:r>
      <w:r w:rsidR="001764F7" w:rsidRPr="00F2274F">
        <w:rPr>
          <w:lang w:val="is-IS"/>
        </w:rPr>
        <w:t>MVASI</w:t>
      </w:r>
      <w:r w:rsidRPr="009F7642">
        <w:rPr>
          <w:color w:val="auto"/>
          <w:lang w:val="is-IS"/>
        </w:rPr>
        <w:t>.</w:t>
      </w:r>
    </w:p>
    <w:p w14:paraId="58979A39" w14:textId="77777777" w:rsidR="005F36F3" w:rsidRPr="009F7642" w:rsidRDefault="005F36F3" w:rsidP="008B60B2">
      <w:pPr>
        <w:suppressAutoHyphens/>
        <w:spacing w:after="0" w:line="240" w:lineRule="auto"/>
        <w:ind w:left="0" w:firstLine="0"/>
        <w:rPr>
          <w:color w:val="auto"/>
          <w:lang w:val="is-IS"/>
        </w:rPr>
      </w:pPr>
    </w:p>
    <w:p w14:paraId="4B0471D2"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Í klínískum rannsóknum komu eftirfarandi 3. og 4.</w:t>
      </w:r>
      <w:r w:rsidR="0018021C">
        <w:rPr>
          <w:color w:val="auto"/>
          <w:lang w:val="is-IS"/>
        </w:rPr>
        <w:t> </w:t>
      </w:r>
      <w:r w:rsidRPr="009F7642">
        <w:rPr>
          <w:color w:val="auto"/>
          <w:lang w:val="is-IS"/>
        </w:rPr>
        <w:t>stigs (NCI-CTCAE, 3.</w:t>
      </w:r>
      <w:r w:rsidR="0018021C">
        <w:rPr>
          <w:color w:val="auto"/>
          <w:lang w:val="is-IS"/>
        </w:rPr>
        <w:t> </w:t>
      </w:r>
      <w:r w:rsidRPr="009F7642">
        <w:rPr>
          <w:color w:val="auto"/>
          <w:lang w:val="is-IS"/>
        </w:rPr>
        <w:t xml:space="preserve">útg.) rannsóknarstofufrávik fram hjá sjúklingum á meðferð með </w:t>
      </w:r>
      <w:r w:rsidR="00690564" w:rsidRPr="00F2274F">
        <w:rPr>
          <w:lang w:val="is-IS"/>
        </w:rPr>
        <w:t>bevacízúmab</w:t>
      </w:r>
      <w:r w:rsidR="004A5EB9" w:rsidRPr="00F2274F">
        <w:rPr>
          <w:lang w:val="is-IS"/>
        </w:rPr>
        <w:t>i</w:t>
      </w:r>
      <w:r w:rsidRPr="009F7642">
        <w:rPr>
          <w:color w:val="auto"/>
          <w:lang w:val="is-IS"/>
        </w:rPr>
        <w:t xml:space="preserve"> með a.m.k. 2% mun samanborið við samsvarandi samanburðarhópa: Hækkaður blóðsykur, blóðrauðalækkun, kalíumlækkun í blóði, natríumlækkun í blóði, fækkun hvítra blóðkorna og lenging á INR (international normalised ratio).</w:t>
      </w:r>
    </w:p>
    <w:p w14:paraId="048F7277" w14:textId="77777777" w:rsidR="005F36F3" w:rsidRPr="009F7642" w:rsidRDefault="005F36F3" w:rsidP="008B60B2">
      <w:pPr>
        <w:suppressAutoHyphens/>
        <w:spacing w:after="0" w:line="240" w:lineRule="auto"/>
        <w:ind w:left="0" w:firstLine="0"/>
        <w:rPr>
          <w:color w:val="auto"/>
          <w:lang w:val="is-IS"/>
        </w:rPr>
      </w:pPr>
    </w:p>
    <w:p w14:paraId="0E26E54C"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Klínískar rannsóknir hafa sýnt að tímabundin aukning á kreatíníni í sermi (á bilinu 1,5-1,9 sinnum upphafsgildi), bæði með og án próteins í þvagi, tengist notkun </w:t>
      </w:r>
      <w:r w:rsidR="00690564" w:rsidRPr="00F2274F">
        <w:rPr>
          <w:lang w:val="is-IS"/>
        </w:rPr>
        <w:t>bevacízúmab</w:t>
      </w:r>
      <w:r w:rsidR="004A5EB9" w:rsidRPr="00F2274F">
        <w:rPr>
          <w:lang w:val="is-IS"/>
        </w:rPr>
        <w:t>s</w:t>
      </w:r>
      <w:r w:rsidRPr="009F7642">
        <w:rPr>
          <w:color w:val="auto"/>
          <w:lang w:val="is-IS"/>
        </w:rPr>
        <w:t xml:space="preserve">. Sú aukning sem sást á kreatíníni í sermi tengdist ekki aukinni tíðni klínískra einkenna skertrar nýrnastarfsemi hjá sjúklingum sem fengu </w:t>
      </w:r>
      <w:r w:rsidR="00690564" w:rsidRPr="00F2274F">
        <w:rPr>
          <w:lang w:val="is-IS"/>
        </w:rPr>
        <w:t>bevacízúmab</w:t>
      </w:r>
      <w:r w:rsidRPr="009F7642">
        <w:rPr>
          <w:color w:val="auto"/>
          <w:lang w:val="is-IS"/>
        </w:rPr>
        <w:t>.</w:t>
      </w:r>
    </w:p>
    <w:p w14:paraId="05375294" w14:textId="77777777" w:rsidR="005F36F3" w:rsidRPr="009F7642" w:rsidRDefault="005F36F3" w:rsidP="008B60B2">
      <w:pPr>
        <w:suppressAutoHyphens/>
        <w:spacing w:after="0" w:line="240" w:lineRule="auto"/>
        <w:ind w:left="0" w:firstLine="0"/>
        <w:rPr>
          <w:color w:val="auto"/>
          <w:lang w:val="is-IS"/>
        </w:rPr>
      </w:pPr>
    </w:p>
    <w:p w14:paraId="3667B38F" w14:textId="77777777" w:rsidR="006C06D6" w:rsidRPr="00E73BBB" w:rsidRDefault="00564614" w:rsidP="008B60B2">
      <w:pPr>
        <w:keepNext/>
        <w:suppressAutoHyphens/>
        <w:spacing w:after="0" w:line="240" w:lineRule="auto"/>
        <w:ind w:left="0" w:firstLine="0"/>
        <w:rPr>
          <w:color w:val="auto"/>
          <w:u w:val="single"/>
          <w:lang w:val="is-IS"/>
        </w:rPr>
      </w:pPr>
      <w:r w:rsidRPr="00E73BBB">
        <w:rPr>
          <w:color w:val="auto"/>
          <w:u w:val="single"/>
          <w:lang w:val="is-IS"/>
        </w:rPr>
        <w:t>Aðrir sérstakir sjúklingahópar</w:t>
      </w:r>
    </w:p>
    <w:p w14:paraId="43604CD7" w14:textId="77777777" w:rsidR="005F36F3" w:rsidRPr="009F7642" w:rsidRDefault="005F36F3" w:rsidP="008B60B2">
      <w:pPr>
        <w:keepNext/>
        <w:suppressAutoHyphens/>
        <w:spacing w:after="0" w:line="240" w:lineRule="auto"/>
        <w:ind w:left="0" w:firstLine="0"/>
        <w:rPr>
          <w:color w:val="auto"/>
          <w:lang w:val="is-IS"/>
        </w:rPr>
      </w:pPr>
    </w:p>
    <w:p w14:paraId="6070B06A" w14:textId="77777777" w:rsidR="006C06D6" w:rsidRPr="008B6364" w:rsidRDefault="00564614" w:rsidP="008B60B2">
      <w:pPr>
        <w:keepNext/>
        <w:suppressAutoHyphens/>
        <w:spacing w:after="0" w:line="240" w:lineRule="auto"/>
        <w:ind w:left="0" w:firstLine="0"/>
        <w:rPr>
          <w:i/>
          <w:color w:val="auto"/>
          <w:u w:val="single"/>
          <w:lang w:val="is-IS"/>
        </w:rPr>
      </w:pPr>
      <w:r w:rsidRPr="008B6364">
        <w:rPr>
          <w:i/>
          <w:color w:val="auto"/>
          <w:u w:val="single"/>
          <w:lang w:val="is-IS"/>
        </w:rPr>
        <w:t>Aldraðir sjúklingar</w:t>
      </w:r>
    </w:p>
    <w:p w14:paraId="5E2CCA51" w14:textId="77777777" w:rsidR="00413359" w:rsidRPr="009F7642" w:rsidRDefault="00413359" w:rsidP="008B60B2">
      <w:pPr>
        <w:keepNext/>
        <w:suppressAutoHyphens/>
        <w:spacing w:after="0" w:line="240" w:lineRule="auto"/>
        <w:ind w:left="0" w:firstLine="0"/>
        <w:rPr>
          <w:color w:val="auto"/>
          <w:lang w:val="is-IS"/>
        </w:rPr>
      </w:pPr>
    </w:p>
    <w:p w14:paraId="775A7045"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slembiröðuðum, klínískum rannsóknum voru sjúklingar </w:t>
      </w:r>
      <w:r w:rsidR="009F75ED">
        <w:rPr>
          <w:color w:val="auto"/>
          <w:lang w:val="is-IS"/>
        </w:rPr>
        <w:t>&gt; </w:t>
      </w:r>
      <w:r w:rsidRPr="009F7642">
        <w:rPr>
          <w:color w:val="auto"/>
          <w:lang w:val="is-IS"/>
        </w:rPr>
        <w:t>65 ára í aukinni hættu á að fá segarek í slagæðum, að meðtöldu heilablóðfalli, skammvinnum blóðþurrðarköstum og hjartadrepi. Aðrar aukaverkanir með hærri tíðni sem komu fram hjá sjúklingum eldri en 65 voru 3.-4. stigs hvítkornafæð og blóðflagnafæð (NCI-CTCAE, 3.</w:t>
      </w:r>
      <w:r w:rsidR="0018021C">
        <w:rPr>
          <w:color w:val="auto"/>
          <w:lang w:val="is-IS"/>
        </w:rPr>
        <w:t> </w:t>
      </w:r>
      <w:r w:rsidRPr="009F7642">
        <w:rPr>
          <w:color w:val="auto"/>
          <w:lang w:val="is-IS"/>
        </w:rPr>
        <w:t>útg.); og af öllum stigum, daufkyrningafæð, niðurgangur, ógleði, höfuðverkur og</w:t>
      </w:r>
      <w:r w:rsidR="00FA378A">
        <w:rPr>
          <w:color w:val="auto"/>
          <w:lang w:val="is-IS"/>
        </w:rPr>
        <w:t xml:space="preserve"> þreyta miðað við þá sem voru ≤ </w:t>
      </w:r>
      <w:r w:rsidRPr="009F7642">
        <w:rPr>
          <w:color w:val="auto"/>
          <w:lang w:val="is-IS"/>
        </w:rPr>
        <w:t xml:space="preserve">65 ára þegar þeir fengu meðferð með </w:t>
      </w:r>
      <w:r w:rsidR="00690564" w:rsidRPr="00F2274F">
        <w:rPr>
          <w:lang w:val="is-IS"/>
        </w:rPr>
        <w:t>bevacízúmab</w:t>
      </w:r>
      <w:r w:rsidR="004A5EB9" w:rsidRPr="00F2274F">
        <w:rPr>
          <w:lang w:val="is-IS"/>
        </w:rPr>
        <w:t>i</w:t>
      </w:r>
      <w:r w:rsidRPr="009F7642">
        <w:rPr>
          <w:color w:val="auto"/>
          <w:lang w:val="is-IS"/>
        </w:rPr>
        <w:t xml:space="preserve"> (sjá kafla 4.4 og 4.8 undir </w:t>
      </w:r>
      <w:r w:rsidRPr="009F7642">
        <w:rPr>
          <w:i/>
          <w:color w:val="auto"/>
          <w:lang w:val="is-IS"/>
        </w:rPr>
        <w:t>Segarek</w:t>
      </w:r>
      <w:r w:rsidRPr="009F7642">
        <w:rPr>
          <w:color w:val="auto"/>
          <w:lang w:val="is-IS"/>
        </w:rPr>
        <w:t xml:space="preserve">). Í einni klínískri rannsókn var tíðni háþrýstings af stigi </w:t>
      </w:r>
      <w:r w:rsidR="00540AC4">
        <w:rPr>
          <w:color w:val="auto"/>
          <w:lang w:val="is-IS"/>
        </w:rPr>
        <w:t>≥ </w:t>
      </w:r>
      <w:r w:rsidRPr="009F7642">
        <w:rPr>
          <w:color w:val="auto"/>
          <w:lang w:val="is-IS"/>
        </w:rPr>
        <w:t xml:space="preserve">3 tvöfalt hærri hjá sjúklingum </w:t>
      </w:r>
      <w:r w:rsidR="009F75ED">
        <w:rPr>
          <w:color w:val="auto"/>
          <w:lang w:val="is-IS"/>
        </w:rPr>
        <w:t>&gt; </w:t>
      </w:r>
      <w:r w:rsidRPr="009F7642">
        <w:rPr>
          <w:color w:val="auto"/>
          <w:lang w:val="is-IS"/>
        </w:rPr>
        <w:t>65 ára en í yngri aldurshópnum (</w:t>
      </w:r>
      <w:r w:rsidR="00540AC4">
        <w:rPr>
          <w:color w:val="auto"/>
          <w:lang w:val="is-IS"/>
        </w:rPr>
        <w:t>&lt; </w:t>
      </w:r>
      <w:r w:rsidRPr="009F7642">
        <w:rPr>
          <w:color w:val="auto"/>
          <w:lang w:val="is-IS"/>
        </w:rPr>
        <w:t>65 ára). Í rannsókn hjá sjúklingum með endurkomið krabbamein í eggjastokkum, sem ónæmt var fyrir platínusamböndum, var einnig tilkynnt um hárlos, bólgu í slímhúð, útlægan skyntaugakvilla, prótein í þvagi og háþrýsting og var tíðnin a.m.k.</w:t>
      </w:r>
      <w:r w:rsidR="00CC7F66">
        <w:rPr>
          <w:color w:val="auto"/>
          <w:lang w:val="is-IS"/>
        </w:rPr>
        <w:t xml:space="preserve"> </w:t>
      </w:r>
      <w:r w:rsidRPr="009F7642">
        <w:rPr>
          <w:color w:val="auto"/>
          <w:lang w:val="is-IS"/>
        </w:rPr>
        <w:lastRenderedPageBreak/>
        <w:t xml:space="preserve">5% meiri hjá sjúklingum </w:t>
      </w:r>
      <w:r w:rsidR="00540AC4">
        <w:rPr>
          <w:rFonts w:eastAsia="Segoe UI Symbol"/>
          <w:color w:val="auto"/>
          <w:lang w:val="is-IS"/>
        </w:rPr>
        <w:t>≥ </w:t>
      </w:r>
      <w:r w:rsidRPr="009F7642">
        <w:rPr>
          <w:color w:val="auto"/>
          <w:lang w:val="is-IS"/>
        </w:rPr>
        <w:t xml:space="preserve">65 ára sem fengu bevacízúmab í CT </w:t>
      </w:r>
      <w:r w:rsidRPr="009F7642">
        <w:rPr>
          <w:rFonts w:eastAsia="Segoe UI Symbol"/>
          <w:color w:val="auto"/>
          <w:lang w:val="is-IS"/>
        </w:rPr>
        <w:t>+</w:t>
      </w:r>
      <w:r w:rsidRPr="009F7642">
        <w:rPr>
          <w:color w:val="auto"/>
          <w:lang w:val="is-IS"/>
        </w:rPr>
        <w:t xml:space="preserve"> BV hópnum en hjá sjúklingum </w:t>
      </w:r>
      <w:r w:rsidR="00540AC4">
        <w:rPr>
          <w:color w:val="auto"/>
          <w:lang w:val="is-IS"/>
        </w:rPr>
        <w:t>&lt; </w:t>
      </w:r>
      <w:r w:rsidRPr="009F7642">
        <w:rPr>
          <w:color w:val="auto"/>
          <w:lang w:val="is-IS"/>
        </w:rPr>
        <w:t>65 ára sem fengu bevacízúmab.</w:t>
      </w:r>
    </w:p>
    <w:p w14:paraId="63920804" w14:textId="77777777" w:rsidR="00413359" w:rsidRPr="009F7642" w:rsidRDefault="00413359" w:rsidP="008B60B2">
      <w:pPr>
        <w:suppressAutoHyphens/>
        <w:spacing w:after="0" w:line="240" w:lineRule="auto"/>
        <w:ind w:left="0" w:firstLine="0"/>
        <w:rPr>
          <w:color w:val="auto"/>
          <w:lang w:val="is-IS"/>
        </w:rPr>
      </w:pPr>
    </w:p>
    <w:p w14:paraId="744A7284" w14:textId="77777777" w:rsidR="005F36F3" w:rsidRPr="009F7642" w:rsidRDefault="00564614" w:rsidP="008B60B2">
      <w:pPr>
        <w:suppressAutoHyphens/>
        <w:spacing w:after="0" w:line="240" w:lineRule="auto"/>
        <w:ind w:left="0" w:firstLine="0"/>
        <w:rPr>
          <w:color w:val="auto"/>
          <w:lang w:val="is-IS"/>
        </w:rPr>
      </w:pPr>
      <w:r w:rsidRPr="009F7642">
        <w:rPr>
          <w:color w:val="auto"/>
          <w:lang w:val="is-IS"/>
        </w:rPr>
        <w:t>Ekki varð vart við aukna tíðni annarra aukaverkana, að meðtöldu rofi á maga og þörmum, sáragræðslukvillum, hjartabilun og blæðingu hjá öldruðum sjúklingum (</w:t>
      </w:r>
      <w:r w:rsidR="009F75ED">
        <w:rPr>
          <w:color w:val="auto"/>
          <w:lang w:val="is-IS"/>
        </w:rPr>
        <w:t>&gt; </w:t>
      </w:r>
      <w:r w:rsidRPr="009F7642">
        <w:rPr>
          <w:color w:val="auto"/>
          <w:lang w:val="is-IS"/>
        </w:rPr>
        <w:t xml:space="preserve">65 ára) sem fengu </w:t>
      </w:r>
      <w:r w:rsidR="00690564" w:rsidRPr="00F2274F">
        <w:rPr>
          <w:lang w:val="is-IS"/>
        </w:rPr>
        <w:t>bevacízúmab</w:t>
      </w:r>
      <w:r w:rsidR="00FA378A">
        <w:rPr>
          <w:color w:val="auto"/>
          <w:lang w:val="is-IS"/>
        </w:rPr>
        <w:t xml:space="preserve"> samanborið við þá sem voru ≤ </w:t>
      </w:r>
      <w:r w:rsidRPr="009F7642">
        <w:rPr>
          <w:color w:val="auto"/>
          <w:lang w:val="is-IS"/>
        </w:rPr>
        <w:t>65 ára</w:t>
      </w:r>
      <w:r w:rsidR="003C161D" w:rsidRPr="009F7642">
        <w:rPr>
          <w:color w:val="auto"/>
          <w:lang w:val="is-IS"/>
        </w:rPr>
        <w:t xml:space="preserve"> og fengu meðferð með </w:t>
      </w:r>
      <w:r w:rsidR="00690564" w:rsidRPr="00F2274F">
        <w:rPr>
          <w:lang w:val="is-IS"/>
        </w:rPr>
        <w:t>bevacízúmab</w:t>
      </w:r>
      <w:r w:rsidR="004A5EB9" w:rsidRPr="00F2274F">
        <w:rPr>
          <w:lang w:val="is-IS"/>
        </w:rPr>
        <w:t>i</w:t>
      </w:r>
      <w:r w:rsidR="003C161D" w:rsidRPr="009F7642">
        <w:rPr>
          <w:color w:val="auto"/>
          <w:lang w:val="is-IS"/>
        </w:rPr>
        <w:t>.</w:t>
      </w:r>
    </w:p>
    <w:p w14:paraId="671835D3" w14:textId="77777777" w:rsidR="005F36F3" w:rsidRPr="009F7642" w:rsidRDefault="005F36F3" w:rsidP="008B60B2">
      <w:pPr>
        <w:suppressAutoHyphens/>
        <w:spacing w:after="0" w:line="240" w:lineRule="auto"/>
        <w:ind w:left="0" w:firstLine="0"/>
        <w:rPr>
          <w:color w:val="auto"/>
          <w:lang w:val="is-IS"/>
        </w:rPr>
      </w:pPr>
    </w:p>
    <w:p w14:paraId="26D5D3DE" w14:textId="77777777" w:rsidR="006C06D6" w:rsidRPr="009F7642" w:rsidRDefault="00564614" w:rsidP="008B60B2">
      <w:pPr>
        <w:keepNext/>
        <w:suppressAutoHyphens/>
        <w:spacing w:after="0" w:line="240" w:lineRule="auto"/>
        <w:ind w:left="0" w:firstLine="0"/>
        <w:rPr>
          <w:i/>
          <w:color w:val="auto"/>
          <w:u w:val="single"/>
          <w:lang w:val="is-IS"/>
        </w:rPr>
      </w:pPr>
      <w:r w:rsidRPr="009F7642">
        <w:rPr>
          <w:i/>
          <w:color w:val="auto"/>
          <w:u w:val="single"/>
          <w:lang w:val="is-IS"/>
        </w:rPr>
        <w:t>Börn</w:t>
      </w:r>
    </w:p>
    <w:p w14:paraId="742DBAEB" w14:textId="77777777" w:rsidR="00413359" w:rsidRPr="009F7642" w:rsidRDefault="00413359" w:rsidP="008B60B2">
      <w:pPr>
        <w:keepNext/>
        <w:suppressAutoHyphens/>
        <w:spacing w:after="0" w:line="240" w:lineRule="auto"/>
        <w:ind w:left="0" w:firstLine="0"/>
        <w:rPr>
          <w:color w:val="auto"/>
          <w:lang w:val="is-IS"/>
        </w:rPr>
      </w:pPr>
    </w:p>
    <w:p w14:paraId="1968D052"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Ekki hefur verið sýnt fram á öryggi eða verkun </w:t>
      </w:r>
      <w:r w:rsidR="00690564" w:rsidRPr="00F2274F">
        <w:rPr>
          <w:lang w:val="is-IS"/>
        </w:rPr>
        <w:t>bevacízúmab</w:t>
      </w:r>
      <w:r w:rsidR="004A5EB9" w:rsidRPr="00F2274F">
        <w:rPr>
          <w:lang w:val="is-IS"/>
        </w:rPr>
        <w:t>s</w:t>
      </w:r>
      <w:r w:rsidRPr="009F7642">
        <w:rPr>
          <w:color w:val="auto"/>
          <w:lang w:val="is-IS"/>
        </w:rPr>
        <w:t xml:space="preserve"> hjá börnum yngri en 18 ára.</w:t>
      </w:r>
    </w:p>
    <w:p w14:paraId="650C9282" w14:textId="77777777" w:rsidR="005F36F3" w:rsidRPr="009F7642" w:rsidRDefault="005F36F3" w:rsidP="008B60B2">
      <w:pPr>
        <w:suppressAutoHyphens/>
        <w:spacing w:after="0" w:line="240" w:lineRule="auto"/>
        <w:ind w:left="0" w:firstLine="0"/>
        <w:rPr>
          <w:color w:val="auto"/>
          <w:lang w:val="is-IS"/>
        </w:rPr>
      </w:pPr>
    </w:p>
    <w:p w14:paraId="2E5D7253"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BO25041-rannsókninni á notkun </w:t>
      </w:r>
      <w:r w:rsidR="00690564" w:rsidRPr="00F2274F">
        <w:rPr>
          <w:lang w:val="is-IS"/>
        </w:rPr>
        <w:t>bevacízúmab</w:t>
      </w:r>
      <w:r w:rsidR="004A5EB9" w:rsidRPr="00F2274F">
        <w:rPr>
          <w:lang w:val="is-IS"/>
        </w:rPr>
        <w:t>s</w:t>
      </w:r>
      <w:r w:rsidRPr="009F7642">
        <w:rPr>
          <w:color w:val="auto"/>
          <w:lang w:val="is-IS"/>
        </w:rPr>
        <w:t xml:space="preserve"> ásamt geislameðferð eftir skurðaðgerð, auk temozolomíðs sem samhliða viðbótarmeðferð, hjá börnum með nýgreint efsta stigs tróðæxli (high-grade glioma) ofan hnykiltjalds (supratentorial), neðan hnykiltjalds (infratentorial), í litla heila (cerebellar) eða í stoð (peduncular) var öryggissnið svipað og sést hefur við meðferð með </w:t>
      </w:r>
      <w:r w:rsidR="00690564" w:rsidRPr="00F2274F">
        <w:rPr>
          <w:lang w:val="is-IS"/>
        </w:rPr>
        <w:t>bevacízúmab</w:t>
      </w:r>
      <w:r w:rsidR="004A5EB9" w:rsidRPr="00F2274F">
        <w:rPr>
          <w:lang w:val="is-IS"/>
        </w:rPr>
        <w:t>i</w:t>
      </w:r>
      <w:r w:rsidRPr="009F7642">
        <w:rPr>
          <w:color w:val="auto"/>
          <w:lang w:val="is-IS"/>
        </w:rPr>
        <w:t xml:space="preserve"> við öðrum tegundum krabbameins hjá fullorðnum.</w:t>
      </w:r>
    </w:p>
    <w:p w14:paraId="51F79F9C" w14:textId="77777777" w:rsidR="005F36F3" w:rsidRPr="009F7642" w:rsidRDefault="005F36F3" w:rsidP="008B60B2">
      <w:pPr>
        <w:suppressAutoHyphens/>
        <w:spacing w:after="0" w:line="240" w:lineRule="auto"/>
        <w:ind w:left="0" w:firstLine="0"/>
        <w:rPr>
          <w:color w:val="auto"/>
          <w:lang w:val="is-IS"/>
        </w:rPr>
      </w:pPr>
    </w:p>
    <w:p w14:paraId="23B30C20" w14:textId="34A0FF30"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Í BO20924-rannsókninni á notkun </w:t>
      </w:r>
      <w:r w:rsidR="00690564" w:rsidRPr="00F2274F">
        <w:rPr>
          <w:lang w:val="is-IS"/>
        </w:rPr>
        <w:t>bevacízúmab</w:t>
      </w:r>
      <w:r w:rsidR="004A5EB9" w:rsidRPr="00F2274F">
        <w:rPr>
          <w:lang w:val="is-IS"/>
        </w:rPr>
        <w:t>s</w:t>
      </w:r>
      <w:r w:rsidRPr="009F7642">
        <w:rPr>
          <w:color w:val="auto"/>
          <w:lang w:val="is-IS"/>
        </w:rPr>
        <w:t xml:space="preserve"> ásamt venjulegri meðferð við rákvöðvasarkmeini og öðrum sarkmeinum í mjúkvefjum var öryggissnið hjá börnum sem fengu </w:t>
      </w:r>
      <w:r w:rsidR="00690564" w:rsidRPr="00F2274F">
        <w:rPr>
          <w:lang w:val="is-IS"/>
        </w:rPr>
        <w:t>bevacízúmab</w:t>
      </w:r>
      <w:r w:rsidRPr="009F7642">
        <w:rPr>
          <w:color w:val="auto"/>
          <w:lang w:val="is-IS"/>
        </w:rPr>
        <w:t xml:space="preserve"> sambærilegt og hjá fullorðnum sjúklingum sem hafa fengið </w:t>
      </w:r>
      <w:r w:rsidR="00690564" w:rsidRPr="00F2274F">
        <w:rPr>
          <w:lang w:val="is-IS"/>
        </w:rPr>
        <w:t>bevacízúmab</w:t>
      </w:r>
      <w:r w:rsidRPr="009F7642">
        <w:rPr>
          <w:color w:val="auto"/>
          <w:lang w:val="is-IS"/>
        </w:rPr>
        <w:t>.</w:t>
      </w:r>
    </w:p>
    <w:p w14:paraId="26E4E30C" w14:textId="77777777" w:rsidR="005F36F3" w:rsidRPr="009F7642" w:rsidRDefault="005F36F3" w:rsidP="008B60B2">
      <w:pPr>
        <w:suppressAutoHyphens/>
        <w:spacing w:after="0" w:line="240" w:lineRule="auto"/>
        <w:ind w:left="0" w:firstLine="0"/>
        <w:rPr>
          <w:color w:val="auto"/>
          <w:lang w:val="is-IS"/>
        </w:rPr>
      </w:pPr>
    </w:p>
    <w:p w14:paraId="35E6F869" w14:textId="77777777" w:rsidR="006C06D6" w:rsidRPr="009F7642" w:rsidRDefault="001764F7" w:rsidP="008B60B2">
      <w:pPr>
        <w:suppressAutoHyphens/>
        <w:spacing w:after="0" w:line="240" w:lineRule="auto"/>
        <w:ind w:left="0" w:firstLine="0"/>
        <w:rPr>
          <w:color w:val="auto"/>
          <w:lang w:val="is-IS"/>
        </w:rPr>
      </w:pPr>
      <w:r w:rsidRPr="00F2274F">
        <w:rPr>
          <w:lang w:val="sv-SE"/>
        </w:rPr>
        <w:t>MVASI</w:t>
      </w:r>
      <w:r w:rsidR="00564614" w:rsidRPr="009F7642">
        <w:rPr>
          <w:color w:val="auto"/>
          <w:lang w:val="is-IS"/>
        </w:rPr>
        <w:t xml:space="preserve"> er ekki samþykkt til notkunar handa sjúklingum yngri en 18 ára. Í birtum vísindagreinum hefur verið lýst tilvikum beindreps annars staðar en í kjálka hjá sjúklingum yngri en 18 ára sem fengu meðferð með </w:t>
      </w:r>
      <w:r w:rsidR="00690564" w:rsidRPr="00F2274F">
        <w:rPr>
          <w:lang w:val="is-IS"/>
        </w:rPr>
        <w:t>bevacízúmab</w:t>
      </w:r>
      <w:r w:rsidR="004A5EB9" w:rsidRPr="00F2274F">
        <w:rPr>
          <w:lang w:val="is-IS"/>
        </w:rPr>
        <w:t>i</w:t>
      </w:r>
      <w:r w:rsidR="00564614" w:rsidRPr="009F7642">
        <w:rPr>
          <w:color w:val="auto"/>
          <w:lang w:val="is-IS"/>
        </w:rPr>
        <w:t>.</w:t>
      </w:r>
    </w:p>
    <w:p w14:paraId="78D49EB2" w14:textId="77777777" w:rsidR="005F36F3" w:rsidRPr="009F7642" w:rsidRDefault="005F36F3" w:rsidP="008B60B2">
      <w:pPr>
        <w:suppressAutoHyphens/>
        <w:spacing w:after="0" w:line="240" w:lineRule="auto"/>
        <w:ind w:left="0" w:firstLine="0"/>
        <w:rPr>
          <w:color w:val="auto"/>
          <w:lang w:val="is-IS"/>
        </w:rPr>
      </w:pPr>
    </w:p>
    <w:p w14:paraId="0FD9089B" w14:textId="77777777" w:rsidR="005F36F3" w:rsidRPr="00DC4A41" w:rsidRDefault="00564614" w:rsidP="008B60B2">
      <w:pPr>
        <w:keepNext/>
        <w:suppressAutoHyphens/>
        <w:spacing w:after="0" w:line="240" w:lineRule="auto"/>
        <w:ind w:left="0" w:firstLine="0"/>
        <w:rPr>
          <w:color w:val="auto"/>
          <w:u w:val="single"/>
          <w:lang w:val="is-IS"/>
        </w:rPr>
      </w:pPr>
      <w:r w:rsidRPr="00DC4A41">
        <w:rPr>
          <w:color w:val="auto"/>
          <w:u w:val="single"/>
          <w:lang w:val="is-IS"/>
        </w:rPr>
        <w:t>Reynsla eftir markaðssetningu</w:t>
      </w:r>
    </w:p>
    <w:p w14:paraId="142BD231" w14:textId="77777777" w:rsidR="005F36F3" w:rsidRPr="009F7642" w:rsidRDefault="005F36F3" w:rsidP="008B60B2">
      <w:pPr>
        <w:keepNext/>
        <w:suppressAutoHyphens/>
        <w:spacing w:after="0" w:line="240" w:lineRule="auto"/>
        <w:ind w:left="0" w:firstLine="0"/>
        <w:rPr>
          <w:color w:val="auto"/>
          <w:lang w:val="is-IS"/>
        </w:rPr>
      </w:pPr>
    </w:p>
    <w:p w14:paraId="702B57E5" w14:textId="77777777" w:rsidR="006C06D6" w:rsidRPr="00DC4A41" w:rsidRDefault="001F774D" w:rsidP="008B60B2">
      <w:pPr>
        <w:keepNext/>
        <w:keepLines/>
        <w:suppressAutoHyphens/>
        <w:spacing w:after="0" w:line="240" w:lineRule="auto"/>
        <w:ind w:left="0" w:firstLine="0"/>
        <w:rPr>
          <w:b/>
          <w:color w:val="auto"/>
          <w:lang w:val="is-IS"/>
        </w:rPr>
      </w:pPr>
      <w:r w:rsidRPr="00DC4A41">
        <w:rPr>
          <w:b/>
          <w:color w:val="auto"/>
          <w:lang w:val="is-IS"/>
        </w:rPr>
        <w:t>Tafla 3</w:t>
      </w:r>
      <w:r w:rsidR="00FA281C" w:rsidRPr="00DC4A41">
        <w:rPr>
          <w:b/>
          <w:color w:val="auto"/>
          <w:lang w:val="is-IS"/>
        </w:rPr>
        <w:t>.</w:t>
      </w:r>
      <w:r w:rsidRPr="00DC4A41">
        <w:rPr>
          <w:b/>
          <w:color w:val="auto"/>
          <w:lang w:val="is-IS"/>
        </w:rPr>
        <w:t xml:space="preserve"> </w:t>
      </w:r>
      <w:r w:rsidR="00564614" w:rsidRPr="00DC4A41">
        <w:rPr>
          <w:b/>
          <w:color w:val="auto"/>
          <w:lang w:val="is-IS"/>
        </w:rPr>
        <w:t>Aukaverkanir sem tilkynnt hefur verið um eftir markaðssetningu</w:t>
      </w:r>
    </w:p>
    <w:p w14:paraId="49D7F1F0" w14:textId="77777777" w:rsidR="005F36F3" w:rsidRPr="009F7642" w:rsidRDefault="005F36F3" w:rsidP="008B60B2">
      <w:pPr>
        <w:keepNext/>
        <w:keepLines/>
        <w:suppressAutoHyphens/>
        <w:spacing w:after="0" w:line="240" w:lineRule="auto"/>
        <w:ind w:left="0" w:firstLine="0"/>
        <w:rPr>
          <w:color w:val="auto"/>
          <w:lang w:val="is-IS"/>
        </w:rPr>
      </w:pPr>
    </w:p>
    <w:tbl>
      <w:tblPr>
        <w:tblW w:w="0" w:type="auto"/>
        <w:tblInd w:w="108" w:type="dxa"/>
        <w:tblCellMar>
          <w:top w:w="43" w:type="dxa"/>
          <w:right w:w="51" w:type="dxa"/>
        </w:tblCellMar>
        <w:tblLook w:val="04A0" w:firstRow="1" w:lastRow="0" w:firstColumn="1" w:lastColumn="0" w:noHBand="0" w:noVBand="1"/>
      </w:tblPr>
      <w:tblGrid>
        <w:gridCol w:w="2669"/>
        <w:gridCol w:w="6452"/>
      </w:tblGrid>
      <w:tr w:rsidR="00413359" w:rsidRPr="009F7642" w14:paraId="6DA85A77" w14:textId="77777777" w:rsidTr="00FA281C">
        <w:trPr>
          <w:trHeight w:val="423"/>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7C6966DD" w14:textId="77777777" w:rsidR="00413359" w:rsidRPr="009F7642" w:rsidRDefault="00413359" w:rsidP="008B60B2">
            <w:pPr>
              <w:keepNext/>
              <w:keepLines/>
              <w:suppressAutoHyphens/>
              <w:spacing w:line="259" w:lineRule="auto"/>
              <w:ind w:right="53"/>
              <w:jc w:val="center"/>
              <w:rPr>
                <w:b/>
                <w:color w:val="auto"/>
                <w:lang w:val="is-IS"/>
              </w:rPr>
            </w:pPr>
            <w:r w:rsidRPr="009F7642">
              <w:rPr>
                <w:b/>
                <w:color w:val="auto"/>
                <w:lang w:val="is-IS"/>
              </w:rPr>
              <w:t>Flokkun eftir líffærum</w:t>
            </w:r>
          </w:p>
        </w:tc>
        <w:tc>
          <w:tcPr>
            <w:tcW w:w="0" w:type="auto"/>
            <w:tcBorders>
              <w:top w:val="single" w:sz="4" w:space="0" w:color="000000"/>
              <w:left w:val="single" w:sz="4" w:space="0" w:color="000000"/>
              <w:bottom w:val="single" w:sz="4" w:space="0" w:color="000000"/>
              <w:right w:val="single" w:sz="4" w:space="0" w:color="000000"/>
            </w:tcBorders>
            <w:vAlign w:val="center"/>
          </w:tcPr>
          <w:p w14:paraId="729C34F4" w14:textId="77777777" w:rsidR="00413359" w:rsidRPr="009F7642" w:rsidRDefault="00413359" w:rsidP="008B60B2">
            <w:pPr>
              <w:keepNext/>
              <w:keepLines/>
              <w:suppressAutoHyphens/>
              <w:spacing w:line="259" w:lineRule="auto"/>
              <w:ind w:right="52"/>
              <w:jc w:val="center"/>
              <w:rPr>
                <w:b/>
                <w:color w:val="auto"/>
                <w:lang w:val="is-IS"/>
              </w:rPr>
            </w:pPr>
            <w:r w:rsidRPr="009F7642">
              <w:rPr>
                <w:b/>
                <w:color w:val="auto"/>
                <w:lang w:val="is-IS"/>
              </w:rPr>
              <w:t>Viðbrögð (tíðni*)</w:t>
            </w:r>
          </w:p>
        </w:tc>
      </w:tr>
      <w:tr w:rsidR="00413359" w:rsidRPr="00AD2908" w14:paraId="69234647" w14:textId="77777777" w:rsidTr="007309A2">
        <w:trPr>
          <w:trHeight w:val="731"/>
        </w:trPr>
        <w:tc>
          <w:tcPr>
            <w:tcW w:w="0" w:type="auto"/>
            <w:tcBorders>
              <w:top w:val="single" w:sz="4" w:space="0" w:color="000000"/>
              <w:left w:val="single" w:sz="4" w:space="0" w:color="000000"/>
              <w:bottom w:val="single" w:sz="4" w:space="0" w:color="000000"/>
              <w:right w:val="single" w:sz="4" w:space="0" w:color="000000"/>
            </w:tcBorders>
          </w:tcPr>
          <w:p w14:paraId="6EA381BC" w14:textId="77777777" w:rsidR="00413359" w:rsidRPr="009F7642" w:rsidRDefault="00413359" w:rsidP="008B60B2">
            <w:pPr>
              <w:keepNext/>
              <w:keepLines/>
              <w:suppressAutoHyphens/>
              <w:spacing w:after="0" w:line="240" w:lineRule="auto"/>
              <w:ind w:left="0" w:firstLine="0"/>
              <w:rPr>
                <w:color w:val="auto"/>
                <w:lang w:val="is-IS"/>
              </w:rPr>
            </w:pPr>
            <w:r w:rsidRPr="009F7642">
              <w:rPr>
                <w:color w:val="auto"/>
                <w:lang w:val="is-IS"/>
              </w:rPr>
              <w:t>Sýkingar af völdum sýkla og sníkjudýra</w:t>
            </w:r>
          </w:p>
        </w:tc>
        <w:tc>
          <w:tcPr>
            <w:tcW w:w="0" w:type="auto"/>
            <w:tcBorders>
              <w:top w:val="single" w:sz="4" w:space="0" w:color="000000"/>
              <w:left w:val="single" w:sz="4" w:space="0" w:color="000000"/>
              <w:bottom w:val="single" w:sz="4" w:space="0" w:color="000000"/>
              <w:right w:val="single" w:sz="4" w:space="0" w:color="000000"/>
            </w:tcBorders>
          </w:tcPr>
          <w:p w14:paraId="11B508E7" w14:textId="2FD0A2EB" w:rsidR="00413359" w:rsidRPr="009F7642" w:rsidRDefault="00413359" w:rsidP="008B60B2">
            <w:pPr>
              <w:keepNext/>
              <w:keepLines/>
              <w:suppressAutoHyphens/>
              <w:spacing w:after="0" w:line="240" w:lineRule="auto"/>
              <w:ind w:left="0" w:firstLine="0"/>
              <w:rPr>
                <w:color w:val="auto"/>
                <w:lang w:val="is-IS"/>
              </w:rPr>
            </w:pPr>
            <w:r w:rsidRPr="009F7642">
              <w:rPr>
                <w:color w:val="auto"/>
                <w:lang w:val="is-IS"/>
              </w:rPr>
              <w:t>Sinafellsbólga með drepi (necrotising fasciitis), yfirleitt afleiðing fylgikvilla vegna græðingar sára, rofs á maga eða þörmum eða fistlamyndunar (mjög sjaldgæft) (sjá kafla 4.4)</w:t>
            </w:r>
          </w:p>
        </w:tc>
      </w:tr>
      <w:tr w:rsidR="00413359" w:rsidRPr="00AD2908" w14:paraId="6D5E809F" w14:textId="77777777" w:rsidTr="007309A2">
        <w:trPr>
          <w:trHeight w:val="1481"/>
        </w:trPr>
        <w:tc>
          <w:tcPr>
            <w:tcW w:w="0" w:type="auto"/>
            <w:tcBorders>
              <w:top w:val="single" w:sz="4" w:space="0" w:color="000000"/>
              <w:left w:val="single" w:sz="4" w:space="0" w:color="000000"/>
              <w:bottom w:val="single" w:sz="4" w:space="0" w:color="000000"/>
              <w:right w:val="single" w:sz="4" w:space="0" w:color="000000"/>
            </w:tcBorders>
          </w:tcPr>
          <w:p w14:paraId="094C131F"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Ónæmiskerfi</w:t>
            </w:r>
          </w:p>
        </w:tc>
        <w:tc>
          <w:tcPr>
            <w:tcW w:w="0" w:type="auto"/>
            <w:tcBorders>
              <w:top w:val="single" w:sz="4" w:space="0" w:color="000000"/>
              <w:left w:val="single" w:sz="4" w:space="0" w:color="000000"/>
              <w:bottom w:val="single" w:sz="4" w:space="0" w:color="000000"/>
              <w:right w:val="single" w:sz="4" w:space="0" w:color="000000"/>
            </w:tcBorders>
          </w:tcPr>
          <w:p w14:paraId="4686535E" w14:textId="1D71A75A" w:rsidR="00413359" w:rsidRPr="009F7642" w:rsidRDefault="00413359" w:rsidP="008B60B2">
            <w:pPr>
              <w:suppressAutoHyphens/>
              <w:spacing w:after="0" w:line="240" w:lineRule="auto"/>
              <w:ind w:left="0" w:firstLine="0"/>
              <w:rPr>
                <w:color w:val="auto"/>
                <w:lang w:val="is-IS"/>
              </w:rPr>
            </w:pPr>
            <w:r w:rsidRPr="009F7642">
              <w:rPr>
                <w:color w:val="auto"/>
                <w:lang w:val="is-IS"/>
              </w:rPr>
              <w:t>Ofnæmisviðbrögð og innrennslisviðbrögð (</w:t>
            </w:r>
            <w:r w:rsidR="001C4A29">
              <w:rPr>
                <w:color w:val="auto"/>
                <w:lang w:val="is-IS"/>
              </w:rPr>
              <w:t>algeng</w:t>
            </w:r>
            <w:r w:rsidRPr="009F7642">
              <w:rPr>
                <w:color w:val="auto"/>
                <w:lang w:val="is-IS"/>
              </w:rPr>
              <w:t>); með eftirfarandi mögulegum einkennum:</w:t>
            </w:r>
          </w:p>
          <w:p w14:paraId="2DD072DD" w14:textId="77777777" w:rsidR="00413359" w:rsidRDefault="00413359" w:rsidP="00A23670">
            <w:pPr>
              <w:suppressAutoHyphens/>
              <w:spacing w:after="0" w:line="240" w:lineRule="auto"/>
              <w:ind w:left="0" w:firstLine="0"/>
              <w:rPr>
                <w:color w:val="auto"/>
                <w:lang w:val="is-IS"/>
              </w:rPr>
            </w:pPr>
            <w:r w:rsidRPr="009F7642">
              <w:rPr>
                <w:color w:val="auto"/>
                <w:lang w:val="is-IS"/>
              </w:rPr>
              <w:t>mæði/öndunarerfiðleikar, hitakóf/roði/útbrot, lágþrýstingur eða háþrýstingur, lág súrefnismettun, brjóstverkur, kuldahrollur og ógleði/uppköst (sjá kafla 4.4 og</w:t>
            </w:r>
            <w:r w:rsidR="00A23670">
              <w:rPr>
                <w:color w:val="auto"/>
                <w:lang w:val="is-IS"/>
              </w:rPr>
              <w:t xml:space="preserve"> </w:t>
            </w:r>
            <w:r w:rsidRPr="009F7642">
              <w:rPr>
                <w:i/>
                <w:color w:val="auto"/>
                <w:lang w:val="is-IS"/>
              </w:rPr>
              <w:t xml:space="preserve">Ofnæmisviðbrögð/innrennslisviðbrögð </w:t>
            </w:r>
            <w:r w:rsidRPr="009F7642">
              <w:rPr>
                <w:color w:val="auto"/>
                <w:lang w:val="is-IS"/>
              </w:rPr>
              <w:t>hér að ofan)</w:t>
            </w:r>
            <w:r w:rsidR="001C4A29">
              <w:rPr>
                <w:color w:val="auto"/>
                <w:lang w:val="is-IS"/>
              </w:rPr>
              <w:t>.</w:t>
            </w:r>
          </w:p>
          <w:p w14:paraId="30D363D9" w14:textId="77777777" w:rsidR="001C4A29" w:rsidRDefault="001C4A29" w:rsidP="00A23670">
            <w:pPr>
              <w:suppressAutoHyphens/>
              <w:spacing w:after="0" w:line="240" w:lineRule="auto"/>
              <w:ind w:left="0" w:firstLine="0"/>
              <w:rPr>
                <w:color w:val="auto"/>
                <w:lang w:val="is-IS"/>
              </w:rPr>
            </w:pPr>
          </w:p>
          <w:p w14:paraId="2A392573" w14:textId="52940DAF" w:rsidR="001C4A29" w:rsidRPr="009F7642" w:rsidRDefault="00845621" w:rsidP="00845621">
            <w:pPr>
              <w:suppressAutoHyphens/>
              <w:spacing w:after="0" w:line="240" w:lineRule="auto"/>
              <w:ind w:left="0" w:firstLine="0"/>
              <w:rPr>
                <w:color w:val="auto"/>
                <w:lang w:val="is-IS"/>
              </w:rPr>
            </w:pPr>
            <w:r>
              <w:rPr>
                <w:color w:val="auto"/>
                <w:lang w:val="is-IS"/>
              </w:rPr>
              <w:t>Bráðao</w:t>
            </w:r>
            <w:r w:rsidR="001C4A29">
              <w:rPr>
                <w:color w:val="auto"/>
                <w:lang w:val="is-IS"/>
              </w:rPr>
              <w:t>fnæmislost (mjög sjaldgæft) (sjá einnig kafla 4.4).</w:t>
            </w:r>
          </w:p>
        </w:tc>
      </w:tr>
      <w:tr w:rsidR="00413359" w:rsidRPr="00AD2908" w14:paraId="0CC2552C" w14:textId="77777777" w:rsidTr="007309A2">
        <w:trPr>
          <w:trHeight w:val="1011"/>
        </w:trPr>
        <w:tc>
          <w:tcPr>
            <w:tcW w:w="0" w:type="auto"/>
            <w:tcBorders>
              <w:top w:val="single" w:sz="4" w:space="0" w:color="000000"/>
              <w:left w:val="single" w:sz="4" w:space="0" w:color="000000"/>
              <w:bottom w:val="single" w:sz="4" w:space="0" w:color="000000"/>
              <w:right w:val="single" w:sz="4" w:space="0" w:color="000000"/>
            </w:tcBorders>
          </w:tcPr>
          <w:p w14:paraId="5D79376A"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Taugakerfi</w:t>
            </w:r>
          </w:p>
        </w:tc>
        <w:tc>
          <w:tcPr>
            <w:tcW w:w="0" w:type="auto"/>
            <w:tcBorders>
              <w:top w:val="single" w:sz="4" w:space="0" w:color="000000"/>
              <w:left w:val="single" w:sz="4" w:space="0" w:color="000000"/>
              <w:bottom w:val="single" w:sz="4" w:space="0" w:color="000000"/>
              <w:right w:val="single" w:sz="4" w:space="0" w:color="000000"/>
            </w:tcBorders>
          </w:tcPr>
          <w:p w14:paraId="0E4FCDD4" w14:textId="0DB6D116" w:rsidR="00413359" w:rsidRPr="009F7642" w:rsidRDefault="00413359" w:rsidP="008B60B2">
            <w:pPr>
              <w:suppressAutoHyphens/>
              <w:spacing w:after="0" w:line="240" w:lineRule="auto"/>
              <w:ind w:left="0" w:firstLine="0"/>
              <w:rPr>
                <w:color w:val="auto"/>
                <w:lang w:val="is-IS"/>
              </w:rPr>
            </w:pPr>
            <w:r w:rsidRPr="009F7642">
              <w:rPr>
                <w:color w:val="auto"/>
                <w:lang w:val="is-IS"/>
              </w:rPr>
              <w:t>Háþrýstingsheilakvilli (kemur örsjaldan fyrir) (sjá kafla</w:t>
            </w:r>
          </w:p>
          <w:p w14:paraId="2697FC35"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 xml:space="preserve">4.4 og </w:t>
            </w:r>
            <w:r w:rsidRPr="009F7642">
              <w:rPr>
                <w:i/>
                <w:color w:val="auto"/>
                <w:lang w:val="is-IS"/>
              </w:rPr>
              <w:t>Háþrýstingur</w:t>
            </w:r>
            <w:r w:rsidRPr="009F7642">
              <w:rPr>
                <w:color w:val="auto"/>
                <w:lang w:val="is-IS"/>
              </w:rPr>
              <w:t xml:space="preserve"> í kafla 4.8)</w:t>
            </w:r>
          </w:p>
          <w:p w14:paraId="2FB34DF4" w14:textId="397FF7DC" w:rsidR="00413359" w:rsidRPr="009F7642" w:rsidRDefault="003D4A14" w:rsidP="008B60B2">
            <w:pPr>
              <w:suppressAutoHyphens/>
              <w:spacing w:after="0" w:line="240" w:lineRule="auto"/>
              <w:ind w:left="0" w:firstLine="0"/>
              <w:rPr>
                <w:color w:val="auto"/>
                <w:lang w:val="is-IS"/>
              </w:rPr>
            </w:pPr>
            <w:r>
              <w:rPr>
                <w:color w:val="auto"/>
                <w:lang w:val="is-IS"/>
              </w:rPr>
              <w:t>Afturkræft</w:t>
            </w:r>
            <w:r w:rsidRPr="009F7642">
              <w:rPr>
                <w:color w:val="auto"/>
                <w:lang w:val="is-IS"/>
              </w:rPr>
              <w:t xml:space="preserve"> </w:t>
            </w:r>
            <w:r>
              <w:rPr>
                <w:color w:val="auto"/>
                <w:lang w:val="is-IS"/>
              </w:rPr>
              <w:t>aftara</w:t>
            </w:r>
            <w:r w:rsidRPr="009F7642">
              <w:rPr>
                <w:color w:val="auto"/>
                <w:lang w:val="is-IS"/>
              </w:rPr>
              <w:t xml:space="preserve"> </w:t>
            </w:r>
            <w:r>
              <w:rPr>
                <w:color w:val="auto"/>
                <w:lang w:val="is-IS"/>
              </w:rPr>
              <w:t>heilakvillaheilkenni</w:t>
            </w:r>
            <w:r w:rsidRPr="009F7642">
              <w:rPr>
                <w:color w:val="auto"/>
                <w:lang w:val="is-IS"/>
              </w:rPr>
              <w:t xml:space="preserve"> </w:t>
            </w:r>
            <w:r w:rsidR="00413359" w:rsidRPr="009F7642">
              <w:rPr>
                <w:color w:val="auto"/>
                <w:lang w:val="is-IS"/>
              </w:rPr>
              <w:t>(PRES) (mjög sjaldgæft) (sjá kafla</w:t>
            </w:r>
            <w:r w:rsidR="00A23670">
              <w:rPr>
                <w:color w:val="auto"/>
                <w:lang w:val="is-IS"/>
              </w:rPr>
              <w:t> </w:t>
            </w:r>
            <w:r w:rsidR="00413359" w:rsidRPr="009F7642">
              <w:rPr>
                <w:color w:val="auto"/>
                <w:lang w:val="is-IS"/>
              </w:rPr>
              <w:t>4.4)</w:t>
            </w:r>
          </w:p>
        </w:tc>
      </w:tr>
      <w:tr w:rsidR="00413359" w:rsidRPr="00AD2908" w14:paraId="40226E46" w14:textId="77777777" w:rsidTr="007309A2">
        <w:trPr>
          <w:trHeight w:val="957"/>
        </w:trPr>
        <w:tc>
          <w:tcPr>
            <w:tcW w:w="0" w:type="auto"/>
            <w:tcBorders>
              <w:top w:val="single" w:sz="4" w:space="0" w:color="000000"/>
              <w:left w:val="single" w:sz="4" w:space="0" w:color="000000"/>
              <w:bottom w:val="single" w:sz="4" w:space="0" w:color="000000"/>
              <w:right w:val="single" w:sz="4" w:space="0" w:color="000000"/>
            </w:tcBorders>
          </w:tcPr>
          <w:p w14:paraId="164A300F"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Æðar</w:t>
            </w:r>
          </w:p>
        </w:tc>
        <w:tc>
          <w:tcPr>
            <w:tcW w:w="0" w:type="auto"/>
            <w:tcBorders>
              <w:top w:val="single" w:sz="4" w:space="0" w:color="000000"/>
              <w:left w:val="single" w:sz="4" w:space="0" w:color="000000"/>
              <w:bottom w:val="single" w:sz="4" w:space="0" w:color="000000"/>
              <w:right w:val="single" w:sz="4" w:space="0" w:color="000000"/>
            </w:tcBorders>
          </w:tcPr>
          <w:p w14:paraId="37227655"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 xml:space="preserve">Nýrnasmáæðakvilli með segamyndun, sem getur verið klínískt greinanlegur sem prótein í þvagi (ekki þekkt), með eða án samtímis notkunar sunitinibs. Frekari upplýsingar um prótein í þvagi er að finna í kafla 4.4 og </w:t>
            </w:r>
            <w:r w:rsidRPr="009F7642">
              <w:rPr>
                <w:i/>
                <w:color w:val="auto"/>
                <w:lang w:val="is-IS"/>
              </w:rPr>
              <w:t xml:space="preserve">Prótein í þvagi </w:t>
            </w:r>
            <w:r w:rsidR="0067000F">
              <w:rPr>
                <w:color w:val="auto"/>
                <w:lang w:val="is-IS"/>
              </w:rPr>
              <w:t>í kafla 4.8</w:t>
            </w:r>
          </w:p>
        </w:tc>
      </w:tr>
      <w:tr w:rsidR="00413359" w:rsidRPr="009F7642" w14:paraId="45AEA965" w14:textId="77777777" w:rsidTr="007309A2">
        <w:trPr>
          <w:trHeight w:val="677"/>
        </w:trPr>
        <w:tc>
          <w:tcPr>
            <w:tcW w:w="0" w:type="auto"/>
            <w:tcBorders>
              <w:top w:val="single" w:sz="4" w:space="0" w:color="000000"/>
              <w:left w:val="single" w:sz="4" w:space="0" w:color="000000"/>
              <w:bottom w:val="single" w:sz="4" w:space="0" w:color="000000"/>
              <w:right w:val="single" w:sz="4" w:space="0" w:color="000000"/>
            </w:tcBorders>
          </w:tcPr>
          <w:p w14:paraId="03ED53A4"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Öndunarfæri, brjósthol og miðmæti</w:t>
            </w:r>
          </w:p>
        </w:tc>
        <w:tc>
          <w:tcPr>
            <w:tcW w:w="0" w:type="auto"/>
            <w:tcBorders>
              <w:top w:val="single" w:sz="4" w:space="0" w:color="000000"/>
              <w:left w:val="single" w:sz="4" w:space="0" w:color="000000"/>
              <w:bottom w:val="single" w:sz="4" w:space="0" w:color="000000"/>
              <w:right w:val="single" w:sz="4" w:space="0" w:color="000000"/>
            </w:tcBorders>
          </w:tcPr>
          <w:p w14:paraId="42AE76BF"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Gat á miðnesi (ekki þekkt)</w:t>
            </w:r>
          </w:p>
          <w:p w14:paraId="3A0E51C2"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Háþrýstingur í lungum (ekki þekkt)</w:t>
            </w:r>
          </w:p>
          <w:p w14:paraId="5263472F"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Raddtruflanir (algengar)</w:t>
            </w:r>
          </w:p>
        </w:tc>
      </w:tr>
      <w:tr w:rsidR="00413359" w:rsidRPr="00AD2908" w14:paraId="02F43989" w14:textId="77777777" w:rsidTr="007309A2">
        <w:trPr>
          <w:trHeight w:val="227"/>
        </w:trPr>
        <w:tc>
          <w:tcPr>
            <w:tcW w:w="0" w:type="auto"/>
            <w:tcBorders>
              <w:top w:val="single" w:sz="4" w:space="0" w:color="000000"/>
              <w:left w:val="single" w:sz="4" w:space="0" w:color="000000"/>
              <w:bottom w:val="single" w:sz="4" w:space="0" w:color="000000"/>
              <w:right w:val="single" w:sz="4" w:space="0" w:color="000000"/>
            </w:tcBorders>
          </w:tcPr>
          <w:p w14:paraId="58A560EE"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Meltingarfæri</w:t>
            </w:r>
          </w:p>
        </w:tc>
        <w:tc>
          <w:tcPr>
            <w:tcW w:w="0" w:type="auto"/>
            <w:tcBorders>
              <w:top w:val="single" w:sz="4" w:space="0" w:color="000000"/>
              <w:left w:val="single" w:sz="4" w:space="0" w:color="000000"/>
              <w:bottom w:val="single" w:sz="4" w:space="0" w:color="000000"/>
              <w:right w:val="single" w:sz="4" w:space="0" w:color="000000"/>
            </w:tcBorders>
          </w:tcPr>
          <w:p w14:paraId="5B84711D"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Sár í meltingarfærum (ekki þekkt)</w:t>
            </w:r>
          </w:p>
        </w:tc>
      </w:tr>
      <w:tr w:rsidR="00413359" w:rsidRPr="00AD2908" w14:paraId="71551FA9" w14:textId="77777777" w:rsidTr="007309A2">
        <w:trPr>
          <w:trHeight w:val="242"/>
        </w:trPr>
        <w:tc>
          <w:tcPr>
            <w:tcW w:w="0" w:type="auto"/>
            <w:tcBorders>
              <w:top w:val="single" w:sz="4" w:space="0" w:color="000000"/>
              <w:left w:val="single" w:sz="4" w:space="0" w:color="000000"/>
              <w:bottom w:val="single" w:sz="4" w:space="0" w:color="000000"/>
              <w:right w:val="single" w:sz="4" w:space="0" w:color="000000"/>
            </w:tcBorders>
          </w:tcPr>
          <w:p w14:paraId="6E4FE1A2"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Lifur og gall</w:t>
            </w:r>
          </w:p>
        </w:tc>
        <w:tc>
          <w:tcPr>
            <w:tcW w:w="0" w:type="auto"/>
            <w:tcBorders>
              <w:top w:val="single" w:sz="4" w:space="0" w:color="000000"/>
              <w:left w:val="single" w:sz="4" w:space="0" w:color="000000"/>
              <w:bottom w:val="single" w:sz="4" w:space="0" w:color="000000"/>
              <w:right w:val="single" w:sz="4" w:space="0" w:color="000000"/>
            </w:tcBorders>
          </w:tcPr>
          <w:p w14:paraId="098FEBC8"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Göt á gallblöðru (ekki þekkt)</w:t>
            </w:r>
          </w:p>
        </w:tc>
      </w:tr>
      <w:tr w:rsidR="00413359" w:rsidRPr="00AD2908" w14:paraId="4A3CDAD2" w14:textId="77777777" w:rsidTr="007309A2">
        <w:trPr>
          <w:trHeight w:val="1313"/>
        </w:trPr>
        <w:tc>
          <w:tcPr>
            <w:tcW w:w="0" w:type="auto"/>
            <w:vMerge w:val="restart"/>
            <w:tcBorders>
              <w:top w:val="single" w:sz="4" w:space="0" w:color="000000"/>
              <w:left w:val="single" w:sz="4" w:space="0" w:color="000000"/>
              <w:bottom w:val="single" w:sz="4" w:space="0" w:color="000000"/>
              <w:right w:val="single" w:sz="4" w:space="0" w:color="000000"/>
            </w:tcBorders>
          </w:tcPr>
          <w:p w14:paraId="69AC8596"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lastRenderedPageBreak/>
              <w:t>Stoðkerfi og stoðvefur</w:t>
            </w:r>
          </w:p>
        </w:tc>
        <w:tc>
          <w:tcPr>
            <w:tcW w:w="0" w:type="auto"/>
            <w:tcBorders>
              <w:top w:val="single" w:sz="4" w:space="0" w:color="000000"/>
              <w:left w:val="single" w:sz="4" w:space="0" w:color="000000"/>
              <w:bottom w:val="single" w:sz="4" w:space="0" w:color="000000"/>
              <w:right w:val="single" w:sz="4" w:space="0" w:color="000000"/>
            </w:tcBorders>
          </w:tcPr>
          <w:p w14:paraId="1A8DBA9D" w14:textId="7D54759B" w:rsidR="00413359" w:rsidRPr="009F7642" w:rsidRDefault="00413359" w:rsidP="008B60B2">
            <w:pPr>
              <w:suppressAutoHyphens/>
              <w:spacing w:after="0" w:line="240" w:lineRule="auto"/>
              <w:ind w:left="0" w:firstLine="0"/>
              <w:rPr>
                <w:color w:val="auto"/>
                <w:lang w:val="is-IS"/>
              </w:rPr>
            </w:pPr>
            <w:r w:rsidRPr="009F7642">
              <w:rPr>
                <w:color w:val="auto"/>
                <w:lang w:val="is-IS"/>
              </w:rPr>
              <w:t xml:space="preserve">Tilkynnt hefur verið um beindrep í kjálka hjá sjúklingum sem fengið hafa </w:t>
            </w:r>
            <w:r w:rsidR="00690564" w:rsidRPr="00F2274F">
              <w:rPr>
                <w:lang w:val="is-IS"/>
              </w:rPr>
              <w:t>bevacízúmab</w:t>
            </w:r>
            <w:r w:rsidRPr="009F7642">
              <w:rPr>
                <w:color w:val="auto"/>
                <w:lang w:val="is-IS"/>
              </w:rPr>
              <w:t>. Flest tilvikin komu fyrir hjá sjúklingum með þekkta áhættuþætti fyrir beindrepi í kjálka, einkum meðferð með bisfosfónötum í bláæð og/eða sögu um tannsjúkdóm sem krafðist ífarandi tannaðgerða (sjá kafla 4.4)</w:t>
            </w:r>
          </w:p>
        </w:tc>
      </w:tr>
      <w:tr w:rsidR="00413359" w:rsidRPr="00AD2908" w14:paraId="730C68E2" w14:textId="77777777" w:rsidTr="007309A2">
        <w:trPr>
          <w:trHeight w:val="794"/>
        </w:trPr>
        <w:tc>
          <w:tcPr>
            <w:tcW w:w="0" w:type="auto"/>
            <w:vMerge/>
            <w:tcBorders>
              <w:top w:val="nil"/>
              <w:left w:val="single" w:sz="4" w:space="0" w:color="000000"/>
              <w:bottom w:val="single" w:sz="4" w:space="0" w:color="000000"/>
              <w:right w:val="single" w:sz="4" w:space="0" w:color="000000"/>
            </w:tcBorders>
          </w:tcPr>
          <w:p w14:paraId="1BA39690" w14:textId="77777777" w:rsidR="00413359" w:rsidRPr="009F7642" w:rsidRDefault="00413359" w:rsidP="008B60B2">
            <w:pPr>
              <w:suppressAutoHyphens/>
              <w:spacing w:after="0" w:line="240" w:lineRule="auto"/>
              <w:ind w:left="0" w:firstLine="0"/>
              <w:rPr>
                <w:color w:val="auto"/>
                <w:lang w:val="is-IS"/>
              </w:rPr>
            </w:pPr>
          </w:p>
        </w:tc>
        <w:tc>
          <w:tcPr>
            <w:tcW w:w="0" w:type="auto"/>
            <w:tcBorders>
              <w:top w:val="single" w:sz="4" w:space="0" w:color="000000"/>
              <w:left w:val="single" w:sz="4" w:space="0" w:color="000000"/>
              <w:bottom w:val="single" w:sz="4" w:space="0" w:color="000000"/>
              <w:right w:val="single" w:sz="4" w:space="0" w:color="000000"/>
            </w:tcBorders>
          </w:tcPr>
          <w:p w14:paraId="6DD3D7D8"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 xml:space="preserve">Tilkynnt hefur verið um tilvik beindreps annars staðar en í kjálka hjá börnum sem fengið hafa meðferð með </w:t>
            </w:r>
            <w:r w:rsidR="00690564" w:rsidRPr="00F2274F">
              <w:rPr>
                <w:color w:val="auto"/>
                <w:lang w:val="is-IS"/>
              </w:rPr>
              <w:t>bevacízúmab</w:t>
            </w:r>
            <w:r w:rsidR="0058113A" w:rsidRPr="00F2274F">
              <w:rPr>
                <w:color w:val="auto"/>
                <w:lang w:val="is-IS"/>
              </w:rPr>
              <w:t>i</w:t>
            </w:r>
            <w:r w:rsidRPr="009F7642">
              <w:rPr>
                <w:color w:val="auto"/>
                <w:lang w:val="is-IS"/>
              </w:rPr>
              <w:t xml:space="preserve"> (sjá kafla 4.8, Börn)</w:t>
            </w:r>
          </w:p>
        </w:tc>
      </w:tr>
      <w:tr w:rsidR="00413359" w:rsidRPr="00AD2908" w14:paraId="38C1184D" w14:textId="77777777" w:rsidTr="007309A2">
        <w:trPr>
          <w:trHeight w:val="805"/>
        </w:trPr>
        <w:tc>
          <w:tcPr>
            <w:tcW w:w="0" w:type="auto"/>
            <w:tcBorders>
              <w:top w:val="single" w:sz="4" w:space="0" w:color="000000"/>
              <w:left w:val="single" w:sz="4" w:space="0" w:color="000000"/>
              <w:bottom w:val="single" w:sz="4" w:space="0" w:color="000000"/>
              <w:right w:val="single" w:sz="4" w:space="0" w:color="000000"/>
            </w:tcBorders>
          </w:tcPr>
          <w:p w14:paraId="3E20AA33"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Meðfætt og fjölskyldubundið/arfgengt ástand</w:t>
            </w:r>
          </w:p>
        </w:tc>
        <w:tc>
          <w:tcPr>
            <w:tcW w:w="0" w:type="auto"/>
            <w:tcBorders>
              <w:top w:val="single" w:sz="4" w:space="0" w:color="000000"/>
              <w:left w:val="single" w:sz="4" w:space="0" w:color="000000"/>
              <w:bottom w:val="single" w:sz="4" w:space="0" w:color="000000"/>
              <w:right w:val="single" w:sz="4" w:space="0" w:color="000000"/>
            </w:tcBorders>
          </w:tcPr>
          <w:p w14:paraId="062E495D" w14:textId="77777777" w:rsidR="00413359" w:rsidRPr="009F7642" w:rsidRDefault="00413359" w:rsidP="008B60B2">
            <w:pPr>
              <w:suppressAutoHyphens/>
              <w:spacing w:after="0" w:line="240" w:lineRule="auto"/>
              <w:ind w:left="0" w:firstLine="0"/>
              <w:rPr>
                <w:color w:val="auto"/>
                <w:lang w:val="is-IS"/>
              </w:rPr>
            </w:pPr>
            <w:r w:rsidRPr="009F7642">
              <w:rPr>
                <w:color w:val="auto"/>
                <w:lang w:val="is-IS"/>
              </w:rPr>
              <w:t>Vart hefur orðið við óeðlileg fóstur hjá konum sem fengu bevacízúmab eitt sér eða ásamt krabbameinslyfjum sem hafa þekkt eituráhrif á fóstur (sjá kafla 4.</w:t>
            </w:r>
            <w:r w:rsidRPr="00F2274F">
              <w:rPr>
                <w:color w:val="auto"/>
                <w:lang w:val="is-IS"/>
              </w:rPr>
              <w:t>6)</w:t>
            </w:r>
          </w:p>
        </w:tc>
      </w:tr>
    </w:tbl>
    <w:p w14:paraId="62CE1F8E" w14:textId="77777777" w:rsidR="006C06D6" w:rsidRPr="009F7642" w:rsidRDefault="00564614" w:rsidP="008B60B2">
      <w:pPr>
        <w:suppressAutoHyphens/>
        <w:spacing w:after="0" w:line="240" w:lineRule="auto"/>
        <w:ind w:left="567" w:hanging="567"/>
        <w:rPr>
          <w:color w:val="auto"/>
          <w:sz w:val="20"/>
          <w:lang w:val="is-IS"/>
        </w:rPr>
      </w:pPr>
      <w:r w:rsidRPr="009F7642">
        <w:rPr>
          <w:color w:val="auto"/>
          <w:sz w:val="20"/>
          <w:lang w:val="is-IS"/>
        </w:rPr>
        <w:t>*</w:t>
      </w:r>
      <w:r w:rsidR="00637F22" w:rsidRPr="009F7642">
        <w:rPr>
          <w:color w:val="auto"/>
          <w:sz w:val="20"/>
          <w:lang w:val="is-IS"/>
        </w:rPr>
        <w:tab/>
      </w:r>
      <w:r w:rsidRPr="009F7642">
        <w:rPr>
          <w:color w:val="auto"/>
          <w:sz w:val="20"/>
          <w:lang w:val="is-IS"/>
        </w:rPr>
        <w:t>Ef tíðni kemur fram er hún byggð á gögnum klínískra rannsókna</w:t>
      </w:r>
      <w:r w:rsidR="00370C0B" w:rsidRPr="009F7642">
        <w:rPr>
          <w:color w:val="auto"/>
          <w:sz w:val="20"/>
          <w:lang w:val="is-IS"/>
        </w:rPr>
        <w:t>.</w:t>
      </w:r>
    </w:p>
    <w:p w14:paraId="189D85C5" w14:textId="77777777" w:rsidR="005F36F3" w:rsidRPr="009F7642" w:rsidRDefault="005F36F3" w:rsidP="008B60B2">
      <w:pPr>
        <w:suppressAutoHyphens/>
        <w:spacing w:after="0" w:line="240" w:lineRule="auto"/>
        <w:ind w:left="0" w:firstLine="0"/>
        <w:rPr>
          <w:color w:val="auto"/>
          <w:lang w:val="is-IS"/>
        </w:rPr>
      </w:pPr>
    </w:p>
    <w:p w14:paraId="6E21A1B8" w14:textId="77777777" w:rsidR="006C06D6" w:rsidRPr="00B95474" w:rsidRDefault="00564614" w:rsidP="008B60B2">
      <w:pPr>
        <w:keepNext/>
        <w:keepLines/>
        <w:suppressAutoHyphens/>
        <w:spacing w:after="0" w:line="240" w:lineRule="auto"/>
        <w:ind w:left="0" w:firstLine="0"/>
        <w:rPr>
          <w:color w:val="auto"/>
          <w:u w:val="single"/>
          <w:lang w:val="is-IS"/>
        </w:rPr>
      </w:pPr>
      <w:r w:rsidRPr="00B95474">
        <w:rPr>
          <w:color w:val="auto"/>
          <w:u w:val="single"/>
          <w:lang w:val="is-IS"/>
        </w:rPr>
        <w:t>Tilkynning aukaverkana sem grunur er um að tengist lyfinu</w:t>
      </w:r>
    </w:p>
    <w:p w14:paraId="1B45F0CE" w14:textId="77777777" w:rsidR="00246973" w:rsidRPr="009F7642" w:rsidRDefault="00246973" w:rsidP="008B60B2">
      <w:pPr>
        <w:keepNext/>
        <w:keepLines/>
        <w:suppressAutoHyphens/>
        <w:spacing w:after="0" w:line="240" w:lineRule="auto"/>
        <w:ind w:left="0" w:firstLine="0"/>
        <w:rPr>
          <w:color w:val="auto"/>
          <w:lang w:val="is-IS"/>
        </w:rPr>
      </w:pPr>
    </w:p>
    <w:p w14:paraId="6533C41C" w14:textId="77777777" w:rsidR="006C06D6" w:rsidRPr="009F7642" w:rsidRDefault="00564614" w:rsidP="00A23670">
      <w:pPr>
        <w:suppressAutoHyphens/>
        <w:spacing w:after="0" w:line="240" w:lineRule="auto"/>
        <w:ind w:left="0" w:firstLine="0"/>
        <w:rPr>
          <w:color w:val="auto"/>
          <w:lang w:val="is-IS"/>
        </w:rPr>
      </w:pPr>
      <w:r w:rsidRPr="009F7642">
        <w:rPr>
          <w:color w:val="auto"/>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00B930BB" w:rsidRPr="00DC4128">
        <w:rPr>
          <w:color w:val="auto"/>
          <w:highlight w:val="lightGray"/>
          <w:lang w:val="is-IS"/>
        </w:rPr>
        <w:t xml:space="preserve">samkvæmt fyrirkomulagi sem gildir í hverju landi fyrir sig, sjá </w:t>
      </w:r>
      <w:r w:rsidR="00B930BB">
        <w:fldChar w:fldCharType="begin"/>
      </w:r>
      <w:r w:rsidR="00B930BB" w:rsidRPr="00AD2908">
        <w:rPr>
          <w:lang w:val="is-IS"/>
        </w:rPr>
        <w:instrText>HYPERLINK "http://www.ema.europa.eu/docs/en_GB/document_library/Template_or_form/2013/03/WC500139752.doc"</w:instrText>
      </w:r>
      <w:r w:rsidR="00B930BB">
        <w:fldChar w:fldCharType="separate"/>
      </w:r>
      <w:r w:rsidR="00B930BB" w:rsidRPr="00DC4128">
        <w:rPr>
          <w:color w:val="0000FF"/>
          <w:highlight w:val="lightGray"/>
          <w:u w:val="single"/>
          <w:lang w:val="is-IS"/>
        </w:rPr>
        <w:t>Appendix V</w:t>
      </w:r>
      <w:r w:rsidR="00B930BB">
        <w:fldChar w:fldCharType="end"/>
      </w:r>
      <w:hyperlink r:id="rId11">
        <w:r w:rsidRPr="009F7642">
          <w:rPr>
            <w:color w:val="auto"/>
            <w:lang w:val="is-IS"/>
          </w:rPr>
          <w:t>.</w:t>
        </w:r>
      </w:hyperlink>
    </w:p>
    <w:p w14:paraId="0DF745A2" w14:textId="77777777" w:rsidR="005F36F3" w:rsidRPr="009F7642" w:rsidRDefault="005F36F3" w:rsidP="008B60B2">
      <w:pPr>
        <w:suppressAutoHyphens/>
        <w:spacing w:after="0" w:line="240" w:lineRule="auto"/>
        <w:ind w:left="0" w:firstLine="0"/>
        <w:rPr>
          <w:color w:val="auto"/>
          <w:lang w:val="is-IS"/>
        </w:rPr>
      </w:pPr>
    </w:p>
    <w:p w14:paraId="62371B0F" w14:textId="77777777" w:rsidR="006C06D6" w:rsidRPr="00FA519E" w:rsidRDefault="0001299A" w:rsidP="008B60B2">
      <w:pPr>
        <w:keepNext/>
        <w:suppressAutoHyphens/>
        <w:spacing w:after="0" w:line="240" w:lineRule="auto"/>
        <w:ind w:left="567" w:hanging="567"/>
        <w:rPr>
          <w:b/>
          <w:color w:val="auto"/>
          <w:lang w:val="is-IS"/>
        </w:rPr>
      </w:pPr>
      <w:r w:rsidRPr="00FA519E">
        <w:rPr>
          <w:b/>
          <w:color w:val="auto"/>
          <w:lang w:val="is-IS"/>
        </w:rPr>
        <w:t>4.9</w:t>
      </w:r>
      <w:r w:rsidR="00564614" w:rsidRPr="00FA519E">
        <w:rPr>
          <w:b/>
          <w:color w:val="auto"/>
          <w:lang w:val="is-IS"/>
        </w:rPr>
        <w:tab/>
        <w:t>Ofskömmtun</w:t>
      </w:r>
    </w:p>
    <w:p w14:paraId="77160C07" w14:textId="77777777" w:rsidR="005F36F3" w:rsidRPr="009F7642" w:rsidRDefault="005F36F3" w:rsidP="008B60B2">
      <w:pPr>
        <w:keepNext/>
        <w:suppressAutoHyphens/>
        <w:spacing w:after="0" w:line="240" w:lineRule="auto"/>
        <w:ind w:left="0" w:firstLine="0"/>
        <w:rPr>
          <w:color w:val="auto"/>
          <w:lang w:val="is-IS"/>
        </w:rPr>
      </w:pPr>
    </w:p>
    <w:p w14:paraId="23D852D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Stærsti skammtur </w:t>
      </w:r>
      <w:r w:rsidR="001B731E" w:rsidRPr="009F7642">
        <w:rPr>
          <w:color w:val="auto"/>
          <w:lang w:val="is-IS"/>
        </w:rPr>
        <w:t>sem prófaður var hjá mönnum (20 </w:t>
      </w:r>
      <w:r w:rsidRPr="009F7642">
        <w:rPr>
          <w:color w:val="auto"/>
          <w:lang w:val="is-IS"/>
        </w:rPr>
        <w:t xml:space="preserve">mg/kg líkamsþyngdar, í bláæð, á 2 vikna fresti) tengdist alvarlegu mígreni hjá </w:t>
      </w:r>
      <w:r w:rsidR="00985D66" w:rsidRPr="00363B58">
        <w:rPr>
          <w:color w:val="auto"/>
          <w:lang w:val="is-IS"/>
        </w:rPr>
        <w:t>nokkrum</w:t>
      </w:r>
      <w:r w:rsidR="00985D66" w:rsidRPr="009F7642">
        <w:rPr>
          <w:color w:val="auto"/>
          <w:lang w:val="is-IS"/>
        </w:rPr>
        <w:t xml:space="preserve"> </w:t>
      </w:r>
      <w:r w:rsidRPr="009F7642">
        <w:rPr>
          <w:color w:val="auto"/>
          <w:lang w:val="is-IS"/>
        </w:rPr>
        <w:t>sjúklingum.</w:t>
      </w:r>
    </w:p>
    <w:p w14:paraId="3CEFDEE6" w14:textId="77777777" w:rsidR="004A5EB9" w:rsidRPr="009F7642" w:rsidRDefault="004A5EB9" w:rsidP="008B60B2">
      <w:pPr>
        <w:suppressAutoHyphens/>
        <w:spacing w:after="0" w:line="240" w:lineRule="auto"/>
        <w:ind w:left="0" w:firstLine="0"/>
        <w:rPr>
          <w:color w:val="auto"/>
          <w:lang w:val="is-IS"/>
        </w:rPr>
      </w:pPr>
    </w:p>
    <w:p w14:paraId="5946E5A2" w14:textId="77777777" w:rsidR="005F36F3" w:rsidRPr="009F7642" w:rsidRDefault="005F36F3" w:rsidP="009E27EA">
      <w:pPr>
        <w:suppressAutoHyphens/>
        <w:spacing w:after="0" w:line="240" w:lineRule="auto"/>
        <w:ind w:left="0" w:firstLine="0"/>
        <w:rPr>
          <w:color w:val="auto"/>
          <w:lang w:val="is-IS"/>
        </w:rPr>
      </w:pPr>
    </w:p>
    <w:p w14:paraId="0FE46E04" w14:textId="77777777" w:rsidR="006C06D6" w:rsidRPr="00FA519E" w:rsidRDefault="0001299A" w:rsidP="008B60B2">
      <w:pPr>
        <w:keepNext/>
        <w:suppressAutoHyphens/>
        <w:spacing w:after="0" w:line="240" w:lineRule="auto"/>
        <w:ind w:left="567" w:hanging="567"/>
        <w:rPr>
          <w:b/>
          <w:color w:val="auto"/>
          <w:lang w:val="is-IS"/>
        </w:rPr>
      </w:pPr>
      <w:r w:rsidRPr="00FA519E">
        <w:rPr>
          <w:b/>
          <w:color w:val="auto"/>
          <w:lang w:val="is-IS"/>
        </w:rPr>
        <w:t>5.</w:t>
      </w:r>
      <w:r w:rsidR="00564614" w:rsidRPr="00FA519E">
        <w:rPr>
          <w:b/>
          <w:color w:val="auto"/>
          <w:lang w:val="is-IS"/>
        </w:rPr>
        <w:tab/>
        <w:t>LYFJAFRÆÐILEGAR UPPLÝSINGAR</w:t>
      </w:r>
    </w:p>
    <w:p w14:paraId="495D5416" w14:textId="77777777" w:rsidR="005F36F3" w:rsidRPr="009F7642" w:rsidRDefault="005F36F3" w:rsidP="008B60B2">
      <w:pPr>
        <w:keepNext/>
        <w:suppressAutoHyphens/>
        <w:spacing w:after="0" w:line="240" w:lineRule="auto"/>
        <w:ind w:left="0" w:firstLine="0"/>
        <w:rPr>
          <w:color w:val="auto"/>
          <w:lang w:val="is-IS"/>
        </w:rPr>
      </w:pPr>
    </w:p>
    <w:p w14:paraId="1C6FB885" w14:textId="77777777" w:rsidR="006C06D6" w:rsidRPr="009F7642" w:rsidRDefault="0001299A" w:rsidP="008B60B2">
      <w:pPr>
        <w:keepNext/>
        <w:suppressAutoHyphens/>
        <w:spacing w:after="0" w:line="240" w:lineRule="auto"/>
        <w:ind w:left="567" w:hanging="567"/>
        <w:rPr>
          <w:color w:val="auto"/>
          <w:lang w:val="is-IS"/>
        </w:rPr>
      </w:pPr>
      <w:r w:rsidRPr="009F7642">
        <w:rPr>
          <w:b/>
          <w:color w:val="auto"/>
          <w:lang w:val="is-IS"/>
        </w:rPr>
        <w:t>5.1</w:t>
      </w:r>
      <w:r w:rsidR="00564614" w:rsidRPr="009F7642">
        <w:rPr>
          <w:b/>
          <w:color w:val="auto"/>
          <w:lang w:val="is-IS"/>
        </w:rPr>
        <w:tab/>
        <w:t>Lyfhrif</w:t>
      </w:r>
    </w:p>
    <w:p w14:paraId="050688B5" w14:textId="77777777" w:rsidR="005F36F3" w:rsidRPr="009F7642" w:rsidRDefault="005F36F3" w:rsidP="008B60B2">
      <w:pPr>
        <w:keepNext/>
        <w:suppressAutoHyphens/>
        <w:spacing w:after="0" w:line="240" w:lineRule="auto"/>
        <w:ind w:left="0" w:firstLine="0"/>
        <w:rPr>
          <w:color w:val="auto"/>
          <w:lang w:val="is-IS"/>
        </w:rPr>
      </w:pPr>
    </w:p>
    <w:p w14:paraId="66B738AE" w14:textId="61772C3F" w:rsidR="006C06D6" w:rsidRPr="009F7642" w:rsidRDefault="00564614" w:rsidP="008B60B2">
      <w:pPr>
        <w:suppressAutoHyphens/>
        <w:spacing w:after="0" w:line="240" w:lineRule="auto"/>
        <w:ind w:left="0" w:firstLine="0"/>
        <w:rPr>
          <w:color w:val="auto"/>
          <w:lang w:val="is-IS"/>
        </w:rPr>
      </w:pPr>
      <w:r w:rsidRPr="009F7642">
        <w:rPr>
          <w:color w:val="auto"/>
          <w:lang w:val="is-IS"/>
        </w:rPr>
        <w:t>Flokkun eftir verkun: Æxlishemjandi lyf og lyf til ónæmistemprunar, æxlishemjandi lyf, einstofna mótefni</w:t>
      </w:r>
      <w:r w:rsidR="0030339D">
        <w:rPr>
          <w:color w:val="auto"/>
          <w:lang w:val="is-IS"/>
        </w:rPr>
        <w:t xml:space="preserve"> og </w:t>
      </w:r>
      <w:r w:rsidR="007B0845">
        <w:rPr>
          <w:color w:val="auto"/>
          <w:lang w:val="is-IS"/>
        </w:rPr>
        <w:t>mótefna</w:t>
      </w:r>
      <w:r w:rsidR="0030339D">
        <w:rPr>
          <w:color w:val="auto"/>
          <w:lang w:val="is-IS"/>
        </w:rPr>
        <w:t>lyf</w:t>
      </w:r>
      <w:r w:rsidR="007B0845">
        <w:rPr>
          <w:color w:val="auto"/>
          <w:lang w:val="is-IS"/>
        </w:rPr>
        <w:t>jaafleiður</w:t>
      </w:r>
      <w:r w:rsidRPr="009F7642">
        <w:rPr>
          <w:color w:val="auto"/>
          <w:lang w:val="is-IS"/>
        </w:rPr>
        <w:t xml:space="preserve">, ATC flokkur: </w:t>
      </w:r>
      <w:r w:rsidR="007B0845">
        <w:rPr>
          <w:color w:val="auto"/>
          <w:lang w:val="is-IS"/>
        </w:rPr>
        <w:t>L01FG</w:t>
      </w:r>
      <w:r w:rsidR="007B0845" w:rsidRPr="009F7642">
        <w:rPr>
          <w:color w:val="auto"/>
          <w:lang w:val="is-IS"/>
        </w:rPr>
        <w:t>01</w:t>
      </w:r>
      <w:r w:rsidR="00246973" w:rsidRPr="009F7642">
        <w:rPr>
          <w:color w:val="auto"/>
          <w:lang w:val="is-IS"/>
        </w:rPr>
        <w:t>.</w:t>
      </w:r>
    </w:p>
    <w:p w14:paraId="1E065C81" w14:textId="77777777" w:rsidR="009348B4" w:rsidRPr="00F2274F" w:rsidRDefault="009348B4" w:rsidP="008B60B2">
      <w:pPr>
        <w:suppressAutoHyphens/>
        <w:spacing w:after="0" w:line="240" w:lineRule="auto"/>
        <w:ind w:left="0" w:firstLine="0"/>
        <w:rPr>
          <w:color w:val="auto"/>
          <w:lang w:val="is-IS"/>
        </w:rPr>
      </w:pPr>
    </w:p>
    <w:p w14:paraId="75178CEA" w14:textId="77777777" w:rsidR="005F36F3" w:rsidRPr="009F7642" w:rsidRDefault="001764F7" w:rsidP="008B60B2">
      <w:pPr>
        <w:suppressAutoHyphens/>
        <w:spacing w:after="0" w:line="240" w:lineRule="auto"/>
        <w:ind w:left="0" w:firstLine="0"/>
        <w:rPr>
          <w:color w:val="auto"/>
          <w:lang w:val="is-IS"/>
        </w:rPr>
      </w:pPr>
      <w:r w:rsidRPr="00F2274F">
        <w:rPr>
          <w:color w:val="auto"/>
          <w:lang w:val="is-IS"/>
        </w:rPr>
        <w:t>MVASI</w:t>
      </w:r>
      <w:r w:rsidR="009348B4" w:rsidRPr="00F2274F">
        <w:rPr>
          <w:color w:val="auto"/>
          <w:lang w:val="is-IS"/>
        </w:rPr>
        <w:t xml:space="preserve"> er </w:t>
      </w:r>
      <w:r w:rsidR="003D4A14" w:rsidRPr="00E914EC">
        <w:rPr>
          <w:color w:val="auto"/>
          <w:lang w:val="is-IS"/>
        </w:rPr>
        <w:t>samheitalíftæknilyf</w:t>
      </w:r>
      <w:r w:rsidR="009348B4" w:rsidRPr="00F2274F">
        <w:rPr>
          <w:color w:val="auto"/>
          <w:lang w:val="is-IS"/>
        </w:rPr>
        <w:t xml:space="preserve">. </w:t>
      </w:r>
      <w:r w:rsidR="009348B4" w:rsidRPr="00F2274F">
        <w:rPr>
          <w:bCs/>
          <w:noProof/>
          <w:lang w:val="is-IS"/>
        </w:rPr>
        <w:t xml:space="preserve">Ítarlegar upplýsingar eru birtar á vef Lyfjastofnunar Evrópu </w:t>
      </w:r>
      <w:hyperlink r:id="rId12" w:history="1">
        <w:r w:rsidR="009348B4" w:rsidRPr="00F2274F">
          <w:rPr>
            <w:rStyle w:val="Hyperlink"/>
            <w:noProof/>
            <w:lang w:val="is-IS"/>
          </w:rPr>
          <w:t>http://www.ema.europa.eu</w:t>
        </w:r>
      </w:hyperlink>
      <w:r w:rsidR="009348B4" w:rsidRPr="00F2274F">
        <w:rPr>
          <w:noProof/>
          <w:lang w:val="is-IS"/>
        </w:rPr>
        <w:t>.</w:t>
      </w:r>
    </w:p>
    <w:p w14:paraId="2385D4DC" w14:textId="77777777" w:rsidR="009348B4" w:rsidRDefault="009348B4" w:rsidP="008B60B2">
      <w:pPr>
        <w:keepNext/>
        <w:suppressAutoHyphens/>
        <w:spacing w:after="0" w:line="240" w:lineRule="auto"/>
        <w:ind w:left="0" w:firstLine="0"/>
        <w:rPr>
          <w:color w:val="auto"/>
          <w:u w:val="single"/>
          <w:lang w:val="is-IS"/>
        </w:rPr>
      </w:pPr>
    </w:p>
    <w:p w14:paraId="6043CC78" w14:textId="77777777" w:rsidR="0058113A" w:rsidRPr="00F2274F" w:rsidRDefault="00564614" w:rsidP="0058113A">
      <w:pPr>
        <w:rPr>
          <w:bCs/>
          <w:noProof/>
          <w:lang w:val="is-IS"/>
        </w:rPr>
      </w:pPr>
      <w:r w:rsidRPr="00D80F10">
        <w:rPr>
          <w:color w:val="auto"/>
          <w:u w:val="single"/>
          <w:lang w:val="is-IS"/>
        </w:rPr>
        <w:t>Verkunarháttur</w:t>
      </w:r>
      <w:r w:rsidR="0058113A" w:rsidRPr="00F2274F">
        <w:rPr>
          <w:bCs/>
          <w:noProof/>
          <w:lang w:val="is-IS"/>
        </w:rPr>
        <w:t xml:space="preserve"> </w:t>
      </w:r>
    </w:p>
    <w:p w14:paraId="2407FB8D" w14:textId="77777777" w:rsidR="00246973" w:rsidRPr="00287280" w:rsidRDefault="00246973" w:rsidP="008B60B2">
      <w:pPr>
        <w:keepNext/>
        <w:suppressAutoHyphens/>
        <w:spacing w:after="0" w:line="240" w:lineRule="auto"/>
        <w:ind w:left="0" w:firstLine="0"/>
        <w:rPr>
          <w:color w:val="auto"/>
          <w:lang w:val="is-IS"/>
        </w:rPr>
      </w:pPr>
    </w:p>
    <w:p w14:paraId="614A0F89" w14:textId="77777777" w:rsidR="006C06D6" w:rsidRPr="009F7642" w:rsidRDefault="00564614" w:rsidP="008B60B2">
      <w:pPr>
        <w:suppressAutoHyphens/>
        <w:spacing w:after="0" w:line="240" w:lineRule="auto"/>
        <w:ind w:left="0" w:firstLine="0"/>
        <w:rPr>
          <w:color w:val="auto"/>
          <w:lang w:val="is-IS"/>
        </w:rPr>
      </w:pPr>
      <w:r w:rsidRPr="00287280">
        <w:rPr>
          <w:color w:val="auto"/>
          <w:lang w:val="is-IS"/>
        </w:rPr>
        <w:t>Bevacízúmab binst VEGF (vascular endothelial growth factor) sem er aðalhvati æðanýmyndunar og hamlar þar með</w:t>
      </w:r>
      <w:r w:rsidRPr="009F7642">
        <w:rPr>
          <w:color w:val="auto"/>
          <w:lang w:val="is-IS"/>
        </w:rPr>
        <w:t xml:space="preserve"> bindingu VEGF við viðtaka sína, Flt-1 (VEGFR-1) og KDR (VEGFR-2), á yfirborði innanþekjufrumna. Hlutleysing líffræðilegrar virkni VEGF dregur smám saman úr æðanýmyndun í æxlum, færir það æðanet sem fyrir er í æxlum í eðlilegt horf, hamlar myndun nýs æðanets í æxlum og hamlar þar með æxlisvexti.</w:t>
      </w:r>
    </w:p>
    <w:p w14:paraId="7142E743" w14:textId="77777777" w:rsidR="005F36F3" w:rsidRPr="009F7642" w:rsidRDefault="005F36F3" w:rsidP="008B60B2">
      <w:pPr>
        <w:suppressAutoHyphens/>
        <w:spacing w:after="0" w:line="240" w:lineRule="auto"/>
        <w:ind w:left="0" w:firstLine="0"/>
        <w:rPr>
          <w:color w:val="auto"/>
          <w:lang w:val="is-IS"/>
        </w:rPr>
      </w:pPr>
    </w:p>
    <w:p w14:paraId="2EAEF625" w14:textId="77777777" w:rsidR="006C06D6" w:rsidRPr="006013AB" w:rsidRDefault="00D80F10" w:rsidP="008B60B2">
      <w:pPr>
        <w:keepNext/>
        <w:suppressAutoHyphens/>
        <w:spacing w:after="0" w:line="240" w:lineRule="auto"/>
        <w:ind w:left="0" w:firstLine="0"/>
        <w:rPr>
          <w:color w:val="auto"/>
          <w:u w:val="single"/>
          <w:lang w:val="is-IS"/>
        </w:rPr>
      </w:pPr>
      <w:r>
        <w:rPr>
          <w:color w:val="auto"/>
          <w:u w:val="single"/>
          <w:lang w:val="is-IS"/>
        </w:rPr>
        <w:t>L</w:t>
      </w:r>
      <w:r w:rsidR="00564614" w:rsidRPr="006013AB">
        <w:rPr>
          <w:color w:val="auto"/>
          <w:u w:val="single"/>
          <w:lang w:val="is-IS"/>
        </w:rPr>
        <w:t>yfhrif</w:t>
      </w:r>
    </w:p>
    <w:p w14:paraId="0925A636" w14:textId="77777777" w:rsidR="00246973" w:rsidRPr="009F7642" w:rsidRDefault="00246973" w:rsidP="008B60B2">
      <w:pPr>
        <w:keepNext/>
        <w:suppressAutoHyphens/>
        <w:spacing w:after="0" w:line="240" w:lineRule="auto"/>
        <w:ind w:left="0" w:firstLine="0"/>
        <w:rPr>
          <w:color w:val="auto"/>
          <w:lang w:val="is-IS"/>
        </w:rPr>
      </w:pPr>
    </w:p>
    <w:p w14:paraId="04662503"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Þegar bevacízúmab eða móðurmótefni þess úr músum var sett í ósamkynja krabbameinsgræðlingslíkön í skallamúsum, olli það umfangsmikilli hömlun á virkni krabbameins í mönnum, meðal annars í ristli, brjóstum, brisi og blöðruhálskirtli. Hömlun varð á framvindu meinvarpa og það dró úr gegndræpi smáæða.</w:t>
      </w:r>
    </w:p>
    <w:p w14:paraId="5DA68AD4" w14:textId="77777777" w:rsidR="005F36F3" w:rsidRPr="009F7642" w:rsidRDefault="005F36F3" w:rsidP="008B60B2">
      <w:pPr>
        <w:suppressAutoHyphens/>
        <w:spacing w:after="0" w:line="240" w:lineRule="auto"/>
        <w:ind w:left="0" w:firstLine="0"/>
        <w:rPr>
          <w:color w:val="auto"/>
          <w:lang w:val="is-IS"/>
        </w:rPr>
      </w:pPr>
    </w:p>
    <w:p w14:paraId="5928BD55" w14:textId="77777777" w:rsidR="006C06D6" w:rsidRPr="009F7642" w:rsidRDefault="00564614" w:rsidP="008B60B2">
      <w:pPr>
        <w:keepNext/>
        <w:suppressAutoHyphens/>
        <w:spacing w:after="0" w:line="240" w:lineRule="auto"/>
        <w:ind w:left="0" w:firstLine="0"/>
        <w:rPr>
          <w:color w:val="auto"/>
          <w:u w:val="single"/>
          <w:lang w:val="is-IS"/>
        </w:rPr>
      </w:pPr>
      <w:r w:rsidRPr="009F7642">
        <w:rPr>
          <w:color w:val="auto"/>
          <w:u w:val="single"/>
          <w:lang w:val="is-IS"/>
        </w:rPr>
        <w:lastRenderedPageBreak/>
        <w:t>Verkun</w:t>
      </w:r>
      <w:r w:rsidR="002D3FF9">
        <w:rPr>
          <w:color w:val="auto"/>
          <w:u w:val="single"/>
          <w:lang w:val="is-IS"/>
        </w:rPr>
        <w:t xml:space="preserve"> og öryggi</w:t>
      </w:r>
    </w:p>
    <w:p w14:paraId="0AF44950" w14:textId="77777777" w:rsidR="005F36F3" w:rsidRPr="009F7642" w:rsidRDefault="005F36F3" w:rsidP="008B60B2">
      <w:pPr>
        <w:keepNext/>
        <w:suppressAutoHyphens/>
        <w:spacing w:after="0" w:line="240" w:lineRule="auto"/>
        <w:ind w:left="0" w:firstLine="0"/>
        <w:rPr>
          <w:color w:val="auto"/>
          <w:lang w:val="is-IS"/>
        </w:rPr>
      </w:pPr>
    </w:p>
    <w:p w14:paraId="58AD36F6"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u w:val="single" w:color="000000"/>
          <w:lang w:val="is-IS"/>
        </w:rPr>
        <w:t>Krabbamein í ristli eða endaþarmi með meinvörpum</w:t>
      </w:r>
    </w:p>
    <w:p w14:paraId="08225E5A" w14:textId="77777777" w:rsidR="005F36F3" w:rsidRPr="009F7642" w:rsidRDefault="005F36F3" w:rsidP="008B60B2">
      <w:pPr>
        <w:keepNext/>
        <w:suppressAutoHyphens/>
        <w:spacing w:after="0" w:line="240" w:lineRule="auto"/>
        <w:ind w:left="0" w:firstLine="0"/>
        <w:rPr>
          <w:color w:val="auto"/>
          <w:lang w:val="is-IS"/>
        </w:rPr>
      </w:pPr>
    </w:p>
    <w:p w14:paraId="298A5426" w14:textId="77777777" w:rsidR="006C06D6" w:rsidRPr="009F7642" w:rsidRDefault="00564614" w:rsidP="009E27EA">
      <w:pPr>
        <w:keepNext/>
        <w:suppressAutoHyphens/>
        <w:spacing w:after="0" w:line="240" w:lineRule="auto"/>
        <w:ind w:left="0" w:firstLine="0"/>
        <w:rPr>
          <w:color w:val="auto"/>
          <w:lang w:val="is-IS"/>
        </w:rPr>
      </w:pPr>
      <w:r w:rsidRPr="009F7642">
        <w:rPr>
          <w:color w:val="auto"/>
          <w:lang w:val="is-IS"/>
        </w:rPr>
        <w:t>Öryggi og verkun ráðlag</w:t>
      </w:r>
      <w:r w:rsidR="001B731E" w:rsidRPr="009F7642">
        <w:rPr>
          <w:color w:val="auto"/>
          <w:lang w:val="is-IS"/>
        </w:rPr>
        <w:t>ðs skammts (5 </w:t>
      </w:r>
      <w:r w:rsidRPr="009F7642">
        <w:rPr>
          <w:color w:val="auto"/>
          <w:lang w:val="is-IS"/>
        </w:rPr>
        <w:t xml:space="preserve">mg/kg líkamsþyngdar á tveggja vikna fresti) við krabbameini í ristli eða endaþarmi með meinvörpum voru rannsökuð í þremur slembiröðuðum, virkum klínískum samanburðarrannsóknum ásamt krabbameinslyfjameðferð byggðri á flúorópýrímídíni sem fyrsta vali. </w:t>
      </w:r>
      <w:proofErr w:type="spellStart"/>
      <w:r w:rsidR="00690564">
        <w:t>Bevacízúmab</w:t>
      </w:r>
      <w:proofErr w:type="spellEnd"/>
      <w:r w:rsidR="002D3FF9">
        <w:t xml:space="preserve"> </w:t>
      </w:r>
      <w:r w:rsidRPr="009F7642">
        <w:rPr>
          <w:color w:val="auto"/>
          <w:lang w:val="is-IS"/>
        </w:rPr>
        <w:t>var gefið ásamt tvenns konar krabbameinslyfjameðferð:</w:t>
      </w:r>
    </w:p>
    <w:p w14:paraId="3ACB0B26" w14:textId="77777777" w:rsidR="005F36F3" w:rsidRPr="009F7642" w:rsidRDefault="005F36F3" w:rsidP="009E27EA">
      <w:pPr>
        <w:keepNext/>
        <w:suppressAutoHyphens/>
        <w:spacing w:after="0" w:line="240" w:lineRule="auto"/>
        <w:ind w:left="0" w:firstLine="0"/>
        <w:rPr>
          <w:color w:val="auto"/>
          <w:lang w:val="is-IS"/>
        </w:rPr>
      </w:pPr>
    </w:p>
    <w:p w14:paraId="1A778660" w14:textId="77777777" w:rsidR="006C06D6" w:rsidRPr="009F7642" w:rsidRDefault="00564614" w:rsidP="009E27EA">
      <w:pPr>
        <w:keepNext/>
        <w:numPr>
          <w:ilvl w:val="0"/>
          <w:numId w:val="4"/>
        </w:numPr>
        <w:suppressAutoHyphens/>
        <w:spacing w:after="0" w:line="240" w:lineRule="auto"/>
        <w:ind w:hanging="567"/>
        <w:rPr>
          <w:color w:val="auto"/>
          <w:lang w:val="is-IS"/>
        </w:rPr>
      </w:pPr>
      <w:r w:rsidRPr="009F7642">
        <w:rPr>
          <w:color w:val="auto"/>
          <w:lang w:val="is-IS"/>
        </w:rPr>
        <w:t>AVF2107g: Vikuleg gjöf írinótekan/5-flúoróúracíl/fólínínsýru í einni hraðri inndælingu (IFL) í samtals 4 vikur af hverri 6 vikna meðferðarlotu (Saltz meðferðaráætlun).</w:t>
      </w:r>
    </w:p>
    <w:p w14:paraId="766AD4FB" w14:textId="77777777" w:rsidR="006C06D6" w:rsidRPr="009F7642" w:rsidRDefault="00564614" w:rsidP="009E27EA">
      <w:pPr>
        <w:keepNext/>
        <w:numPr>
          <w:ilvl w:val="0"/>
          <w:numId w:val="4"/>
        </w:numPr>
        <w:suppressAutoHyphens/>
        <w:spacing w:after="0" w:line="240" w:lineRule="auto"/>
        <w:ind w:hanging="567"/>
        <w:rPr>
          <w:color w:val="auto"/>
          <w:lang w:val="is-IS"/>
        </w:rPr>
      </w:pPr>
      <w:r w:rsidRPr="009F7642">
        <w:rPr>
          <w:color w:val="auto"/>
          <w:lang w:val="is-IS"/>
        </w:rPr>
        <w:t>AVF0780g: Ásamt einni hraðri inndælingu af 5-flúoróúracíl/fólínínsýru (5-FU/FA) í samtals 6 vikur af hverri 8 vikna meðferðarlotu (Roswell Park áætlun).</w:t>
      </w:r>
    </w:p>
    <w:p w14:paraId="7B79A5A7" w14:textId="77777777" w:rsidR="006C06D6" w:rsidRPr="009F7642" w:rsidRDefault="00564614" w:rsidP="008B60B2">
      <w:pPr>
        <w:numPr>
          <w:ilvl w:val="0"/>
          <w:numId w:val="4"/>
        </w:numPr>
        <w:suppressAutoHyphens/>
        <w:spacing w:after="0" w:line="240" w:lineRule="auto"/>
        <w:ind w:hanging="567"/>
        <w:rPr>
          <w:color w:val="auto"/>
          <w:lang w:val="is-IS"/>
        </w:rPr>
      </w:pPr>
      <w:r w:rsidRPr="009F7642">
        <w:rPr>
          <w:color w:val="auto"/>
          <w:lang w:val="is-IS"/>
        </w:rPr>
        <w:t>AVF2192g: Ásamt einni hraðri inndælingu af 5-flúoróúracíl/fólínínsýru (5-FU/FA) í samtals 6 vikur af hverri 8 vikna meðferðarlotu (Roswell Park áætlun) hjá sjúklingum þar sem meðferð með írinótekani var ekki ákjósanleg sem fyrsta val.</w:t>
      </w:r>
    </w:p>
    <w:p w14:paraId="04D4FD45" w14:textId="77777777" w:rsidR="005F36F3" w:rsidRPr="009F7642" w:rsidRDefault="005F36F3" w:rsidP="008B60B2">
      <w:pPr>
        <w:suppressAutoHyphens/>
        <w:spacing w:after="0" w:line="240" w:lineRule="auto"/>
        <w:ind w:left="0" w:firstLine="0"/>
        <w:rPr>
          <w:color w:val="auto"/>
          <w:lang w:val="is-IS"/>
        </w:rPr>
      </w:pPr>
    </w:p>
    <w:p w14:paraId="7A04EE72" w14:textId="77777777" w:rsidR="006C06D6" w:rsidRPr="009F7642" w:rsidRDefault="00564614" w:rsidP="00EC3052">
      <w:pPr>
        <w:suppressAutoHyphens/>
        <w:spacing w:after="0" w:line="240" w:lineRule="auto"/>
        <w:ind w:left="0" w:firstLine="0"/>
        <w:rPr>
          <w:color w:val="auto"/>
          <w:lang w:val="is-IS"/>
        </w:rPr>
      </w:pPr>
      <w:r w:rsidRPr="009F7642">
        <w:rPr>
          <w:color w:val="auto"/>
          <w:lang w:val="is-IS"/>
        </w:rPr>
        <w:t>Þrjár rannsóknir að auki hafa verið gerðar á meðferð með bevacízúmabi hjá sjúklingum með krabbamein í ristli eða endaþarmi með meinvörpum: sem fyrsta meðferð (NO16966), sem önnur meðferð hjá sjúklingum sem ekki höfðu áður fengið bevacízúmab (E3200) og sem önnur meðferð hjá sjúklingum sem höfðu áður fengið bevacízúmab eftir að sjúkdómurinn hafði versnað eftir fyrstu meðferð (ML18147). Í þessum rannsóknum var bevacízúmab gefið samkvæmt eftirfarandi skammtaáætlunum ásamt FOLFOX-4 (5</w:t>
      </w:r>
      <w:r w:rsidR="00DD07A9">
        <w:rPr>
          <w:color w:val="auto"/>
          <w:lang w:val="is-IS"/>
        </w:rPr>
        <w:t>-</w:t>
      </w:r>
      <w:r w:rsidRPr="009F7642">
        <w:rPr>
          <w:color w:val="auto"/>
          <w:lang w:val="is-IS"/>
        </w:rPr>
        <w:t>FU/LV/oxalíplatín), XELOX (kapecítabín/oxalíplatín) ásamt flúorópýrimidíni/írínótekani eða flúorópýrimidíni/oxalíplatíni:</w:t>
      </w:r>
    </w:p>
    <w:p w14:paraId="2A3C75F7" w14:textId="77777777" w:rsidR="005F36F3" w:rsidRPr="009F7642" w:rsidRDefault="005F36F3" w:rsidP="00EC3052">
      <w:pPr>
        <w:suppressAutoHyphens/>
        <w:spacing w:after="0" w:line="240" w:lineRule="auto"/>
        <w:ind w:left="0" w:firstLine="0"/>
        <w:rPr>
          <w:color w:val="auto"/>
          <w:lang w:val="is-IS"/>
        </w:rPr>
      </w:pPr>
    </w:p>
    <w:p w14:paraId="6C864398" w14:textId="77777777" w:rsidR="006C06D6" w:rsidRPr="009F7642" w:rsidRDefault="001B731E" w:rsidP="00EC3052">
      <w:pPr>
        <w:numPr>
          <w:ilvl w:val="0"/>
          <w:numId w:val="4"/>
        </w:numPr>
        <w:suppressAutoHyphens/>
        <w:spacing w:after="0" w:line="240" w:lineRule="auto"/>
        <w:ind w:hanging="567"/>
        <w:rPr>
          <w:color w:val="auto"/>
          <w:lang w:val="is-IS"/>
        </w:rPr>
      </w:pPr>
      <w:r w:rsidRPr="009F7642">
        <w:rPr>
          <w:color w:val="auto"/>
          <w:lang w:val="is-IS"/>
        </w:rPr>
        <w:t xml:space="preserve">NO16966: </w:t>
      </w:r>
      <w:r w:rsidR="00690564" w:rsidRPr="00F2274F">
        <w:rPr>
          <w:lang w:val="is-IS"/>
        </w:rPr>
        <w:t>bevacízúmab</w:t>
      </w:r>
      <w:r w:rsidRPr="009F7642">
        <w:rPr>
          <w:color w:val="auto"/>
          <w:lang w:val="is-IS"/>
        </w:rPr>
        <w:t xml:space="preserve"> 7,5 </w:t>
      </w:r>
      <w:r w:rsidR="00564614" w:rsidRPr="009F7642">
        <w:rPr>
          <w:color w:val="auto"/>
          <w:lang w:val="is-IS"/>
        </w:rPr>
        <w:t>mg/kg líkamsþyngdar á 3 vikna fresti ásamt kapecítabíni til inntöku og oxalíplatín</w:t>
      </w:r>
      <w:r w:rsidRPr="009F7642">
        <w:rPr>
          <w:color w:val="auto"/>
          <w:lang w:val="is-IS"/>
        </w:rPr>
        <w:t xml:space="preserve">i í bláæð (XELOX) eða </w:t>
      </w:r>
      <w:r w:rsidR="00690564" w:rsidRPr="00F2274F">
        <w:rPr>
          <w:lang w:val="is-IS"/>
        </w:rPr>
        <w:t>bevacízúmab</w:t>
      </w:r>
      <w:r w:rsidRPr="009F7642">
        <w:rPr>
          <w:color w:val="auto"/>
          <w:lang w:val="is-IS"/>
        </w:rPr>
        <w:t xml:space="preserve"> 5 </w:t>
      </w:r>
      <w:r w:rsidR="00564614" w:rsidRPr="009F7642">
        <w:rPr>
          <w:color w:val="auto"/>
          <w:lang w:val="is-IS"/>
        </w:rPr>
        <w:t>mg/kg á 2 vikna fresti ásamt levkóvoríni og hleðsluskammti af 5-fluoróúracíli, síðan 5-flúoróúracíl innrennsli, ásamt oxalíplatíni í bláæð (FOLFOX-4).</w:t>
      </w:r>
    </w:p>
    <w:p w14:paraId="75DC0744" w14:textId="77777777" w:rsidR="006C06D6" w:rsidRPr="009F7642" w:rsidRDefault="00564614" w:rsidP="00EC3052">
      <w:pPr>
        <w:numPr>
          <w:ilvl w:val="0"/>
          <w:numId w:val="4"/>
        </w:numPr>
        <w:suppressAutoHyphens/>
        <w:spacing w:after="0" w:line="240" w:lineRule="auto"/>
        <w:ind w:hanging="567"/>
        <w:rPr>
          <w:color w:val="auto"/>
          <w:lang w:val="is-IS"/>
        </w:rPr>
      </w:pPr>
      <w:r w:rsidRPr="009F7642">
        <w:rPr>
          <w:color w:val="auto"/>
          <w:lang w:val="is-IS"/>
        </w:rPr>
        <w:t xml:space="preserve">E3200: </w:t>
      </w:r>
      <w:r w:rsidR="00690564" w:rsidRPr="00F2274F">
        <w:rPr>
          <w:lang w:val="is-IS"/>
        </w:rPr>
        <w:t>bevacízúmab</w:t>
      </w:r>
      <w:r w:rsidR="001B731E" w:rsidRPr="009F7642">
        <w:rPr>
          <w:color w:val="auto"/>
          <w:lang w:val="is-IS"/>
        </w:rPr>
        <w:t xml:space="preserve"> 10 </w:t>
      </w:r>
      <w:r w:rsidRPr="009F7642">
        <w:rPr>
          <w:color w:val="auto"/>
          <w:lang w:val="is-IS"/>
        </w:rPr>
        <w:t>mg/kg líkamsþyngdar á 2 vikna fresti ásamt levkóvoríni og hleðsluskammti af 5-flúoróúracíli, síðan 5-flúoróúracíl innrennsli, ásamt oxalíplatíni í bláæð (FOLFOX-4) hjá sjúklingum sem ekki höfðu áður fengið bevacízúmab.</w:t>
      </w:r>
    </w:p>
    <w:p w14:paraId="150FAF05" w14:textId="77777777" w:rsidR="006C06D6" w:rsidRPr="009F7642" w:rsidRDefault="00564614" w:rsidP="00011C3B">
      <w:pPr>
        <w:numPr>
          <w:ilvl w:val="0"/>
          <w:numId w:val="4"/>
        </w:numPr>
        <w:suppressAutoHyphens/>
        <w:spacing w:after="0" w:line="240" w:lineRule="auto"/>
        <w:ind w:hanging="567"/>
        <w:rPr>
          <w:color w:val="auto"/>
          <w:lang w:val="is-IS"/>
        </w:rPr>
      </w:pPr>
      <w:r w:rsidRPr="009F7642">
        <w:rPr>
          <w:color w:val="auto"/>
          <w:lang w:val="is-IS"/>
        </w:rPr>
        <w:t>ML18147:</w:t>
      </w:r>
      <w:r w:rsidR="001B731E" w:rsidRPr="009F7642">
        <w:rPr>
          <w:color w:val="auto"/>
          <w:lang w:val="is-IS"/>
        </w:rPr>
        <w:t xml:space="preserve"> </w:t>
      </w:r>
      <w:r w:rsidR="00690564" w:rsidRPr="00F2274F">
        <w:rPr>
          <w:lang w:val="is-IS"/>
        </w:rPr>
        <w:t>bevacízúmab</w:t>
      </w:r>
      <w:r w:rsidR="001B731E" w:rsidRPr="009F7642">
        <w:rPr>
          <w:color w:val="auto"/>
          <w:lang w:val="is-IS"/>
        </w:rPr>
        <w:t xml:space="preserve"> 5,0 </w:t>
      </w:r>
      <w:r w:rsidRPr="009F7642">
        <w:rPr>
          <w:color w:val="auto"/>
          <w:lang w:val="is-IS"/>
        </w:rPr>
        <w:t>mg/kg líkamsþyngdar á</w:t>
      </w:r>
      <w:r w:rsidR="001B731E" w:rsidRPr="009F7642">
        <w:rPr>
          <w:color w:val="auto"/>
          <w:lang w:val="is-IS"/>
        </w:rPr>
        <w:t xml:space="preserve"> 2 vikna fresti eða </w:t>
      </w:r>
      <w:r w:rsidR="00690564" w:rsidRPr="00F2274F">
        <w:rPr>
          <w:lang w:val="is-IS"/>
        </w:rPr>
        <w:t>bevacízúmab</w:t>
      </w:r>
      <w:r w:rsidR="001B731E" w:rsidRPr="009F7642">
        <w:rPr>
          <w:color w:val="auto"/>
          <w:lang w:val="is-IS"/>
        </w:rPr>
        <w:t xml:space="preserve"> 7,5 </w:t>
      </w:r>
      <w:r w:rsidRPr="009F7642">
        <w:rPr>
          <w:color w:val="auto"/>
          <w:lang w:val="is-IS"/>
        </w:rPr>
        <w:t>mg/kg líkamsþyngdar á 3 vikna fresti ásamt flúorópýrimidíni/írínótekani eða flúorópýrimidíni/oxalíplatíni hjá sjúklingum þar sem sjúkdómurinn hafði versnað eftir fyrstu meðferð með bevacízúmabi. Skipt var á milli meðferðaráætlana sem innihéldu írínótekan eða oxalíplatín eftir því hvort írínótekan eða oxalíplatín hafði verið notað við fyrstu meðferð.</w:t>
      </w:r>
    </w:p>
    <w:p w14:paraId="15BA1B46" w14:textId="77777777" w:rsidR="005F36F3" w:rsidRPr="009F7642" w:rsidRDefault="005F36F3" w:rsidP="000F725F">
      <w:pPr>
        <w:suppressAutoHyphens/>
        <w:spacing w:after="0" w:line="240" w:lineRule="auto"/>
        <w:ind w:left="0" w:firstLine="0"/>
        <w:rPr>
          <w:color w:val="auto"/>
          <w:lang w:val="is-IS"/>
        </w:rPr>
      </w:pPr>
    </w:p>
    <w:p w14:paraId="1FB518B6"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lang w:val="is-IS"/>
        </w:rPr>
        <w:t>AVF2107g</w:t>
      </w:r>
    </w:p>
    <w:p w14:paraId="0181AE26" w14:textId="2C30AE7A" w:rsidR="006C06D6" w:rsidRPr="009F7642" w:rsidRDefault="00564614" w:rsidP="008B60B2">
      <w:pPr>
        <w:suppressAutoHyphens/>
        <w:spacing w:after="0" w:line="240" w:lineRule="auto"/>
        <w:ind w:left="0" w:firstLine="0"/>
        <w:rPr>
          <w:color w:val="auto"/>
          <w:lang w:val="is-IS"/>
        </w:rPr>
      </w:pPr>
      <w:r w:rsidRPr="009F7642">
        <w:rPr>
          <w:color w:val="auto"/>
          <w:lang w:val="is-IS"/>
        </w:rPr>
        <w:t>Þetta var III. stigs, slembiröðuð, tvíblind</w:t>
      </w:r>
      <w:r w:rsidR="00AE3D30">
        <w:rPr>
          <w:color w:val="auto"/>
          <w:lang w:val="is-IS"/>
        </w:rPr>
        <w:t>,</w:t>
      </w:r>
      <w:r w:rsidRPr="009F7642">
        <w:rPr>
          <w:color w:val="auto"/>
          <w:lang w:val="is-IS"/>
        </w:rPr>
        <w:t xml:space="preserve"> </w:t>
      </w:r>
      <w:r w:rsidR="00AE3D30" w:rsidRPr="00AE3D30">
        <w:rPr>
          <w:color w:val="auto"/>
          <w:lang w:val="is-IS"/>
        </w:rPr>
        <w:t>klínísk</w:t>
      </w:r>
      <w:r w:rsidR="00AE3D30">
        <w:rPr>
          <w:color w:val="auto"/>
          <w:lang w:val="is-IS"/>
        </w:rPr>
        <w:t xml:space="preserve"> </w:t>
      </w:r>
      <w:r w:rsidRPr="009F7642">
        <w:rPr>
          <w:color w:val="auto"/>
          <w:lang w:val="is-IS"/>
        </w:rPr>
        <w:t xml:space="preserve">rannsókn </w:t>
      </w:r>
      <w:r w:rsidR="00AE3D30" w:rsidRPr="00AE3D30">
        <w:rPr>
          <w:color w:val="auto"/>
          <w:lang w:val="is-IS"/>
        </w:rPr>
        <w:t>með samanburði við virkt lyf,</w:t>
      </w:r>
      <w:r w:rsidR="000B0300">
        <w:rPr>
          <w:color w:val="auto"/>
          <w:lang w:val="is-IS"/>
        </w:rPr>
        <w:t xml:space="preserve"> </w:t>
      </w:r>
      <w:r w:rsidRPr="009F7642">
        <w:rPr>
          <w:color w:val="auto"/>
          <w:lang w:val="is-IS"/>
        </w:rPr>
        <w:t xml:space="preserve">þar sem </w:t>
      </w:r>
      <w:r w:rsidR="00690564" w:rsidRPr="00F2274F">
        <w:rPr>
          <w:lang w:val="is-IS"/>
        </w:rPr>
        <w:t>bevacízúmab</w:t>
      </w:r>
      <w:r w:rsidRPr="009F7642">
        <w:rPr>
          <w:color w:val="auto"/>
          <w:lang w:val="is-IS"/>
        </w:rPr>
        <w:t xml:space="preserve"> var metið í samsetningu með IFL sem fyrsta val við meðferð á krabbameini í ristli eða endaþarmi með meinvörpum. Átta hundruð og þrettán sjúklingar voru valdir af handahófi til að fá IFL + lyfleysu</w:t>
      </w:r>
      <w:r w:rsidR="001B731E" w:rsidRPr="009F7642">
        <w:rPr>
          <w:color w:val="auto"/>
          <w:lang w:val="is-IS"/>
        </w:rPr>
        <w:t xml:space="preserve"> (hópur 1) eða IFL + </w:t>
      </w:r>
      <w:r w:rsidR="00690564" w:rsidRPr="00F2274F">
        <w:rPr>
          <w:lang w:val="is-IS"/>
        </w:rPr>
        <w:t>bevacízúmab</w:t>
      </w:r>
      <w:r w:rsidR="001B731E" w:rsidRPr="009F7642">
        <w:rPr>
          <w:color w:val="auto"/>
          <w:lang w:val="is-IS"/>
        </w:rPr>
        <w:t xml:space="preserve"> (5 </w:t>
      </w:r>
      <w:r w:rsidRPr="009F7642">
        <w:rPr>
          <w:color w:val="auto"/>
          <w:lang w:val="is-IS"/>
        </w:rPr>
        <w:t xml:space="preserve">mg/kg á tveggja vikna fresti, hópur 2). Þriðji hópurinn með 110 sjúklingum fékk 5-FU/FA í einni hraðri inndælingu + </w:t>
      </w:r>
      <w:r w:rsidR="00690564" w:rsidRPr="00F2274F">
        <w:rPr>
          <w:lang w:val="is-IS"/>
        </w:rPr>
        <w:t>bevacízúmab</w:t>
      </w:r>
      <w:r w:rsidRPr="009F7642">
        <w:rPr>
          <w:color w:val="auto"/>
          <w:lang w:val="is-IS"/>
        </w:rPr>
        <w:t xml:space="preserve"> (hópur 3). Þátttaka í hópi 3 var stöðvuð eins og ákveðið var fyrirfram þegar búið var að ganga úr skugga um öryggi </w:t>
      </w:r>
      <w:r w:rsidR="00690564" w:rsidRPr="00F2274F">
        <w:rPr>
          <w:lang w:val="is-IS"/>
        </w:rPr>
        <w:t>bevacízúmab</w:t>
      </w:r>
      <w:r w:rsidR="0058113A" w:rsidRPr="00F2274F">
        <w:rPr>
          <w:lang w:val="is-IS"/>
        </w:rPr>
        <w:t>s</w:t>
      </w:r>
      <w:r w:rsidRPr="009F7642">
        <w:rPr>
          <w:color w:val="auto"/>
          <w:lang w:val="is-IS"/>
        </w:rPr>
        <w:t xml:space="preserve"> með IFL skammtaáætluninni og það álitið ásættanlegt. Haldið var áfram með allar meðferðirnar þar til sjúkdómurinn versnaði. Meðalaldur var í heild 59,4 ár. Hjá 56,6% sjúklinga var ECOG færnisskala stig 0, hjá 43% var gildið 1 og hjá 0,4% var gildið 2. 15,5% höfðu áður fengið geislameðferð og 28,4% krabbameinslyfjameðferð.</w:t>
      </w:r>
    </w:p>
    <w:p w14:paraId="6702ABD6" w14:textId="77777777" w:rsidR="005F36F3" w:rsidRPr="009F7642" w:rsidRDefault="005F36F3" w:rsidP="008B60B2">
      <w:pPr>
        <w:suppressAutoHyphens/>
        <w:spacing w:after="0" w:line="240" w:lineRule="auto"/>
        <w:ind w:left="0" w:firstLine="0"/>
        <w:rPr>
          <w:color w:val="auto"/>
          <w:lang w:val="is-IS"/>
        </w:rPr>
      </w:pPr>
    </w:p>
    <w:p w14:paraId="6C872E3F"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Aðalmælikvarði á verkun í rannsókninni var heildarlifun. Þegar </w:t>
      </w:r>
      <w:r w:rsidR="00690564" w:rsidRPr="00F2274F">
        <w:rPr>
          <w:lang w:val="is-IS"/>
        </w:rPr>
        <w:t>bevacízúmab</w:t>
      </w:r>
      <w:r w:rsidR="0044479B" w:rsidRPr="00F2274F">
        <w:rPr>
          <w:lang w:val="is-IS"/>
        </w:rPr>
        <w:t>i</w:t>
      </w:r>
      <w:r w:rsidRPr="009F7642">
        <w:rPr>
          <w:color w:val="auto"/>
          <w:lang w:val="is-IS"/>
        </w:rPr>
        <w:t xml:space="preserve"> var bætt við IFL olli það tölfræðilega marktækri aukningu á heildarlifun, lifun án versnunar sjúkdóms (progression-free survival (PFS)) og heildarsvörunarhlutfalli (sjá töflu 4). Klínískur ávinningur, mældur í heildarlifun, sást í öllum fyrirfram ákveðnum undirhópum sjúklinga, að meðtöldum þeim sem skilgreindir voru eftir aldri, kyni, heilsufari, staðsetningu frumæxlis, fjölda líffæra sem sjúkdómurinn náði til og hversu lengi sjúklingurinn hafði verið með meinvörp.</w:t>
      </w:r>
    </w:p>
    <w:p w14:paraId="190615B5" w14:textId="77777777" w:rsidR="005F36F3" w:rsidRPr="009F7642" w:rsidRDefault="005F36F3" w:rsidP="008B60B2">
      <w:pPr>
        <w:suppressAutoHyphens/>
        <w:spacing w:after="0" w:line="240" w:lineRule="auto"/>
        <w:ind w:left="0" w:firstLine="0"/>
        <w:rPr>
          <w:color w:val="auto"/>
          <w:lang w:val="is-IS"/>
        </w:rPr>
      </w:pPr>
    </w:p>
    <w:p w14:paraId="197B8D1C"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lastRenderedPageBreak/>
        <w:t xml:space="preserve">Niðurstöður um verkun </w:t>
      </w:r>
      <w:r w:rsidR="00690564" w:rsidRPr="00F2274F">
        <w:rPr>
          <w:lang w:val="is-IS"/>
        </w:rPr>
        <w:t>bevacízúmab</w:t>
      </w:r>
      <w:r w:rsidR="0044479B" w:rsidRPr="00F2274F">
        <w:rPr>
          <w:lang w:val="is-IS"/>
        </w:rPr>
        <w:t>s</w:t>
      </w:r>
      <w:r w:rsidRPr="009F7642">
        <w:rPr>
          <w:color w:val="auto"/>
          <w:lang w:val="is-IS"/>
        </w:rPr>
        <w:t xml:space="preserve"> með IFL-krabbameinslyfjameðferð eru sýndar í töflu 4.</w:t>
      </w:r>
    </w:p>
    <w:p w14:paraId="33E1222C" w14:textId="77777777" w:rsidR="005F36F3" w:rsidRPr="009F7642" w:rsidRDefault="005F36F3" w:rsidP="008B60B2">
      <w:pPr>
        <w:suppressAutoHyphens/>
        <w:spacing w:after="0" w:line="240" w:lineRule="auto"/>
        <w:ind w:left="0" w:firstLine="0"/>
        <w:rPr>
          <w:color w:val="auto"/>
          <w:lang w:val="is-IS"/>
        </w:rPr>
      </w:pPr>
    </w:p>
    <w:p w14:paraId="5EE8B1E6" w14:textId="77777777" w:rsidR="005F36F3" w:rsidRPr="00BE6EEE" w:rsidRDefault="00BF4F58" w:rsidP="008B60B2">
      <w:pPr>
        <w:keepNext/>
        <w:suppressAutoHyphens/>
        <w:spacing w:after="0" w:line="240" w:lineRule="auto"/>
        <w:ind w:left="0" w:firstLine="0"/>
        <w:rPr>
          <w:b/>
          <w:color w:val="auto"/>
          <w:lang w:val="is-IS"/>
        </w:rPr>
      </w:pPr>
      <w:r w:rsidRPr="00BE6EEE">
        <w:rPr>
          <w:b/>
          <w:color w:val="auto"/>
          <w:lang w:val="is-IS"/>
        </w:rPr>
        <w:t>Tafla 4</w:t>
      </w:r>
      <w:r w:rsidR="00FA281C" w:rsidRPr="00BE6EEE">
        <w:rPr>
          <w:b/>
          <w:color w:val="auto"/>
          <w:lang w:val="is-IS"/>
        </w:rPr>
        <w:t>.</w:t>
      </w:r>
      <w:r w:rsidR="00CE16F8" w:rsidRPr="00BE6EEE">
        <w:rPr>
          <w:b/>
          <w:color w:val="auto"/>
          <w:lang w:val="is-IS"/>
        </w:rPr>
        <w:t xml:space="preserve"> </w:t>
      </w:r>
      <w:r w:rsidR="00564614" w:rsidRPr="00BE6EEE">
        <w:rPr>
          <w:b/>
          <w:color w:val="auto"/>
          <w:lang w:val="is-IS"/>
        </w:rPr>
        <w:t>Niðurstöður um v</w:t>
      </w:r>
      <w:r w:rsidR="003C161D" w:rsidRPr="00BE6EEE">
        <w:rPr>
          <w:b/>
          <w:color w:val="auto"/>
          <w:lang w:val="is-IS"/>
        </w:rPr>
        <w:t>erkun úr AVF2107g rannsókninni</w:t>
      </w:r>
    </w:p>
    <w:p w14:paraId="1FFD9C13" w14:textId="77777777" w:rsidR="00796BD9" w:rsidRPr="009F7642" w:rsidRDefault="00796BD9" w:rsidP="008B60B2">
      <w:pPr>
        <w:keepNext/>
        <w:suppressAutoHyphens/>
        <w:spacing w:after="0" w:line="240" w:lineRule="auto"/>
        <w:ind w:left="0" w:firstLine="0"/>
        <w:rPr>
          <w:color w:val="auto"/>
          <w:lang w:val="is-I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630"/>
        <w:gridCol w:w="3575"/>
      </w:tblGrid>
      <w:tr w:rsidR="00796BD9" w:rsidRPr="009F7642" w14:paraId="7CE18549" w14:textId="77777777" w:rsidTr="00FA281C">
        <w:trPr>
          <w:trHeight w:val="300"/>
          <w:tblHeader/>
        </w:trPr>
        <w:tc>
          <w:tcPr>
            <w:tcW w:w="0" w:type="auto"/>
            <w:vMerge w:val="restart"/>
            <w:noWrap/>
            <w:vAlign w:val="bottom"/>
            <w:hideMark/>
          </w:tcPr>
          <w:p w14:paraId="5F593E5F" w14:textId="77777777" w:rsidR="00796BD9" w:rsidRPr="009F7642" w:rsidRDefault="00796BD9" w:rsidP="008B60B2">
            <w:pPr>
              <w:suppressAutoHyphens/>
              <w:spacing w:line="240" w:lineRule="auto"/>
              <w:rPr>
                <w:color w:val="auto"/>
                <w:lang w:val="is-IS"/>
              </w:rPr>
            </w:pPr>
          </w:p>
        </w:tc>
        <w:tc>
          <w:tcPr>
            <w:tcW w:w="5905" w:type="dxa"/>
            <w:gridSpan w:val="2"/>
            <w:noWrap/>
            <w:vAlign w:val="bottom"/>
            <w:hideMark/>
          </w:tcPr>
          <w:p w14:paraId="7DBAA890" w14:textId="77777777" w:rsidR="00796BD9" w:rsidRPr="009F7642" w:rsidRDefault="00796BD9" w:rsidP="008B60B2">
            <w:pPr>
              <w:suppressAutoHyphens/>
              <w:spacing w:line="240" w:lineRule="auto"/>
              <w:jc w:val="center"/>
              <w:rPr>
                <w:b/>
                <w:color w:val="auto"/>
                <w:lang w:val="is-IS"/>
              </w:rPr>
            </w:pPr>
            <w:r w:rsidRPr="009F7642">
              <w:rPr>
                <w:b/>
                <w:color w:val="auto"/>
                <w:lang w:val="is-IS"/>
              </w:rPr>
              <w:t>AVF2107g</w:t>
            </w:r>
          </w:p>
        </w:tc>
      </w:tr>
      <w:tr w:rsidR="00796BD9" w:rsidRPr="009F7642" w14:paraId="74CD4BCE" w14:textId="77777777" w:rsidTr="00FA281C">
        <w:trPr>
          <w:trHeight w:val="610"/>
          <w:tblHeader/>
        </w:trPr>
        <w:tc>
          <w:tcPr>
            <w:tcW w:w="0" w:type="auto"/>
            <w:vMerge/>
            <w:tcBorders>
              <w:bottom w:val="single" w:sz="4" w:space="0" w:color="auto"/>
            </w:tcBorders>
            <w:noWrap/>
            <w:vAlign w:val="bottom"/>
            <w:hideMark/>
          </w:tcPr>
          <w:p w14:paraId="72C32DCA" w14:textId="77777777" w:rsidR="00796BD9" w:rsidRPr="009F7642" w:rsidRDefault="00796BD9" w:rsidP="008B60B2">
            <w:pPr>
              <w:suppressAutoHyphens/>
              <w:spacing w:line="240" w:lineRule="auto"/>
              <w:rPr>
                <w:color w:val="auto"/>
                <w:lang w:val="is-IS"/>
              </w:rPr>
            </w:pPr>
          </w:p>
        </w:tc>
        <w:tc>
          <w:tcPr>
            <w:tcW w:w="2503" w:type="dxa"/>
            <w:tcBorders>
              <w:bottom w:val="single" w:sz="4" w:space="0" w:color="auto"/>
            </w:tcBorders>
            <w:noWrap/>
            <w:hideMark/>
          </w:tcPr>
          <w:p w14:paraId="44C08A5B" w14:textId="77777777" w:rsidR="006C06D6" w:rsidRPr="009F7642" w:rsidRDefault="00796BD9" w:rsidP="008B60B2">
            <w:pPr>
              <w:suppressAutoHyphens/>
              <w:spacing w:line="259" w:lineRule="auto"/>
              <w:ind w:left="365" w:right="317"/>
              <w:jc w:val="center"/>
              <w:rPr>
                <w:b/>
                <w:color w:val="auto"/>
                <w:lang w:val="is-IS"/>
              </w:rPr>
            </w:pPr>
            <w:r w:rsidRPr="009F7642">
              <w:rPr>
                <w:b/>
                <w:color w:val="auto"/>
                <w:lang w:val="is-IS"/>
              </w:rPr>
              <w:t>Hópur 1</w:t>
            </w:r>
          </w:p>
          <w:p w14:paraId="29889529" w14:textId="77777777" w:rsidR="00796BD9" w:rsidRPr="009F7642" w:rsidRDefault="00796BD9" w:rsidP="008B60B2">
            <w:pPr>
              <w:suppressAutoHyphens/>
              <w:spacing w:line="259" w:lineRule="auto"/>
              <w:ind w:left="365" w:right="317"/>
              <w:jc w:val="center"/>
              <w:rPr>
                <w:color w:val="auto"/>
                <w:lang w:val="is-IS"/>
              </w:rPr>
            </w:pPr>
            <w:r w:rsidRPr="009F7642">
              <w:rPr>
                <w:b/>
                <w:color w:val="auto"/>
                <w:lang w:val="is-IS"/>
              </w:rPr>
              <w:t xml:space="preserve">IFL </w:t>
            </w:r>
            <w:r w:rsidRPr="009F7642">
              <w:rPr>
                <w:rFonts w:eastAsia="Segoe UI Symbol"/>
                <w:b/>
                <w:color w:val="auto"/>
                <w:lang w:val="is-IS"/>
              </w:rPr>
              <w:t>+</w:t>
            </w:r>
            <w:r w:rsidRPr="009F7642">
              <w:rPr>
                <w:b/>
                <w:color w:val="auto"/>
                <w:lang w:val="is-IS"/>
              </w:rPr>
              <w:t xml:space="preserve"> lyfleysa</w:t>
            </w:r>
            <w:r w:rsidRPr="009F7642">
              <w:rPr>
                <w:color w:val="auto"/>
                <w:lang w:val="is-IS"/>
              </w:rPr>
              <w:t xml:space="preserve"> </w:t>
            </w:r>
          </w:p>
        </w:tc>
        <w:tc>
          <w:tcPr>
            <w:tcW w:w="3402" w:type="dxa"/>
            <w:tcBorders>
              <w:bottom w:val="single" w:sz="4" w:space="0" w:color="auto"/>
            </w:tcBorders>
            <w:noWrap/>
            <w:hideMark/>
          </w:tcPr>
          <w:p w14:paraId="77CF0009" w14:textId="77777777" w:rsidR="006C06D6" w:rsidRPr="009F7642" w:rsidRDefault="00796BD9" w:rsidP="008B60B2">
            <w:pPr>
              <w:tabs>
                <w:tab w:val="left" w:pos="2941"/>
              </w:tabs>
              <w:suppressAutoHyphens/>
              <w:spacing w:line="259" w:lineRule="auto"/>
              <w:ind w:left="621" w:right="577"/>
              <w:jc w:val="center"/>
              <w:rPr>
                <w:b/>
                <w:color w:val="auto"/>
                <w:lang w:val="is-IS"/>
              </w:rPr>
            </w:pPr>
            <w:r w:rsidRPr="009F7642">
              <w:rPr>
                <w:b/>
                <w:color w:val="auto"/>
                <w:lang w:val="is-IS"/>
              </w:rPr>
              <w:t>Hópur 2</w:t>
            </w:r>
          </w:p>
          <w:p w14:paraId="5B4157AC" w14:textId="77777777" w:rsidR="00796BD9" w:rsidRPr="009F7642" w:rsidRDefault="00796BD9" w:rsidP="008B60B2">
            <w:pPr>
              <w:suppressAutoHyphens/>
              <w:spacing w:line="259" w:lineRule="auto"/>
              <w:ind w:left="621" w:right="577"/>
              <w:jc w:val="center"/>
              <w:rPr>
                <w:b/>
                <w:color w:val="auto"/>
                <w:lang w:val="is-IS"/>
              </w:rPr>
            </w:pPr>
            <w:r w:rsidRPr="009F7642">
              <w:rPr>
                <w:b/>
                <w:color w:val="auto"/>
                <w:lang w:val="is-IS"/>
              </w:rPr>
              <w:t xml:space="preserve">IFL </w:t>
            </w:r>
            <w:r w:rsidRPr="009F7642">
              <w:rPr>
                <w:rFonts w:eastAsia="Segoe UI Symbol"/>
                <w:b/>
                <w:color w:val="auto"/>
                <w:lang w:val="is-IS"/>
              </w:rPr>
              <w:t>+</w:t>
            </w:r>
            <w:r w:rsidRPr="009F7642">
              <w:rPr>
                <w:b/>
                <w:color w:val="auto"/>
                <w:lang w:val="is-IS"/>
              </w:rPr>
              <w:t xml:space="preserve"> </w:t>
            </w:r>
            <w:proofErr w:type="spellStart"/>
            <w:r w:rsidR="00690564">
              <w:rPr>
                <w:b/>
              </w:rPr>
              <w:t>bevacízúmab</w:t>
            </w:r>
            <w:proofErr w:type="spellEnd"/>
            <w:r w:rsidRPr="009F7642">
              <w:rPr>
                <w:b/>
                <w:color w:val="auto"/>
                <w:vertAlign w:val="superscript"/>
                <w:lang w:val="is-IS"/>
              </w:rPr>
              <w:t>a</w:t>
            </w:r>
            <w:r w:rsidRPr="009F7642">
              <w:rPr>
                <w:b/>
                <w:color w:val="auto"/>
                <w:lang w:val="is-IS"/>
              </w:rPr>
              <w:t xml:space="preserve"> </w:t>
            </w:r>
          </w:p>
        </w:tc>
      </w:tr>
      <w:tr w:rsidR="00796BD9" w:rsidRPr="009F7642" w14:paraId="7966226B" w14:textId="77777777" w:rsidTr="00FA281C">
        <w:trPr>
          <w:trHeight w:val="300"/>
        </w:trPr>
        <w:tc>
          <w:tcPr>
            <w:tcW w:w="0" w:type="auto"/>
            <w:noWrap/>
            <w:hideMark/>
          </w:tcPr>
          <w:p w14:paraId="02E21460" w14:textId="77777777" w:rsidR="00796BD9" w:rsidRPr="009F7642" w:rsidRDefault="00796BD9" w:rsidP="008B60B2">
            <w:pPr>
              <w:suppressAutoHyphens/>
              <w:spacing w:line="240" w:lineRule="auto"/>
              <w:rPr>
                <w:color w:val="auto"/>
                <w:lang w:val="is-IS"/>
              </w:rPr>
            </w:pPr>
            <w:r w:rsidRPr="009F7642">
              <w:rPr>
                <w:color w:val="auto"/>
                <w:lang w:val="is-IS"/>
              </w:rPr>
              <w:t xml:space="preserve">Fjöldi sjúklinga </w:t>
            </w:r>
          </w:p>
        </w:tc>
        <w:tc>
          <w:tcPr>
            <w:tcW w:w="2503" w:type="dxa"/>
            <w:noWrap/>
            <w:hideMark/>
          </w:tcPr>
          <w:p w14:paraId="36346823" w14:textId="77777777" w:rsidR="00796BD9" w:rsidRPr="009F7642" w:rsidRDefault="00796BD9" w:rsidP="008B60B2">
            <w:pPr>
              <w:suppressAutoHyphens/>
              <w:spacing w:line="259" w:lineRule="auto"/>
              <w:ind w:left="46"/>
              <w:jc w:val="center"/>
              <w:rPr>
                <w:color w:val="auto"/>
                <w:lang w:val="is-IS"/>
              </w:rPr>
            </w:pPr>
            <w:r w:rsidRPr="009F7642">
              <w:rPr>
                <w:color w:val="auto"/>
                <w:lang w:val="is-IS"/>
              </w:rPr>
              <w:t xml:space="preserve">411 </w:t>
            </w:r>
          </w:p>
        </w:tc>
        <w:tc>
          <w:tcPr>
            <w:tcW w:w="3402" w:type="dxa"/>
            <w:noWrap/>
            <w:hideMark/>
          </w:tcPr>
          <w:p w14:paraId="138BE894" w14:textId="77777777" w:rsidR="00796BD9" w:rsidRPr="009F7642" w:rsidRDefault="00796BD9" w:rsidP="008B60B2">
            <w:pPr>
              <w:suppressAutoHyphens/>
              <w:spacing w:line="259" w:lineRule="auto"/>
              <w:ind w:left="46"/>
              <w:jc w:val="center"/>
              <w:rPr>
                <w:color w:val="auto"/>
                <w:lang w:val="is-IS"/>
              </w:rPr>
            </w:pPr>
            <w:r w:rsidRPr="009F7642">
              <w:rPr>
                <w:color w:val="auto"/>
                <w:lang w:val="is-IS"/>
              </w:rPr>
              <w:t>402</w:t>
            </w:r>
            <w:r w:rsidRPr="009F7642">
              <w:rPr>
                <w:color w:val="auto"/>
                <w:vertAlign w:val="superscript"/>
                <w:lang w:val="is-IS"/>
              </w:rPr>
              <w:t xml:space="preserve"> </w:t>
            </w:r>
          </w:p>
        </w:tc>
      </w:tr>
      <w:tr w:rsidR="00796BD9" w:rsidRPr="009F7642" w14:paraId="5BB81094" w14:textId="77777777" w:rsidTr="00FA281C">
        <w:trPr>
          <w:trHeight w:val="300"/>
        </w:trPr>
        <w:tc>
          <w:tcPr>
            <w:tcW w:w="9087" w:type="dxa"/>
            <w:gridSpan w:val="3"/>
            <w:noWrap/>
            <w:vAlign w:val="center"/>
            <w:hideMark/>
          </w:tcPr>
          <w:p w14:paraId="5E436CF6" w14:textId="77777777" w:rsidR="00796BD9" w:rsidRPr="009F7642" w:rsidRDefault="00796BD9" w:rsidP="008B60B2">
            <w:pPr>
              <w:suppressAutoHyphens/>
              <w:spacing w:line="240" w:lineRule="auto"/>
              <w:rPr>
                <w:color w:val="auto"/>
                <w:lang w:val="is-IS"/>
              </w:rPr>
            </w:pPr>
            <w:r w:rsidRPr="009F7642">
              <w:rPr>
                <w:color w:val="auto"/>
                <w:lang w:val="is-IS"/>
              </w:rPr>
              <w:t>Heildarlifun</w:t>
            </w:r>
          </w:p>
        </w:tc>
      </w:tr>
      <w:tr w:rsidR="00796BD9" w:rsidRPr="009F7642" w14:paraId="23C5F89E" w14:textId="77777777" w:rsidTr="00FA281C">
        <w:trPr>
          <w:trHeight w:val="300"/>
        </w:trPr>
        <w:tc>
          <w:tcPr>
            <w:tcW w:w="0" w:type="auto"/>
            <w:noWrap/>
            <w:hideMark/>
          </w:tcPr>
          <w:p w14:paraId="3F60D73B" w14:textId="62A238D6" w:rsidR="00796BD9" w:rsidRPr="009F7642" w:rsidRDefault="00796BD9" w:rsidP="008B60B2">
            <w:pPr>
              <w:suppressAutoHyphens/>
              <w:spacing w:line="240" w:lineRule="auto"/>
              <w:ind w:left="567"/>
              <w:rPr>
                <w:color w:val="auto"/>
                <w:lang w:val="is-IS"/>
              </w:rPr>
            </w:pPr>
            <w:r w:rsidRPr="009F7642">
              <w:rPr>
                <w:color w:val="auto"/>
                <w:lang w:val="is-IS"/>
              </w:rPr>
              <w:t xml:space="preserve">Miðgildi (í mánuðum) </w:t>
            </w:r>
          </w:p>
        </w:tc>
        <w:tc>
          <w:tcPr>
            <w:tcW w:w="2503" w:type="dxa"/>
            <w:noWrap/>
            <w:hideMark/>
          </w:tcPr>
          <w:p w14:paraId="012DC7A2" w14:textId="77777777" w:rsidR="00796BD9" w:rsidRPr="009F7642" w:rsidRDefault="00796BD9" w:rsidP="008B60B2">
            <w:pPr>
              <w:suppressAutoHyphens/>
              <w:spacing w:line="259" w:lineRule="auto"/>
              <w:ind w:left="48"/>
              <w:jc w:val="center"/>
              <w:rPr>
                <w:color w:val="auto"/>
                <w:lang w:val="is-IS"/>
              </w:rPr>
            </w:pPr>
            <w:r w:rsidRPr="009F7642">
              <w:rPr>
                <w:color w:val="auto"/>
                <w:lang w:val="is-IS"/>
              </w:rPr>
              <w:t xml:space="preserve">15,6 </w:t>
            </w:r>
          </w:p>
        </w:tc>
        <w:tc>
          <w:tcPr>
            <w:tcW w:w="3402" w:type="dxa"/>
            <w:noWrap/>
            <w:hideMark/>
          </w:tcPr>
          <w:p w14:paraId="5450331E" w14:textId="77777777" w:rsidR="00796BD9" w:rsidRPr="009F7642" w:rsidRDefault="00796BD9" w:rsidP="008B60B2">
            <w:pPr>
              <w:suppressAutoHyphens/>
              <w:spacing w:line="259" w:lineRule="auto"/>
              <w:ind w:left="48"/>
              <w:jc w:val="center"/>
              <w:rPr>
                <w:color w:val="auto"/>
                <w:lang w:val="is-IS"/>
              </w:rPr>
            </w:pPr>
            <w:r w:rsidRPr="009F7642">
              <w:rPr>
                <w:color w:val="auto"/>
                <w:lang w:val="is-IS"/>
              </w:rPr>
              <w:t xml:space="preserve">20,3 </w:t>
            </w:r>
          </w:p>
        </w:tc>
      </w:tr>
      <w:tr w:rsidR="00796BD9" w:rsidRPr="009F7642" w14:paraId="113E0046" w14:textId="77777777" w:rsidTr="00FA281C">
        <w:trPr>
          <w:trHeight w:val="300"/>
        </w:trPr>
        <w:tc>
          <w:tcPr>
            <w:tcW w:w="0" w:type="auto"/>
            <w:noWrap/>
            <w:hideMark/>
          </w:tcPr>
          <w:p w14:paraId="7CDF87DB" w14:textId="046B64A1" w:rsidR="00796BD9" w:rsidRPr="009F7642" w:rsidRDefault="00796BD9" w:rsidP="008B60B2">
            <w:pPr>
              <w:suppressAutoHyphens/>
              <w:spacing w:line="240" w:lineRule="auto"/>
              <w:ind w:left="567"/>
              <w:rPr>
                <w:color w:val="auto"/>
                <w:lang w:val="is-IS"/>
              </w:rPr>
            </w:pPr>
            <w:r w:rsidRPr="009F7642">
              <w:rPr>
                <w:color w:val="auto"/>
                <w:lang w:val="is-IS"/>
              </w:rPr>
              <w:t xml:space="preserve">95% </w:t>
            </w:r>
            <w:r w:rsidR="000B0300" w:rsidRPr="000B0300">
              <w:rPr>
                <w:color w:val="auto"/>
                <w:lang w:val="is-IS"/>
              </w:rPr>
              <w:t>öryggisbil</w:t>
            </w:r>
            <w:r w:rsidRPr="009F7642">
              <w:rPr>
                <w:color w:val="auto"/>
                <w:lang w:val="is-IS"/>
              </w:rPr>
              <w:t xml:space="preserve"> </w:t>
            </w:r>
          </w:p>
        </w:tc>
        <w:tc>
          <w:tcPr>
            <w:tcW w:w="2503" w:type="dxa"/>
            <w:noWrap/>
            <w:hideMark/>
          </w:tcPr>
          <w:p w14:paraId="266BE12F" w14:textId="77777777" w:rsidR="00796BD9" w:rsidRPr="009F7642" w:rsidRDefault="00796BD9" w:rsidP="008B60B2">
            <w:pPr>
              <w:suppressAutoHyphens/>
              <w:spacing w:line="259" w:lineRule="auto"/>
              <w:ind w:left="48"/>
              <w:jc w:val="center"/>
              <w:rPr>
                <w:color w:val="auto"/>
                <w:lang w:val="is-IS"/>
              </w:rPr>
            </w:pPr>
            <w:r w:rsidRPr="009F7642">
              <w:rPr>
                <w:color w:val="auto"/>
                <w:lang w:val="is-IS"/>
              </w:rPr>
              <w:t xml:space="preserve">14,29 – 16,99 </w:t>
            </w:r>
          </w:p>
        </w:tc>
        <w:tc>
          <w:tcPr>
            <w:tcW w:w="3402" w:type="dxa"/>
            <w:noWrap/>
            <w:hideMark/>
          </w:tcPr>
          <w:p w14:paraId="13AA8F09" w14:textId="77777777" w:rsidR="00796BD9" w:rsidRPr="009F7642" w:rsidRDefault="00796BD9" w:rsidP="008B60B2">
            <w:pPr>
              <w:suppressAutoHyphens/>
              <w:spacing w:line="259" w:lineRule="auto"/>
              <w:ind w:left="48"/>
              <w:jc w:val="center"/>
              <w:rPr>
                <w:color w:val="auto"/>
                <w:lang w:val="is-IS"/>
              </w:rPr>
            </w:pPr>
            <w:r w:rsidRPr="009F7642">
              <w:rPr>
                <w:color w:val="auto"/>
                <w:lang w:val="is-IS"/>
              </w:rPr>
              <w:t xml:space="preserve">18,46 – 24,18 </w:t>
            </w:r>
          </w:p>
        </w:tc>
      </w:tr>
      <w:tr w:rsidR="00796BD9" w:rsidRPr="009F7642" w14:paraId="139DD638" w14:textId="77777777" w:rsidTr="00FA281C">
        <w:trPr>
          <w:trHeight w:val="566"/>
        </w:trPr>
        <w:tc>
          <w:tcPr>
            <w:tcW w:w="0" w:type="auto"/>
            <w:noWrap/>
            <w:vAlign w:val="center"/>
            <w:hideMark/>
          </w:tcPr>
          <w:p w14:paraId="129D3328" w14:textId="77777777" w:rsidR="00796BD9" w:rsidRPr="009F7642" w:rsidRDefault="00796BD9" w:rsidP="008B60B2">
            <w:pPr>
              <w:suppressAutoHyphens/>
              <w:spacing w:line="240" w:lineRule="auto"/>
              <w:ind w:left="567"/>
              <w:rPr>
                <w:color w:val="auto"/>
                <w:lang w:val="is-IS"/>
              </w:rPr>
            </w:pPr>
            <w:r w:rsidRPr="009F7642">
              <w:rPr>
                <w:color w:val="auto"/>
                <w:lang w:val="is-IS"/>
              </w:rPr>
              <w:t>Áhættuhlutfall</w:t>
            </w:r>
            <w:r w:rsidRPr="009F7642">
              <w:rPr>
                <w:color w:val="auto"/>
                <w:vertAlign w:val="superscript"/>
                <w:lang w:val="is-IS"/>
              </w:rPr>
              <w:t xml:space="preserve">b </w:t>
            </w:r>
          </w:p>
        </w:tc>
        <w:tc>
          <w:tcPr>
            <w:tcW w:w="5905" w:type="dxa"/>
            <w:gridSpan w:val="2"/>
            <w:noWrap/>
            <w:hideMark/>
          </w:tcPr>
          <w:p w14:paraId="33C04213" w14:textId="77777777" w:rsidR="006C06D6" w:rsidRPr="009F7642" w:rsidRDefault="00796BD9" w:rsidP="008B60B2">
            <w:pPr>
              <w:suppressAutoHyphens/>
              <w:spacing w:after="14" w:line="259" w:lineRule="auto"/>
              <w:ind w:left="48"/>
              <w:jc w:val="center"/>
              <w:rPr>
                <w:color w:val="auto"/>
                <w:lang w:val="is-IS"/>
              </w:rPr>
            </w:pPr>
            <w:r w:rsidRPr="009F7642">
              <w:rPr>
                <w:color w:val="auto"/>
                <w:lang w:val="is-IS"/>
              </w:rPr>
              <w:t>0,660</w:t>
            </w:r>
          </w:p>
          <w:p w14:paraId="71B3A3BF" w14:textId="77777777" w:rsidR="00796BD9" w:rsidRPr="009F7642" w:rsidRDefault="00796BD9" w:rsidP="008B60B2">
            <w:pPr>
              <w:suppressAutoHyphens/>
              <w:spacing w:after="14" w:line="259" w:lineRule="auto"/>
              <w:ind w:left="44"/>
              <w:jc w:val="center"/>
              <w:rPr>
                <w:color w:val="auto"/>
                <w:lang w:val="is-IS"/>
              </w:rPr>
            </w:pPr>
            <w:r w:rsidRPr="009F7642">
              <w:rPr>
                <w:color w:val="auto"/>
                <w:lang w:val="is-IS"/>
              </w:rPr>
              <w:t>(p-gildi</w:t>
            </w:r>
            <w:r w:rsidR="003A4DD6">
              <w:rPr>
                <w:color w:val="auto"/>
                <w:lang w:val="is-IS"/>
              </w:rPr>
              <w:t> </w:t>
            </w:r>
            <w:r w:rsidR="00700BDC">
              <w:rPr>
                <w:color w:val="auto"/>
                <w:lang w:val="is-IS"/>
              </w:rPr>
              <w:t>=</w:t>
            </w:r>
            <w:r w:rsidR="003A4DD6">
              <w:rPr>
                <w:color w:val="auto"/>
                <w:lang w:val="is-IS"/>
              </w:rPr>
              <w:t> </w:t>
            </w:r>
            <w:r w:rsidRPr="009F7642">
              <w:rPr>
                <w:color w:val="auto"/>
                <w:lang w:val="is-IS"/>
              </w:rPr>
              <w:t>0,00004)</w:t>
            </w:r>
          </w:p>
        </w:tc>
      </w:tr>
      <w:tr w:rsidR="00796BD9" w:rsidRPr="009F7642" w14:paraId="2A7E32B9" w14:textId="77777777" w:rsidTr="00FA281C">
        <w:trPr>
          <w:trHeight w:val="420"/>
        </w:trPr>
        <w:tc>
          <w:tcPr>
            <w:tcW w:w="9087" w:type="dxa"/>
            <w:gridSpan w:val="3"/>
            <w:noWrap/>
            <w:vAlign w:val="center"/>
            <w:hideMark/>
          </w:tcPr>
          <w:p w14:paraId="292FD153" w14:textId="77777777" w:rsidR="00796BD9" w:rsidRPr="009F7642" w:rsidRDefault="00796BD9" w:rsidP="007309A2">
            <w:pPr>
              <w:keepNext/>
              <w:suppressAutoHyphens/>
              <w:spacing w:line="240" w:lineRule="auto"/>
              <w:ind w:hanging="11"/>
              <w:rPr>
                <w:color w:val="auto"/>
                <w:lang w:val="is-IS"/>
              </w:rPr>
            </w:pPr>
            <w:r w:rsidRPr="009F7642">
              <w:rPr>
                <w:color w:val="auto"/>
                <w:lang w:val="is-IS"/>
              </w:rPr>
              <w:t>Lifun án versnunar sjúkdóms</w:t>
            </w:r>
          </w:p>
        </w:tc>
      </w:tr>
      <w:tr w:rsidR="00796BD9" w:rsidRPr="009F7642" w14:paraId="4E6F7208" w14:textId="77777777" w:rsidTr="00FA281C">
        <w:trPr>
          <w:trHeight w:val="300"/>
        </w:trPr>
        <w:tc>
          <w:tcPr>
            <w:tcW w:w="0" w:type="auto"/>
            <w:noWrap/>
            <w:hideMark/>
          </w:tcPr>
          <w:p w14:paraId="466CA751" w14:textId="270023C5" w:rsidR="00796BD9" w:rsidRPr="009F7642" w:rsidRDefault="00796BD9" w:rsidP="007309A2">
            <w:pPr>
              <w:keepNext/>
              <w:suppressAutoHyphens/>
              <w:spacing w:line="240" w:lineRule="auto"/>
              <w:ind w:left="567" w:hanging="11"/>
              <w:rPr>
                <w:color w:val="auto"/>
                <w:lang w:val="is-IS"/>
              </w:rPr>
            </w:pPr>
            <w:r w:rsidRPr="009F7642">
              <w:rPr>
                <w:color w:val="auto"/>
                <w:lang w:val="is-IS"/>
              </w:rPr>
              <w:t xml:space="preserve">Miðgildi (í mánuðum) </w:t>
            </w:r>
          </w:p>
        </w:tc>
        <w:tc>
          <w:tcPr>
            <w:tcW w:w="2503" w:type="dxa"/>
            <w:noWrap/>
            <w:hideMark/>
          </w:tcPr>
          <w:p w14:paraId="515BAC89" w14:textId="77777777" w:rsidR="00796BD9" w:rsidRPr="009F7642" w:rsidRDefault="00796BD9" w:rsidP="008B60B2">
            <w:pPr>
              <w:suppressAutoHyphens/>
              <w:spacing w:line="259" w:lineRule="auto"/>
              <w:ind w:left="43"/>
              <w:jc w:val="center"/>
              <w:rPr>
                <w:color w:val="auto"/>
                <w:lang w:val="is-IS"/>
              </w:rPr>
            </w:pPr>
            <w:r w:rsidRPr="009F7642">
              <w:rPr>
                <w:color w:val="auto"/>
                <w:lang w:val="is-IS"/>
              </w:rPr>
              <w:t xml:space="preserve">6,2 </w:t>
            </w:r>
          </w:p>
        </w:tc>
        <w:tc>
          <w:tcPr>
            <w:tcW w:w="3402" w:type="dxa"/>
            <w:noWrap/>
            <w:hideMark/>
          </w:tcPr>
          <w:p w14:paraId="44F6E301" w14:textId="77777777" w:rsidR="00796BD9" w:rsidRPr="009F7642" w:rsidRDefault="00796BD9" w:rsidP="008B60B2">
            <w:pPr>
              <w:suppressAutoHyphens/>
              <w:spacing w:line="259" w:lineRule="auto"/>
              <w:ind w:left="48"/>
              <w:jc w:val="center"/>
              <w:rPr>
                <w:color w:val="auto"/>
                <w:lang w:val="is-IS"/>
              </w:rPr>
            </w:pPr>
            <w:r w:rsidRPr="009F7642">
              <w:rPr>
                <w:color w:val="auto"/>
                <w:lang w:val="is-IS"/>
              </w:rPr>
              <w:t xml:space="preserve">10,6 </w:t>
            </w:r>
          </w:p>
        </w:tc>
      </w:tr>
      <w:tr w:rsidR="00796BD9" w:rsidRPr="009F7642" w14:paraId="19707FC5" w14:textId="77777777" w:rsidTr="00FA281C">
        <w:trPr>
          <w:trHeight w:val="657"/>
        </w:trPr>
        <w:tc>
          <w:tcPr>
            <w:tcW w:w="0" w:type="auto"/>
            <w:noWrap/>
            <w:vAlign w:val="center"/>
            <w:hideMark/>
          </w:tcPr>
          <w:p w14:paraId="2476807D" w14:textId="77777777" w:rsidR="00796BD9" w:rsidRPr="009F7642" w:rsidRDefault="00796BD9" w:rsidP="008B60B2">
            <w:pPr>
              <w:suppressAutoHyphens/>
              <w:spacing w:line="240" w:lineRule="auto"/>
              <w:ind w:left="567"/>
              <w:rPr>
                <w:color w:val="auto"/>
                <w:lang w:val="is-IS"/>
              </w:rPr>
            </w:pPr>
            <w:r w:rsidRPr="009F7642">
              <w:rPr>
                <w:color w:val="auto"/>
                <w:lang w:val="is-IS"/>
              </w:rPr>
              <w:t xml:space="preserve">Áhættuhlutfall </w:t>
            </w:r>
          </w:p>
        </w:tc>
        <w:tc>
          <w:tcPr>
            <w:tcW w:w="5905" w:type="dxa"/>
            <w:gridSpan w:val="2"/>
            <w:noWrap/>
            <w:hideMark/>
          </w:tcPr>
          <w:p w14:paraId="712BFE3E" w14:textId="77777777" w:rsidR="006C06D6" w:rsidRPr="009F7642" w:rsidRDefault="00796BD9" w:rsidP="008B60B2">
            <w:pPr>
              <w:suppressAutoHyphens/>
              <w:spacing w:line="259" w:lineRule="auto"/>
              <w:ind w:left="48"/>
              <w:jc w:val="center"/>
              <w:rPr>
                <w:color w:val="auto"/>
                <w:lang w:val="is-IS"/>
              </w:rPr>
            </w:pPr>
            <w:r w:rsidRPr="009F7642">
              <w:rPr>
                <w:color w:val="auto"/>
                <w:lang w:val="is-IS"/>
              </w:rPr>
              <w:t>0,54</w:t>
            </w:r>
          </w:p>
          <w:p w14:paraId="3FC591A0" w14:textId="77777777" w:rsidR="00796BD9" w:rsidRPr="009F7642" w:rsidRDefault="00796BD9" w:rsidP="008B60B2">
            <w:pPr>
              <w:suppressAutoHyphens/>
              <w:spacing w:line="259" w:lineRule="auto"/>
              <w:ind w:left="45"/>
              <w:jc w:val="center"/>
              <w:rPr>
                <w:color w:val="auto"/>
                <w:lang w:val="is-IS"/>
              </w:rPr>
            </w:pPr>
            <w:r w:rsidRPr="009F7642">
              <w:rPr>
                <w:color w:val="auto"/>
                <w:lang w:val="is-IS"/>
              </w:rPr>
              <w:t>(p-gildi</w:t>
            </w:r>
            <w:r w:rsidR="00DD07A9">
              <w:rPr>
                <w:color w:val="auto"/>
                <w:lang w:val="is-IS"/>
              </w:rPr>
              <w:t> </w:t>
            </w:r>
            <w:r w:rsidR="00540AC4">
              <w:rPr>
                <w:color w:val="auto"/>
                <w:lang w:val="is-IS"/>
              </w:rPr>
              <w:t>&lt;</w:t>
            </w:r>
            <w:r w:rsidR="00DD07A9">
              <w:rPr>
                <w:color w:val="auto"/>
                <w:lang w:val="is-IS"/>
              </w:rPr>
              <w:t> </w:t>
            </w:r>
            <w:r w:rsidRPr="009F7642">
              <w:rPr>
                <w:color w:val="auto"/>
                <w:lang w:val="is-IS"/>
              </w:rPr>
              <w:t>0,0001)</w:t>
            </w:r>
          </w:p>
        </w:tc>
      </w:tr>
      <w:tr w:rsidR="00796BD9" w:rsidRPr="009F7642" w14:paraId="05428B90" w14:textId="77777777" w:rsidTr="00FA281C">
        <w:trPr>
          <w:trHeight w:val="300"/>
        </w:trPr>
        <w:tc>
          <w:tcPr>
            <w:tcW w:w="9087" w:type="dxa"/>
            <w:gridSpan w:val="3"/>
            <w:noWrap/>
            <w:hideMark/>
          </w:tcPr>
          <w:p w14:paraId="0BE2577A" w14:textId="77777777" w:rsidR="00796BD9" w:rsidRPr="009F7642" w:rsidRDefault="00796BD9" w:rsidP="008B60B2">
            <w:pPr>
              <w:suppressAutoHyphens/>
              <w:spacing w:line="240" w:lineRule="auto"/>
              <w:rPr>
                <w:color w:val="auto"/>
                <w:lang w:val="is-IS"/>
              </w:rPr>
            </w:pPr>
            <w:r w:rsidRPr="009F7642">
              <w:rPr>
                <w:color w:val="auto"/>
                <w:lang w:val="is-IS"/>
              </w:rPr>
              <w:t xml:space="preserve">Heildarsvörunarhlutfall </w:t>
            </w:r>
          </w:p>
        </w:tc>
      </w:tr>
      <w:tr w:rsidR="00796BD9" w:rsidRPr="009F7642" w14:paraId="339F4DE6" w14:textId="77777777" w:rsidTr="00FA281C">
        <w:trPr>
          <w:trHeight w:val="300"/>
        </w:trPr>
        <w:tc>
          <w:tcPr>
            <w:tcW w:w="0" w:type="auto"/>
            <w:noWrap/>
            <w:hideMark/>
          </w:tcPr>
          <w:p w14:paraId="64F0B52E" w14:textId="77777777" w:rsidR="00796BD9" w:rsidRPr="009F7642" w:rsidRDefault="00796BD9" w:rsidP="008B60B2">
            <w:pPr>
              <w:suppressAutoHyphens/>
              <w:spacing w:line="240" w:lineRule="auto"/>
              <w:ind w:left="1134" w:hanging="567"/>
              <w:rPr>
                <w:color w:val="auto"/>
                <w:lang w:val="is-IS"/>
              </w:rPr>
            </w:pPr>
            <w:r w:rsidRPr="009F7642">
              <w:rPr>
                <w:color w:val="auto"/>
                <w:lang w:val="is-IS"/>
              </w:rPr>
              <w:t xml:space="preserve">Hlutfall (%) </w:t>
            </w:r>
          </w:p>
        </w:tc>
        <w:tc>
          <w:tcPr>
            <w:tcW w:w="2503" w:type="dxa"/>
            <w:noWrap/>
            <w:hideMark/>
          </w:tcPr>
          <w:p w14:paraId="01638373" w14:textId="77777777" w:rsidR="00796BD9" w:rsidRPr="009F7642" w:rsidRDefault="00796BD9" w:rsidP="008B60B2">
            <w:pPr>
              <w:suppressAutoHyphens/>
              <w:spacing w:line="259" w:lineRule="auto"/>
              <w:ind w:left="48"/>
              <w:jc w:val="center"/>
              <w:rPr>
                <w:color w:val="auto"/>
                <w:lang w:val="is-IS"/>
              </w:rPr>
            </w:pPr>
            <w:r w:rsidRPr="009F7642">
              <w:rPr>
                <w:color w:val="auto"/>
                <w:lang w:val="is-IS"/>
              </w:rPr>
              <w:t xml:space="preserve">34,8 </w:t>
            </w:r>
          </w:p>
        </w:tc>
        <w:tc>
          <w:tcPr>
            <w:tcW w:w="3402" w:type="dxa"/>
            <w:noWrap/>
            <w:hideMark/>
          </w:tcPr>
          <w:p w14:paraId="61B68F2B" w14:textId="77777777" w:rsidR="00796BD9" w:rsidRPr="009F7642" w:rsidRDefault="00796BD9" w:rsidP="008B60B2">
            <w:pPr>
              <w:suppressAutoHyphens/>
              <w:spacing w:line="259" w:lineRule="auto"/>
              <w:ind w:left="48"/>
              <w:jc w:val="center"/>
              <w:rPr>
                <w:color w:val="auto"/>
                <w:lang w:val="is-IS"/>
              </w:rPr>
            </w:pPr>
            <w:r w:rsidRPr="009F7642">
              <w:rPr>
                <w:color w:val="auto"/>
                <w:lang w:val="is-IS"/>
              </w:rPr>
              <w:t xml:space="preserve">44,8 </w:t>
            </w:r>
          </w:p>
        </w:tc>
      </w:tr>
      <w:tr w:rsidR="00796BD9" w:rsidRPr="009F7642" w14:paraId="53D576F2" w14:textId="77777777" w:rsidTr="00FA281C">
        <w:trPr>
          <w:trHeight w:val="433"/>
        </w:trPr>
        <w:tc>
          <w:tcPr>
            <w:tcW w:w="0" w:type="auto"/>
            <w:noWrap/>
            <w:hideMark/>
          </w:tcPr>
          <w:p w14:paraId="017C375E" w14:textId="77777777" w:rsidR="00796BD9" w:rsidRPr="009F7642" w:rsidRDefault="00796BD9" w:rsidP="008B60B2">
            <w:pPr>
              <w:suppressAutoHyphens/>
              <w:spacing w:line="240" w:lineRule="auto"/>
              <w:rPr>
                <w:color w:val="auto"/>
                <w:lang w:val="is-IS"/>
              </w:rPr>
            </w:pPr>
          </w:p>
        </w:tc>
        <w:tc>
          <w:tcPr>
            <w:tcW w:w="5905" w:type="dxa"/>
            <w:gridSpan w:val="2"/>
            <w:noWrap/>
            <w:vAlign w:val="bottom"/>
            <w:hideMark/>
          </w:tcPr>
          <w:p w14:paraId="1564B737" w14:textId="77777777" w:rsidR="00796BD9" w:rsidRPr="009F7642" w:rsidRDefault="00796BD9" w:rsidP="008B60B2">
            <w:pPr>
              <w:suppressAutoHyphens/>
              <w:spacing w:line="240" w:lineRule="auto"/>
              <w:jc w:val="center"/>
              <w:rPr>
                <w:color w:val="auto"/>
                <w:lang w:val="is-IS"/>
              </w:rPr>
            </w:pPr>
            <w:r w:rsidRPr="009F7642">
              <w:rPr>
                <w:color w:val="auto"/>
                <w:lang w:val="is-IS"/>
              </w:rPr>
              <w:t>(p-gildi</w:t>
            </w:r>
            <w:r w:rsidR="00DD07A9">
              <w:rPr>
                <w:color w:val="auto"/>
                <w:lang w:val="is-IS"/>
              </w:rPr>
              <w:t> </w:t>
            </w:r>
            <w:r w:rsidR="00700BDC">
              <w:rPr>
                <w:color w:val="auto"/>
                <w:lang w:val="is-IS"/>
              </w:rPr>
              <w:t>=</w:t>
            </w:r>
            <w:r w:rsidR="00DD07A9">
              <w:rPr>
                <w:color w:val="auto"/>
                <w:lang w:val="is-IS"/>
              </w:rPr>
              <w:t> </w:t>
            </w:r>
            <w:r w:rsidRPr="009F7642">
              <w:rPr>
                <w:color w:val="auto"/>
                <w:lang w:val="is-IS"/>
              </w:rPr>
              <w:t>0,0036)</w:t>
            </w:r>
          </w:p>
        </w:tc>
      </w:tr>
    </w:tbl>
    <w:p w14:paraId="3F410F92" w14:textId="77777777" w:rsidR="006C06D6" w:rsidRPr="009F7642" w:rsidRDefault="00564614" w:rsidP="008B60B2">
      <w:pPr>
        <w:suppressAutoHyphens/>
        <w:spacing w:after="0" w:line="240" w:lineRule="auto"/>
        <w:ind w:left="567" w:hanging="567"/>
        <w:rPr>
          <w:color w:val="auto"/>
          <w:sz w:val="20"/>
          <w:lang w:val="is-IS"/>
        </w:rPr>
      </w:pPr>
      <w:r w:rsidRPr="009F7642">
        <w:rPr>
          <w:color w:val="auto"/>
          <w:sz w:val="20"/>
          <w:vertAlign w:val="superscript"/>
          <w:lang w:val="is-IS"/>
        </w:rPr>
        <w:t>a</w:t>
      </w:r>
      <w:r w:rsidR="001B731E" w:rsidRPr="009F7642">
        <w:rPr>
          <w:color w:val="auto"/>
          <w:sz w:val="20"/>
          <w:lang w:val="is-IS"/>
        </w:rPr>
        <w:tab/>
        <w:t>5 </w:t>
      </w:r>
      <w:r w:rsidRPr="009F7642">
        <w:rPr>
          <w:color w:val="auto"/>
          <w:sz w:val="20"/>
          <w:lang w:val="is-IS"/>
        </w:rPr>
        <w:t>mg/kg á 2 vikna fresti.</w:t>
      </w:r>
    </w:p>
    <w:p w14:paraId="3DFF3A8B" w14:textId="77777777" w:rsidR="006C06D6" w:rsidRPr="009F7642" w:rsidRDefault="00564614" w:rsidP="008B60B2">
      <w:pPr>
        <w:suppressAutoHyphens/>
        <w:spacing w:after="0" w:line="240" w:lineRule="auto"/>
        <w:ind w:left="567" w:hanging="567"/>
        <w:rPr>
          <w:color w:val="auto"/>
          <w:sz w:val="20"/>
          <w:lang w:val="is-IS"/>
        </w:rPr>
      </w:pPr>
      <w:r w:rsidRPr="009F7642">
        <w:rPr>
          <w:color w:val="auto"/>
          <w:sz w:val="20"/>
          <w:vertAlign w:val="superscript"/>
          <w:lang w:val="is-IS"/>
        </w:rPr>
        <w:t>b</w:t>
      </w:r>
      <w:r w:rsidR="001B731E" w:rsidRPr="009F7642">
        <w:rPr>
          <w:color w:val="auto"/>
          <w:sz w:val="13"/>
          <w:lang w:val="is-IS"/>
        </w:rPr>
        <w:tab/>
      </w:r>
      <w:r w:rsidRPr="009F7642">
        <w:rPr>
          <w:color w:val="auto"/>
          <w:sz w:val="20"/>
          <w:lang w:val="is-IS"/>
        </w:rPr>
        <w:t>Í hlutfalli við samanburðarhóp.</w:t>
      </w:r>
    </w:p>
    <w:p w14:paraId="0375AC8F" w14:textId="77777777" w:rsidR="005F36F3" w:rsidRPr="009F7642" w:rsidRDefault="005F36F3" w:rsidP="008B60B2">
      <w:pPr>
        <w:suppressAutoHyphens/>
        <w:spacing w:after="0" w:line="240" w:lineRule="auto"/>
        <w:ind w:left="0" w:firstLine="0"/>
        <w:rPr>
          <w:color w:val="auto"/>
          <w:lang w:val="is-IS"/>
        </w:rPr>
      </w:pPr>
    </w:p>
    <w:p w14:paraId="5469970E" w14:textId="17571EEF" w:rsidR="005F36F3" w:rsidRPr="009F7642" w:rsidRDefault="00564614" w:rsidP="008B60B2">
      <w:pPr>
        <w:suppressAutoHyphens/>
        <w:spacing w:after="0" w:line="240" w:lineRule="auto"/>
        <w:ind w:left="0" w:firstLine="0"/>
        <w:rPr>
          <w:color w:val="auto"/>
          <w:lang w:val="is-IS"/>
        </w:rPr>
      </w:pPr>
      <w:r w:rsidRPr="009F7642">
        <w:rPr>
          <w:color w:val="auto"/>
          <w:lang w:val="is-IS"/>
        </w:rPr>
        <w:t xml:space="preserve">Hjá þeim 110 sjúklingum sem slembiraðað var í hóp 3 (5-FU/FA + </w:t>
      </w:r>
      <w:r w:rsidR="00690564" w:rsidRPr="00F2274F">
        <w:rPr>
          <w:lang w:val="is-IS"/>
        </w:rPr>
        <w:t>bevacízúmab</w:t>
      </w:r>
      <w:r w:rsidRPr="009F7642">
        <w:rPr>
          <w:color w:val="auto"/>
          <w:lang w:val="is-IS"/>
        </w:rPr>
        <w:t>) áður en meðferð var stöðvuð hjá þessum hópi var miðgildi heildarlifun</w:t>
      </w:r>
      <w:r w:rsidR="000B0300">
        <w:rPr>
          <w:color w:val="auto"/>
          <w:lang w:val="is-IS"/>
        </w:rPr>
        <w:t>ar</w:t>
      </w:r>
      <w:r w:rsidRPr="009F7642">
        <w:rPr>
          <w:color w:val="auto"/>
          <w:lang w:val="is-IS"/>
        </w:rPr>
        <w:t xml:space="preserve"> 18,3 mánuðir og miðgildi lifunar án v</w:t>
      </w:r>
      <w:r w:rsidR="003C161D" w:rsidRPr="009F7642">
        <w:rPr>
          <w:color w:val="auto"/>
          <w:lang w:val="is-IS"/>
        </w:rPr>
        <w:t>ersnunar sjúkdóms 8,8 mánuðir.</w:t>
      </w:r>
    </w:p>
    <w:p w14:paraId="71D4DB42" w14:textId="77777777" w:rsidR="005F36F3" w:rsidRPr="009F7642" w:rsidRDefault="005F36F3" w:rsidP="008B60B2">
      <w:pPr>
        <w:suppressAutoHyphens/>
        <w:spacing w:after="0" w:line="240" w:lineRule="auto"/>
        <w:ind w:left="0" w:firstLine="0"/>
        <w:rPr>
          <w:color w:val="auto"/>
          <w:lang w:val="is-IS"/>
        </w:rPr>
      </w:pPr>
    </w:p>
    <w:p w14:paraId="0DEC77C1"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lang w:val="is-IS"/>
        </w:rPr>
        <w:t>AVF2192g</w:t>
      </w:r>
    </w:p>
    <w:p w14:paraId="43BAD57E" w14:textId="36BA33B0"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Þetta var II. stigs, slembiröðuð, tvíblind, klínísk rannsókn </w:t>
      </w:r>
      <w:r w:rsidR="000B0300" w:rsidRPr="000B0300">
        <w:rPr>
          <w:color w:val="auto"/>
          <w:lang w:val="is-IS"/>
        </w:rPr>
        <w:t>með samanburði við virkt</w:t>
      </w:r>
      <w:r w:rsidR="000B0300">
        <w:rPr>
          <w:color w:val="auto"/>
          <w:lang w:val="is-IS"/>
        </w:rPr>
        <w:t xml:space="preserve"> lyf </w:t>
      </w:r>
      <w:r w:rsidRPr="009F7642">
        <w:rPr>
          <w:color w:val="auto"/>
          <w:lang w:val="is-IS"/>
        </w:rPr>
        <w:t xml:space="preserve">til að meta verkun og öryggi </w:t>
      </w:r>
      <w:r w:rsidR="00690564" w:rsidRPr="00F2274F">
        <w:rPr>
          <w:lang w:val="is-IS"/>
        </w:rPr>
        <w:t>bevacízúmab</w:t>
      </w:r>
      <w:r w:rsidR="002D3FF9" w:rsidRPr="00F2274F">
        <w:rPr>
          <w:lang w:val="is-IS"/>
        </w:rPr>
        <w:t>s</w:t>
      </w:r>
      <w:r w:rsidRPr="009F7642">
        <w:rPr>
          <w:color w:val="auto"/>
          <w:lang w:val="is-IS"/>
        </w:rPr>
        <w:t xml:space="preserve"> ásamt 5-FU/FA sem fyrsta val við meðferð á krabbameini í ristli og endaþarmi með meinvörpum hjá sjúklingum þar sem meðferð með írinótekan var ekki ákjósanleg sem fyrsta val. Eitt hundrað og fimm sjúklingum var slembiraðað í hópinn á 5-FU/FA + lyfleysu og 104 sjúklingum </w:t>
      </w:r>
      <w:r w:rsidR="001B731E" w:rsidRPr="009F7642">
        <w:rPr>
          <w:color w:val="auto"/>
          <w:lang w:val="is-IS"/>
        </w:rPr>
        <w:t xml:space="preserve">í hópinn á 5-FU/FA + </w:t>
      </w:r>
      <w:r w:rsidR="00690564" w:rsidRPr="00F2274F">
        <w:rPr>
          <w:lang w:val="is-IS"/>
        </w:rPr>
        <w:t>bevacízúmab</w:t>
      </w:r>
      <w:r w:rsidR="001B731E" w:rsidRPr="009F7642">
        <w:rPr>
          <w:color w:val="auto"/>
          <w:lang w:val="is-IS"/>
        </w:rPr>
        <w:t xml:space="preserve"> (5 </w:t>
      </w:r>
      <w:r w:rsidRPr="009F7642">
        <w:rPr>
          <w:color w:val="auto"/>
          <w:lang w:val="is-IS"/>
        </w:rPr>
        <w:t>mg/kg á 2 vikna fresti). Meðferð var haldið áfram þar til sjúkdóm</w:t>
      </w:r>
      <w:r w:rsidR="001B731E" w:rsidRPr="009F7642">
        <w:rPr>
          <w:color w:val="auto"/>
          <w:lang w:val="is-IS"/>
        </w:rPr>
        <w:t xml:space="preserve">urinn versnaði. Þegar </w:t>
      </w:r>
      <w:r w:rsidR="00690564" w:rsidRPr="00F2274F">
        <w:rPr>
          <w:lang w:val="is-IS"/>
        </w:rPr>
        <w:t>bevacízúmab</w:t>
      </w:r>
      <w:r w:rsidR="001B731E" w:rsidRPr="009F7642">
        <w:rPr>
          <w:color w:val="auto"/>
          <w:lang w:val="is-IS"/>
        </w:rPr>
        <w:t xml:space="preserve"> 5 </w:t>
      </w:r>
      <w:r w:rsidRPr="009F7642">
        <w:rPr>
          <w:color w:val="auto"/>
          <w:lang w:val="is-IS"/>
        </w:rPr>
        <w:t>mg/kg var bætt við 5-FU/FA á tveggja vikna fresti, urðu tölur um hlutlæga svörun hærri, lifun án versnunar sjúkdóms varð marktækt lengri og tilhneiging til lengri lifunar samanborið við 5-FU/FA krabbameinslyfjameðferð eina sér.</w:t>
      </w:r>
    </w:p>
    <w:p w14:paraId="719D2D52" w14:textId="77777777" w:rsidR="005F36F3" w:rsidRPr="009F7642" w:rsidRDefault="005F36F3" w:rsidP="008B60B2">
      <w:pPr>
        <w:suppressAutoHyphens/>
        <w:spacing w:after="0" w:line="240" w:lineRule="auto"/>
        <w:ind w:left="0" w:firstLine="0"/>
        <w:rPr>
          <w:color w:val="auto"/>
          <w:lang w:val="is-IS"/>
        </w:rPr>
      </w:pPr>
    </w:p>
    <w:p w14:paraId="35E087DE"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lang w:val="is-IS"/>
        </w:rPr>
        <w:t>AVF0780g</w:t>
      </w:r>
    </w:p>
    <w:p w14:paraId="01C92AD7" w14:textId="461896B8"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Þetta var II. stigs, slembiröðuð, opin, klínísk rannsókn </w:t>
      </w:r>
      <w:r w:rsidR="000B0300" w:rsidRPr="000B0300">
        <w:rPr>
          <w:color w:val="auto"/>
          <w:lang w:val="is-IS"/>
        </w:rPr>
        <w:t>með samanburði við virkt</w:t>
      </w:r>
      <w:r w:rsidR="000B0300">
        <w:rPr>
          <w:color w:val="auto"/>
          <w:lang w:val="is-IS"/>
        </w:rPr>
        <w:t xml:space="preserve"> lyf </w:t>
      </w:r>
      <w:r w:rsidRPr="009F7642">
        <w:rPr>
          <w:color w:val="auto"/>
          <w:lang w:val="is-IS"/>
        </w:rPr>
        <w:t xml:space="preserve">þar sem </w:t>
      </w:r>
      <w:r w:rsidR="00690564" w:rsidRPr="00F2274F">
        <w:rPr>
          <w:lang w:val="is-IS"/>
        </w:rPr>
        <w:t>bevacízúmab</w:t>
      </w:r>
      <w:r w:rsidRPr="009F7642">
        <w:rPr>
          <w:color w:val="auto"/>
          <w:lang w:val="is-IS"/>
        </w:rPr>
        <w:t xml:space="preserve"> var rannsakað í samsetningu með 5-FU/FA sem fyrsta val við meðferð á krabbameini í ristli eða endaþarmi með meinvörpum. </w:t>
      </w:r>
      <w:r w:rsidR="000B0300" w:rsidRPr="000B0300">
        <w:rPr>
          <w:color w:val="auto"/>
          <w:lang w:val="is-IS"/>
        </w:rPr>
        <w:t>Miðgildi aldurs</w:t>
      </w:r>
      <w:r w:rsidR="000B0300">
        <w:rPr>
          <w:color w:val="auto"/>
          <w:lang w:val="is-IS"/>
        </w:rPr>
        <w:t xml:space="preserve"> </w:t>
      </w:r>
      <w:r w:rsidRPr="009F7642">
        <w:rPr>
          <w:color w:val="auto"/>
          <w:lang w:val="is-IS"/>
        </w:rPr>
        <w:t>var 64 ár. 19% sjúklinga höfðu áður fengið krabbameinslyfjameðferð og</w:t>
      </w:r>
      <w:r w:rsidR="00E24CA6">
        <w:rPr>
          <w:color w:val="auto"/>
          <w:lang w:val="is-IS"/>
        </w:rPr>
        <w:t xml:space="preserve"> </w:t>
      </w:r>
      <w:r w:rsidRPr="009F7642">
        <w:rPr>
          <w:color w:val="auto"/>
          <w:lang w:val="is-IS"/>
        </w:rPr>
        <w:t>14% áður fengið geislameðferð. Sjötíu og einn sjúklingur var valinn af handahófi til þess að fá 5</w:t>
      </w:r>
      <w:r w:rsidR="00F36D36">
        <w:rPr>
          <w:color w:val="auto"/>
          <w:lang w:val="is-IS"/>
        </w:rPr>
        <w:noBreakHyphen/>
      </w:r>
      <w:r w:rsidRPr="009F7642">
        <w:rPr>
          <w:color w:val="auto"/>
          <w:lang w:val="is-IS"/>
        </w:rPr>
        <w:t>FU/FA í einni hraðri innd</w:t>
      </w:r>
      <w:r w:rsidR="001B731E" w:rsidRPr="009F7642">
        <w:rPr>
          <w:color w:val="auto"/>
          <w:lang w:val="is-IS"/>
        </w:rPr>
        <w:t xml:space="preserve">ælingu eða 5-FU/FA + </w:t>
      </w:r>
      <w:r w:rsidR="00690564" w:rsidRPr="00F2274F">
        <w:rPr>
          <w:lang w:val="is-IS"/>
        </w:rPr>
        <w:t>bevacízúmab</w:t>
      </w:r>
      <w:r w:rsidR="001B731E" w:rsidRPr="009F7642">
        <w:rPr>
          <w:color w:val="auto"/>
          <w:lang w:val="is-IS"/>
        </w:rPr>
        <w:t xml:space="preserve"> (5 </w:t>
      </w:r>
      <w:r w:rsidRPr="009F7642">
        <w:rPr>
          <w:color w:val="auto"/>
          <w:lang w:val="is-IS"/>
        </w:rPr>
        <w:t>mg/kg á 2 vikna fresti). Þriðji hópurinn með 33 sjúklingum fékk í einni hraðri i</w:t>
      </w:r>
      <w:r w:rsidR="001B731E" w:rsidRPr="009F7642">
        <w:rPr>
          <w:color w:val="auto"/>
          <w:lang w:val="is-IS"/>
        </w:rPr>
        <w:t xml:space="preserve">nndælingu 5-FU/FA + </w:t>
      </w:r>
      <w:r w:rsidR="00690564" w:rsidRPr="00F2274F">
        <w:rPr>
          <w:lang w:val="is-IS"/>
        </w:rPr>
        <w:t>bevacízúmab</w:t>
      </w:r>
      <w:r w:rsidR="001B731E" w:rsidRPr="009F7642">
        <w:rPr>
          <w:color w:val="auto"/>
          <w:lang w:val="is-IS"/>
        </w:rPr>
        <w:t xml:space="preserve"> (10 </w:t>
      </w:r>
      <w:r w:rsidRPr="009F7642">
        <w:rPr>
          <w:color w:val="auto"/>
          <w:lang w:val="is-IS"/>
        </w:rPr>
        <w:t>mg/kg á 2 vikna fresti). Sjúklingar fengu meðferð þar til sjúkdómurinn versnaði. Aðalendapunktar rannsóknarinnar voru tölur yfir hlutlæga svörun og lifun án versn</w:t>
      </w:r>
      <w:r w:rsidR="001B731E" w:rsidRPr="009F7642">
        <w:rPr>
          <w:color w:val="auto"/>
          <w:lang w:val="is-IS"/>
        </w:rPr>
        <w:t>unar sjúkdóms. Þegar bætt var 5 </w:t>
      </w:r>
      <w:r w:rsidRPr="009F7642">
        <w:rPr>
          <w:color w:val="auto"/>
          <w:lang w:val="is-IS"/>
        </w:rPr>
        <w:t xml:space="preserve">mg/kg af </w:t>
      </w:r>
      <w:r w:rsidR="00690564" w:rsidRPr="00F2274F">
        <w:rPr>
          <w:lang w:val="is-IS"/>
        </w:rPr>
        <w:t>bevacízúmab</w:t>
      </w:r>
      <w:r w:rsidR="00A8406D" w:rsidRPr="00F2274F">
        <w:rPr>
          <w:lang w:val="is-IS"/>
        </w:rPr>
        <w:t>i</w:t>
      </w:r>
      <w:r w:rsidRPr="009F7642">
        <w:rPr>
          <w:color w:val="auto"/>
          <w:lang w:val="is-IS"/>
        </w:rPr>
        <w:t xml:space="preserve"> á tveggja vikna fresti við 5-FU/FA, urðu tölur yfir hlutlæga svörun hærri, lifun án versnunar sjúkdóms lengri og tilhneiging til lengri lifunar, samanborið við 5</w:t>
      </w:r>
      <w:r w:rsidR="00CA6112">
        <w:rPr>
          <w:color w:val="auto"/>
          <w:lang w:val="is-IS"/>
        </w:rPr>
        <w:noBreakHyphen/>
      </w:r>
      <w:r w:rsidRPr="009F7642">
        <w:rPr>
          <w:color w:val="auto"/>
          <w:lang w:val="is-IS"/>
        </w:rPr>
        <w:t>FU/FA krabbameinslyfjameðferð eina sér (sjá töflu 5). Þessar upplýsingar um verkun eru í samræmi við niðurstöður úr rannsókninni AVF2107g.</w:t>
      </w:r>
    </w:p>
    <w:p w14:paraId="1D7D2FC2" w14:textId="77777777" w:rsidR="005F36F3" w:rsidRPr="009F7642" w:rsidRDefault="005F36F3" w:rsidP="008B60B2">
      <w:pPr>
        <w:suppressAutoHyphens/>
        <w:spacing w:after="0" w:line="240" w:lineRule="auto"/>
        <w:ind w:left="0" w:firstLine="0"/>
        <w:rPr>
          <w:color w:val="auto"/>
          <w:lang w:val="is-IS"/>
        </w:rPr>
      </w:pPr>
    </w:p>
    <w:p w14:paraId="669DDB0D"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Yfirlit yfir upplýsingar um verkun úr rannsóknunum AVF0780g og AVF2192g þar sem rannsakað var </w:t>
      </w:r>
      <w:r w:rsidR="00690564" w:rsidRPr="00F2274F">
        <w:rPr>
          <w:lang w:val="is-IS"/>
        </w:rPr>
        <w:t>bevacízúmab</w:t>
      </w:r>
      <w:r w:rsidRPr="009F7642">
        <w:rPr>
          <w:color w:val="auto"/>
          <w:lang w:val="is-IS"/>
        </w:rPr>
        <w:t xml:space="preserve"> ásamt 5-FU/FA-krabbameinslyfjameðferð má sjá í töflu 5.</w:t>
      </w:r>
    </w:p>
    <w:p w14:paraId="50E96DB2" w14:textId="77777777" w:rsidR="005F36F3" w:rsidRPr="009F7642" w:rsidRDefault="005F36F3" w:rsidP="008B60B2">
      <w:pPr>
        <w:suppressAutoHyphens/>
        <w:spacing w:after="0" w:line="240" w:lineRule="auto"/>
        <w:ind w:left="0" w:firstLine="0"/>
        <w:rPr>
          <w:color w:val="auto"/>
          <w:lang w:val="is-IS"/>
        </w:rPr>
      </w:pPr>
    </w:p>
    <w:p w14:paraId="262215B0" w14:textId="77777777" w:rsidR="006C06D6" w:rsidRPr="00D12CD8" w:rsidRDefault="00BF4F58" w:rsidP="008B60B2">
      <w:pPr>
        <w:keepNext/>
        <w:suppressAutoHyphens/>
        <w:spacing w:after="0" w:line="240" w:lineRule="auto"/>
        <w:ind w:left="0" w:firstLine="0"/>
        <w:rPr>
          <w:b/>
          <w:color w:val="auto"/>
          <w:lang w:val="is-IS"/>
        </w:rPr>
      </w:pPr>
      <w:r w:rsidRPr="00D12CD8">
        <w:rPr>
          <w:b/>
          <w:color w:val="auto"/>
          <w:lang w:val="is-IS"/>
        </w:rPr>
        <w:t>Tafla 5</w:t>
      </w:r>
      <w:r w:rsidR="00FA281C" w:rsidRPr="00D12CD8">
        <w:rPr>
          <w:b/>
          <w:color w:val="auto"/>
          <w:lang w:val="is-IS"/>
        </w:rPr>
        <w:t>.</w:t>
      </w:r>
      <w:r w:rsidR="00CE16F8" w:rsidRPr="00D12CD8">
        <w:rPr>
          <w:b/>
          <w:color w:val="auto"/>
          <w:lang w:val="is-IS"/>
        </w:rPr>
        <w:t xml:space="preserve"> </w:t>
      </w:r>
      <w:r w:rsidR="00564614" w:rsidRPr="00D12CD8">
        <w:rPr>
          <w:b/>
          <w:color w:val="auto"/>
          <w:lang w:val="is-IS"/>
        </w:rPr>
        <w:t>Niðurstöður um verkun úr rannsóknunum AVF0780g og AVF2192g</w:t>
      </w:r>
    </w:p>
    <w:p w14:paraId="04A6DA7B" w14:textId="77777777" w:rsidR="00A8406D" w:rsidRPr="009F7642" w:rsidRDefault="00A8406D" w:rsidP="00335184">
      <w:pPr>
        <w:keepNext/>
        <w:suppressAutoHyphens/>
        <w:spacing w:after="0" w:line="240" w:lineRule="auto"/>
        <w:ind w:left="0" w:firstLine="0"/>
        <w:rPr>
          <w:color w:val="auto"/>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839"/>
        <w:gridCol w:w="1547"/>
        <w:gridCol w:w="1640"/>
        <w:gridCol w:w="1280"/>
        <w:gridCol w:w="1593"/>
      </w:tblGrid>
      <w:tr w:rsidR="00C617D5" w:rsidRPr="00C617D5" w14:paraId="586F9EAF" w14:textId="77777777" w:rsidTr="00B72D20">
        <w:trPr>
          <w:trHeight w:val="300"/>
          <w:tblHeader/>
        </w:trPr>
        <w:tc>
          <w:tcPr>
            <w:tcW w:w="1285" w:type="pct"/>
            <w:noWrap/>
            <w:hideMark/>
          </w:tcPr>
          <w:p w14:paraId="1018567C" w14:textId="77777777" w:rsidR="00220633" w:rsidRPr="00C617D5" w:rsidRDefault="00220633" w:rsidP="007309A2">
            <w:pPr>
              <w:keepNext/>
              <w:tabs>
                <w:tab w:val="left" w:pos="1"/>
              </w:tabs>
              <w:suppressAutoHyphens/>
              <w:spacing w:after="0" w:line="240" w:lineRule="auto"/>
              <w:ind w:left="0" w:firstLine="0"/>
              <w:jc w:val="center"/>
              <w:rPr>
                <w:b/>
                <w:color w:val="auto"/>
                <w:lang w:val="is-IS"/>
              </w:rPr>
            </w:pPr>
          </w:p>
        </w:tc>
        <w:tc>
          <w:tcPr>
            <w:tcW w:w="2168" w:type="pct"/>
            <w:gridSpan w:val="3"/>
            <w:noWrap/>
            <w:hideMark/>
          </w:tcPr>
          <w:p w14:paraId="10BA968F" w14:textId="77777777" w:rsidR="00220633" w:rsidRPr="00C617D5" w:rsidRDefault="00220633" w:rsidP="007309A2">
            <w:pPr>
              <w:keepNext/>
              <w:tabs>
                <w:tab w:val="left" w:pos="1"/>
              </w:tabs>
              <w:suppressAutoHyphens/>
              <w:spacing w:after="0" w:line="240" w:lineRule="auto"/>
              <w:ind w:left="0" w:firstLine="0"/>
              <w:jc w:val="center"/>
              <w:rPr>
                <w:b/>
                <w:color w:val="auto"/>
                <w:lang w:val="is-IS"/>
              </w:rPr>
            </w:pPr>
            <w:r w:rsidRPr="00C617D5">
              <w:rPr>
                <w:b/>
                <w:color w:val="auto"/>
                <w:lang w:val="is-IS"/>
              </w:rPr>
              <w:t>AVF0780g</w:t>
            </w:r>
          </w:p>
        </w:tc>
        <w:tc>
          <w:tcPr>
            <w:tcW w:w="1546" w:type="pct"/>
            <w:gridSpan w:val="2"/>
            <w:noWrap/>
            <w:hideMark/>
          </w:tcPr>
          <w:p w14:paraId="612EB8AD" w14:textId="77777777" w:rsidR="00220633" w:rsidRPr="00C617D5" w:rsidRDefault="00220633" w:rsidP="007309A2">
            <w:pPr>
              <w:keepNext/>
              <w:tabs>
                <w:tab w:val="left" w:pos="1"/>
              </w:tabs>
              <w:suppressAutoHyphens/>
              <w:spacing w:after="0" w:line="240" w:lineRule="auto"/>
              <w:ind w:left="0" w:firstLine="0"/>
              <w:jc w:val="center"/>
              <w:rPr>
                <w:b/>
                <w:color w:val="auto"/>
                <w:lang w:val="is-IS"/>
              </w:rPr>
            </w:pPr>
            <w:r w:rsidRPr="00C617D5">
              <w:rPr>
                <w:b/>
                <w:color w:val="auto"/>
                <w:lang w:val="is-IS"/>
              </w:rPr>
              <w:t>AVF2192g</w:t>
            </w:r>
          </w:p>
        </w:tc>
      </w:tr>
      <w:tr w:rsidR="00210470" w:rsidRPr="00C617D5" w14:paraId="53817E47" w14:textId="77777777" w:rsidTr="00B72D20">
        <w:trPr>
          <w:trHeight w:val="629"/>
          <w:tblHeader/>
        </w:trPr>
        <w:tc>
          <w:tcPr>
            <w:tcW w:w="1285" w:type="pct"/>
            <w:noWrap/>
            <w:hideMark/>
          </w:tcPr>
          <w:p w14:paraId="4D27979C" w14:textId="77777777" w:rsidR="00220633" w:rsidRPr="00C617D5" w:rsidRDefault="00220633" w:rsidP="007309A2">
            <w:pPr>
              <w:keepNext/>
              <w:tabs>
                <w:tab w:val="left" w:pos="1"/>
              </w:tabs>
              <w:suppressAutoHyphens/>
              <w:spacing w:after="0" w:line="240" w:lineRule="auto"/>
              <w:ind w:left="0" w:firstLine="0"/>
              <w:jc w:val="center"/>
              <w:rPr>
                <w:b/>
                <w:color w:val="auto"/>
                <w:lang w:val="is-IS"/>
              </w:rPr>
            </w:pPr>
          </w:p>
        </w:tc>
        <w:tc>
          <w:tcPr>
            <w:tcW w:w="452" w:type="pct"/>
            <w:noWrap/>
            <w:vAlign w:val="center"/>
            <w:hideMark/>
          </w:tcPr>
          <w:p w14:paraId="02F01511" w14:textId="3614855C" w:rsidR="00220633" w:rsidRPr="00C617D5" w:rsidRDefault="00220633" w:rsidP="007309A2">
            <w:pPr>
              <w:keepNext/>
              <w:tabs>
                <w:tab w:val="left" w:pos="1"/>
              </w:tabs>
              <w:suppressAutoHyphens/>
              <w:spacing w:after="0" w:line="240" w:lineRule="auto"/>
              <w:ind w:left="0" w:firstLine="0"/>
              <w:jc w:val="center"/>
              <w:rPr>
                <w:b/>
                <w:color w:val="auto"/>
                <w:lang w:val="is-IS"/>
              </w:rPr>
            </w:pPr>
            <w:r w:rsidRPr="00C617D5">
              <w:rPr>
                <w:b/>
                <w:color w:val="auto"/>
                <w:lang w:val="is-IS"/>
              </w:rPr>
              <w:t>5-FU/</w:t>
            </w:r>
            <w:r w:rsidR="00F82107">
              <w:rPr>
                <w:b/>
                <w:color w:val="auto"/>
                <w:lang w:val="is-IS"/>
              </w:rPr>
              <w:t xml:space="preserve"> </w:t>
            </w:r>
            <w:r w:rsidRPr="00C617D5">
              <w:rPr>
                <w:b/>
                <w:color w:val="auto"/>
                <w:lang w:val="is-IS"/>
              </w:rPr>
              <w:t>FA</w:t>
            </w:r>
          </w:p>
        </w:tc>
        <w:tc>
          <w:tcPr>
            <w:tcW w:w="833" w:type="pct"/>
            <w:noWrap/>
            <w:vAlign w:val="center"/>
            <w:hideMark/>
          </w:tcPr>
          <w:p w14:paraId="4F64D509" w14:textId="77777777" w:rsidR="00220633" w:rsidRPr="00C617D5" w:rsidRDefault="00220633" w:rsidP="007309A2">
            <w:pPr>
              <w:keepNext/>
              <w:tabs>
                <w:tab w:val="left" w:pos="1"/>
              </w:tabs>
              <w:suppressAutoHyphens/>
              <w:spacing w:after="0" w:line="240" w:lineRule="auto"/>
              <w:ind w:left="0" w:firstLine="0"/>
              <w:jc w:val="center"/>
              <w:rPr>
                <w:b/>
                <w:color w:val="auto"/>
                <w:lang w:val="is-IS"/>
              </w:rPr>
            </w:pPr>
            <w:r w:rsidRPr="00C617D5">
              <w:rPr>
                <w:b/>
                <w:color w:val="auto"/>
                <w:lang w:val="is-IS"/>
              </w:rPr>
              <w:t xml:space="preserve">5-FU/FA </w:t>
            </w:r>
            <w:r w:rsidRPr="00C617D5">
              <w:rPr>
                <w:rFonts w:eastAsia="Segoe UI Symbol"/>
                <w:b/>
                <w:color w:val="auto"/>
                <w:lang w:val="is-IS"/>
              </w:rPr>
              <w:t>+</w:t>
            </w:r>
            <w:r w:rsidRPr="00C617D5">
              <w:rPr>
                <w:b/>
                <w:color w:val="auto"/>
                <w:lang w:val="is-IS"/>
              </w:rPr>
              <w:t xml:space="preserve"> </w:t>
            </w:r>
            <w:proofErr w:type="spellStart"/>
            <w:r w:rsidR="00690564">
              <w:rPr>
                <w:b/>
              </w:rPr>
              <w:t>bevacízúmab</w:t>
            </w:r>
            <w:proofErr w:type="spellEnd"/>
            <w:r w:rsidRPr="00C617D5">
              <w:rPr>
                <w:b/>
                <w:color w:val="auto"/>
                <w:vertAlign w:val="superscript"/>
                <w:lang w:val="is-IS"/>
              </w:rPr>
              <w:t>a</w:t>
            </w:r>
          </w:p>
        </w:tc>
        <w:tc>
          <w:tcPr>
            <w:tcW w:w="883" w:type="pct"/>
            <w:noWrap/>
            <w:vAlign w:val="center"/>
            <w:hideMark/>
          </w:tcPr>
          <w:p w14:paraId="6A4DAC63" w14:textId="77777777" w:rsidR="00220633" w:rsidRPr="00C617D5" w:rsidRDefault="00220633" w:rsidP="007309A2">
            <w:pPr>
              <w:keepNext/>
              <w:tabs>
                <w:tab w:val="left" w:pos="1"/>
              </w:tabs>
              <w:suppressAutoHyphens/>
              <w:spacing w:after="0" w:line="240" w:lineRule="auto"/>
              <w:ind w:left="0" w:firstLine="0"/>
              <w:jc w:val="center"/>
              <w:rPr>
                <w:b/>
                <w:color w:val="auto"/>
                <w:lang w:val="is-IS"/>
              </w:rPr>
            </w:pPr>
            <w:r w:rsidRPr="00C617D5">
              <w:rPr>
                <w:b/>
                <w:color w:val="auto"/>
                <w:lang w:val="is-IS"/>
              </w:rPr>
              <w:t xml:space="preserve">5-FU/FA </w:t>
            </w:r>
            <w:r w:rsidRPr="00C617D5">
              <w:rPr>
                <w:rFonts w:eastAsia="Segoe UI Symbol"/>
                <w:b/>
                <w:color w:val="auto"/>
                <w:lang w:val="is-IS"/>
              </w:rPr>
              <w:t>+</w:t>
            </w:r>
            <w:r w:rsidRPr="00C617D5">
              <w:rPr>
                <w:b/>
                <w:color w:val="auto"/>
                <w:lang w:val="is-IS"/>
              </w:rPr>
              <w:t xml:space="preserve"> </w:t>
            </w:r>
            <w:proofErr w:type="spellStart"/>
            <w:r w:rsidR="00690564">
              <w:rPr>
                <w:b/>
              </w:rPr>
              <w:t>bevacízúmab</w:t>
            </w:r>
            <w:proofErr w:type="spellEnd"/>
            <w:r w:rsidRPr="00C617D5">
              <w:rPr>
                <w:b/>
                <w:color w:val="auto"/>
                <w:vertAlign w:val="superscript"/>
                <w:lang w:val="is-IS"/>
              </w:rPr>
              <w:t>b</w:t>
            </w:r>
          </w:p>
        </w:tc>
        <w:tc>
          <w:tcPr>
            <w:tcW w:w="689" w:type="pct"/>
            <w:noWrap/>
            <w:vAlign w:val="center"/>
            <w:hideMark/>
          </w:tcPr>
          <w:p w14:paraId="40DB34F2" w14:textId="77777777" w:rsidR="00220633" w:rsidRPr="00C617D5" w:rsidRDefault="00220633" w:rsidP="007309A2">
            <w:pPr>
              <w:keepNext/>
              <w:tabs>
                <w:tab w:val="left" w:pos="1"/>
              </w:tabs>
              <w:suppressAutoHyphens/>
              <w:spacing w:after="0" w:line="240" w:lineRule="auto"/>
              <w:ind w:left="0" w:firstLine="0"/>
              <w:jc w:val="center"/>
              <w:rPr>
                <w:b/>
                <w:color w:val="auto"/>
                <w:lang w:val="is-IS"/>
              </w:rPr>
            </w:pPr>
            <w:r w:rsidRPr="00C617D5">
              <w:rPr>
                <w:b/>
                <w:color w:val="auto"/>
                <w:lang w:val="is-IS"/>
              </w:rPr>
              <w:t>5-FU/FA + lyfleysa</w:t>
            </w:r>
          </w:p>
        </w:tc>
        <w:tc>
          <w:tcPr>
            <w:tcW w:w="858" w:type="pct"/>
            <w:noWrap/>
            <w:vAlign w:val="center"/>
            <w:hideMark/>
          </w:tcPr>
          <w:p w14:paraId="348AFFBB" w14:textId="77777777" w:rsidR="00220633" w:rsidRPr="00C617D5" w:rsidRDefault="00220633" w:rsidP="007309A2">
            <w:pPr>
              <w:keepNext/>
              <w:tabs>
                <w:tab w:val="left" w:pos="1"/>
              </w:tabs>
              <w:suppressAutoHyphens/>
              <w:spacing w:after="0" w:line="240" w:lineRule="auto"/>
              <w:ind w:left="0" w:firstLine="0"/>
              <w:jc w:val="center"/>
              <w:rPr>
                <w:b/>
                <w:color w:val="auto"/>
                <w:lang w:val="is-IS"/>
              </w:rPr>
            </w:pPr>
            <w:r w:rsidRPr="00C617D5">
              <w:rPr>
                <w:b/>
                <w:color w:val="auto"/>
                <w:lang w:val="is-IS"/>
              </w:rPr>
              <w:t xml:space="preserve">5-FU/FA + </w:t>
            </w:r>
            <w:proofErr w:type="spellStart"/>
            <w:r w:rsidR="00690564">
              <w:rPr>
                <w:b/>
              </w:rPr>
              <w:t>bevacízúmab</w:t>
            </w:r>
            <w:proofErr w:type="spellEnd"/>
          </w:p>
        </w:tc>
      </w:tr>
      <w:tr w:rsidR="00210470" w:rsidRPr="00C617D5" w14:paraId="1A84E44E" w14:textId="77777777" w:rsidTr="00B72D20">
        <w:trPr>
          <w:trHeight w:val="300"/>
        </w:trPr>
        <w:tc>
          <w:tcPr>
            <w:tcW w:w="1285" w:type="pct"/>
            <w:noWrap/>
            <w:hideMark/>
          </w:tcPr>
          <w:p w14:paraId="29D63F5D" w14:textId="77777777" w:rsidR="00220633" w:rsidRPr="00C617D5" w:rsidRDefault="00220633" w:rsidP="007309A2">
            <w:pPr>
              <w:keepNext/>
              <w:tabs>
                <w:tab w:val="left" w:pos="1"/>
              </w:tabs>
              <w:suppressAutoHyphens/>
              <w:spacing w:after="0" w:line="240" w:lineRule="auto"/>
              <w:ind w:left="0" w:firstLine="0"/>
              <w:rPr>
                <w:color w:val="auto"/>
                <w:lang w:val="is-IS"/>
              </w:rPr>
            </w:pPr>
            <w:r w:rsidRPr="00C617D5">
              <w:rPr>
                <w:color w:val="auto"/>
                <w:lang w:val="is-IS"/>
              </w:rPr>
              <w:t xml:space="preserve">Fjöldi sjúklinga </w:t>
            </w:r>
          </w:p>
        </w:tc>
        <w:tc>
          <w:tcPr>
            <w:tcW w:w="452" w:type="pct"/>
            <w:noWrap/>
            <w:hideMark/>
          </w:tcPr>
          <w:p w14:paraId="1B4996E6" w14:textId="77777777" w:rsidR="00220633" w:rsidRPr="00C617D5" w:rsidRDefault="00220633" w:rsidP="007309A2">
            <w:pPr>
              <w:keepNext/>
              <w:tabs>
                <w:tab w:val="left" w:pos="1"/>
              </w:tabs>
              <w:suppressAutoHyphens/>
              <w:spacing w:after="0" w:line="240" w:lineRule="auto"/>
              <w:ind w:left="0" w:firstLine="0"/>
              <w:jc w:val="center"/>
              <w:rPr>
                <w:color w:val="auto"/>
                <w:lang w:val="is-IS"/>
              </w:rPr>
            </w:pPr>
            <w:r w:rsidRPr="00C617D5">
              <w:rPr>
                <w:color w:val="auto"/>
                <w:lang w:val="is-IS"/>
              </w:rPr>
              <w:t>36</w:t>
            </w:r>
          </w:p>
        </w:tc>
        <w:tc>
          <w:tcPr>
            <w:tcW w:w="833" w:type="pct"/>
            <w:noWrap/>
            <w:hideMark/>
          </w:tcPr>
          <w:p w14:paraId="712EAD4C" w14:textId="77777777" w:rsidR="00220633" w:rsidRPr="00C617D5" w:rsidRDefault="00220633" w:rsidP="007309A2">
            <w:pPr>
              <w:keepNext/>
              <w:tabs>
                <w:tab w:val="left" w:pos="1"/>
              </w:tabs>
              <w:suppressAutoHyphens/>
              <w:spacing w:after="0" w:line="240" w:lineRule="auto"/>
              <w:ind w:left="0" w:firstLine="0"/>
              <w:jc w:val="center"/>
              <w:rPr>
                <w:color w:val="auto"/>
                <w:lang w:val="is-IS"/>
              </w:rPr>
            </w:pPr>
            <w:r w:rsidRPr="00C617D5">
              <w:rPr>
                <w:color w:val="auto"/>
                <w:lang w:val="is-IS"/>
              </w:rPr>
              <w:t>35</w:t>
            </w:r>
          </w:p>
        </w:tc>
        <w:tc>
          <w:tcPr>
            <w:tcW w:w="883" w:type="pct"/>
            <w:noWrap/>
            <w:hideMark/>
          </w:tcPr>
          <w:p w14:paraId="26BB4235" w14:textId="77777777" w:rsidR="00220633" w:rsidRPr="00C617D5" w:rsidRDefault="00220633" w:rsidP="007309A2">
            <w:pPr>
              <w:keepNext/>
              <w:tabs>
                <w:tab w:val="left" w:pos="1"/>
              </w:tabs>
              <w:suppressAutoHyphens/>
              <w:spacing w:after="0" w:line="240" w:lineRule="auto"/>
              <w:ind w:left="0" w:firstLine="0"/>
              <w:jc w:val="center"/>
              <w:rPr>
                <w:color w:val="auto"/>
                <w:lang w:val="is-IS"/>
              </w:rPr>
            </w:pPr>
            <w:r w:rsidRPr="00C617D5">
              <w:rPr>
                <w:color w:val="auto"/>
                <w:lang w:val="is-IS"/>
              </w:rPr>
              <w:t>33</w:t>
            </w:r>
          </w:p>
        </w:tc>
        <w:tc>
          <w:tcPr>
            <w:tcW w:w="689" w:type="pct"/>
            <w:noWrap/>
            <w:hideMark/>
          </w:tcPr>
          <w:p w14:paraId="78E7BFFF" w14:textId="77777777" w:rsidR="00220633" w:rsidRPr="00C617D5" w:rsidRDefault="00220633" w:rsidP="007309A2">
            <w:pPr>
              <w:keepNext/>
              <w:tabs>
                <w:tab w:val="left" w:pos="1"/>
              </w:tabs>
              <w:suppressAutoHyphens/>
              <w:spacing w:after="0" w:line="240" w:lineRule="auto"/>
              <w:ind w:left="0" w:firstLine="0"/>
              <w:jc w:val="center"/>
              <w:rPr>
                <w:color w:val="auto"/>
                <w:lang w:val="is-IS"/>
              </w:rPr>
            </w:pPr>
            <w:r w:rsidRPr="00C617D5">
              <w:rPr>
                <w:color w:val="auto"/>
                <w:lang w:val="is-IS"/>
              </w:rPr>
              <w:t>105</w:t>
            </w:r>
          </w:p>
        </w:tc>
        <w:tc>
          <w:tcPr>
            <w:tcW w:w="858" w:type="pct"/>
            <w:noWrap/>
            <w:hideMark/>
          </w:tcPr>
          <w:p w14:paraId="6DBD842F" w14:textId="77777777" w:rsidR="00220633" w:rsidRPr="00C617D5" w:rsidRDefault="00220633" w:rsidP="007309A2">
            <w:pPr>
              <w:keepNext/>
              <w:tabs>
                <w:tab w:val="left" w:pos="1"/>
              </w:tabs>
              <w:suppressAutoHyphens/>
              <w:spacing w:after="0" w:line="240" w:lineRule="auto"/>
              <w:ind w:left="0" w:firstLine="0"/>
              <w:jc w:val="center"/>
              <w:rPr>
                <w:color w:val="auto"/>
                <w:lang w:val="is-IS"/>
              </w:rPr>
            </w:pPr>
            <w:r w:rsidRPr="00C617D5">
              <w:rPr>
                <w:color w:val="auto"/>
                <w:lang w:val="is-IS"/>
              </w:rPr>
              <w:t>104</w:t>
            </w:r>
          </w:p>
        </w:tc>
      </w:tr>
      <w:tr w:rsidR="00C617D5" w:rsidRPr="00C617D5" w14:paraId="1EAF5DDB" w14:textId="77777777" w:rsidTr="00B72D20">
        <w:trPr>
          <w:trHeight w:val="300"/>
        </w:trPr>
        <w:tc>
          <w:tcPr>
            <w:tcW w:w="5000" w:type="pct"/>
            <w:gridSpan w:val="6"/>
            <w:noWrap/>
            <w:hideMark/>
          </w:tcPr>
          <w:p w14:paraId="77374718" w14:textId="77777777" w:rsidR="00220633" w:rsidRPr="00C617D5" w:rsidRDefault="00220633" w:rsidP="007309A2">
            <w:pPr>
              <w:keepNext/>
              <w:tabs>
                <w:tab w:val="left" w:pos="1"/>
              </w:tabs>
              <w:suppressAutoHyphens/>
              <w:spacing w:after="0" w:line="240" w:lineRule="auto"/>
              <w:ind w:left="0" w:firstLine="0"/>
              <w:rPr>
                <w:color w:val="auto"/>
                <w:lang w:val="is-IS"/>
              </w:rPr>
            </w:pPr>
            <w:r w:rsidRPr="00C617D5">
              <w:rPr>
                <w:color w:val="auto"/>
                <w:lang w:val="is-IS"/>
              </w:rPr>
              <w:t>Heildarlifun</w:t>
            </w:r>
          </w:p>
        </w:tc>
      </w:tr>
      <w:tr w:rsidR="00210470" w:rsidRPr="00C617D5" w14:paraId="765CFD4D" w14:textId="77777777" w:rsidTr="00B72D20">
        <w:trPr>
          <w:trHeight w:val="300"/>
        </w:trPr>
        <w:tc>
          <w:tcPr>
            <w:tcW w:w="1285" w:type="pct"/>
            <w:noWrap/>
            <w:hideMark/>
          </w:tcPr>
          <w:p w14:paraId="48B05108" w14:textId="385AD9F9" w:rsidR="00220633" w:rsidRPr="00C617D5" w:rsidRDefault="00220633" w:rsidP="007309A2">
            <w:pPr>
              <w:keepNext/>
              <w:tabs>
                <w:tab w:val="left" w:pos="1"/>
              </w:tabs>
              <w:suppressAutoHyphens/>
              <w:spacing w:after="0" w:line="240" w:lineRule="auto"/>
              <w:ind w:left="567" w:firstLine="0"/>
              <w:rPr>
                <w:color w:val="auto"/>
                <w:lang w:val="is-IS"/>
              </w:rPr>
            </w:pPr>
            <w:r w:rsidRPr="00C617D5">
              <w:rPr>
                <w:color w:val="auto"/>
                <w:lang w:val="is-IS"/>
              </w:rPr>
              <w:t xml:space="preserve">Miðgildi (í mánuðum) </w:t>
            </w:r>
          </w:p>
        </w:tc>
        <w:tc>
          <w:tcPr>
            <w:tcW w:w="452" w:type="pct"/>
            <w:noWrap/>
            <w:hideMark/>
          </w:tcPr>
          <w:p w14:paraId="2F217BC5" w14:textId="77777777" w:rsidR="00220633" w:rsidRPr="00C617D5" w:rsidRDefault="00220633" w:rsidP="007309A2">
            <w:pPr>
              <w:keepNext/>
              <w:tabs>
                <w:tab w:val="left" w:pos="1"/>
              </w:tabs>
              <w:suppressAutoHyphens/>
              <w:spacing w:after="0" w:line="240" w:lineRule="auto"/>
              <w:ind w:left="0" w:firstLine="0"/>
              <w:jc w:val="center"/>
              <w:rPr>
                <w:color w:val="auto"/>
                <w:lang w:val="is-IS"/>
              </w:rPr>
            </w:pPr>
            <w:r w:rsidRPr="00C617D5">
              <w:rPr>
                <w:color w:val="auto"/>
                <w:lang w:val="is-IS"/>
              </w:rPr>
              <w:t>13,6</w:t>
            </w:r>
          </w:p>
        </w:tc>
        <w:tc>
          <w:tcPr>
            <w:tcW w:w="833" w:type="pct"/>
            <w:noWrap/>
            <w:hideMark/>
          </w:tcPr>
          <w:p w14:paraId="32960291"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17,7</w:t>
            </w:r>
          </w:p>
        </w:tc>
        <w:tc>
          <w:tcPr>
            <w:tcW w:w="883" w:type="pct"/>
            <w:noWrap/>
            <w:hideMark/>
          </w:tcPr>
          <w:p w14:paraId="3FED51E3"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15,2</w:t>
            </w:r>
          </w:p>
        </w:tc>
        <w:tc>
          <w:tcPr>
            <w:tcW w:w="689" w:type="pct"/>
            <w:noWrap/>
            <w:hideMark/>
          </w:tcPr>
          <w:p w14:paraId="0E6B49CF"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12,9</w:t>
            </w:r>
          </w:p>
        </w:tc>
        <w:tc>
          <w:tcPr>
            <w:tcW w:w="858" w:type="pct"/>
            <w:noWrap/>
            <w:hideMark/>
          </w:tcPr>
          <w:p w14:paraId="44FB4398"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16,6</w:t>
            </w:r>
          </w:p>
        </w:tc>
      </w:tr>
      <w:tr w:rsidR="00210470" w:rsidRPr="00C617D5" w14:paraId="3B84D07A" w14:textId="77777777" w:rsidTr="00B72D20">
        <w:trPr>
          <w:trHeight w:val="300"/>
        </w:trPr>
        <w:tc>
          <w:tcPr>
            <w:tcW w:w="1285" w:type="pct"/>
            <w:noWrap/>
            <w:vAlign w:val="center"/>
            <w:hideMark/>
          </w:tcPr>
          <w:p w14:paraId="686E6011" w14:textId="10690A17" w:rsidR="00220633" w:rsidRPr="00C617D5" w:rsidRDefault="00220633" w:rsidP="007309A2">
            <w:pPr>
              <w:keepNext/>
              <w:tabs>
                <w:tab w:val="left" w:pos="1"/>
              </w:tabs>
              <w:suppressAutoHyphens/>
              <w:spacing w:after="0" w:line="240" w:lineRule="auto"/>
              <w:ind w:left="567" w:firstLine="0"/>
              <w:rPr>
                <w:color w:val="auto"/>
                <w:lang w:val="is-IS"/>
              </w:rPr>
            </w:pPr>
            <w:r w:rsidRPr="00C617D5">
              <w:rPr>
                <w:color w:val="auto"/>
                <w:lang w:val="is-IS"/>
              </w:rPr>
              <w:t xml:space="preserve">95% </w:t>
            </w:r>
            <w:r w:rsidR="000B0300" w:rsidRPr="000B0300">
              <w:rPr>
                <w:color w:val="auto"/>
                <w:lang w:val="is-IS"/>
              </w:rPr>
              <w:t>öryggisbil</w:t>
            </w:r>
            <w:r w:rsidRPr="00C617D5">
              <w:rPr>
                <w:color w:val="auto"/>
                <w:lang w:val="is-IS"/>
              </w:rPr>
              <w:t xml:space="preserve"> </w:t>
            </w:r>
          </w:p>
        </w:tc>
        <w:tc>
          <w:tcPr>
            <w:tcW w:w="452" w:type="pct"/>
            <w:noWrap/>
            <w:vAlign w:val="center"/>
            <w:hideMark/>
          </w:tcPr>
          <w:p w14:paraId="6D6857FF" w14:textId="77777777" w:rsidR="00220633" w:rsidRPr="00C617D5" w:rsidRDefault="00220633" w:rsidP="007309A2">
            <w:pPr>
              <w:keepNext/>
              <w:tabs>
                <w:tab w:val="left" w:pos="1"/>
              </w:tabs>
              <w:suppressAutoHyphens/>
              <w:spacing w:after="0" w:line="240" w:lineRule="auto"/>
              <w:ind w:left="0" w:firstLine="0"/>
              <w:jc w:val="center"/>
              <w:rPr>
                <w:color w:val="auto"/>
                <w:lang w:val="is-IS"/>
              </w:rPr>
            </w:pPr>
          </w:p>
        </w:tc>
        <w:tc>
          <w:tcPr>
            <w:tcW w:w="833" w:type="pct"/>
            <w:noWrap/>
            <w:vAlign w:val="center"/>
            <w:hideMark/>
          </w:tcPr>
          <w:p w14:paraId="5704BA16"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883" w:type="pct"/>
            <w:noWrap/>
            <w:vAlign w:val="center"/>
            <w:hideMark/>
          </w:tcPr>
          <w:p w14:paraId="6B63BFEC"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689" w:type="pct"/>
            <w:noWrap/>
            <w:hideMark/>
          </w:tcPr>
          <w:p w14:paraId="6CC6AA15"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10,35 – 16,95</w:t>
            </w:r>
          </w:p>
        </w:tc>
        <w:tc>
          <w:tcPr>
            <w:tcW w:w="858" w:type="pct"/>
            <w:noWrap/>
            <w:hideMark/>
          </w:tcPr>
          <w:p w14:paraId="1C77D075"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13,63 – 19,32</w:t>
            </w:r>
          </w:p>
        </w:tc>
      </w:tr>
      <w:tr w:rsidR="00210470" w:rsidRPr="00C617D5" w14:paraId="0594BCC1" w14:textId="77777777" w:rsidTr="00B72D20">
        <w:trPr>
          <w:trHeight w:val="300"/>
        </w:trPr>
        <w:tc>
          <w:tcPr>
            <w:tcW w:w="1285" w:type="pct"/>
            <w:noWrap/>
            <w:hideMark/>
          </w:tcPr>
          <w:p w14:paraId="713EA618" w14:textId="77777777" w:rsidR="00220633" w:rsidRPr="00C617D5" w:rsidRDefault="00220633" w:rsidP="008B60B2">
            <w:pPr>
              <w:tabs>
                <w:tab w:val="left" w:pos="1"/>
              </w:tabs>
              <w:suppressAutoHyphens/>
              <w:spacing w:after="0" w:line="240" w:lineRule="auto"/>
              <w:ind w:left="567" w:firstLine="0"/>
              <w:rPr>
                <w:color w:val="auto"/>
                <w:lang w:val="is-IS"/>
              </w:rPr>
            </w:pPr>
            <w:r w:rsidRPr="00C617D5">
              <w:rPr>
                <w:color w:val="auto"/>
                <w:lang w:val="is-IS"/>
              </w:rPr>
              <w:t>Áhættuhlutfall</w:t>
            </w:r>
            <w:r w:rsidRPr="006D216F">
              <w:rPr>
                <w:color w:val="auto"/>
                <w:vertAlign w:val="superscript"/>
                <w:lang w:val="is-IS"/>
              </w:rPr>
              <w:t>c</w:t>
            </w:r>
            <w:r w:rsidRPr="00C617D5">
              <w:rPr>
                <w:color w:val="auto"/>
                <w:lang w:val="is-IS"/>
              </w:rPr>
              <w:t xml:space="preserve"> </w:t>
            </w:r>
          </w:p>
        </w:tc>
        <w:tc>
          <w:tcPr>
            <w:tcW w:w="452" w:type="pct"/>
            <w:noWrap/>
            <w:hideMark/>
          </w:tcPr>
          <w:p w14:paraId="0B76D564"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w:t>
            </w:r>
          </w:p>
        </w:tc>
        <w:tc>
          <w:tcPr>
            <w:tcW w:w="833" w:type="pct"/>
            <w:noWrap/>
            <w:hideMark/>
          </w:tcPr>
          <w:p w14:paraId="68E51BBE"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0,52</w:t>
            </w:r>
          </w:p>
        </w:tc>
        <w:tc>
          <w:tcPr>
            <w:tcW w:w="883" w:type="pct"/>
            <w:noWrap/>
            <w:hideMark/>
          </w:tcPr>
          <w:p w14:paraId="38662DA1"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1,01</w:t>
            </w:r>
          </w:p>
        </w:tc>
        <w:tc>
          <w:tcPr>
            <w:tcW w:w="689" w:type="pct"/>
            <w:noWrap/>
            <w:hideMark/>
          </w:tcPr>
          <w:p w14:paraId="42F138A7"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858" w:type="pct"/>
            <w:noWrap/>
            <w:hideMark/>
          </w:tcPr>
          <w:p w14:paraId="3B173D3A"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0,79</w:t>
            </w:r>
          </w:p>
        </w:tc>
      </w:tr>
      <w:tr w:rsidR="00210470" w:rsidRPr="00C617D5" w14:paraId="11618B73" w14:textId="77777777" w:rsidTr="00B72D20">
        <w:trPr>
          <w:trHeight w:val="300"/>
        </w:trPr>
        <w:tc>
          <w:tcPr>
            <w:tcW w:w="1285" w:type="pct"/>
            <w:noWrap/>
            <w:hideMark/>
          </w:tcPr>
          <w:p w14:paraId="3619F40F" w14:textId="77777777" w:rsidR="00220633" w:rsidRPr="00C617D5" w:rsidRDefault="00220633" w:rsidP="008B60B2">
            <w:pPr>
              <w:tabs>
                <w:tab w:val="left" w:pos="1"/>
              </w:tabs>
              <w:suppressAutoHyphens/>
              <w:spacing w:after="0" w:line="240" w:lineRule="auto"/>
              <w:ind w:left="567" w:firstLine="0"/>
              <w:rPr>
                <w:color w:val="auto"/>
                <w:lang w:val="is-IS"/>
              </w:rPr>
            </w:pPr>
            <w:r w:rsidRPr="00C617D5">
              <w:rPr>
                <w:color w:val="auto"/>
                <w:lang w:val="is-IS"/>
              </w:rPr>
              <w:t xml:space="preserve">p-gildi </w:t>
            </w:r>
          </w:p>
        </w:tc>
        <w:tc>
          <w:tcPr>
            <w:tcW w:w="452" w:type="pct"/>
            <w:noWrap/>
            <w:hideMark/>
          </w:tcPr>
          <w:p w14:paraId="1CB4A2EA"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833" w:type="pct"/>
            <w:noWrap/>
            <w:hideMark/>
          </w:tcPr>
          <w:p w14:paraId="58DABF13" w14:textId="77777777" w:rsidR="00220633" w:rsidRPr="00C617D5" w:rsidRDefault="00B4605A" w:rsidP="008B60B2">
            <w:pPr>
              <w:tabs>
                <w:tab w:val="left" w:pos="1"/>
              </w:tabs>
              <w:suppressAutoHyphens/>
              <w:spacing w:after="0" w:line="240" w:lineRule="auto"/>
              <w:ind w:left="0" w:firstLine="0"/>
              <w:jc w:val="center"/>
              <w:rPr>
                <w:color w:val="auto"/>
                <w:lang w:val="is-IS"/>
              </w:rPr>
            </w:pPr>
            <w:r w:rsidRPr="00C617D5">
              <w:rPr>
                <w:color w:val="auto"/>
                <w:lang w:val="is-IS"/>
              </w:rPr>
              <w:t>0,</w:t>
            </w:r>
            <w:r w:rsidR="00220633" w:rsidRPr="00C617D5">
              <w:rPr>
                <w:color w:val="auto"/>
                <w:lang w:val="is-IS"/>
              </w:rPr>
              <w:t>073</w:t>
            </w:r>
          </w:p>
        </w:tc>
        <w:tc>
          <w:tcPr>
            <w:tcW w:w="883" w:type="pct"/>
            <w:noWrap/>
            <w:hideMark/>
          </w:tcPr>
          <w:p w14:paraId="5AE13476" w14:textId="77777777" w:rsidR="00220633" w:rsidRPr="00C617D5" w:rsidRDefault="00B4605A" w:rsidP="008B60B2">
            <w:pPr>
              <w:tabs>
                <w:tab w:val="left" w:pos="1"/>
              </w:tabs>
              <w:suppressAutoHyphens/>
              <w:spacing w:after="0" w:line="240" w:lineRule="auto"/>
              <w:ind w:left="0" w:firstLine="0"/>
              <w:jc w:val="center"/>
              <w:rPr>
                <w:color w:val="auto"/>
                <w:lang w:val="is-IS"/>
              </w:rPr>
            </w:pPr>
            <w:r w:rsidRPr="00C617D5">
              <w:rPr>
                <w:color w:val="auto"/>
                <w:lang w:val="is-IS"/>
              </w:rPr>
              <w:t>0,</w:t>
            </w:r>
            <w:r w:rsidR="00220633" w:rsidRPr="00C617D5">
              <w:rPr>
                <w:color w:val="auto"/>
                <w:lang w:val="is-IS"/>
              </w:rPr>
              <w:t>978</w:t>
            </w:r>
          </w:p>
        </w:tc>
        <w:tc>
          <w:tcPr>
            <w:tcW w:w="689" w:type="pct"/>
            <w:noWrap/>
            <w:hideMark/>
          </w:tcPr>
          <w:p w14:paraId="0CA676AD"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858" w:type="pct"/>
            <w:noWrap/>
            <w:hideMark/>
          </w:tcPr>
          <w:p w14:paraId="69237C39"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0,16</w:t>
            </w:r>
          </w:p>
        </w:tc>
      </w:tr>
      <w:tr w:rsidR="00C617D5" w:rsidRPr="00C617D5" w14:paraId="449FC58B" w14:textId="77777777" w:rsidTr="00B72D20">
        <w:trPr>
          <w:trHeight w:val="300"/>
        </w:trPr>
        <w:tc>
          <w:tcPr>
            <w:tcW w:w="5000" w:type="pct"/>
            <w:gridSpan w:val="6"/>
            <w:noWrap/>
            <w:hideMark/>
          </w:tcPr>
          <w:p w14:paraId="662F6E1A" w14:textId="77777777" w:rsidR="00220633" w:rsidRPr="00C617D5" w:rsidRDefault="00220633" w:rsidP="008B60B2">
            <w:pPr>
              <w:keepNext/>
              <w:keepLines/>
              <w:tabs>
                <w:tab w:val="left" w:pos="1"/>
              </w:tabs>
              <w:suppressAutoHyphens/>
              <w:spacing w:after="0" w:line="240" w:lineRule="auto"/>
              <w:ind w:left="0" w:firstLine="0"/>
              <w:rPr>
                <w:color w:val="auto"/>
                <w:lang w:val="is-IS"/>
              </w:rPr>
            </w:pPr>
            <w:r w:rsidRPr="00C617D5">
              <w:rPr>
                <w:color w:val="auto"/>
                <w:lang w:val="is-IS"/>
              </w:rPr>
              <w:t>Lifun án versnunar sjúkdóms</w:t>
            </w:r>
          </w:p>
        </w:tc>
      </w:tr>
      <w:tr w:rsidR="00210470" w:rsidRPr="00C617D5" w14:paraId="39C527B5" w14:textId="77777777" w:rsidTr="00B72D20">
        <w:trPr>
          <w:trHeight w:val="300"/>
        </w:trPr>
        <w:tc>
          <w:tcPr>
            <w:tcW w:w="1285" w:type="pct"/>
            <w:noWrap/>
            <w:hideMark/>
          </w:tcPr>
          <w:p w14:paraId="406A4721" w14:textId="28B4C5A9" w:rsidR="00220633" w:rsidRPr="00C617D5" w:rsidRDefault="00220633" w:rsidP="008B60B2">
            <w:pPr>
              <w:keepNext/>
              <w:keepLines/>
              <w:tabs>
                <w:tab w:val="left" w:pos="1"/>
              </w:tabs>
              <w:suppressAutoHyphens/>
              <w:spacing w:after="0" w:line="240" w:lineRule="auto"/>
              <w:ind w:left="567" w:firstLine="0"/>
              <w:rPr>
                <w:color w:val="auto"/>
                <w:lang w:val="is-IS"/>
              </w:rPr>
            </w:pPr>
            <w:r w:rsidRPr="00C617D5">
              <w:rPr>
                <w:color w:val="auto"/>
                <w:lang w:val="is-IS"/>
              </w:rPr>
              <w:t xml:space="preserve">Miðgildi (í mánuðum) </w:t>
            </w:r>
          </w:p>
        </w:tc>
        <w:tc>
          <w:tcPr>
            <w:tcW w:w="452" w:type="pct"/>
            <w:noWrap/>
            <w:hideMark/>
          </w:tcPr>
          <w:p w14:paraId="48378A77" w14:textId="77777777" w:rsidR="00220633" w:rsidRPr="00C617D5" w:rsidRDefault="00220633" w:rsidP="008B60B2">
            <w:pPr>
              <w:keepNext/>
              <w:keepLines/>
              <w:tabs>
                <w:tab w:val="left" w:pos="1"/>
              </w:tabs>
              <w:suppressAutoHyphens/>
              <w:spacing w:after="0" w:line="240" w:lineRule="auto"/>
              <w:ind w:left="0" w:firstLine="0"/>
              <w:jc w:val="center"/>
              <w:rPr>
                <w:color w:val="auto"/>
                <w:lang w:val="is-IS"/>
              </w:rPr>
            </w:pPr>
            <w:r w:rsidRPr="00C617D5">
              <w:rPr>
                <w:color w:val="auto"/>
                <w:lang w:val="is-IS"/>
              </w:rPr>
              <w:t>5,2</w:t>
            </w:r>
          </w:p>
        </w:tc>
        <w:tc>
          <w:tcPr>
            <w:tcW w:w="833" w:type="pct"/>
            <w:noWrap/>
            <w:hideMark/>
          </w:tcPr>
          <w:p w14:paraId="15C7CA07" w14:textId="77777777" w:rsidR="00220633" w:rsidRPr="00C617D5" w:rsidRDefault="00220633" w:rsidP="008B60B2">
            <w:pPr>
              <w:keepNext/>
              <w:keepLines/>
              <w:tabs>
                <w:tab w:val="left" w:pos="1"/>
              </w:tabs>
              <w:suppressAutoHyphens/>
              <w:spacing w:after="0" w:line="240" w:lineRule="auto"/>
              <w:ind w:left="0" w:firstLine="0"/>
              <w:jc w:val="center"/>
              <w:rPr>
                <w:color w:val="auto"/>
                <w:lang w:val="is-IS"/>
              </w:rPr>
            </w:pPr>
            <w:r w:rsidRPr="00C617D5">
              <w:rPr>
                <w:color w:val="auto"/>
                <w:lang w:val="is-IS"/>
              </w:rPr>
              <w:t>9,0</w:t>
            </w:r>
          </w:p>
        </w:tc>
        <w:tc>
          <w:tcPr>
            <w:tcW w:w="883" w:type="pct"/>
            <w:noWrap/>
            <w:hideMark/>
          </w:tcPr>
          <w:p w14:paraId="2C9E3D5E" w14:textId="77777777" w:rsidR="00220633" w:rsidRPr="00C617D5" w:rsidRDefault="00220633" w:rsidP="008B60B2">
            <w:pPr>
              <w:keepNext/>
              <w:keepLines/>
              <w:tabs>
                <w:tab w:val="left" w:pos="1"/>
              </w:tabs>
              <w:suppressAutoHyphens/>
              <w:spacing w:after="0" w:line="240" w:lineRule="auto"/>
              <w:ind w:left="0" w:firstLine="0"/>
              <w:jc w:val="center"/>
              <w:rPr>
                <w:color w:val="auto"/>
                <w:lang w:val="is-IS"/>
              </w:rPr>
            </w:pPr>
            <w:r w:rsidRPr="00C617D5">
              <w:rPr>
                <w:color w:val="auto"/>
                <w:lang w:val="is-IS"/>
              </w:rPr>
              <w:t>7,2</w:t>
            </w:r>
          </w:p>
        </w:tc>
        <w:tc>
          <w:tcPr>
            <w:tcW w:w="689" w:type="pct"/>
            <w:noWrap/>
            <w:hideMark/>
          </w:tcPr>
          <w:p w14:paraId="4DA51C49" w14:textId="77777777" w:rsidR="00220633" w:rsidRPr="00C617D5" w:rsidRDefault="00220633" w:rsidP="008B60B2">
            <w:pPr>
              <w:keepNext/>
              <w:keepLines/>
              <w:tabs>
                <w:tab w:val="left" w:pos="1"/>
              </w:tabs>
              <w:suppressAutoHyphens/>
              <w:spacing w:after="0" w:line="240" w:lineRule="auto"/>
              <w:ind w:left="0" w:firstLine="0"/>
              <w:jc w:val="center"/>
              <w:rPr>
                <w:color w:val="auto"/>
                <w:lang w:val="is-IS"/>
              </w:rPr>
            </w:pPr>
            <w:r w:rsidRPr="00C617D5">
              <w:rPr>
                <w:color w:val="auto"/>
                <w:lang w:val="is-IS"/>
              </w:rPr>
              <w:t>5,5</w:t>
            </w:r>
          </w:p>
        </w:tc>
        <w:tc>
          <w:tcPr>
            <w:tcW w:w="858" w:type="pct"/>
            <w:noWrap/>
            <w:hideMark/>
          </w:tcPr>
          <w:p w14:paraId="523AEDE4" w14:textId="77777777" w:rsidR="00220633" w:rsidRPr="00C617D5" w:rsidRDefault="00220633" w:rsidP="008B60B2">
            <w:pPr>
              <w:keepNext/>
              <w:keepLines/>
              <w:tabs>
                <w:tab w:val="left" w:pos="1"/>
              </w:tabs>
              <w:suppressAutoHyphens/>
              <w:spacing w:after="0" w:line="240" w:lineRule="auto"/>
              <w:ind w:left="0" w:firstLine="0"/>
              <w:jc w:val="center"/>
              <w:rPr>
                <w:color w:val="auto"/>
                <w:lang w:val="is-IS"/>
              </w:rPr>
            </w:pPr>
            <w:r w:rsidRPr="00C617D5">
              <w:rPr>
                <w:color w:val="auto"/>
                <w:lang w:val="is-IS"/>
              </w:rPr>
              <w:t>9,2</w:t>
            </w:r>
          </w:p>
        </w:tc>
      </w:tr>
      <w:tr w:rsidR="00210470" w:rsidRPr="00C617D5" w14:paraId="74908588" w14:textId="77777777" w:rsidTr="00B72D20">
        <w:trPr>
          <w:trHeight w:val="300"/>
        </w:trPr>
        <w:tc>
          <w:tcPr>
            <w:tcW w:w="1285" w:type="pct"/>
            <w:noWrap/>
            <w:hideMark/>
          </w:tcPr>
          <w:p w14:paraId="5B912976" w14:textId="77777777" w:rsidR="00220633" w:rsidRPr="00C617D5" w:rsidRDefault="00220633" w:rsidP="008B60B2">
            <w:pPr>
              <w:tabs>
                <w:tab w:val="left" w:pos="1"/>
              </w:tabs>
              <w:suppressAutoHyphens/>
              <w:spacing w:after="0" w:line="240" w:lineRule="auto"/>
              <w:ind w:left="567" w:firstLine="0"/>
              <w:rPr>
                <w:color w:val="auto"/>
                <w:lang w:val="is-IS"/>
              </w:rPr>
            </w:pPr>
            <w:r w:rsidRPr="00C617D5">
              <w:rPr>
                <w:color w:val="auto"/>
                <w:lang w:val="is-IS"/>
              </w:rPr>
              <w:t xml:space="preserve">Áhættuhlutfall </w:t>
            </w:r>
          </w:p>
        </w:tc>
        <w:tc>
          <w:tcPr>
            <w:tcW w:w="452" w:type="pct"/>
          </w:tcPr>
          <w:p w14:paraId="6AF0847B"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833" w:type="pct"/>
            <w:noWrap/>
            <w:hideMark/>
          </w:tcPr>
          <w:p w14:paraId="2817631D"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0,44</w:t>
            </w:r>
          </w:p>
        </w:tc>
        <w:tc>
          <w:tcPr>
            <w:tcW w:w="883" w:type="pct"/>
            <w:noWrap/>
            <w:hideMark/>
          </w:tcPr>
          <w:p w14:paraId="24420FE7"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0,69</w:t>
            </w:r>
          </w:p>
        </w:tc>
        <w:tc>
          <w:tcPr>
            <w:tcW w:w="689" w:type="pct"/>
            <w:noWrap/>
            <w:hideMark/>
          </w:tcPr>
          <w:p w14:paraId="1568C585"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858" w:type="pct"/>
            <w:noWrap/>
            <w:hideMark/>
          </w:tcPr>
          <w:p w14:paraId="6F6E466C"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0,5</w:t>
            </w:r>
          </w:p>
        </w:tc>
      </w:tr>
      <w:tr w:rsidR="00210470" w:rsidRPr="00C617D5" w14:paraId="6086D9EB" w14:textId="77777777" w:rsidTr="00B72D20">
        <w:trPr>
          <w:trHeight w:val="300"/>
        </w:trPr>
        <w:tc>
          <w:tcPr>
            <w:tcW w:w="1285" w:type="pct"/>
            <w:noWrap/>
            <w:hideMark/>
          </w:tcPr>
          <w:p w14:paraId="675FAC9D" w14:textId="77777777" w:rsidR="00220633" w:rsidRPr="00C617D5" w:rsidRDefault="00220633" w:rsidP="008B60B2">
            <w:pPr>
              <w:tabs>
                <w:tab w:val="left" w:pos="1"/>
              </w:tabs>
              <w:suppressAutoHyphens/>
              <w:spacing w:after="0" w:line="240" w:lineRule="auto"/>
              <w:ind w:left="567" w:firstLine="0"/>
              <w:rPr>
                <w:color w:val="auto"/>
                <w:lang w:val="is-IS"/>
              </w:rPr>
            </w:pPr>
            <w:r w:rsidRPr="00C617D5">
              <w:rPr>
                <w:color w:val="auto"/>
                <w:lang w:val="is-IS"/>
              </w:rPr>
              <w:t xml:space="preserve">p-gildi </w:t>
            </w:r>
          </w:p>
        </w:tc>
        <w:tc>
          <w:tcPr>
            <w:tcW w:w="452" w:type="pct"/>
            <w:noWrap/>
            <w:hideMark/>
          </w:tcPr>
          <w:p w14:paraId="5C6DE6C3" w14:textId="77777777" w:rsidR="00220633" w:rsidRPr="00C617D5" w:rsidRDefault="005E2221" w:rsidP="008B60B2">
            <w:pPr>
              <w:tabs>
                <w:tab w:val="left" w:pos="1"/>
              </w:tabs>
              <w:suppressAutoHyphens/>
              <w:spacing w:after="0" w:line="240" w:lineRule="auto"/>
              <w:ind w:left="0" w:firstLine="0"/>
              <w:jc w:val="center"/>
              <w:rPr>
                <w:color w:val="auto"/>
                <w:lang w:val="is-IS"/>
              </w:rPr>
            </w:pPr>
            <w:r w:rsidRPr="00C617D5">
              <w:rPr>
                <w:color w:val="auto"/>
                <w:lang w:val="is-IS"/>
              </w:rPr>
              <w:t>-</w:t>
            </w:r>
          </w:p>
        </w:tc>
        <w:tc>
          <w:tcPr>
            <w:tcW w:w="833" w:type="pct"/>
            <w:noWrap/>
            <w:hideMark/>
          </w:tcPr>
          <w:p w14:paraId="7F3ABDF9"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0,0049</w:t>
            </w:r>
          </w:p>
        </w:tc>
        <w:tc>
          <w:tcPr>
            <w:tcW w:w="883" w:type="pct"/>
            <w:noWrap/>
            <w:hideMark/>
          </w:tcPr>
          <w:p w14:paraId="0B96F252"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0,217</w:t>
            </w:r>
          </w:p>
        </w:tc>
        <w:tc>
          <w:tcPr>
            <w:tcW w:w="689" w:type="pct"/>
            <w:noWrap/>
            <w:hideMark/>
          </w:tcPr>
          <w:p w14:paraId="38DAE6D1"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858" w:type="pct"/>
            <w:noWrap/>
            <w:hideMark/>
          </w:tcPr>
          <w:p w14:paraId="40D5AE27"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0,0002</w:t>
            </w:r>
          </w:p>
        </w:tc>
      </w:tr>
      <w:tr w:rsidR="00C617D5" w:rsidRPr="00C617D5" w14:paraId="60D26CFF" w14:textId="77777777" w:rsidTr="00B72D20">
        <w:trPr>
          <w:trHeight w:val="300"/>
        </w:trPr>
        <w:tc>
          <w:tcPr>
            <w:tcW w:w="5000" w:type="pct"/>
            <w:gridSpan w:val="6"/>
            <w:noWrap/>
            <w:hideMark/>
          </w:tcPr>
          <w:p w14:paraId="3062FEB7" w14:textId="77777777" w:rsidR="00220633" w:rsidRPr="00C617D5" w:rsidRDefault="00220633" w:rsidP="008B60B2">
            <w:pPr>
              <w:tabs>
                <w:tab w:val="left" w:pos="1"/>
              </w:tabs>
              <w:suppressAutoHyphens/>
              <w:spacing w:after="0" w:line="240" w:lineRule="auto"/>
              <w:ind w:left="0" w:firstLine="0"/>
              <w:rPr>
                <w:color w:val="auto"/>
                <w:lang w:val="is-IS"/>
              </w:rPr>
            </w:pPr>
            <w:r w:rsidRPr="00C617D5">
              <w:rPr>
                <w:color w:val="auto"/>
                <w:lang w:val="is-IS"/>
              </w:rPr>
              <w:t>Heildar svörunarhlutfall</w:t>
            </w:r>
          </w:p>
        </w:tc>
      </w:tr>
      <w:tr w:rsidR="00210470" w:rsidRPr="00C617D5" w14:paraId="7FEAA446" w14:textId="77777777" w:rsidTr="00B72D20">
        <w:trPr>
          <w:trHeight w:val="300"/>
        </w:trPr>
        <w:tc>
          <w:tcPr>
            <w:tcW w:w="1285" w:type="pct"/>
            <w:noWrap/>
            <w:hideMark/>
          </w:tcPr>
          <w:p w14:paraId="03AC6D86" w14:textId="77777777" w:rsidR="00220633" w:rsidRPr="00C617D5" w:rsidRDefault="00220633" w:rsidP="008B60B2">
            <w:pPr>
              <w:tabs>
                <w:tab w:val="left" w:pos="1"/>
              </w:tabs>
              <w:suppressAutoHyphens/>
              <w:spacing w:after="0" w:line="240" w:lineRule="auto"/>
              <w:ind w:left="567" w:firstLine="0"/>
              <w:rPr>
                <w:color w:val="auto"/>
                <w:lang w:val="is-IS"/>
              </w:rPr>
            </w:pPr>
            <w:r w:rsidRPr="00C617D5">
              <w:rPr>
                <w:color w:val="auto"/>
                <w:lang w:val="is-IS"/>
              </w:rPr>
              <w:t xml:space="preserve">Hlutfall (í prósentum) </w:t>
            </w:r>
          </w:p>
        </w:tc>
        <w:tc>
          <w:tcPr>
            <w:tcW w:w="452" w:type="pct"/>
            <w:noWrap/>
            <w:hideMark/>
          </w:tcPr>
          <w:p w14:paraId="08F25CF7"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16,7</w:t>
            </w:r>
          </w:p>
        </w:tc>
        <w:tc>
          <w:tcPr>
            <w:tcW w:w="833" w:type="pct"/>
            <w:noWrap/>
            <w:hideMark/>
          </w:tcPr>
          <w:p w14:paraId="54E51472"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40,0</w:t>
            </w:r>
          </w:p>
        </w:tc>
        <w:tc>
          <w:tcPr>
            <w:tcW w:w="883" w:type="pct"/>
            <w:noWrap/>
            <w:hideMark/>
          </w:tcPr>
          <w:p w14:paraId="734E3366"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24,2</w:t>
            </w:r>
          </w:p>
        </w:tc>
        <w:tc>
          <w:tcPr>
            <w:tcW w:w="689" w:type="pct"/>
            <w:noWrap/>
            <w:hideMark/>
          </w:tcPr>
          <w:p w14:paraId="1A16D607"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15,2</w:t>
            </w:r>
          </w:p>
        </w:tc>
        <w:tc>
          <w:tcPr>
            <w:tcW w:w="858" w:type="pct"/>
            <w:noWrap/>
            <w:hideMark/>
          </w:tcPr>
          <w:p w14:paraId="791D9BB0"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26</w:t>
            </w:r>
          </w:p>
        </w:tc>
      </w:tr>
      <w:tr w:rsidR="00210470" w:rsidRPr="00C617D5" w14:paraId="5B841921" w14:textId="77777777" w:rsidTr="00B72D20">
        <w:trPr>
          <w:trHeight w:val="300"/>
        </w:trPr>
        <w:tc>
          <w:tcPr>
            <w:tcW w:w="1285" w:type="pct"/>
            <w:noWrap/>
            <w:hideMark/>
          </w:tcPr>
          <w:p w14:paraId="67ACFCA6" w14:textId="77777777" w:rsidR="00220633" w:rsidRPr="00C617D5" w:rsidRDefault="00220633" w:rsidP="008B60B2">
            <w:pPr>
              <w:tabs>
                <w:tab w:val="left" w:pos="1"/>
              </w:tabs>
              <w:suppressAutoHyphens/>
              <w:spacing w:after="0" w:line="240" w:lineRule="auto"/>
              <w:ind w:left="567" w:firstLine="0"/>
              <w:rPr>
                <w:color w:val="auto"/>
                <w:lang w:val="is-IS"/>
              </w:rPr>
            </w:pPr>
            <w:r w:rsidRPr="00C617D5">
              <w:rPr>
                <w:color w:val="auto"/>
                <w:lang w:val="is-IS"/>
              </w:rPr>
              <w:t xml:space="preserve">95% bil milli vikmarka </w:t>
            </w:r>
          </w:p>
        </w:tc>
        <w:tc>
          <w:tcPr>
            <w:tcW w:w="452" w:type="pct"/>
            <w:noWrap/>
            <w:hideMark/>
          </w:tcPr>
          <w:p w14:paraId="726569CF"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 xml:space="preserve">7,0 </w:t>
            </w:r>
            <w:r w:rsidRPr="00C617D5">
              <w:rPr>
                <w:rFonts w:eastAsia="Segoe UI Symbol"/>
                <w:color w:val="auto"/>
                <w:lang w:val="is-IS"/>
              </w:rPr>
              <w:t xml:space="preserve">− </w:t>
            </w:r>
            <w:r w:rsidRPr="00C617D5">
              <w:rPr>
                <w:color w:val="auto"/>
                <w:lang w:val="is-IS"/>
              </w:rPr>
              <w:t>33,5</w:t>
            </w:r>
          </w:p>
        </w:tc>
        <w:tc>
          <w:tcPr>
            <w:tcW w:w="833" w:type="pct"/>
            <w:noWrap/>
            <w:hideMark/>
          </w:tcPr>
          <w:p w14:paraId="37990D8E"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 xml:space="preserve">24,4 </w:t>
            </w:r>
            <w:r w:rsidRPr="00C617D5">
              <w:rPr>
                <w:rFonts w:eastAsia="Segoe UI Symbol"/>
                <w:color w:val="auto"/>
                <w:lang w:val="is-IS"/>
              </w:rPr>
              <w:t xml:space="preserve">− </w:t>
            </w:r>
            <w:r w:rsidRPr="00C617D5">
              <w:rPr>
                <w:color w:val="auto"/>
                <w:lang w:val="is-IS"/>
              </w:rPr>
              <w:t>57,8</w:t>
            </w:r>
          </w:p>
        </w:tc>
        <w:tc>
          <w:tcPr>
            <w:tcW w:w="883" w:type="pct"/>
            <w:noWrap/>
            <w:hideMark/>
          </w:tcPr>
          <w:p w14:paraId="05A9D509"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11,7 – 42,6</w:t>
            </w:r>
          </w:p>
        </w:tc>
        <w:tc>
          <w:tcPr>
            <w:tcW w:w="689" w:type="pct"/>
            <w:noWrap/>
            <w:hideMark/>
          </w:tcPr>
          <w:p w14:paraId="5F5E6294"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9,2 – 23,9</w:t>
            </w:r>
          </w:p>
        </w:tc>
        <w:tc>
          <w:tcPr>
            <w:tcW w:w="858" w:type="pct"/>
            <w:noWrap/>
            <w:hideMark/>
          </w:tcPr>
          <w:p w14:paraId="42F8BD54"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18,1 – 35,6</w:t>
            </w:r>
          </w:p>
        </w:tc>
      </w:tr>
      <w:tr w:rsidR="00210470" w:rsidRPr="00C617D5" w14:paraId="68B8D2C5" w14:textId="77777777" w:rsidTr="00B72D20">
        <w:trPr>
          <w:trHeight w:val="300"/>
        </w:trPr>
        <w:tc>
          <w:tcPr>
            <w:tcW w:w="1285" w:type="pct"/>
            <w:noWrap/>
            <w:hideMark/>
          </w:tcPr>
          <w:p w14:paraId="75C4EA1E" w14:textId="77777777" w:rsidR="00220633" w:rsidRPr="00C617D5" w:rsidRDefault="00220633" w:rsidP="008B60B2">
            <w:pPr>
              <w:tabs>
                <w:tab w:val="left" w:pos="1"/>
              </w:tabs>
              <w:suppressAutoHyphens/>
              <w:spacing w:after="0" w:line="240" w:lineRule="auto"/>
              <w:ind w:left="567" w:firstLine="0"/>
              <w:rPr>
                <w:color w:val="auto"/>
                <w:lang w:val="is-IS"/>
              </w:rPr>
            </w:pPr>
            <w:r w:rsidRPr="00C617D5">
              <w:rPr>
                <w:color w:val="auto"/>
                <w:lang w:val="is-IS"/>
              </w:rPr>
              <w:t xml:space="preserve">p-gildi </w:t>
            </w:r>
          </w:p>
        </w:tc>
        <w:tc>
          <w:tcPr>
            <w:tcW w:w="452" w:type="pct"/>
            <w:noWrap/>
            <w:hideMark/>
          </w:tcPr>
          <w:p w14:paraId="1E5666A7"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833" w:type="pct"/>
            <w:noWrap/>
            <w:hideMark/>
          </w:tcPr>
          <w:p w14:paraId="73ACE1EB"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0,029</w:t>
            </w:r>
          </w:p>
        </w:tc>
        <w:tc>
          <w:tcPr>
            <w:tcW w:w="883" w:type="pct"/>
            <w:noWrap/>
            <w:hideMark/>
          </w:tcPr>
          <w:p w14:paraId="4A63D8A0"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0,43</w:t>
            </w:r>
          </w:p>
        </w:tc>
        <w:tc>
          <w:tcPr>
            <w:tcW w:w="689" w:type="pct"/>
            <w:noWrap/>
            <w:hideMark/>
          </w:tcPr>
          <w:p w14:paraId="737A4D76" w14:textId="77777777" w:rsidR="00220633" w:rsidRPr="00C617D5" w:rsidRDefault="00220633" w:rsidP="008B60B2">
            <w:pPr>
              <w:tabs>
                <w:tab w:val="left" w:pos="1"/>
              </w:tabs>
              <w:suppressAutoHyphens/>
              <w:spacing w:after="0" w:line="240" w:lineRule="auto"/>
              <w:ind w:left="0" w:firstLine="0"/>
              <w:jc w:val="center"/>
              <w:rPr>
                <w:color w:val="auto"/>
                <w:lang w:val="is-IS"/>
              </w:rPr>
            </w:pPr>
          </w:p>
        </w:tc>
        <w:tc>
          <w:tcPr>
            <w:tcW w:w="858" w:type="pct"/>
            <w:noWrap/>
            <w:hideMark/>
          </w:tcPr>
          <w:p w14:paraId="35FA91D1"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0,055</w:t>
            </w:r>
          </w:p>
        </w:tc>
      </w:tr>
      <w:tr w:rsidR="00C617D5" w:rsidRPr="00C617D5" w14:paraId="1F3A5B84" w14:textId="77777777" w:rsidTr="00B72D20">
        <w:trPr>
          <w:trHeight w:val="300"/>
        </w:trPr>
        <w:tc>
          <w:tcPr>
            <w:tcW w:w="5000" w:type="pct"/>
            <w:gridSpan w:val="6"/>
            <w:noWrap/>
            <w:hideMark/>
          </w:tcPr>
          <w:p w14:paraId="157AB339" w14:textId="77777777" w:rsidR="00220633" w:rsidRPr="00C617D5" w:rsidRDefault="00220633" w:rsidP="008B60B2">
            <w:pPr>
              <w:tabs>
                <w:tab w:val="left" w:pos="1"/>
              </w:tabs>
              <w:suppressAutoHyphens/>
              <w:spacing w:after="0" w:line="240" w:lineRule="auto"/>
              <w:ind w:left="0" w:firstLine="0"/>
              <w:rPr>
                <w:color w:val="auto"/>
                <w:lang w:val="is-IS"/>
              </w:rPr>
            </w:pPr>
            <w:r w:rsidRPr="00C617D5">
              <w:rPr>
                <w:color w:val="auto"/>
                <w:lang w:val="is-IS"/>
              </w:rPr>
              <w:t>Tímalengd svörunar</w:t>
            </w:r>
          </w:p>
        </w:tc>
      </w:tr>
      <w:tr w:rsidR="00210470" w:rsidRPr="00C617D5" w14:paraId="63D0A658" w14:textId="77777777" w:rsidTr="00B72D20">
        <w:trPr>
          <w:trHeight w:val="300"/>
        </w:trPr>
        <w:tc>
          <w:tcPr>
            <w:tcW w:w="1285" w:type="pct"/>
            <w:noWrap/>
            <w:hideMark/>
          </w:tcPr>
          <w:p w14:paraId="1CD58736" w14:textId="3A0FABCD" w:rsidR="00220633" w:rsidRPr="00C617D5" w:rsidRDefault="00220633" w:rsidP="008B60B2">
            <w:pPr>
              <w:tabs>
                <w:tab w:val="left" w:pos="1"/>
              </w:tabs>
              <w:suppressAutoHyphens/>
              <w:spacing w:after="0" w:line="240" w:lineRule="auto"/>
              <w:ind w:left="567" w:firstLine="0"/>
              <w:rPr>
                <w:color w:val="auto"/>
                <w:lang w:val="is-IS"/>
              </w:rPr>
            </w:pPr>
            <w:r w:rsidRPr="00C617D5">
              <w:rPr>
                <w:color w:val="auto"/>
                <w:lang w:val="is-IS"/>
              </w:rPr>
              <w:t xml:space="preserve">Miðgildi (í mánuðum) </w:t>
            </w:r>
          </w:p>
        </w:tc>
        <w:tc>
          <w:tcPr>
            <w:tcW w:w="452" w:type="pct"/>
            <w:noWrap/>
            <w:hideMark/>
          </w:tcPr>
          <w:p w14:paraId="46B0D532"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NE</w:t>
            </w:r>
          </w:p>
        </w:tc>
        <w:tc>
          <w:tcPr>
            <w:tcW w:w="833" w:type="pct"/>
            <w:noWrap/>
            <w:hideMark/>
          </w:tcPr>
          <w:p w14:paraId="08EFA9F2"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9,3</w:t>
            </w:r>
          </w:p>
        </w:tc>
        <w:tc>
          <w:tcPr>
            <w:tcW w:w="883" w:type="pct"/>
            <w:noWrap/>
            <w:hideMark/>
          </w:tcPr>
          <w:p w14:paraId="6D576707"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5,0</w:t>
            </w:r>
          </w:p>
        </w:tc>
        <w:tc>
          <w:tcPr>
            <w:tcW w:w="689" w:type="pct"/>
            <w:noWrap/>
            <w:hideMark/>
          </w:tcPr>
          <w:p w14:paraId="4D1867A3"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6,8</w:t>
            </w:r>
          </w:p>
        </w:tc>
        <w:tc>
          <w:tcPr>
            <w:tcW w:w="858" w:type="pct"/>
            <w:noWrap/>
            <w:hideMark/>
          </w:tcPr>
          <w:p w14:paraId="3C4CA7DD"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9,2</w:t>
            </w:r>
          </w:p>
        </w:tc>
      </w:tr>
      <w:tr w:rsidR="00210470" w:rsidRPr="00C617D5" w14:paraId="38067ABA" w14:textId="77777777" w:rsidTr="00B72D20">
        <w:trPr>
          <w:trHeight w:val="821"/>
        </w:trPr>
        <w:tc>
          <w:tcPr>
            <w:tcW w:w="1285" w:type="pct"/>
            <w:noWrap/>
            <w:hideMark/>
          </w:tcPr>
          <w:p w14:paraId="568A6EBC" w14:textId="77777777" w:rsidR="00220633" w:rsidRPr="00C617D5" w:rsidRDefault="00220633" w:rsidP="008B60B2">
            <w:pPr>
              <w:tabs>
                <w:tab w:val="left" w:pos="1"/>
              </w:tabs>
              <w:suppressAutoHyphens/>
              <w:spacing w:after="0" w:line="240" w:lineRule="auto"/>
              <w:ind w:left="567" w:firstLine="0"/>
              <w:rPr>
                <w:color w:val="auto"/>
                <w:lang w:val="is-IS"/>
              </w:rPr>
            </w:pPr>
            <w:r w:rsidRPr="00C617D5">
              <w:rPr>
                <w:color w:val="auto"/>
                <w:lang w:val="is-IS"/>
              </w:rPr>
              <w:t xml:space="preserve">25–75 hundraðsmark (í mánuðum) </w:t>
            </w:r>
          </w:p>
        </w:tc>
        <w:tc>
          <w:tcPr>
            <w:tcW w:w="452" w:type="pct"/>
            <w:noWrap/>
            <w:vAlign w:val="center"/>
            <w:hideMark/>
          </w:tcPr>
          <w:p w14:paraId="17C70A4D"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 xml:space="preserve">5,5 </w:t>
            </w:r>
            <w:r w:rsidRPr="00C617D5">
              <w:rPr>
                <w:rFonts w:eastAsia="Segoe UI Symbol"/>
                <w:color w:val="auto"/>
                <w:lang w:val="is-IS"/>
              </w:rPr>
              <w:t xml:space="preserve">− </w:t>
            </w:r>
            <w:r w:rsidRPr="00C617D5">
              <w:rPr>
                <w:color w:val="auto"/>
                <w:lang w:val="is-IS"/>
              </w:rPr>
              <w:t>NE</w:t>
            </w:r>
          </w:p>
        </w:tc>
        <w:tc>
          <w:tcPr>
            <w:tcW w:w="833" w:type="pct"/>
            <w:noWrap/>
            <w:vAlign w:val="center"/>
            <w:hideMark/>
          </w:tcPr>
          <w:p w14:paraId="49E2E3F2"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 xml:space="preserve">6,1 </w:t>
            </w:r>
            <w:r w:rsidRPr="00C617D5">
              <w:rPr>
                <w:rFonts w:eastAsia="Segoe UI Symbol"/>
                <w:color w:val="auto"/>
                <w:lang w:val="is-IS"/>
              </w:rPr>
              <w:t xml:space="preserve">− </w:t>
            </w:r>
            <w:r w:rsidRPr="00C617D5">
              <w:rPr>
                <w:color w:val="auto"/>
                <w:lang w:val="is-IS"/>
              </w:rPr>
              <w:t>NE</w:t>
            </w:r>
          </w:p>
        </w:tc>
        <w:tc>
          <w:tcPr>
            <w:tcW w:w="883" w:type="pct"/>
            <w:noWrap/>
            <w:vAlign w:val="center"/>
            <w:hideMark/>
          </w:tcPr>
          <w:p w14:paraId="204F88B1"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3,8 – 7,8</w:t>
            </w:r>
          </w:p>
        </w:tc>
        <w:tc>
          <w:tcPr>
            <w:tcW w:w="689" w:type="pct"/>
            <w:noWrap/>
            <w:vAlign w:val="center"/>
            <w:hideMark/>
          </w:tcPr>
          <w:p w14:paraId="263BB69C"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5,59 – 9,17</w:t>
            </w:r>
          </w:p>
        </w:tc>
        <w:tc>
          <w:tcPr>
            <w:tcW w:w="858" w:type="pct"/>
            <w:noWrap/>
            <w:vAlign w:val="center"/>
            <w:hideMark/>
          </w:tcPr>
          <w:p w14:paraId="5BD93D03" w14:textId="77777777" w:rsidR="00220633" w:rsidRPr="00C617D5" w:rsidRDefault="00220633" w:rsidP="008B60B2">
            <w:pPr>
              <w:tabs>
                <w:tab w:val="left" w:pos="1"/>
              </w:tabs>
              <w:suppressAutoHyphens/>
              <w:spacing w:after="0" w:line="240" w:lineRule="auto"/>
              <w:ind w:left="0" w:firstLine="0"/>
              <w:jc w:val="center"/>
              <w:rPr>
                <w:color w:val="auto"/>
                <w:lang w:val="is-IS"/>
              </w:rPr>
            </w:pPr>
            <w:r w:rsidRPr="00C617D5">
              <w:rPr>
                <w:color w:val="auto"/>
                <w:lang w:val="is-IS"/>
              </w:rPr>
              <w:t>5,88 – 13,01</w:t>
            </w:r>
          </w:p>
        </w:tc>
      </w:tr>
    </w:tbl>
    <w:p w14:paraId="6B9EF4DB" w14:textId="77777777" w:rsidR="006C06D6" w:rsidRPr="009F7642" w:rsidRDefault="00564614" w:rsidP="008B60B2">
      <w:pPr>
        <w:suppressAutoHyphens/>
        <w:spacing w:after="0" w:line="240" w:lineRule="auto"/>
        <w:ind w:left="567" w:hanging="567"/>
        <w:rPr>
          <w:color w:val="auto"/>
          <w:sz w:val="20"/>
          <w:lang w:val="is-IS"/>
        </w:rPr>
      </w:pPr>
      <w:r w:rsidRPr="009F7642">
        <w:rPr>
          <w:color w:val="auto"/>
          <w:sz w:val="20"/>
          <w:vertAlign w:val="superscript"/>
          <w:lang w:val="is-IS"/>
        </w:rPr>
        <w:t>a</w:t>
      </w:r>
      <w:r w:rsidR="001B731E" w:rsidRPr="009F7642">
        <w:rPr>
          <w:color w:val="auto"/>
          <w:sz w:val="20"/>
          <w:lang w:val="is-IS"/>
        </w:rPr>
        <w:tab/>
        <w:t>5 </w:t>
      </w:r>
      <w:r w:rsidRPr="009F7642">
        <w:rPr>
          <w:color w:val="auto"/>
          <w:sz w:val="20"/>
          <w:lang w:val="is-IS"/>
        </w:rPr>
        <w:t>mg/kg á 2 vikna fresti.</w:t>
      </w:r>
    </w:p>
    <w:p w14:paraId="4C2453BE" w14:textId="77777777" w:rsidR="006C06D6" w:rsidRPr="009F7642" w:rsidRDefault="00564614" w:rsidP="008B60B2">
      <w:pPr>
        <w:suppressAutoHyphens/>
        <w:spacing w:after="0" w:line="240" w:lineRule="auto"/>
        <w:ind w:left="567" w:hanging="567"/>
        <w:rPr>
          <w:color w:val="auto"/>
          <w:sz w:val="20"/>
          <w:lang w:val="is-IS"/>
        </w:rPr>
      </w:pPr>
      <w:r w:rsidRPr="009F7642">
        <w:rPr>
          <w:color w:val="auto"/>
          <w:sz w:val="20"/>
          <w:vertAlign w:val="superscript"/>
          <w:lang w:val="is-IS"/>
        </w:rPr>
        <w:t>b</w:t>
      </w:r>
      <w:r w:rsidR="001B731E" w:rsidRPr="009F7642">
        <w:rPr>
          <w:color w:val="auto"/>
          <w:sz w:val="20"/>
          <w:lang w:val="is-IS"/>
        </w:rPr>
        <w:tab/>
      </w:r>
      <w:r w:rsidRPr="009F7642">
        <w:rPr>
          <w:color w:val="auto"/>
          <w:sz w:val="20"/>
          <w:lang w:val="is-IS"/>
        </w:rPr>
        <w:t>10</w:t>
      </w:r>
      <w:r w:rsidR="001B731E" w:rsidRPr="009F7642">
        <w:rPr>
          <w:color w:val="auto"/>
          <w:sz w:val="20"/>
          <w:lang w:val="is-IS"/>
        </w:rPr>
        <w:t> </w:t>
      </w:r>
      <w:r w:rsidRPr="009F7642">
        <w:rPr>
          <w:color w:val="auto"/>
          <w:sz w:val="20"/>
          <w:lang w:val="is-IS"/>
        </w:rPr>
        <w:t>mg/kg á 2 vikna fresti.</w:t>
      </w:r>
    </w:p>
    <w:p w14:paraId="28AD864D" w14:textId="77777777" w:rsidR="006C06D6" w:rsidRPr="009F7642" w:rsidRDefault="00564614" w:rsidP="008B60B2">
      <w:pPr>
        <w:suppressAutoHyphens/>
        <w:spacing w:after="0" w:line="240" w:lineRule="auto"/>
        <w:ind w:left="567" w:hanging="567"/>
        <w:rPr>
          <w:color w:val="auto"/>
          <w:sz w:val="20"/>
          <w:lang w:val="is-IS"/>
        </w:rPr>
      </w:pPr>
      <w:r w:rsidRPr="009F7642">
        <w:rPr>
          <w:color w:val="auto"/>
          <w:sz w:val="20"/>
          <w:vertAlign w:val="superscript"/>
          <w:lang w:val="is-IS"/>
        </w:rPr>
        <w:t>c</w:t>
      </w:r>
      <w:r w:rsidR="001B731E" w:rsidRPr="009F7642">
        <w:rPr>
          <w:color w:val="auto"/>
          <w:sz w:val="20"/>
          <w:lang w:val="is-IS"/>
        </w:rPr>
        <w:tab/>
      </w:r>
      <w:r w:rsidRPr="009F7642">
        <w:rPr>
          <w:color w:val="auto"/>
          <w:sz w:val="20"/>
          <w:lang w:val="is-IS"/>
        </w:rPr>
        <w:t>Í hlutfalli við samanburðarhóp.</w:t>
      </w:r>
    </w:p>
    <w:p w14:paraId="24060F7E" w14:textId="77777777" w:rsidR="006C06D6" w:rsidRPr="009F7642" w:rsidRDefault="00564614" w:rsidP="008B60B2">
      <w:pPr>
        <w:suppressAutoHyphens/>
        <w:spacing w:after="0" w:line="240" w:lineRule="auto"/>
        <w:ind w:left="567" w:hanging="567"/>
        <w:rPr>
          <w:color w:val="auto"/>
          <w:sz w:val="18"/>
          <w:lang w:val="is-IS"/>
        </w:rPr>
      </w:pPr>
      <w:r w:rsidRPr="009F7642">
        <w:rPr>
          <w:color w:val="auto"/>
          <w:sz w:val="20"/>
          <w:lang w:val="is-IS"/>
        </w:rPr>
        <w:t>NE</w:t>
      </w:r>
      <w:r w:rsidR="00DD07A9">
        <w:rPr>
          <w:color w:val="auto"/>
          <w:sz w:val="20"/>
          <w:lang w:val="is-IS"/>
        </w:rPr>
        <w:t> </w:t>
      </w:r>
      <w:r w:rsidR="00700BDC">
        <w:rPr>
          <w:rFonts w:ascii="Segoe UI Symbol" w:eastAsia="Segoe UI Symbol" w:hAnsi="Segoe UI Symbol" w:cs="Segoe UI Symbol"/>
          <w:color w:val="auto"/>
          <w:sz w:val="20"/>
          <w:lang w:val="is-IS"/>
        </w:rPr>
        <w:t>=</w:t>
      </w:r>
      <w:r w:rsidR="00DD07A9">
        <w:rPr>
          <w:rFonts w:ascii="Segoe UI Symbol" w:eastAsia="Segoe UI Symbol" w:hAnsi="Segoe UI Symbol" w:cs="Segoe UI Symbol"/>
          <w:color w:val="auto"/>
          <w:sz w:val="20"/>
          <w:lang w:val="is-IS"/>
        </w:rPr>
        <w:t> </w:t>
      </w:r>
      <w:r w:rsidRPr="009F7642">
        <w:rPr>
          <w:color w:val="auto"/>
          <w:sz w:val="20"/>
          <w:lang w:val="is-IS"/>
        </w:rPr>
        <w:t xml:space="preserve">Náðist </w:t>
      </w:r>
      <w:r w:rsidR="00B54A7A" w:rsidRPr="009F7642">
        <w:rPr>
          <w:color w:val="auto"/>
          <w:sz w:val="20"/>
          <w:lang w:val="is-IS"/>
        </w:rPr>
        <w:t>E</w:t>
      </w:r>
      <w:r w:rsidRPr="009F7642">
        <w:rPr>
          <w:color w:val="auto"/>
          <w:sz w:val="20"/>
          <w:lang w:val="is-IS"/>
        </w:rPr>
        <w:t>kki.</w:t>
      </w:r>
    </w:p>
    <w:p w14:paraId="178D0E3F" w14:textId="77777777" w:rsidR="005F36F3" w:rsidRPr="009F7642" w:rsidRDefault="005F36F3" w:rsidP="008B60B2">
      <w:pPr>
        <w:suppressAutoHyphens/>
        <w:spacing w:after="0" w:line="240" w:lineRule="auto"/>
        <w:ind w:left="0" w:firstLine="0"/>
        <w:rPr>
          <w:color w:val="auto"/>
          <w:lang w:val="is-IS"/>
        </w:rPr>
      </w:pPr>
    </w:p>
    <w:p w14:paraId="19684694"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lang w:val="is-IS"/>
        </w:rPr>
        <w:t>NO16966</w:t>
      </w:r>
    </w:p>
    <w:p w14:paraId="50685E60" w14:textId="2C2DFC37" w:rsidR="006C06D6" w:rsidRPr="009F7642" w:rsidRDefault="00564614" w:rsidP="008B60B2">
      <w:pPr>
        <w:suppressAutoHyphens/>
        <w:spacing w:after="0" w:line="240" w:lineRule="auto"/>
        <w:ind w:left="0" w:firstLine="0"/>
        <w:rPr>
          <w:color w:val="auto"/>
          <w:lang w:val="is-IS"/>
        </w:rPr>
      </w:pPr>
      <w:r w:rsidRPr="009F7642">
        <w:rPr>
          <w:color w:val="auto"/>
          <w:lang w:val="is-IS"/>
        </w:rPr>
        <w:t>Þetta var III. stigs, slembiröðuð, tvíblind (fyrir bevacízúmab), klínísk ran</w:t>
      </w:r>
      <w:r w:rsidR="001B731E" w:rsidRPr="009F7642">
        <w:rPr>
          <w:color w:val="auto"/>
          <w:lang w:val="is-IS"/>
        </w:rPr>
        <w:t xml:space="preserve">nsókn þar sem </w:t>
      </w:r>
      <w:r w:rsidR="00690564" w:rsidRPr="00F2274F">
        <w:rPr>
          <w:lang w:val="is-IS"/>
        </w:rPr>
        <w:t>bevacízúmab</w:t>
      </w:r>
      <w:r w:rsidR="001B731E" w:rsidRPr="009F7642">
        <w:rPr>
          <w:color w:val="auto"/>
          <w:lang w:val="is-IS"/>
        </w:rPr>
        <w:t xml:space="preserve"> 7,5 </w:t>
      </w:r>
      <w:r w:rsidRPr="009F7642">
        <w:rPr>
          <w:color w:val="auto"/>
          <w:lang w:val="is-IS"/>
        </w:rPr>
        <w:t xml:space="preserve">mg/kg var rannsakað í samsetningu með kapecítabíni til inntöku og oxalíplatíni á bláæð (XELOX) </w:t>
      </w:r>
      <w:r w:rsidR="001B731E" w:rsidRPr="009F7642">
        <w:rPr>
          <w:color w:val="auto"/>
          <w:lang w:val="is-IS"/>
        </w:rPr>
        <w:t xml:space="preserve">á 3 vikna fresti; eða </w:t>
      </w:r>
      <w:r w:rsidR="00690564" w:rsidRPr="00F2274F">
        <w:rPr>
          <w:lang w:val="is-IS"/>
        </w:rPr>
        <w:t>bevacízúmab</w:t>
      </w:r>
      <w:r w:rsidR="001B731E" w:rsidRPr="009F7642">
        <w:rPr>
          <w:color w:val="auto"/>
          <w:lang w:val="is-IS"/>
        </w:rPr>
        <w:t xml:space="preserve"> 5 </w:t>
      </w:r>
      <w:r w:rsidRPr="009F7642">
        <w:rPr>
          <w:color w:val="auto"/>
          <w:lang w:val="is-IS"/>
        </w:rPr>
        <w:t>mg/kg ásamt levkóvoríni með 5-flúoróúracíl hleðsluskammti, síðan 5</w:t>
      </w:r>
      <w:r w:rsidR="00D26B6E">
        <w:rPr>
          <w:color w:val="auto"/>
          <w:lang w:val="is-IS"/>
        </w:rPr>
        <w:t>-</w:t>
      </w:r>
      <w:r w:rsidRPr="009F7642">
        <w:rPr>
          <w:color w:val="auto"/>
          <w:lang w:val="is-IS"/>
        </w:rPr>
        <w:t>flúoróúracíl innrennsli, ásamt oxalíplatíni í bláæð (FOLFOX-4) gefið á 2 vikna fresti. Rannsóknin skiptist í 2 hluta: óblindan, tveggja hópa upphafshluta (I. hluti) þar sem sjúklingum var slembiraðað í tvo mismunandi meðferðarhópa (XELOX og FOLFOX-4) og síðan fjögurra hópa 2</w:t>
      </w:r>
      <w:r w:rsidR="00DD07A9">
        <w:rPr>
          <w:color w:val="auto"/>
          <w:lang w:val="is-IS"/>
        </w:rPr>
        <w:t> </w:t>
      </w:r>
      <w:r w:rsidR="001C4A29" w:rsidRPr="00215918">
        <w:rPr>
          <w:lang w:val="is-IS"/>
        </w:rPr>
        <w:t>×</w:t>
      </w:r>
      <w:r w:rsidR="00DD07A9">
        <w:rPr>
          <w:color w:val="auto"/>
          <w:lang w:val="is-IS"/>
        </w:rPr>
        <w:t> </w:t>
      </w:r>
      <w:r w:rsidRPr="009F7642">
        <w:rPr>
          <w:color w:val="auto"/>
          <w:lang w:val="is-IS"/>
        </w:rPr>
        <w:t xml:space="preserve">2 þátta hluta (II. hluta) þar sem sjúklingum var slembiraðað í fjóra meðferðarhópa (XELOX + lyfleysu, FOLFOX-4 + lyfleysu, XELOX + </w:t>
      </w:r>
      <w:r w:rsidR="00690564" w:rsidRPr="00F2274F">
        <w:rPr>
          <w:lang w:val="is-IS"/>
        </w:rPr>
        <w:t>bevacízúmab</w:t>
      </w:r>
      <w:r w:rsidRPr="009F7642">
        <w:rPr>
          <w:color w:val="auto"/>
          <w:lang w:val="is-IS"/>
        </w:rPr>
        <w:t xml:space="preserve">, FOLFOX-4 + </w:t>
      </w:r>
      <w:r w:rsidR="00690564" w:rsidRPr="00F2274F">
        <w:rPr>
          <w:lang w:val="is-IS"/>
        </w:rPr>
        <w:t>bevacízúmab</w:t>
      </w:r>
      <w:r w:rsidRPr="009F7642">
        <w:rPr>
          <w:color w:val="auto"/>
          <w:lang w:val="is-IS"/>
        </w:rPr>
        <w:t xml:space="preserve">). Í II. hluta var útfærsla meðferðar tvíblind með tilliti til </w:t>
      </w:r>
      <w:r w:rsidR="00690564" w:rsidRPr="00F2274F">
        <w:rPr>
          <w:lang w:val="sv-SE"/>
        </w:rPr>
        <w:t>bevacízúmab</w:t>
      </w:r>
      <w:r w:rsidR="0044479B" w:rsidRPr="00F2274F">
        <w:rPr>
          <w:lang w:val="sv-SE"/>
        </w:rPr>
        <w:t>s</w:t>
      </w:r>
      <w:r w:rsidRPr="009F7642">
        <w:rPr>
          <w:color w:val="auto"/>
          <w:lang w:val="is-IS"/>
        </w:rPr>
        <w:t>.</w:t>
      </w:r>
    </w:p>
    <w:p w14:paraId="4EF97512" w14:textId="77777777" w:rsidR="005F36F3" w:rsidRPr="009F7642" w:rsidRDefault="005F36F3" w:rsidP="008B60B2">
      <w:pPr>
        <w:suppressAutoHyphens/>
        <w:spacing w:after="0" w:line="240" w:lineRule="auto"/>
        <w:ind w:left="0" w:firstLine="0"/>
        <w:rPr>
          <w:color w:val="auto"/>
          <w:lang w:val="is-IS"/>
        </w:rPr>
      </w:pPr>
    </w:p>
    <w:p w14:paraId="530D1877"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Um 350 sjúklingum var slembiraðað í hvern af rannsóknarhópunum 4 í II. hluta rannsóknarinnar.</w:t>
      </w:r>
    </w:p>
    <w:p w14:paraId="387080C5" w14:textId="77777777" w:rsidR="005F36F3" w:rsidRPr="009F7642" w:rsidRDefault="005F36F3" w:rsidP="008B60B2">
      <w:pPr>
        <w:suppressAutoHyphens/>
        <w:spacing w:after="0" w:line="240" w:lineRule="auto"/>
        <w:ind w:left="0" w:firstLine="0"/>
        <w:rPr>
          <w:color w:val="auto"/>
          <w:lang w:val="is-IS"/>
        </w:rPr>
      </w:pPr>
    </w:p>
    <w:p w14:paraId="4F08E2DA" w14:textId="77777777" w:rsidR="006C06D6" w:rsidRPr="00CF1220" w:rsidRDefault="00BF4F58" w:rsidP="000120DA">
      <w:pPr>
        <w:keepNext/>
        <w:suppressAutoHyphens/>
        <w:spacing w:after="0" w:line="240" w:lineRule="auto"/>
        <w:ind w:left="0" w:firstLine="0"/>
        <w:rPr>
          <w:b/>
          <w:color w:val="auto"/>
          <w:lang w:val="is-IS"/>
        </w:rPr>
      </w:pPr>
      <w:r w:rsidRPr="00CF1220">
        <w:rPr>
          <w:b/>
          <w:color w:val="auto"/>
          <w:lang w:val="is-IS"/>
        </w:rPr>
        <w:lastRenderedPageBreak/>
        <w:t>Tafla 6</w:t>
      </w:r>
      <w:r w:rsidR="00FA281C" w:rsidRPr="00CF1220">
        <w:rPr>
          <w:b/>
          <w:color w:val="auto"/>
          <w:lang w:val="is-IS"/>
        </w:rPr>
        <w:t>.</w:t>
      </w:r>
      <w:r w:rsidR="00CE16F8" w:rsidRPr="00CF1220">
        <w:rPr>
          <w:b/>
          <w:color w:val="auto"/>
          <w:lang w:val="is-IS"/>
        </w:rPr>
        <w:t xml:space="preserve"> </w:t>
      </w:r>
      <w:r w:rsidR="00564614" w:rsidRPr="00CF1220">
        <w:rPr>
          <w:b/>
          <w:color w:val="auto"/>
          <w:lang w:val="is-IS"/>
        </w:rPr>
        <w:t>Meðferðaráætlanir í rannsókn NO16966</w:t>
      </w:r>
    </w:p>
    <w:p w14:paraId="22F3A482" w14:textId="77777777" w:rsidR="005F36F3" w:rsidRPr="009F7642" w:rsidRDefault="005F36F3" w:rsidP="008C1CE8">
      <w:pPr>
        <w:keepNext/>
        <w:suppressAutoHyphens/>
        <w:spacing w:after="0" w:line="240" w:lineRule="auto"/>
        <w:ind w:left="0" w:firstLine="0"/>
        <w:rPr>
          <w:color w:val="auto"/>
          <w:lang w:val="is-I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3005"/>
        <w:gridCol w:w="2807"/>
      </w:tblGrid>
      <w:tr w:rsidR="006910EA" w:rsidRPr="008718A1" w14:paraId="0484B44B" w14:textId="77777777" w:rsidTr="007566FC">
        <w:trPr>
          <w:trHeight w:val="248"/>
          <w:tblHeader/>
        </w:trPr>
        <w:tc>
          <w:tcPr>
            <w:tcW w:w="1418" w:type="dxa"/>
            <w:noWrap/>
            <w:vAlign w:val="bottom"/>
            <w:hideMark/>
          </w:tcPr>
          <w:p w14:paraId="77FAC47F" w14:textId="77777777" w:rsidR="00B4605A" w:rsidRPr="008718A1" w:rsidRDefault="00B4605A" w:rsidP="00F2274F">
            <w:pPr>
              <w:keepNext/>
              <w:suppressAutoHyphens/>
              <w:spacing w:line="240" w:lineRule="auto"/>
              <w:rPr>
                <w:color w:val="auto"/>
                <w:lang w:val="is-IS"/>
              </w:rPr>
            </w:pPr>
            <w:bookmarkStart w:id="0" w:name="_Hlk490249064"/>
          </w:p>
        </w:tc>
        <w:tc>
          <w:tcPr>
            <w:tcW w:w="1701" w:type="dxa"/>
            <w:tcBorders>
              <w:bottom w:val="single" w:sz="4" w:space="0" w:color="auto"/>
            </w:tcBorders>
            <w:noWrap/>
            <w:hideMark/>
          </w:tcPr>
          <w:p w14:paraId="6A5141F5" w14:textId="77777777" w:rsidR="00B4605A" w:rsidRPr="008718A1" w:rsidRDefault="00B4605A" w:rsidP="00F2274F">
            <w:pPr>
              <w:keepNext/>
              <w:suppressAutoHyphens/>
              <w:spacing w:line="259" w:lineRule="auto"/>
              <w:ind w:right="50"/>
              <w:jc w:val="center"/>
              <w:rPr>
                <w:b/>
                <w:color w:val="auto"/>
                <w:lang w:val="is-IS"/>
              </w:rPr>
            </w:pPr>
            <w:r w:rsidRPr="008718A1">
              <w:rPr>
                <w:b/>
                <w:color w:val="auto"/>
                <w:lang w:val="is-IS"/>
              </w:rPr>
              <w:t xml:space="preserve">Meðferð </w:t>
            </w:r>
          </w:p>
        </w:tc>
        <w:tc>
          <w:tcPr>
            <w:tcW w:w="3005" w:type="dxa"/>
            <w:tcBorders>
              <w:bottom w:val="single" w:sz="4" w:space="0" w:color="auto"/>
            </w:tcBorders>
            <w:noWrap/>
            <w:hideMark/>
          </w:tcPr>
          <w:p w14:paraId="4A5C3DBA" w14:textId="77777777" w:rsidR="00B4605A" w:rsidRPr="008718A1" w:rsidRDefault="00B4605A" w:rsidP="00F2274F">
            <w:pPr>
              <w:keepNext/>
              <w:suppressAutoHyphens/>
              <w:spacing w:line="259" w:lineRule="auto"/>
              <w:ind w:left="99"/>
              <w:rPr>
                <w:b/>
                <w:color w:val="auto"/>
                <w:lang w:val="is-IS"/>
              </w:rPr>
            </w:pPr>
            <w:r w:rsidRPr="008718A1">
              <w:rPr>
                <w:b/>
                <w:color w:val="auto"/>
                <w:lang w:val="is-IS"/>
              </w:rPr>
              <w:t xml:space="preserve">Upphafsskammtur </w:t>
            </w:r>
          </w:p>
        </w:tc>
        <w:tc>
          <w:tcPr>
            <w:tcW w:w="2807" w:type="dxa"/>
            <w:tcBorders>
              <w:bottom w:val="single" w:sz="4" w:space="0" w:color="auto"/>
            </w:tcBorders>
            <w:noWrap/>
            <w:hideMark/>
          </w:tcPr>
          <w:p w14:paraId="4FB8EDB9" w14:textId="77777777" w:rsidR="00B4605A" w:rsidRPr="008718A1" w:rsidRDefault="00B4605A" w:rsidP="00F2274F">
            <w:pPr>
              <w:keepNext/>
              <w:suppressAutoHyphens/>
              <w:spacing w:line="259" w:lineRule="auto"/>
              <w:ind w:right="50"/>
              <w:jc w:val="center"/>
              <w:rPr>
                <w:b/>
                <w:color w:val="auto"/>
                <w:lang w:val="is-IS"/>
              </w:rPr>
            </w:pPr>
            <w:r w:rsidRPr="008718A1">
              <w:rPr>
                <w:b/>
                <w:color w:val="auto"/>
                <w:lang w:val="is-IS"/>
              </w:rPr>
              <w:t xml:space="preserve">Áætlun </w:t>
            </w:r>
          </w:p>
        </w:tc>
      </w:tr>
      <w:tr w:rsidR="006910EA" w:rsidRPr="008718A1" w14:paraId="27CFDF33" w14:textId="77777777" w:rsidTr="007566FC">
        <w:trPr>
          <w:trHeight w:val="423"/>
        </w:trPr>
        <w:tc>
          <w:tcPr>
            <w:tcW w:w="1418" w:type="dxa"/>
            <w:vMerge w:val="restart"/>
            <w:noWrap/>
            <w:hideMark/>
          </w:tcPr>
          <w:p w14:paraId="72054BCD" w14:textId="77777777" w:rsidR="006C06D6" w:rsidRPr="008718A1" w:rsidRDefault="00B4605A" w:rsidP="007309A2">
            <w:pPr>
              <w:keepNext/>
              <w:suppressAutoHyphens/>
              <w:spacing w:line="240" w:lineRule="auto"/>
              <w:ind w:left="11" w:hanging="11"/>
              <w:rPr>
                <w:color w:val="auto"/>
                <w:lang w:val="is-IS"/>
              </w:rPr>
            </w:pPr>
            <w:r w:rsidRPr="008718A1">
              <w:rPr>
                <w:color w:val="auto"/>
                <w:lang w:val="is-IS"/>
              </w:rPr>
              <w:t xml:space="preserve">FOLFOX-4 </w:t>
            </w:r>
          </w:p>
          <w:p w14:paraId="5039FE45" w14:textId="77777777" w:rsidR="006C06D6" w:rsidRPr="008718A1" w:rsidRDefault="00F74849" w:rsidP="007309A2">
            <w:pPr>
              <w:keepNext/>
              <w:suppressAutoHyphens/>
              <w:spacing w:after="16" w:line="259" w:lineRule="auto"/>
              <w:ind w:left="11" w:right="53" w:hanging="11"/>
              <w:rPr>
                <w:color w:val="auto"/>
                <w:lang w:val="is-IS"/>
              </w:rPr>
            </w:pPr>
            <w:r w:rsidRPr="008718A1">
              <w:rPr>
                <w:color w:val="auto"/>
                <w:lang w:val="is-IS"/>
              </w:rPr>
              <w:t>eða</w:t>
            </w:r>
          </w:p>
          <w:p w14:paraId="5BDC6E36" w14:textId="77777777" w:rsidR="006C06D6" w:rsidRPr="008718A1" w:rsidRDefault="00B4605A" w:rsidP="008B60B2">
            <w:pPr>
              <w:suppressAutoHyphens/>
              <w:spacing w:line="259" w:lineRule="auto"/>
              <w:ind w:left="5"/>
              <w:rPr>
                <w:color w:val="auto"/>
                <w:lang w:val="is-IS"/>
              </w:rPr>
            </w:pPr>
            <w:r w:rsidRPr="008718A1">
              <w:rPr>
                <w:color w:val="auto"/>
                <w:lang w:val="is-IS"/>
              </w:rPr>
              <w:t>FOLFOX-4 +</w:t>
            </w:r>
          </w:p>
          <w:p w14:paraId="327D02F5" w14:textId="77777777" w:rsidR="00B4605A" w:rsidRPr="008718A1" w:rsidRDefault="00690564" w:rsidP="008B60B2">
            <w:pPr>
              <w:suppressAutoHyphens/>
              <w:spacing w:line="240" w:lineRule="auto"/>
              <w:rPr>
                <w:color w:val="auto"/>
                <w:lang w:val="is-IS"/>
              </w:rPr>
            </w:pPr>
            <w:proofErr w:type="spellStart"/>
            <w:r>
              <w:t>bevacízúmab</w:t>
            </w:r>
            <w:proofErr w:type="spellEnd"/>
          </w:p>
        </w:tc>
        <w:tc>
          <w:tcPr>
            <w:tcW w:w="1701" w:type="dxa"/>
            <w:tcBorders>
              <w:bottom w:val="nil"/>
            </w:tcBorders>
            <w:noWrap/>
            <w:hideMark/>
          </w:tcPr>
          <w:p w14:paraId="00E735B8" w14:textId="77777777" w:rsidR="00B4605A" w:rsidRPr="008718A1" w:rsidRDefault="00B4605A" w:rsidP="008B60B2">
            <w:pPr>
              <w:suppressAutoHyphens/>
              <w:spacing w:line="240" w:lineRule="auto"/>
              <w:rPr>
                <w:color w:val="auto"/>
                <w:lang w:val="is-IS"/>
              </w:rPr>
            </w:pPr>
            <w:r w:rsidRPr="008718A1">
              <w:rPr>
                <w:color w:val="auto"/>
                <w:lang w:val="is-IS"/>
              </w:rPr>
              <w:t xml:space="preserve">Oxalíplatín </w:t>
            </w:r>
          </w:p>
        </w:tc>
        <w:tc>
          <w:tcPr>
            <w:tcW w:w="3005" w:type="dxa"/>
            <w:tcBorders>
              <w:bottom w:val="nil"/>
            </w:tcBorders>
            <w:noWrap/>
            <w:hideMark/>
          </w:tcPr>
          <w:p w14:paraId="4104769C" w14:textId="77777777" w:rsidR="006C06D6" w:rsidRPr="008718A1" w:rsidRDefault="0024702C" w:rsidP="008B60B2">
            <w:pPr>
              <w:suppressAutoHyphens/>
              <w:spacing w:line="240" w:lineRule="auto"/>
              <w:rPr>
                <w:color w:val="auto"/>
                <w:lang w:val="is-IS"/>
              </w:rPr>
            </w:pPr>
            <w:r w:rsidRPr="008718A1">
              <w:rPr>
                <w:color w:val="auto"/>
                <w:lang w:val="is-IS"/>
              </w:rPr>
              <w:t>85</w:t>
            </w:r>
            <w:r w:rsidR="00DD07A9">
              <w:rPr>
                <w:color w:val="auto"/>
                <w:lang w:val="is-IS"/>
              </w:rPr>
              <w:t> </w:t>
            </w:r>
            <w:r w:rsidR="00B4605A" w:rsidRPr="008718A1">
              <w:rPr>
                <w:color w:val="auto"/>
                <w:lang w:val="is-IS"/>
              </w:rPr>
              <w:t>mg/m</w:t>
            </w:r>
            <w:r w:rsidR="00B4605A" w:rsidRPr="008718A1">
              <w:rPr>
                <w:color w:val="auto"/>
                <w:vertAlign w:val="superscript"/>
                <w:lang w:val="is-IS"/>
              </w:rPr>
              <w:t>2</w:t>
            </w:r>
            <w:r w:rsidR="00B4605A" w:rsidRPr="008718A1">
              <w:rPr>
                <w:color w:val="auto"/>
                <w:lang w:val="is-IS"/>
              </w:rPr>
              <w:t xml:space="preserve"> í bláæð á</w:t>
            </w:r>
          </w:p>
          <w:p w14:paraId="6347234D" w14:textId="77777777" w:rsidR="00B4605A" w:rsidRPr="008718A1" w:rsidRDefault="00B4605A" w:rsidP="008B60B2">
            <w:pPr>
              <w:suppressAutoHyphens/>
              <w:spacing w:line="240" w:lineRule="auto"/>
              <w:rPr>
                <w:color w:val="auto"/>
                <w:lang w:val="is-IS"/>
              </w:rPr>
            </w:pPr>
            <w:r w:rsidRPr="008718A1">
              <w:rPr>
                <w:color w:val="auto"/>
                <w:lang w:val="is-IS"/>
              </w:rPr>
              <w:t>2 klst</w:t>
            </w:r>
          </w:p>
        </w:tc>
        <w:tc>
          <w:tcPr>
            <w:tcW w:w="2807" w:type="dxa"/>
            <w:tcBorders>
              <w:bottom w:val="nil"/>
            </w:tcBorders>
            <w:noWrap/>
            <w:hideMark/>
          </w:tcPr>
          <w:p w14:paraId="3B22241A" w14:textId="77777777" w:rsidR="00B4605A" w:rsidRPr="008718A1" w:rsidRDefault="00B4605A" w:rsidP="008B60B2">
            <w:pPr>
              <w:suppressAutoHyphens/>
              <w:spacing w:line="240" w:lineRule="auto"/>
              <w:rPr>
                <w:color w:val="auto"/>
                <w:lang w:val="is-IS"/>
              </w:rPr>
            </w:pPr>
            <w:r w:rsidRPr="008718A1">
              <w:rPr>
                <w:color w:val="auto"/>
                <w:lang w:val="is-IS"/>
              </w:rPr>
              <w:t>Oxalíplatín á 1. degi</w:t>
            </w:r>
          </w:p>
        </w:tc>
      </w:tr>
      <w:tr w:rsidR="006910EA" w:rsidRPr="008718A1" w14:paraId="4D9A52EF" w14:textId="77777777" w:rsidTr="007566FC">
        <w:trPr>
          <w:trHeight w:val="449"/>
        </w:trPr>
        <w:tc>
          <w:tcPr>
            <w:tcW w:w="1418" w:type="dxa"/>
            <w:vMerge/>
            <w:noWrap/>
          </w:tcPr>
          <w:p w14:paraId="6CB274A0" w14:textId="77777777" w:rsidR="00B4605A" w:rsidRPr="008718A1" w:rsidRDefault="00B4605A" w:rsidP="008B60B2">
            <w:pPr>
              <w:suppressAutoHyphens/>
              <w:spacing w:line="240" w:lineRule="auto"/>
              <w:rPr>
                <w:color w:val="auto"/>
                <w:lang w:val="is-IS"/>
              </w:rPr>
            </w:pPr>
          </w:p>
        </w:tc>
        <w:tc>
          <w:tcPr>
            <w:tcW w:w="1701" w:type="dxa"/>
            <w:tcBorders>
              <w:top w:val="nil"/>
              <w:bottom w:val="nil"/>
            </w:tcBorders>
            <w:noWrap/>
          </w:tcPr>
          <w:p w14:paraId="15311ACF" w14:textId="77777777" w:rsidR="00B4605A" w:rsidRPr="008718A1" w:rsidRDefault="00B4605A" w:rsidP="008B60B2">
            <w:pPr>
              <w:suppressAutoHyphens/>
              <w:spacing w:line="240" w:lineRule="auto"/>
              <w:rPr>
                <w:color w:val="auto"/>
                <w:lang w:val="is-IS"/>
              </w:rPr>
            </w:pPr>
            <w:r w:rsidRPr="008718A1">
              <w:rPr>
                <w:color w:val="auto"/>
                <w:lang w:val="is-IS"/>
              </w:rPr>
              <w:t>Levkóvorín</w:t>
            </w:r>
          </w:p>
        </w:tc>
        <w:tc>
          <w:tcPr>
            <w:tcW w:w="3005" w:type="dxa"/>
            <w:tcBorders>
              <w:top w:val="nil"/>
              <w:bottom w:val="nil"/>
            </w:tcBorders>
            <w:noWrap/>
          </w:tcPr>
          <w:p w14:paraId="17DE3445" w14:textId="77777777" w:rsidR="006C06D6" w:rsidRPr="008718A1" w:rsidRDefault="0024702C" w:rsidP="008B60B2">
            <w:pPr>
              <w:suppressAutoHyphens/>
              <w:spacing w:line="240" w:lineRule="auto"/>
              <w:rPr>
                <w:color w:val="auto"/>
                <w:lang w:val="is-IS"/>
              </w:rPr>
            </w:pPr>
            <w:r w:rsidRPr="008718A1">
              <w:rPr>
                <w:color w:val="auto"/>
                <w:lang w:val="is-IS"/>
              </w:rPr>
              <w:t>200</w:t>
            </w:r>
            <w:r w:rsidR="00DD07A9">
              <w:rPr>
                <w:color w:val="auto"/>
                <w:lang w:val="is-IS"/>
              </w:rPr>
              <w:t> </w:t>
            </w:r>
            <w:r w:rsidR="00B4605A" w:rsidRPr="008718A1">
              <w:rPr>
                <w:color w:val="auto"/>
                <w:lang w:val="is-IS"/>
              </w:rPr>
              <w:t>mg/m</w:t>
            </w:r>
            <w:r w:rsidR="00B4605A" w:rsidRPr="008718A1">
              <w:rPr>
                <w:color w:val="auto"/>
                <w:vertAlign w:val="superscript"/>
                <w:lang w:val="is-IS"/>
              </w:rPr>
              <w:t>2</w:t>
            </w:r>
            <w:r w:rsidR="00B4605A" w:rsidRPr="008718A1">
              <w:rPr>
                <w:color w:val="auto"/>
                <w:lang w:val="is-IS"/>
              </w:rPr>
              <w:t xml:space="preserve"> í bláæð á</w:t>
            </w:r>
          </w:p>
          <w:p w14:paraId="4287EFF7" w14:textId="77777777" w:rsidR="00B4605A" w:rsidRPr="008718A1" w:rsidRDefault="00B4605A" w:rsidP="008B60B2">
            <w:pPr>
              <w:suppressAutoHyphens/>
              <w:spacing w:line="240" w:lineRule="auto"/>
              <w:rPr>
                <w:color w:val="auto"/>
                <w:lang w:val="is-IS"/>
              </w:rPr>
            </w:pPr>
            <w:r w:rsidRPr="008718A1">
              <w:rPr>
                <w:color w:val="auto"/>
                <w:lang w:val="is-IS"/>
              </w:rPr>
              <w:t>2 klst</w:t>
            </w:r>
          </w:p>
        </w:tc>
        <w:tc>
          <w:tcPr>
            <w:tcW w:w="2807" w:type="dxa"/>
            <w:tcBorders>
              <w:top w:val="nil"/>
              <w:bottom w:val="nil"/>
            </w:tcBorders>
            <w:noWrap/>
          </w:tcPr>
          <w:p w14:paraId="740DB9B5" w14:textId="77777777" w:rsidR="00B4605A" w:rsidRPr="008718A1" w:rsidRDefault="00B4605A" w:rsidP="008B60B2">
            <w:pPr>
              <w:suppressAutoHyphens/>
              <w:spacing w:line="240" w:lineRule="auto"/>
              <w:rPr>
                <w:color w:val="auto"/>
                <w:lang w:val="is-IS"/>
              </w:rPr>
            </w:pPr>
            <w:r w:rsidRPr="008718A1">
              <w:rPr>
                <w:color w:val="auto"/>
                <w:lang w:val="is-IS"/>
              </w:rPr>
              <w:t>Levkóvorín á 1. og 2. degi</w:t>
            </w:r>
          </w:p>
        </w:tc>
      </w:tr>
      <w:tr w:rsidR="006910EA" w:rsidRPr="00AD2908" w14:paraId="09052014" w14:textId="77777777" w:rsidTr="007566FC">
        <w:trPr>
          <w:trHeight w:val="622"/>
        </w:trPr>
        <w:tc>
          <w:tcPr>
            <w:tcW w:w="1418" w:type="dxa"/>
            <w:vMerge/>
            <w:noWrap/>
          </w:tcPr>
          <w:p w14:paraId="346C702B" w14:textId="77777777" w:rsidR="00B4605A" w:rsidRPr="008718A1" w:rsidRDefault="00B4605A" w:rsidP="008B60B2">
            <w:pPr>
              <w:suppressAutoHyphens/>
              <w:spacing w:line="240" w:lineRule="auto"/>
              <w:rPr>
                <w:color w:val="auto"/>
                <w:lang w:val="is-IS"/>
              </w:rPr>
            </w:pPr>
          </w:p>
        </w:tc>
        <w:tc>
          <w:tcPr>
            <w:tcW w:w="1701" w:type="dxa"/>
            <w:tcBorders>
              <w:top w:val="nil"/>
            </w:tcBorders>
            <w:noWrap/>
          </w:tcPr>
          <w:p w14:paraId="3F17F731" w14:textId="77777777" w:rsidR="00B4605A" w:rsidRPr="008718A1" w:rsidRDefault="00B4605A" w:rsidP="008B60B2">
            <w:pPr>
              <w:suppressAutoHyphens/>
              <w:spacing w:line="240" w:lineRule="auto"/>
              <w:rPr>
                <w:color w:val="auto"/>
                <w:lang w:val="is-IS"/>
              </w:rPr>
            </w:pPr>
            <w:r w:rsidRPr="008718A1">
              <w:rPr>
                <w:color w:val="auto"/>
                <w:lang w:val="is-IS"/>
              </w:rPr>
              <w:t>5-flúoróúracíl</w:t>
            </w:r>
          </w:p>
        </w:tc>
        <w:tc>
          <w:tcPr>
            <w:tcW w:w="3005" w:type="dxa"/>
            <w:tcBorders>
              <w:top w:val="nil"/>
            </w:tcBorders>
            <w:noWrap/>
          </w:tcPr>
          <w:p w14:paraId="1572D6EA" w14:textId="77777777" w:rsidR="006C06D6" w:rsidRPr="008718A1" w:rsidRDefault="0024702C" w:rsidP="008B60B2">
            <w:pPr>
              <w:suppressAutoHyphens/>
              <w:spacing w:line="240" w:lineRule="auto"/>
              <w:rPr>
                <w:color w:val="auto"/>
                <w:lang w:val="is-IS"/>
              </w:rPr>
            </w:pPr>
            <w:r w:rsidRPr="008718A1">
              <w:rPr>
                <w:color w:val="auto"/>
                <w:lang w:val="is-IS"/>
              </w:rPr>
              <w:t>400</w:t>
            </w:r>
            <w:r w:rsidR="00DD07A9">
              <w:rPr>
                <w:color w:val="auto"/>
                <w:lang w:val="is-IS"/>
              </w:rPr>
              <w:t> </w:t>
            </w:r>
            <w:r w:rsidR="00B4605A" w:rsidRPr="008718A1">
              <w:rPr>
                <w:color w:val="auto"/>
                <w:lang w:val="is-IS"/>
              </w:rPr>
              <w:t>mg/m</w:t>
            </w:r>
            <w:r w:rsidR="00B4605A" w:rsidRPr="008718A1">
              <w:rPr>
                <w:color w:val="auto"/>
                <w:vertAlign w:val="superscript"/>
                <w:lang w:val="is-IS"/>
              </w:rPr>
              <w:t>2</w:t>
            </w:r>
            <w:r w:rsidR="00B4605A" w:rsidRPr="008718A1">
              <w:rPr>
                <w:color w:val="auto"/>
                <w:lang w:val="is-IS"/>
              </w:rPr>
              <w:t xml:space="preserve"> hleðsluskammtur í bláæð, </w:t>
            </w:r>
          </w:p>
          <w:p w14:paraId="71AB86C0" w14:textId="77777777" w:rsidR="00B4605A" w:rsidRPr="008718A1" w:rsidRDefault="00B4605A" w:rsidP="008B60B2">
            <w:pPr>
              <w:suppressAutoHyphens/>
              <w:spacing w:line="240" w:lineRule="auto"/>
              <w:rPr>
                <w:color w:val="auto"/>
                <w:lang w:val="is-IS"/>
              </w:rPr>
            </w:pPr>
            <w:r w:rsidRPr="008718A1">
              <w:rPr>
                <w:color w:val="auto"/>
                <w:lang w:val="is-IS"/>
              </w:rPr>
              <w:t>600</w:t>
            </w:r>
            <w:r w:rsidR="00DD07A9">
              <w:rPr>
                <w:color w:val="auto"/>
                <w:lang w:val="is-IS"/>
              </w:rPr>
              <w:t> </w:t>
            </w:r>
            <w:r w:rsidRPr="008718A1">
              <w:rPr>
                <w:color w:val="auto"/>
                <w:lang w:val="is-IS"/>
              </w:rPr>
              <w:t>mg/ m</w:t>
            </w:r>
            <w:r w:rsidRPr="008718A1">
              <w:rPr>
                <w:color w:val="auto"/>
                <w:vertAlign w:val="superscript"/>
                <w:lang w:val="is-IS"/>
              </w:rPr>
              <w:t>2</w:t>
            </w:r>
            <w:r w:rsidRPr="008718A1">
              <w:rPr>
                <w:color w:val="auto"/>
                <w:lang w:val="is-IS"/>
              </w:rPr>
              <w:t xml:space="preserve"> í bláæð á 22 klst</w:t>
            </w:r>
          </w:p>
        </w:tc>
        <w:tc>
          <w:tcPr>
            <w:tcW w:w="2807" w:type="dxa"/>
            <w:tcBorders>
              <w:top w:val="nil"/>
            </w:tcBorders>
            <w:noWrap/>
          </w:tcPr>
          <w:p w14:paraId="5C5D7959" w14:textId="77777777" w:rsidR="00B4605A" w:rsidRPr="008718A1" w:rsidRDefault="00B4605A" w:rsidP="008B60B2">
            <w:pPr>
              <w:suppressAutoHyphens/>
              <w:spacing w:line="240" w:lineRule="auto"/>
              <w:rPr>
                <w:color w:val="auto"/>
                <w:lang w:val="is-IS"/>
              </w:rPr>
            </w:pPr>
            <w:r w:rsidRPr="008718A1">
              <w:rPr>
                <w:color w:val="auto"/>
                <w:lang w:val="is-IS"/>
              </w:rPr>
              <w:t>5- flúoróúracíl hleðsluskammtur í bláæð/innrennsli, hvort um sig á 1. og 2. degi</w:t>
            </w:r>
          </w:p>
        </w:tc>
      </w:tr>
      <w:tr w:rsidR="006910EA" w:rsidRPr="00AD2908" w14:paraId="3329E91A" w14:textId="77777777" w:rsidTr="007566FC">
        <w:trPr>
          <w:trHeight w:val="584"/>
        </w:trPr>
        <w:tc>
          <w:tcPr>
            <w:tcW w:w="1418" w:type="dxa"/>
            <w:vMerge/>
            <w:noWrap/>
            <w:hideMark/>
          </w:tcPr>
          <w:p w14:paraId="24AC6374" w14:textId="77777777" w:rsidR="00B4605A" w:rsidRPr="008718A1" w:rsidRDefault="00B4605A" w:rsidP="008B60B2">
            <w:pPr>
              <w:suppressAutoHyphens/>
              <w:spacing w:line="240" w:lineRule="auto"/>
              <w:rPr>
                <w:color w:val="auto"/>
                <w:lang w:val="is-IS"/>
              </w:rPr>
            </w:pPr>
          </w:p>
        </w:tc>
        <w:tc>
          <w:tcPr>
            <w:tcW w:w="1701" w:type="dxa"/>
            <w:tcBorders>
              <w:bottom w:val="single" w:sz="4" w:space="0" w:color="auto"/>
            </w:tcBorders>
            <w:noWrap/>
            <w:hideMark/>
          </w:tcPr>
          <w:p w14:paraId="047017DC" w14:textId="77777777" w:rsidR="00B4605A" w:rsidRPr="008718A1" w:rsidRDefault="00B4605A" w:rsidP="008B60B2">
            <w:pPr>
              <w:suppressAutoHyphens/>
              <w:spacing w:line="240" w:lineRule="auto"/>
              <w:rPr>
                <w:color w:val="auto"/>
                <w:lang w:val="is-IS"/>
              </w:rPr>
            </w:pPr>
            <w:r w:rsidRPr="008718A1">
              <w:rPr>
                <w:color w:val="auto"/>
                <w:lang w:val="is-IS"/>
              </w:rPr>
              <w:t xml:space="preserve">Lyfleysa eða </w:t>
            </w:r>
            <w:proofErr w:type="spellStart"/>
            <w:r w:rsidR="00690564">
              <w:t>bevacízúmab</w:t>
            </w:r>
            <w:proofErr w:type="spellEnd"/>
            <w:r w:rsidRPr="008718A1">
              <w:rPr>
                <w:color w:val="auto"/>
                <w:lang w:val="is-IS"/>
              </w:rPr>
              <w:t xml:space="preserve"> </w:t>
            </w:r>
          </w:p>
        </w:tc>
        <w:tc>
          <w:tcPr>
            <w:tcW w:w="3005" w:type="dxa"/>
            <w:tcBorders>
              <w:bottom w:val="single" w:sz="4" w:space="0" w:color="auto"/>
            </w:tcBorders>
            <w:noWrap/>
            <w:hideMark/>
          </w:tcPr>
          <w:p w14:paraId="5B5007AC" w14:textId="77777777" w:rsidR="00B4605A" w:rsidRPr="008718A1" w:rsidRDefault="0024702C" w:rsidP="008B60B2">
            <w:pPr>
              <w:suppressAutoHyphens/>
              <w:spacing w:line="240" w:lineRule="auto"/>
              <w:rPr>
                <w:color w:val="auto"/>
                <w:lang w:val="is-IS"/>
              </w:rPr>
            </w:pPr>
            <w:r w:rsidRPr="008718A1">
              <w:rPr>
                <w:color w:val="auto"/>
                <w:lang w:val="is-IS"/>
              </w:rPr>
              <w:t>5</w:t>
            </w:r>
            <w:r w:rsidR="00DD07A9">
              <w:rPr>
                <w:color w:val="auto"/>
                <w:lang w:val="is-IS"/>
              </w:rPr>
              <w:t> </w:t>
            </w:r>
            <w:r w:rsidR="00B4605A" w:rsidRPr="008718A1">
              <w:rPr>
                <w:color w:val="auto"/>
                <w:lang w:val="is-IS"/>
              </w:rPr>
              <w:t xml:space="preserve">mg/kg í bláæð á 30-90 mín. </w:t>
            </w:r>
          </w:p>
        </w:tc>
        <w:tc>
          <w:tcPr>
            <w:tcW w:w="2807" w:type="dxa"/>
            <w:tcBorders>
              <w:bottom w:val="single" w:sz="4" w:space="0" w:color="auto"/>
            </w:tcBorders>
            <w:noWrap/>
            <w:hideMark/>
          </w:tcPr>
          <w:p w14:paraId="28432688" w14:textId="77777777" w:rsidR="00B4605A" w:rsidRPr="008718A1" w:rsidRDefault="00B4605A" w:rsidP="008B60B2">
            <w:pPr>
              <w:suppressAutoHyphens/>
              <w:spacing w:line="240" w:lineRule="auto"/>
              <w:rPr>
                <w:color w:val="auto"/>
                <w:lang w:val="is-IS"/>
              </w:rPr>
            </w:pPr>
            <w:r w:rsidRPr="008718A1">
              <w:rPr>
                <w:color w:val="auto"/>
                <w:lang w:val="is-IS"/>
              </w:rPr>
              <w:t xml:space="preserve">Á 1. degi, á undan FOLFOX-4, á 2 vikna fresti </w:t>
            </w:r>
          </w:p>
        </w:tc>
      </w:tr>
      <w:tr w:rsidR="006910EA" w:rsidRPr="008718A1" w14:paraId="63C198A2" w14:textId="77777777" w:rsidTr="007566FC">
        <w:trPr>
          <w:trHeight w:val="345"/>
        </w:trPr>
        <w:tc>
          <w:tcPr>
            <w:tcW w:w="1418" w:type="dxa"/>
            <w:vMerge w:val="restart"/>
            <w:noWrap/>
            <w:hideMark/>
          </w:tcPr>
          <w:p w14:paraId="69E05F0A" w14:textId="77777777" w:rsidR="00153E12" w:rsidRDefault="00B4605A" w:rsidP="008B60B2">
            <w:pPr>
              <w:keepNext/>
              <w:keepLines/>
              <w:suppressAutoHyphens/>
              <w:spacing w:line="240" w:lineRule="auto"/>
              <w:ind w:left="11" w:hanging="11"/>
              <w:rPr>
                <w:color w:val="auto"/>
                <w:lang w:val="is-IS"/>
              </w:rPr>
            </w:pPr>
            <w:r w:rsidRPr="008718A1">
              <w:rPr>
                <w:color w:val="auto"/>
                <w:lang w:val="is-IS"/>
              </w:rPr>
              <w:t xml:space="preserve">XELOX </w:t>
            </w:r>
          </w:p>
          <w:p w14:paraId="5FAADF3E" w14:textId="77777777" w:rsidR="006C06D6" w:rsidRPr="008718A1" w:rsidRDefault="00B4605A" w:rsidP="008B60B2">
            <w:pPr>
              <w:keepNext/>
              <w:keepLines/>
              <w:suppressAutoHyphens/>
              <w:spacing w:line="240" w:lineRule="auto"/>
              <w:ind w:left="11" w:hanging="11"/>
              <w:rPr>
                <w:color w:val="auto"/>
                <w:lang w:val="is-IS"/>
              </w:rPr>
            </w:pPr>
            <w:r w:rsidRPr="008718A1">
              <w:rPr>
                <w:color w:val="auto"/>
                <w:lang w:val="is-IS"/>
              </w:rPr>
              <w:t>eða</w:t>
            </w:r>
          </w:p>
          <w:p w14:paraId="39433AD8" w14:textId="77777777" w:rsidR="006C06D6" w:rsidRPr="008718A1" w:rsidRDefault="00B4605A" w:rsidP="008B60B2">
            <w:pPr>
              <w:keepNext/>
              <w:keepLines/>
              <w:suppressAutoHyphens/>
              <w:spacing w:line="240" w:lineRule="auto"/>
              <w:ind w:left="11" w:hanging="11"/>
              <w:rPr>
                <w:color w:val="auto"/>
                <w:lang w:val="is-IS"/>
              </w:rPr>
            </w:pPr>
            <w:r w:rsidRPr="008718A1">
              <w:rPr>
                <w:color w:val="auto"/>
                <w:lang w:val="is-IS"/>
              </w:rPr>
              <w:t>XELOX+</w:t>
            </w:r>
          </w:p>
          <w:p w14:paraId="63354AD5" w14:textId="77777777" w:rsidR="00B4605A" w:rsidRPr="008718A1" w:rsidRDefault="00690564" w:rsidP="008B60B2">
            <w:pPr>
              <w:keepNext/>
              <w:keepLines/>
              <w:suppressAutoHyphens/>
              <w:spacing w:line="240" w:lineRule="auto"/>
              <w:ind w:left="11" w:hanging="11"/>
              <w:rPr>
                <w:color w:val="auto"/>
                <w:lang w:val="is-IS"/>
              </w:rPr>
            </w:pPr>
            <w:proofErr w:type="spellStart"/>
            <w:r>
              <w:t>bevacízúmab</w:t>
            </w:r>
            <w:proofErr w:type="spellEnd"/>
          </w:p>
        </w:tc>
        <w:tc>
          <w:tcPr>
            <w:tcW w:w="1701" w:type="dxa"/>
            <w:tcBorders>
              <w:bottom w:val="nil"/>
            </w:tcBorders>
            <w:noWrap/>
            <w:hideMark/>
          </w:tcPr>
          <w:p w14:paraId="0E84A978" w14:textId="77777777" w:rsidR="00B4605A" w:rsidRPr="008718A1" w:rsidRDefault="00B4605A" w:rsidP="008B60B2">
            <w:pPr>
              <w:keepNext/>
              <w:keepLines/>
              <w:suppressAutoHyphens/>
              <w:spacing w:line="240" w:lineRule="auto"/>
              <w:ind w:left="11" w:hanging="11"/>
              <w:rPr>
                <w:color w:val="auto"/>
                <w:lang w:val="is-IS"/>
              </w:rPr>
            </w:pPr>
            <w:r w:rsidRPr="008718A1">
              <w:rPr>
                <w:color w:val="auto"/>
                <w:lang w:val="is-IS"/>
              </w:rPr>
              <w:t xml:space="preserve">Oxalíplatín </w:t>
            </w:r>
          </w:p>
        </w:tc>
        <w:tc>
          <w:tcPr>
            <w:tcW w:w="3005" w:type="dxa"/>
            <w:tcBorders>
              <w:bottom w:val="nil"/>
            </w:tcBorders>
            <w:noWrap/>
            <w:hideMark/>
          </w:tcPr>
          <w:p w14:paraId="12661D24" w14:textId="77777777" w:rsidR="006C06D6" w:rsidRPr="008718A1" w:rsidRDefault="0024702C" w:rsidP="008B60B2">
            <w:pPr>
              <w:keepNext/>
              <w:keepLines/>
              <w:suppressAutoHyphens/>
              <w:spacing w:line="240" w:lineRule="auto"/>
              <w:ind w:left="11" w:hanging="11"/>
              <w:rPr>
                <w:color w:val="auto"/>
                <w:lang w:val="is-IS"/>
              </w:rPr>
            </w:pPr>
            <w:r w:rsidRPr="008718A1">
              <w:rPr>
                <w:color w:val="auto"/>
                <w:lang w:val="is-IS"/>
              </w:rPr>
              <w:t>130</w:t>
            </w:r>
            <w:r w:rsidR="00DD07A9">
              <w:rPr>
                <w:color w:val="auto"/>
                <w:lang w:val="is-IS"/>
              </w:rPr>
              <w:t> </w:t>
            </w:r>
            <w:r w:rsidR="00B4605A" w:rsidRPr="008718A1">
              <w:rPr>
                <w:color w:val="auto"/>
                <w:lang w:val="is-IS"/>
              </w:rPr>
              <w:t>mg/m</w:t>
            </w:r>
            <w:r w:rsidR="00B4605A" w:rsidRPr="008718A1">
              <w:rPr>
                <w:color w:val="auto"/>
                <w:vertAlign w:val="superscript"/>
                <w:lang w:val="is-IS"/>
              </w:rPr>
              <w:t>2</w:t>
            </w:r>
            <w:r w:rsidR="00B4605A" w:rsidRPr="008718A1">
              <w:rPr>
                <w:color w:val="auto"/>
                <w:lang w:val="is-IS"/>
              </w:rPr>
              <w:t xml:space="preserve"> í bláæð á</w:t>
            </w:r>
          </w:p>
          <w:p w14:paraId="7278988F" w14:textId="77777777" w:rsidR="00B4605A" w:rsidRPr="008718A1" w:rsidRDefault="00B4605A" w:rsidP="008B60B2">
            <w:pPr>
              <w:keepNext/>
              <w:keepLines/>
              <w:suppressAutoHyphens/>
              <w:spacing w:line="240" w:lineRule="auto"/>
              <w:ind w:left="11" w:hanging="11"/>
              <w:rPr>
                <w:color w:val="auto"/>
                <w:lang w:val="is-IS"/>
              </w:rPr>
            </w:pPr>
            <w:r w:rsidRPr="00363B58">
              <w:rPr>
                <w:color w:val="auto"/>
                <w:lang w:val="is-IS"/>
              </w:rPr>
              <w:t>2 klst</w:t>
            </w:r>
            <w:r w:rsidR="00826FED" w:rsidRPr="00363B58">
              <w:rPr>
                <w:color w:val="auto"/>
                <w:lang w:val="is-IS"/>
              </w:rPr>
              <w:t>.</w:t>
            </w:r>
          </w:p>
        </w:tc>
        <w:tc>
          <w:tcPr>
            <w:tcW w:w="2807" w:type="dxa"/>
            <w:tcBorders>
              <w:bottom w:val="nil"/>
            </w:tcBorders>
            <w:noWrap/>
            <w:hideMark/>
          </w:tcPr>
          <w:p w14:paraId="1781A5C8" w14:textId="77777777" w:rsidR="00B4605A" w:rsidRPr="008718A1" w:rsidRDefault="00B4605A" w:rsidP="008B60B2">
            <w:pPr>
              <w:keepNext/>
              <w:keepLines/>
              <w:suppressAutoHyphens/>
              <w:spacing w:line="240" w:lineRule="auto"/>
              <w:ind w:left="11" w:hanging="11"/>
              <w:rPr>
                <w:color w:val="auto"/>
                <w:lang w:val="is-IS"/>
              </w:rPr>
            </w:pPr>
            <w:r w:rsidRPr="008718A1">
              <w:rPr>
                <w:color w:val="auto"/>
                <w:lang w:val="is-IS"/>
              </w:rPr>
              <w:t>Oxalíplatín á 1. degi</w:t>
            </w:r>
          </w:p>
        </w:tc>
      </w:tr>
      <w:tr w:rsidR="006910EA" w:rsidRPr="00AD2908" w14:paraId="1B33F74D" w14:textId="77777777" w:rsidTr="007566FC">
        <w:trPr>
          <w:trHeight w:val="523"/>
        </w:trPr>
        <w:tc>
          <w:tcPr>
            <w:tcW w:w="1418" w:type="dxa"/>
            <w:vMerge/>
            <w:noWrap/>
          </w:tcPr>
          <w:p w14:paraId="15097AC9" w14:textId="77777777" w:rsidR="00B4605A" w:rsidRPr="008718A1" w:rsidRDefault="00B4605A" w:rsidP="008B60B2">
            <w:pPr>
              <w:keepNext/>
              <w:keepLines/>
              <w:suppressAutoHyphens/>
              <w:spacing w:line="240" w:lineRule="auto"/>
              <w:jc w:val="center"/>
              <w:rPr>
                <w:color w:val="auto"/>
                <w:lang w:val="is-IS"/>
              </w:rPr>
            </w:pPr>
          </w:p>
        </w:tc>
        <w:tc>
          <w:tcPr>
            <w:tcW w:w="1701" w:type="dxa"/>
            <w:tcBorders>
              <w:top w:val="nil"/>
            </w:tcBorders>
            <w:noWrap/>
          </w:tcPr>
          <w:p w14:paraId="27B83522" w14:textId="77777777" w:rsidR="00B4605A" w:rsidRPr="008718A1" w:rsidRDefault="00B4605A" w:rsidP="008B60B2">
            <w:pPr>
              <w:keepNext/>
              <w:keepLines/>
              <w:suppressAutoHyphens/>
              <w:spacing w:line="240" w:lineRule="auto"/>
              <w:rPr>
                <w:color w:val="auto"/>
                <w:lang w:val="is-IS"/>
              </w:rPr>
            </w:pPr>
            <w:r w:rsidRPr="008718A1">
              <w:rPr>
                <w:color w:val="auto"/>
                <w:lang w:val="is-IS"/>
              </w:rPr>
              <w:t>Kapecítabín</w:t>
            </w:r>
          </w:p>
        </w:tc>
        <w:tc>
          <w:tcPr>
            <w:tcW w:w="3005" w:type="dxa"/>
            <w:tcBorders>
              <w:top w:val="nil"/>
            </w:tcBorders>
            <w:noWrap/>
          </w:tcPr>
          <w:p w14:paraId="60DB1119" w14:textId="77777777" w:rsidR="006C06D6" w:rsidRPr="008718A1" w:rsidRDefault="00EE2EFD" w:rsidP="008B60B2">
            <w:pPr>
              <w:keepNext/>
              <w:keepLines/>
              <w:suppressAutoHyphens/>
              <w:spacing w:line="240" w:lineRule="auto"/>
              <w:rPr>
                <w:color w:val="auto"/>
                <w:lang w:val="is-IS"/>
              </w:rPr>
            </w:pPr>
            <w:r w:rsidRPr="008718A1">
              <w:rPr>
                <w:color w:val="auto"/>
                <w:lang w:val="is-IS"/>
              </w:rPr>
              <w:t>1.</w:t>
            </w:r>
            <w:r w:rsidR="00B4605A" w:rsidRPr="008718A1">
              <w:rPr>
                <w:color w:val="auto"/>
                <w:lang w:val="is-IS"/>
              </w:rPr>
              <w:t>000</w:t>
            </w:r>
            <w:r w:rsidR="00DD07A9">
              <w:rPr>
                <w:color w:val="auto"/>
                <w:lang w:val="is-IS"/>
              </w:rPr>
              <w:t> </w:t>
            </w:r>
            <w:r w:rsidR="00B4605A" w:rsidRPr="008718A1">
              <w:rPr>
                <w:color w:val="auto"/>
                <w:lang w:val="is-IS"/>
              </w:rPr>
              <w:t>mg/m</w:t>
            </w:r>
            <w:r w:rsidR="00B4605A" w:rsidRPr="008718A1">
              <w:rPr>
                <w:color w:val="auto"/>
                <w:vertAlign w:val="superscript"/>
                <w:lang w:val="is-IS"/>
              </w:rPr>
              <w:t>2</w:t>
            </w:r>
            <w:r w:rsidR="00B4605A" w:rsidRPr="008718A1">
              <w:rPr>
                <w:color w:val="auto"/>
                <w:lang w:val="is-IS"/>
              </w:rPr>
              <w:t xml:space="preserve"> til inntöku tvisvar á dag</w:t>
            </w:r>
          </w:p>
          <w:p w14:paraId="4F2BCB51" w14:textId="77777777" w:rsidR="00B4605A" w:rsidRPr="008718A1" w:rsidRDefault="00B4605A" w:rsidP="008B60B2">
            <w:pPr>
              <w:keepNext/>
              <w:keepLines/>
              <w:suppressAutoHyphens/>
              <w:spacing w:line="240" w:lineRule="auto"/>
              <w:rPr>
                <w:color w:val="auto"/>
                <w:lang w:val="is-IS"/>
              </w:rPr>
            </w:pPr>
          </w:p>
        </w:tc>
        <w:tc>
          <w:tcPr>
            <w:tcW w:w="2807" w:type="dxa"/>
            <w:tcBorders>
              <w:top w:val="nil"/>
            </w:tcBorders>
            <w:noWrap/>
          </w:tcPr>
          <w:p w14:paraId="5E23B718" w14:textId="77777777" w:rsidR="00B4605A" w:rsidRPr="008718A1" w:rsidRDefault="00B4605A" w:rsidP="008B60B2">
            <w:pPr>
              <w:keepNext/>
              <w:keepLines/>
              <w:suppressAutoHyphens/>
              <w:spacing w:line="240" w:lineRule="auto"/>
              <w:rPr>
                <w:color w:val="auto"/>
                <w:lang w:val="is-IS"/>
              </w:rPr>
            </w:pPr>
            <w:r w:rsidRPr="008718A1">
              <w:rPr>
                <w:color w:val="auto"/>
                <w:lang w:val="is-IS"/>
              </w:rPr>
              <w:t>Kapecítabín til inntöku tvisvar á dag (og síðan 1 viku meðferðarhlé)</w:t>
            </w:r>
          </w:p>
        </w:tc>
      </w:tr>
      <w:tr w:rsidR="006910EA" w:rsidRPr="00AD2908" w14:paraId="3903E03B" w14:textId="77777777" w:rsidTr="007566FC">
        <w:trPr>
          <w:trHeight w:val="300"/>
        </w:trPr>
        <w:tc>
          <w:tcPr>
            <w:tcW w:w="1418" w:type="dxa"/>
            <w:vMerge/>
            <w:noWrap/>
            <w:vAlign w:val="bottom"/>
            <w:hideMark/>
          </w:tcPr>
          <w:p w14:paraId="33A307CF" w14:textId="77777777" w:rsidR="00B4605A" w:rsidRPr="008718A1" w:rsidRDefault="00B4605A" w:rsidP="008B60B2">
            <w:pPr>
              <w:keepNext/>
              <w:keepLines/>
              <w:suppressAutoHyphens/>
              <w:spacing w:line="240" w:lineRule="auto"/>
              <w:rPr>
                <w:color w:val="auto"/>
                <w:lang w:val="is-IS"/>
              </w:rPr>
            </w:pPr>
          </w:p>
        </w:tc>
        <w:tc>
          <w:tcPr>
            <w:tcW w:w="1701" w:type="dxa"/>
            <w:noWrap/>
            <w:hideMark/>
          </w:tcPr>
          <w:p w14:paraId="106F6AF1" w14:textId="77777777" w:rsidR="00B4605A" w:rsidRPr="008718A1" w:rsidRDefault="00B4605A" w:rsidP="008B60B2">
            <w:pPr>
              <w:keepNext/>
              <w:keepLines/>
              <w:suppressAutoHyphens/>
              <w:spacing w:line="240" w:lineRule="auto"/>
              <w:rPr>
                <w:color w:val="auto"/>
                <w:lang w:val="is-IS"/>
              </w:rPr>
            </w:pPr>
            <w:r w:rsidRPr="008718A1">
              <w:rPr>
                <w:color w:val="auto"/>
                <w:lang w:val="is-IS"/>
              </w:rPr>
              <w:t xml:space="preserve">Lyfleysa eða </w:t>
            </w:r>
            <w:proofErr w:type="spellStart"/>
            <w:r w:rsidR="00690564">
              <w:t>bevacízúmab</w:t>
            </w:r>
            <w:proofErr w:type="spellEnd"/>
          </w:p>
        </w:tc>
        <w:tc>
          <w:tcPr>
            <w:tcW w:w="3005" w:type="dxa"/>
            <w:noWrap/>
            <w:hideMark/>
          </w:tcPr>
          <w:p w14:paraId="1D6651C1" w14:textId="77777777" w:rsidR="00B4605A" w:rsidRPr="008718A1" w:rsidRDefault="0024702C" w:rsidP="008B60B2">
            <w:pPr>
              <w:keepNext/>
              <w:keepLines/>
              <w:suppressAutoHyphens/>
              <w:spacing w:line="240" w:lineRule="auto"/>
              <w:rPr>
                <w:color w:val="auto"/>
                <w:lang w:val="is-IS"/>
              </w:rPr>
            </w:pPr>
            <w:r w:rsidRPr="008718A1">
              <w:rPr>
                <w:color w:val="auto"/>
                <w:lang w:val="is-IS"/>
              </w:rPr>
              <w:t>7,5</w:t>
            </w:r>
            <w:r w:rsidR="00DD07A9">
              <w:rPr>
                <w:color w:val="auto"/>
                <w:lang w:val="is-IS"/>
              </w:rPr>
              <w:t> </w:t>
            </w:r>
            <w:r w:rsidR="00B4605A" w:rsidRPr="008718A1">
              <w:rPr>
                <w:color w:val="auto"/>
                <w:lang w:val="is-IS"/>
              </w:rPr>
              <w:t xml:space="preserve">mg/kg í bláæð á 30-90 mín. </w:t>
            </w:r>
          </w:p>
        </w:tc>
        <w:tc>
          <w:tcPr>
            <w:tcW w:w="2807" w:type="dxa"/>
            <w:noWrap/>
            <w:hideMark/>
          </w:tcPr>
          <w:p w14:paraId="795B2769" w14:textId="77777777" w:rsidR="00B4605A" w:rsidRPr="008718A1" w:rsidRDefault="00B4605A" w:rsidP="008B60B2">
            <w:pPr>
              <w:keepNext/>
              <w:keepLines/>
              <w:suppressAutoHyphens/>
              <w:spacing w:line="240" w:lineRule="auto"/>
              <w:rPr>
                <w:color w:val="auto"/>
                <w:lang w:val="is-IS"/>
              </w:rPr>
            </w:pPr>
            <w:r w:rsidRPr="008718A1">
              <w:rPr>
                <w:color w:val="auto"/>
                <w:lang w:val="is-IS"/>
              </w:rPr>
              <w:t xml:space="preserve">Á 1. degi á undan XELOX, á 3 vikna fresti </w:t>
            </w:r>
          </w:p>
        </w:tc>
      </w:tr>
      <w:tr w:rsidR="006910EA" w:rsidRPr="00AD2908" w14:paraId="67F79B23" w14:textId="77777777" w:rsidTr="006910EA">
        <w:trPr>
          <w:trHeight w:val="300"/>
        </w:trPr>
        <w:tc>
          <w:tcPr>
            <w:tcW w:w="8931" w:type="dxa"/>
            <w:gridSpan w:val="4"/>
            <w:noWrap/>
            <w:vAlign w:val="bottom"/>
            <w:hideMark/>
          </w:tcPr>
          <w:p w14:paraId="64BDFF4A" w14:textId="77777777" w:rsidR="00B4605A" w:rsidRPr="008718A1" w:rsidRDefault="00B4605A" w:rsidP="008B60B2">
            <w:pPr>
              <w:suppressAutoHyphens/>
              <w:spacing w:line="240" w:lineRule="auto"/>
              <w:rPr>
                <w:color w:val="auto"/>
                <w:lang w:val="is-IS"/>
              </w:rPr>
            </w:pPr>
            <w:r w:rsidRPr="008718A1">
              <w:rPr>
                <w:color w:val="auto"/>
                <w:lang w:val="is-IS"/>
              </w:rPr>
              <w:t>5-flúoróúracíl: Hleðsluskammtur með inndælingu í bláæð strax á eftir levkóvoríni.</w:t>
            </w:r>
          </w:p>
        </w:tc>
      </w:tr>
      <w:bookmarkEnd w:id="0"/>
    </w:tbl>
    <w:p w14:paraId="21078514" w14:textId="77777777" w:rsidR="005F36F3" w:rsidRPr="009F7642" w:rsidRDefault="005F36F3" w:rsidP="008B60B2">
      <w:pPr>
        <w:suppressAutoHyphens/>
        <w:spacing w:after="0" w:line="240" w:lineRule="auto"/>
        <w:ind w:left="0" w:firstLine="0"/>
        <w:rPr>
          <w:color w:val="auto"/>
          <w:lang w:val="is-IS"/>
        </w:rPr>
      </w:pPr>
    </w:p>
    <w:p w14:paraId="3889114E"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Aðalverkunarbreyta rannsóknarinnar var lengd lifunar án versnunar sjúkdóms. Í þessari rannsókn var um tvö aðalmarkmið að ræða: að sýna fram á að XELOX væri ekki verra en FOLFOX-4 og að sýna fram á að </w:t>
      </w:r>
      <w:r w:rsidR="00690564" w:rsidRPr="00F2274F">
        <w:rPr>
          <w:lang w:val="is-IS"/>
        </w:rPr>
        <w:t>bevacízúmab</w:t>
      </w:r>
      <w:r w:rsidRPr="009F7642">
        <w:rPr>
          <w:color w:val="auto"/>
          <w:lang w:val="is-IS"/>
        </w:rPr>
        <w:t xml:space="preserve"> ásamt FOLFOX-4 eða XELOX krabbameinslyfjameðferð væri betra en krabbameinslyfjameðferð ein sér. Báðum aðalmarkmiðum var náð:</w:t>
      </w:r>
    </w:p>
    <w:p w14:paraId="7D69AA49" w14:textId="77777777" w:rsidR="005F36F3" w:rsidRPr="009F7642" w:rsidRDefault="005F36F3" w:rsidP="008B60B2">
      <w:pPr>
        <w:suppressAutoHyphens/>
        <w:spacing w:after="0" w:line="240" w:lineRule="auto"/>
        <w:ind w:left="0" w:firstLine="0"/>
        <w:rPr>
          <w:color w:val="auto"/>
          <w:lang w:val="is-IS"/>
        </w:rPr>
      </w:pPr>
    </w:p>
    <w:p w14:paraId="59B6A143" w14:textId="77777777" w:rsidR="006C06D6" w:rsidRPr="009F7642" w:rsidRDefault="00564614" w:rsidP="008B60B2">
      <w:pPr>
        <w:numPr>
          <w:ilvl w:val="0"/>
          <w:numId w:val="5"/>
        </w:numPr>
        <w:suppressAutoHyphens/>
        <w:spacing w:after="0" w:line="240" w:lineRule="auto"/>
        <w:ind w:left="567" w:hanging="567"/>
        <w:rPr>
          <w:color w:val="auto"/>
          <w:lang w:val="is-IS"/>
        </w:rPr>
      </w:pPr>
      <w:r w:rsidRPr="009F7642">
        <w:rPr>
          <w:color w:val="auto"/>
          <w:lang w:val="is-IS"/>
        </w:rPr>
        <w:t>Sýnt var fram á að meðferð hópanna á XELOX skilaði ekki verri árangri en meðferð hópanna á FOLFOX-4 í heild hvað varðar lifun án versnunar sjúkdóms og heildarlifun hjá hópnum sem kom til greina samkvæmt skilgreiningu í rannsóknaráætlun.</w:t>
      </w:r>
    </w:p>
    <w:p w14:paraId="4E557329" w14:textId="063EB549" w:rsidR="006C06D6" w:rsidRPr="009F7642" w:rsidRDefault="00564614" w:rsidP="008B60B2">
      <w:pPr>
        <w:numPr>
          <w:ilvl w:val="0"/>
          <w:numId w:val="5"/>
        </w:numPr>
        <w:suppressAutoHyphens/>
        <w:spacing w:after="0" w:line="240" w:lineRule="auto"/>
        <w:ind w:left="567" w:hanging="567"/>
        <w:rPr>
          <w:color w:val="auto"/>
          <w:lang w:val="is-IS"/>
        </w:rPr>
      </w:pPr>
      <w:r w:rsidRPr="009F7642">
        <w:rPr>
          <w:color w:val="auto"/>
          <w:lang w:val="is-IS"/>
        </w:rPr>
        <w:t xml:space="preserve">Sýnt var fram á að meðferð hópanna á lyfjum sem innihéldu </w:t>
      </w:r>
      <w:r w:rsidR="00690564" w:rsidRPr="00F2274F">
        <w:rPr>
          <w:lang w:val="is-IS"/>
        </w:rPr>
        <w:t>bevacízúmab</w:t>
      </w:r>
      <w:r w:rsidRPr="009F7642">
        <w:rPr>
          <w:color w:val="auto"/>
          <w:lang w:val="is-IS"/>
        </w:rPr>
        <w:t xml:space="preserve"> skilaði betri árangri en meðferð hópanna á krabbameinslyfjameðferð einni sér hvað varðar lifun án versnunar sjúkdóms hjá þýði sem átti að meðhöndla samkvæmt meðferðaráætlun(ITT) (</w:t>
      </w:r>
      <w:r w:rsidR="00D365ED" w:rsidRPr="009F7642">
        <w:rPr>
          <w:color w:val="auto"/>
          <w:lang w:val="is-IS"/>
        </w:rPr>
        <w:t>sjá t</w:t>
      </w:r>
      <w:r w:rsidR="00D365ED">
        <w:rPr>
          <w:color w:val="auto"/>
          <w:lang w:val="is-IS"/>
        </w:rPr>
        <w:t>ö</w:t>
      </w:r>
      <w:r w:rsidR="00D365ED" w:rsidRPr="009F7642">
        <w:rPr>
          <w:color w:val="auto"/>
          <w:lang w:val="is-IS"/>
        </w:rPr>
        <w:t>fl</w:t>
      </w:r>
      <w:r w:rsidR="00D365ED">
        <w:rPr>
          <w:color w:val="auto"/>
          <w:lang w:val="is-IS"/>
        </w:rPr>
        <w:t>u</w:t>
      </w:r>
      <w:r w:rsidR="00D365ED" w:rsidRPr="009F7642">
        <w:rPr>
          <w:color w:val="auto"/>
          <w:lang w:val="is-IS"/>
        </w:rPr>
        <w:t xml:space="preserve"> </w:t>
      </w:r>
      <w:r w:rsidRPr="009F7642">
        <w:rPr>
          <w:color w:val="auto"/>
          <w:lang w:val="is-IS"/>
        </w:rPr>
        <w:t>7).</w:t>
      </w:r>
    </w:p>
    <w:p w14:paraId="3F2FD458" w14:textId="77777777" w:rsidR="005F36F3" w:rsidRPr="009F7642" w:rsidRDefault="005F36F3" w:rsidP="008B60B2">
      <w:pPr>
        <w:suppressAutoHyphens/>
        <w:spacing w:after="0" w:line="240" w:lineRule="auto"/>
        <w:ind w:left="0" w:firstLine="0"/>
        <w:rPr>
          <w:color w:val="auto"/>
          <w:lang w:val="is-IS"/>
        </w:rPr>
      </w:pPr>
    </w:p>
    <w:p w14:paraId="28F215C0"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Aukagreiningar á lifun án versnunar sjúkdóms, byggðar á mati á svörun þeirra sem voru í meðferð, staðfestu að marktækt betri klínískur ávinningur hefði náðst hjá sjúklingum sem fengu </w:t>
      </w:r>
      <w:r w:rsidR="00690564" w:rsidRPr="00F2274F">
        <w:rPr>
          <w:lang w:val="is-IS"/>
        </w:rPr>
        <w:t>bevacízúmab</w:t>
      </w:r>
      <w:r w:rsidRPr="009F7642">
        <w:rPr>
          <w:color w:val="auto"/>
          <w:lang w:val="is-IS"/>
        </w:rPr>
        <w:t xml:space="preserve"> (greiningar má sjá í töflu 7) og kemur það heim og saman við þann tölfræðilega marktæka ávinning sem vart varð við í úrtaksgreiningunni.</w:t>
      </w:r>
    </w:p>
    <w:p w14:paraId="6A394229" w14:textId="77777777" w:rsidR="005F36F3" w:rsidRPr="009F7642" w:rsidRDefault="005F36F3" w:rsidP="008B60B2">
      <w:pPr>
        <w:suppressAutoHyphens/>
        <w:spacing w:after="0" w:line="240" w:lineRule="auto"/>
        <w:ind w:left="0" w:firstLine="0"/>
        <w:rPr>
          <w:color w:val="auto"/>
          <w:lang w:val="is-IS"/>
        </w:rPr>
      </w:pPr>
    </w:p>
    <w:p w14:paraId="31AC0FD0" w14:textId="77777777" w:rsidR="006C06D6" w:rsidRPr="003D24C6" w:rsidRDefault="00ED782B" w:rsidP="008B60B2">
      <w:pPr>
        <w:keepNext/>
        <w:suppressAutoHyphens/>
        <w:spacing w:after="0" w:line="240" w:lineRule="auto"/>
        <w:ind w:left="0" w:firstLine="0"/>
        <w:rPr>
          <w:b/>
          <w:color w:val="auto"/>
          <w:lang w:val="is-IS"/>
        </w:rPr>
      </w:pPr>
      <w:r w:rsidRPr="003D24C6">
        <w:rPr>
          <w:b/>
          <w:color w:val="auto"/>
          <w:lang w:val="is-IS"/>
        </w:rPr>
        <w:t>Tafla 7</w:t>
      </w:r>
      <w:r w:rsidR="00EA3543" w:rsidRPr="003D24C6">
        <w:rPr>
          <w:b/>
          <w:color w:val="auto"/>
          <w:lang w:val="is-IS"/>
        </w:rPr>
        <w:t>.</w:t>
      </w:r>
      <w:r w:rsidRPr="003D24C6">
        <w:rPr>
          <w:b/>
          <w:color w:val="auto"/>
          <w:lang w:val="is-IS"/>
        </w:rPr>
        <w:t xml:space="preserve"> </w:t>
      </w:r>
      <w:r w:rsidR="00564614" w:rsidRPr="003D24C6">
        <w:rPr>
          <w:b/>
          <w:color w:val="auto"/>
          <w:lang w:val="is-IS"/>
        </w:rPr>
        <w:t>Helstu niðurstöður um verkun úr greiningunni á yfirburðum (þýði sem átti að meðhöndla samkvæmt meðferðaráætlun (ITT), rannsókn NO16966)</w:t>
      </w:r>
    </w:p>
    <w:p w14:paraId="30E76E23" w14:textId="77777777" w:rsidR="005F36F3" w:rsidRPr="009F7642" w:rsidRDefault="005F36F3" w:rsidP="008B60B2">
      <w:pPr>
        <w:keepNext/>
        <w:suppressAutoHyphens/>
        <w:spacing w:after="0" w:line="240" w:lineRule="auto"/>
        <w:ind w:left="0" w:firstLine="0"/>
        <w:rPr>
          <w:color w:val="auto"/>
          <w:lang w:val="is-I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3"/>
        <w:gridCol w:w="2219"/>
        <w:gridCol w:w="2126"/>
        <w:gridCol w:w="1418"/>
      </w:tblGrid>
      <w:tr w:rsidR="00AB7E86" w:rsidRPr="009F7642" w14:paraId="05B4F41E" w14:textId="77777777" w:rsidTr="00AB7E86">
        <w:trPr>
          <w:trHeight w:val="300"/>
          <w:tblHeader/>
        </w:trPr>
        <w:tc>
          <w:tcPr>
            <w:tcW w:w="3183" w:type="dxa"/>
            <w:noWrap/>
            <w:hideMark/>
          </w:tcPr>
          <w:p w14:paraId="39790ACF" w14:textId="77777777" w:rsidR="00DE2272" w:rsidRPr="009F7642" w:rsidRDefault="00DE2272" w:rsidP="008B60B2">
            <w:pPr>
              <w:suppressAutoHyphens/>
              <w:spacing w:line="240" w:lineRule="auto"/>
              <w:rPr>
                <w:b/>
                <w:color w:val="auto"/>
                <w:lang w:val="is-IS"/>
              </w:rPr>
            </w:pPr>
            <w:bookmarkStart w:id="1" w:name="_Hlk490249525"/>
            <w:r w:rsidRPr="009F7642">
              <w:rPr>
                <w:b/>
                <w:color w:val="auto"/>
                <w:lang w:val="is-IS"/>
              </w:rPr>
              <w:t xml:space="preserve">Endapunktur (mánuðir) </w:t>
            </w:r>
          </w:p>
        </w:tc>
        <w:tc>
          <w:tcPr>
            <w:tcW w:w="2219" w:type="dxa"/>
            <w:noWrap/>
            <w:hideMark/>
          </w:tcPr>
          <w:p w14:paraId="73A075B9" w14:textId="77777777" w:rsidR="006C06D6" w:rsidRPr="009F7642" w:rsidRDefault="00DE2272" w:rsidP="008B60B2">
            <w:pPr>
              <w:suppressAutoHyphens/>
              <w:spacing w:after="2" w:line="236" w:lineRule="auto"/>
              <w:ind w:left="343" w:right="235"/>
              <w:jc w:val="center"/>
              <w:rPr>
                <w:b/>
                <w:color w:val="auto"/>
                <w:lang w:val="is-IS"/>
              </w:rPr>
            </w:pPr>
            <w:r w:rsidRPr="009F7642">
              <w:rPr>
                <w:b/>
                <w:color w:val="auto"/>
                <w:lang w:val="is-IS"/>
              </w:rPr>
              <w:t>FOLFOX-4 eða XELOX</w:t>
            </w:r>
          </w:p>
          <w:p w14:paraId="6DD121D5" w14:textId="77777777" w:rsidR="006C06D6" w:rsidRPr="009F7642" w:rsidRDefault="00DE2272" w:rsidP="008B60B2">
            <w:pPr>
              <w:suppressAutoHyphens/>
              <w:spacing w:line="259" w:lineRule="auto"/>
              <w:ind w:right="5"/>
              <w:jc w:val="center"/>
              <w:rPr>
                <w:b/>
                <w:color w:val="auto"/>
                <w:lang w:val="is-IS"/>
              </w:rPr>
            </w:pPr>
            <w:r w:rsidRPr="009F7642">
              <w:rPr>
                <w:b/>
                <w:color w:val="auto"/>
                <w:lang w:val="is-IS"/>
              </w:rPr>
              <w:t>+ lyfleysa</w:t>
            </w:r>
          </w:p>
          <w:p w14:paraId="0B0BCA50" w14:textId="77777777" w:rsidR="00DE2272" w:rsidRPr="009F7642" w:rsidRDefault="00DE2272" w:rsidP="008B60B2">
            <w:pPr>
              <w:suppressAutoHyphens/>
              <w:spacing w:line="259" w:lineRule="auto"/>
              <w:ind w:right="3"/>
              <w:jc w:val="center"/>
              <w:rPr>
                <w:b/>
                <w:color w:val="auto"/>
                <w:lang w:val="is-IS"/>
              </w:rPr>
            </w:pPr>
            <w:r w:rsidRPr="009F7642">
              <w:rPr>
                <w:b/>
                <w:color w:val="auto"/>
                <w:lang w:val="is-IS"/>
              </w:rPr>
              <w:t>(n</w:t>
            </w:r>
            <w:r w:rsidR="00700BDC">
              <w:rPr>
                <w:b/>
                <w:color w:val="auto"/>
                <w:lang w:val="is-IS"/>
              </w:rPr>
              <w:t xml:space="preserve"> = </w:t>
            </w:r>
            <w:r w:rsidRPr="009F7642">
              <w:rPr>
                <w:b/>
                <w:color w:val="auto"/>
                <w:lang w:val="is-IS"/>
              </w:rPr>
              <w:t xml:space="preserve">701) </w:t>
            </w:r>
          </w:p>
        </w:tc>
        <w:tc>
          <w:tcPr>
            <w:tcW w:w="2126" w:type="dxa"/>
            <w:noWrap/>
            <w:hideMark/>
          </w:tcPr>
          <w:p w14:paraId="5E5D221F" w14:textId="77777777" w:rsidR="006C06D6" w:rsidRPr="009F7642" w:rsidRDefault="00DE2272" w:rsidP="008B60B2">
            <w:pPr>
              <w:suppressAutoHyphens/>
              <w:spacing w:after="2" w:line="236" w:lineRule="auto"/>
              <w:ind w:left="286" w:right="178"/>
              <w:jc w:val="center"/>
              <w:rPr>
                <w:b/>
                <w:color w:val="auto"/>
                <w:lang w:val="is-IS"/>
              </w:rPr>
            </w:pPr>
            <w:r w:rsidRPr="009F7642">
              <w:rPr>
                <w:b/>
                <w:color w:val="auto"/>
                <w:lang w:val="is-IS"/>
              </w:rPr>
              <w:t>FOLFOX-4 eða XELOX</w:t>
            </w:r>
          </w:p>
          <w:p w14:paraId="35F2EEE8" w14:textId="77777777" w:rsidR="006C06D6" w:rsidRPr="009F7642" w:rsidRDefault="00DE2272" w:rsidP="008B60B2">
            <w:pPr>
              <w:suppressAutoHyphens/>
              <w:spacing w:line="259" w:lineRule="auto"/>
              <w:ind w:right="2"/>
              <w:jc w:val="center"/>
              <w:rPr>
                <w:b/>
                <w:color w:val="auto"/>
                <w:lang w:val="is-IS"/>
              </w:rPr>
            </w:pPr>
            <w:r w:rsidRPr="009F7642">
              <w:rPr>
                <w:b/>
                <w:color w:val="auto"/>
                <w:lang w:val="is-IS"/>
              </w:rPr>
              <w:t>+ Bevacízúmab</w:t>
            </w:r>
          </w:p>
          <w:p w14:paraId="43C4067C" w14:textId="77777777" w:rsidR="00DE2272" w:rsidRPr="009F7642" w:rsidRDefault="00DE2272" w:rsidP="008B60B2">
            <w:pPr>
              <w:suppressAutoHyphens/>
              <w:spacing w:line="259" w:lineRule="auto"/>
              <w:ind w:right="3"/>
              <w:jc w:val="center"/>
              <w:rPr>
                <w:b/>
                <w:color w:val="auto"/>
                <w:lang w:val="is-IS"/>
              </w:rPr>
            </w:pPr>
            <w:r w:rsidRPr="009F7642">
              <w:rPr>
                <w:b/>
                <w:color w:val="auto"/>
                <w:lang w:val="is-IS"/>
              </w:rPr>
              <w:t>(n</w:t>
            </w:r>
            <w:r w:rsidR="00700BDC">
              <w:rPr>
                <w:b/>
                <w:color w:val="auto"/>
                <w:lang w:val="is-IS"/>
              </w:rPr>
              <w:t xml:space="preserve"> = </w:t>
            </w:r>
            <w:r w:rsidRPr="009F7642">
              <w:rPr>
                <w:b/>
                <w:color w:val="auto"/>
                <w:lang w:val="is-IS"/>
              </w:rPr>
              <w:t xml:space="preserve">699) </w:t>
            </w:r>
          </w:p>
        </w:tc>
        <w:tc>
          <w:tcPr>
            <w:tcW w:w="1418" w:type="dxa"/>
            <w:noWrap/>
            <w:hideMark/>
          </w:tcPr>
          <w:p w14:paraId="52399278" w14:textId="77777777" w:rsidR="00DE2272" w:rsidRPr="009F7642" w:rsidRDefault="00DE2272" w:rsidP="008B60B2">
            <w:pPr>
              <w:suppressAutoHyphens/>
              <w:spacing w:line="259" w:lineRule="auto"/>
              <w:ind w:right="3"/>
              <w:jc w:val="center"/>
              <w:rPr>
                <w:b/>
                <w:color w:val="auto"/>
                <w:lang w:val="is-IS"/>
              </w:rPr>
            </w:pPr>
            <w:r w:rsidRPr="009F7642">
              <w:rPr>
                <w:b/>
                <w:color w:val="auto"/>
                <w:lang w:val="is-IS"/>
              </w:rPr>
              <w:t xml:space="preserve">p-gildi </w:t>
            </w:r>
          </w:p>
        </w:tc>
      </w:tr>
      <w:tr w:rsidR="00AB7E86" w:rsidRPr="009F7642" w14:paraId="1C8817DA" w14:textId="77777777" w:rsidTr="00AB7E86">
        <w:trPr>
          <w:trHeight w:val="421"/>
        </w:trPr>
        <w:tc>
          <w:tcPr>
            <w:tcW w:w="8946" w:type="dxa"/>
            <w:gridSpan w:val="4"/>
            <w:noWrap/>
            <w:hideMark/>
          </w:tcPr>
          <w:p w14:paraId="0A05D34E" w14:textId="77777777" w:rsidR="00DE2272" w:rsidRPr="009F7642" w:rsidRDefault="00DE2272" w:rsidP="008B60B2">
            <w:pPr>
              <w:suppressAutoHyphens/>
              <w:spacing w:after="0" w:line="240" w:lineRule="auto"/>
              <w:ind w:left="0" w:firstLine="0"/>
              <w:rPr>
                <w:color w:val="auto"/>
                <w:lang w:val="is-IS"/>
              </w:rPr>
            </w:pPr>
            <w:r w:rsidRPr="009F7642">
              <w:rPr>
                <w:color w:val="auto"/>
                <w:lang w:val="is-IS"/>
              </w:rPr>
              <w:t>Aðalendapunktur</w:t>
            </w:r>
          </w:p>
        </w:tc>
      </w:tr>
      <w:tr w:rsidR="00AB7E86" w:rsidRPr="009F7642" w14:paraId="0E20314B" w14:textId="77777777" w:rsidTr="00AB7E86">
        <w:trPr>
          <w:trHeight w:val="540"/>
        </w:trPr>
        <w:tc>
          <w:tcPr>
            <w:tcW w:w="3183" w:type="dxa"/>
            <w:noWrap/>
            <w:hideMark/>
          </w:tcPr>
          <w:p w14:paraId="2C07C8BC" w14:textId="3539C0E4" w:rsidR="00DE2272" w:rsidRPr="009F7642" w:rsidRDefault="00DE2272" w:rsidP="008B60B2">
            <w:pPr>
              <w:suppressAutoHyphens/>
              <w:spacing w:after="0" w:line="240" w:lineRule="auto"/>
              <w:ind w:left="567" w:firstLine="0"/>
              <w:rPr>
                <w:color w:val="auto"/>
                <w:lang w:val="is-IS"/>
              </w:rPr>
            </w:pPr>
            <w:r w:rsidRPr="009F7642">
              <w:rPr>
                <w:color w:val="auto"/>
                <w:lang w:val="is-IS"/>
              </w:rPr>
              <w:t>Miðgildi</w:t>
            </w:r>
            <w:r w:rsidR="008872A8">
              <w:rPr>
                <w:color w:val="auto"/>
                <w:lang w:val="is-IS"/>
              </w:rPr>
              <w:t xml:space="preserve"> </w:t>
            </w:r>
            <w:r w:rsidR="008872A8" w:rsidRPr="009F7642">
              <w:rPr>
                <w:color w:val="auto"/>
                <w:lang w:val="is-IS"/>
              </w:rPr>
              <w:t>tím</w:t>
            </w:r>
            <w:r w:rsidR="008872A8">
              <w:rPr>
                <w:color w:val="auto"/>
                <w:lang w:val="is-IS"/>
              </w:rPr>
              <w:t>a</w:t>
            </w:r>
            <w:r w:rsidR="008872A8" w:rsidRPr="009F7642">
              <w:rPr>
                <w:color w:val="auto"/>
                <w:lang w:val="is-IS"/>
              </w:rPr>
              <w:t xml:space="preserve"> </w:t>
            </w:r>
            <w:r w:rsidRPr="009F7642">
              <w:rPr>
                <w:color w:val="auto"/>
                <w:lang w:val="is-IS"/>
              </w:rPr>
              <w:t xml:space="preserve">fram að versnun sjúkdóms** </w:t>
            </w:r>
          </w:p>
        </w:tc>
        <w:tc>
          <w:tcPr>
            <w:tcW w:w="2219" w:type="dxa"/>
            <w:noWrap/>
            <w:hideMark/>
          </w:tcPr>
          <w:p w14:paraId="41AC9329" w14:textId="77777777" w:rsidR="00DE2272" w:rsidRPr="009F7642" w:rsidRDefault="00DE2272" w:rsidP="008B60B2">
            <w:pPr>
              <w:suppressAutoHyphens/>
              <w:spacing w:line="240" w:lineRule="auto"/>
              <w:jc w:val="center"/>
              <w:rPr>
                <w:color w:val="auto"/>
                <w:lang w:val="is-IS"/>
              </w:rPr>
            </w:pPr>
            <w:r w:rsidRPr="009F7642">
              <w:rPr>
                <w:color w:val="auto"/>
                <w:lang w:val="is-IS"/>
              </w:rPr>
              <w:t>8,0</w:t>
            </w:r>
          </w:p>
        </w:tc>
        <w:tc>
          <w:tcPr>
            <w:tcW w:w="2126" w:type="dxa"/>
            <w:noWrap/>
            <w:hideMark/>
          </w:tcPr>
          <w:p w14:paraId="149674F2" w14:textId="77777777" w:rsidR="00DE2272" w:rsidRPr="009F7642" w:rsidRDefault="00DE2272" w:rsidP="008B60B2">
            <w:pPr>
              <w:suppressAutoHyphens/>
              <w:spacing w:line="240" w:lineRule="auto"/>
              <w:jc w:val="center"/>
              <w:rPr>
                <w:color w:val="auto"/>
                <w:lang w:val="is-IS"/>
              </w:rPr>
            </w:pPr>
            <w:r w:rsidRPr="009F7642">
              <w:rPr>
                <w:color w:val="auto"/>
                <w:lang w:val="is-IS"/>
              </w:rPr>
              <w:t>9,4</w:t>
            </w:r>
          </w:p>
        </w:tc>
        <w:tc>
          <w:tcPr>
            <w:tcW w:w="1418" w:type="dxa"/>
            <w:noWrap/>
            <w:hideMark/>
          </w:tcPr>
          <w:p w14:paraId="6B1134B7" w14:textId="77777777" w:rsidR="00DE2272" w:rsidRPr="009F7642" w:rsidRDefault="00DE2272" w:rsidP="008B60B2">
            <w:pPr>
              <w:suppressAutoHyphens/>
              <w:spacing w:line="240" w:lineRule="auto"/>
              <w:jc w:val="center"/>
              <w:rPr>
                <w:color w:val="auto"/>
                <w:lang w:val="is-IS"/>
              </w:rPr>
            </w:pPr>
            <w:r w:rsidRPr="009F7642">
              <w:rPr>
                <w:color w:val="auto"/>
                <w:lang w:val="is-IS"/>
              </w:rPr>
              <w:t>0,0023</w:t>
            </w:r>
          </w:p>
        </w:tc>
      </w:tr>
      <w:tr w:rsidR="00AB7E86" w:rsidRPr="009F7642" w14:paraId="254C16F6" w14:textId="77777777" w:rsidTr="00AB7E86">
        <w:trPr>
          <w:trHeight w:val="419"/>
        </w:trPr>
        <w:tc>
          <w:tcPr>
            <w:tcW w:w="3183" w:type="dxa"/>
            <w:noWrap/>
            <w:hideMark/>
          </w:tcPr>
          <w:p w14:paraId="040FB170" w14:textId="77777777" w:rsidR="00DE2272" w:rsidRPr="009F7642" w:rsidRDefault="00DE2272" w:rsidP="008B60B2">
            <w:pPr>
              <w:suppressAutoHyphens/>
              <w:spacing w:after="0" w:line="240" w:lineRule="auto"/>
              <w:ind w:left="567" w:firstLine="0"/>
              <w:rPr>
                <w:color w:val="auto"/>
                <w:lang w:val="is-IS"/>
              </w:rPr>
            </w:pPr>
            <w:r w:rsidRPr="009F7642">
              <w:rPr>
                <w:color w:val="auto"/>
                <w:lang w:val="is-IS"/>
              </w:rPr>
              <w:t>Áhættuhlutfall (97,5% CI)</w:t>
            </w:r>
            <w:r w:rsidRPr="007309A2">
              <w:rPr>
                <w:color w:val="auto"/>
                <w:vertAlign w:val="superscript"/>
                <w:lang w:val="is-IS"/>
              </w:rPr>
              <w:t>a</w:t>
            </w:r>
            <w:r w:rsidRPr="009F7642">
              <w:rPr>
                <w:color w:val="auto"/>
                <w:lang w:val="is-IS"/>
              </w:rPr>
              <w:t xml:space="preserve"> </w:t>
            </w:r>
          </w:p>
        </w:tc>
        <w:tc>
          <w:tcPr>
            <w:tcW w:w="4345" w:type="dxa"/>
            <w:gridSpan w:val="2"/>
            <w:noWrap/>
            <w:hideMark/>
          </w:tcPr>
          <w:p w14:paraId="6916C916" w14:textId="77777777" w:rsidR="00DE2272" w:rsidRPr="009F7642" w:rsidRDefault="00DE2272" w:rsidP="008B60B2">
            <w:pPr>
              <w:suppressAutoHyphens/>
              <w:spacing w:line="240" w:lineRule="auto"/>
              <w:jc w:val="center"/>
              <w:rPr>
                <w:color w:val="auto"/>
                <w:lang w:val="is-IS"/>
              </w:rPr>
            </w:pPr>
            <w:r w:rsidRPr="009F7642">
              <w:rPr>
                <w:color w:val="auto"/>
                <w:lang w:val="is-IS"/>
              </w:rPr>
              <w:t>0,83 (0,72</w:t>
            </w:r>
            <w:r w:rsidR="008B60B2">
              <w:rPr>
                <w:color w:val="auto"/>
                <w:lang w:val="is-IS"/>
              </w:rPr>
              <w:t xml:space="preserve"> </w:t>
            </w:r>
            <w:r w:rsidRPr="009F7642">
              <w:rPr>
                <w:color w:val="auto"/>
                <w:lang w:val="is-IS"/>
              </w:rPr>
              <w:t>–</w:t>
            </w:r>
            <w:r w:rsidR="008B60B2">
              <w:rPr>
                <w:color w:val="auto"/>
                <w:lang w:val="is-IS"/>
              </w:rPr>
              <w:t xml:space="preserve"> </w:t>
            </w:r>
            <w:r w:rsidRPr="009F7642">
              <w:rPr>
                <w:color w:val="auto"/>
                <w:lang w:val="is-IS"/>
              </w:rPr>
              <w:t>0,95)</w:t>
            </w:r>
          </w:p>
        </w:tc>
        <w:tc>
          <w:tcPr>
            <w:tcW w:w="1418" w:type="dxa"/>
            <w:noWrap/>
            <w:hideMark/>
          </w:tcPr>
          <w:p w14:paraId="2A2D4210" w14:textId="77777777" w:rsidR="00DE2272" w:rsidRPr="009F7642" w:rsidRDefault="00DE2272" w:rsidP="008B60B2">
            <w:pPr>
              <w:keepNext/>
              <w:suppressAutoHyphens/>
              <w:spacing w:line="240" w:lineRule="auto"/>
              <w:rPr>
                <w:color w:val="auto"/>
                <w:lang w:val="is-IS"/>
              </w:rPr>
            </w:pPr>
          </w:p>
        </w:tc>
      </w:tr>
      <w:tr w:rsidR="00AB7E86" w:rsidRPr="009F7642" w14:paraId="3A7D989E" w14:textId="77777777" w:rsidTr="00AB7E86">
        <w:trPr>
          <w:trHeight w:val="411"/>
        </w:trPr>
        <w:tc>
          <w:tcPr>
            <w:tcW w:w="8946" w:type="dxa"/>
            <w:gridSpan w:val="4"/>
            <w:noWrap/>
            <w:hideMark/>
          </w:tcPr>
          <w:p w14:paraId="7319A937" w14:textId="77777777" w:rsidR="00DE2272" w:rsidRPr="009F7642" w:rsidRDefault="00DE2272" w:rsidP="007309A2">
            <w:pPr>
              <w:keepNext/>
              <w:suppressAutoHyphens/>
              <w:spacing w:after="0" w:line="240" w:lineRule="auto"/>
              <w:ind w:left="0" w:firstLine="0"/>
              <w:rPr>
                <w:color w:val="auto"/>
                <w:lang w:val="is-IS"/>
              </w:rPr>
            </w:pPr>
            <w:r w:rsidRPr="009F7642">
              <w:rPr>
                <w:color w:val="auto"/>
                <w:lang w:val="is-IS"/>
              </w:rPr>
              <w:lastRenderedPageBreak/>
              <w:t>Aukaendapunktar</w:t>
            </w:r>
          </w:p>
        </w:tc>
      </w:tr>
      <w:tr w:rsidR="00AB7E86" w:rsidRPr="009F7642" w14:paraId="29F3141A" w14:textId="77777777" w:rsidTr="00AB7E86">
        <w:trPr>
          <w:trHeight w:val="417"/>
        </w:trPr>
        <w:tc>
          <w:tcPr>
            <w:tcW w:w="3183" w:type="dxa"/>
            <w:noWrap/>
            <w:hideMark/>
          </w:tcPr>
          <w:p w14:paraId="7F54C621" w14:textId="2426D792" w:rsidR="00DE2272" w:rsidRPr="009F7642" w:rsidRDefault="00DE2272" w:rsidP="007309A2">
            <w:pPr>
              <w:keepNext/>
              <w:suppressAutoHyphens/>
              <w:spacing w:after="0" w:line="240" w:lineRule="auto"/>
              <w:ind w:left="567" w:firstLine="0"/>
              <w:rPr>
                <w:color w:val="auto"/>
                <w:lang w:val="is-IS"/>
              </w:rPr>
            </w:pPr>
            <w:r w:rsidRPr="009F7642">
              <w:rPr>
                <w:color w:val="auto"/>
                <w:lang w:val="is-IS"/>
              </w:rPr>
              <w:t>Miðgildi</w:t>
            </w:r>
            <w:r w:rsidR="008872A8">
              <w:rPr>
                <w:color w:val="auto"/>
                <w:lang w:val="is-IS"/>
              </w:rPr>
              <w:t xml:space="preserve"> </w:t>
            </w:r>
            <w:r w:rsidR="008872A8" w:rsidRPr="009F7642">
              <w:rPr>
                <w:color w:val="auto"/>
                <w:lang w:val="is-IS"/>
              </w:rPr>
              <w:t>tím</w:t>
            </w:r>
            <w:r w:rsidR="008872A8">
              <w:rPr>
                <w:color w:val="auto"/>
                <w:lang w:val="is-IS"/>
              </w:rPr>
              <w:t>a</w:t>
            </w:r>
            <w:r w:rsidR="008872A8" w:rsidRPr="009F7642">
              <w:rPr>
                <w:color w:val="auto"/>
                <w:lang w:val="is-IS"/>
              </w:rPr>
              <w:t xml:space="preserve"> </w:t>
            </w:r>
            <w:r w:rsidRPr="009F7642">
              <w:rPr>
                <w:color w:val="auto"/>
                <w:lang w:val="is-IS"/>
              </w:rPr>
              <w:t xml:space="preserve">fram að versnun sjúkdóms (í meðferð)** </w:t>
            </w:r>
          </w:p>
        </w:tc>
        <w:tc>
          <w:tcPr>
            <w:tcW w:w="2219" w:type="dxa"/>
            <w:noWrap/>
            <w:hideMark/>
          </w:tcPr>
          <w:p w14:paraId="7241CCEE" w14:textId="77777777" w:rsidR="00DE2272" w:rsidRPr="009F7642" w:rsidRDefault="00DE2272" w:rsidP="008B60B2">
            <w:pPr>
              <w:suppressAutoHyphens/>
              <w:spacing w:line="240" w:lineRule="auto"/>
              <w:jc w:val="center"/>
              <w:rPr>
                <w:color w:val="auto"/>
                <w:lang w:val="is-IS"/>
              </w:rPr>
            </w:pPr>
            <w:r w:rsidRPr="009F7642">
              <w:rPr>
                <w:color w:val="auto"/>
                <w:lang w:val="is-IS"/>
              </w:rPr>
              <w:t>7,9</w:t>
            </w:r>
          </w:p>
        </w:tc>
        <w:tc>
          <w:tcPr>
            <w:tcW w:w="2126" w:type="dxa"/>
            <w:noWrap/>
            <w:hideMark/>
          </w:tcPr>
          <w:p w14:paraId="615FCADC" w14:textId="77777777" w:rsidR="00DE2272" w:rsidRPr="009F7642" w:rsidRDefault="00DE2272" w:rsidP="008B60B2">
            <w:pPr>
              <w:suppressAutoHyphens/>
              <w:spacing w:line="240" w:lineRule="auto"/>
              <w:jc w:val="center"/>
              <w:rPr>
                <w:color w:val="auto"/>
                <w:lang w:val="is-IS"/>
              </w:rPr>
            </w:pPr>
            <w:r w:rsidRPr="009F7642">
              <w:rPr>
                <w:color w:val="auto"/>
                <w:lang w:val="is-IS"/>
              </w:rPr>
              <w:t>10,4</w:t>
            </w:r>
          </w:p>
        </w:tc>
        <w:tc>
          <w:tcPr>
            <w:tcW w:w="1418" w:type="dxa"/>
            <w:noWrap/>
            <w:hideMark/>
          </w:tcPr>
          <w:p w14:paraId="32F63243" w14:textId="77777777" w:rsidR="00DE2272" w:rsidRPr="009F7642" w:rsidRDefault="00DE2272" w:rsidP="008B60B2">
            <w:pPr>
              <w:suppressAutoHyphens/>
              <w:spacing w:line="240" w:lineRule="auto"/>
              <w:jc w:val="center"/>
              <w:rPr>
                <w:color w:val="auto"/>
                <w:lang w:val="is-IS"/>
              </w:rPr>
            </w:pPr>
            <w:r w:rsidRPr="009F7642">
              <w:rPr>
                <w:color w:val="auto"/>
                <w:lang w:val="is-IS"/>
              </w:rPr>
              <w:t>&lt; 0,0001</w:t>
            </w:r>
          </w:p>
        </w:tc>
      </w:tr>
      <w:tr w:rsidR="00AB7E86" w:rsidRPr="009F7642" w14:paraId="62D9DA67" w14:textId="77777777" w:rsidTr="00AB7E86">
        <w:trPr>
          <w:trHeight w:val="424"/>
        </w:trPr>
        <w:tc>
          <w:tcPr>
            <w:tcW w:w="3183" w:type="dxa"/>
            <w:noWrap/>
            <w:hideMark/>
          </w:tcPr>
          <w:p w14:paraId="6D56E22A" w14:textId="77777777" w:rsidR="00DE2272" w:rsidRPr="009F7642" w:rsidRDefault="00DE2272" w:rsidP="008B60B2">
            <w:pPr>
              <w:suppressAutoHyphens/>
              <w:spacing w:after="0" w:line="240" w:lineRule="auto"/>
              <w:ind w:left="567" w:firstLine="0"/>
              <w:rPr>
                <w:color w:val="auto"/>
                <w:lang w:val="is-IS"/>
              </w:rPr>
            </w:pPr>
            <w:r w:rsidRPr="009F7642">
              <w:rPr>
                <w:color w:val="auto"/>
                <w:lang w:val="is-IS"/>
              </w:rPr>
              <w:t xml:space="preserve">Áhættuhlutfall (97,5% CI) </w:t>
            </w:r>
          </w:p>
        </w:tc>
        <w:tc>
          <w:tcPr>
            <w:tcW w:w="4345" w:type="dxa"/>
            <w:gridSpan w:val="2"/>
            <w:noWrap/>
            <w:hideMark/>
          </w:tcPr>
          <w:p w14:paraId="392F525B" w14:textId="77777777" w:rsidR="00DE2272" w:rsidRPr="009F7642" w:rsidRDefault="00DE2272" w:rsidP="008B60B2">
            <w:pPr>
              <w:suppressAutoHyphens/>
              <w:spacing w:line="259" w:lineRule="auto"/>
              <w:ind w:right="8"/>
              <w:jc w:val="center"/>
              <w:rPr>
                <w:color w:val="auto"/>
                <w:lang w:val="is-IS"/>
              </w:rPr>
            </w:pPr>
            <w:r w:rsidRPr="009F7642">
              <w:rPr>
                <w:color w:val="auto"/>
                <w:lang w:val="is-IS"/>
              </w:rPr>
              <w:t>0,63 (0,52</w:t>
            </w:r>
            <w:r w:rsidR="00542E7A">
              <w:rPr>
                <w:color w:val="auto"/>
                <w:lang w:val="is-IS"/>
              </w:rPr>
              <w:t xml:space="preserve"> - </w:t>
            </w:r>
            <w:r w:rsidRPr="009F7642">
              <w:rPr>
                <w:color w:val="auto"/>
                <w:lang w:val="is-IS"/>
              </w:rPr>
              <w:t xml:space="preserve">0,75) </w:t>
            </w:r>
          </w:p>
        </w:tc>
        <w:tc>
          <w:tcPr>
            <w:tcW w:w="1418" w:type="dxa"/>
          </w:tcPr>
          <w:p w14:paraId="67773284" w14:textId="77777777" w:rsidR="00DE2272" w:rsidRPr="009F7642" w:rsidRDefault="00DE2272" w:rsidP="008B60B2">
            <w:pPr>
              <w:keepNext/>
              <w:suppressAutoHyphens/>
              <w:spacing w:line="240" w:lineRule="auto"/>
              <w:jc w:val="center"/>
              <w:rPr>
                <w:color w:val="auto"/>
                <w:lang w:val="is-IS"/>
              </w:rPr>
            </w:pPr>
          </w:p>
        </w:tc>
      </w:tr>
      <w:tr w:rsidR="00AB7E86" w:rsidRPr="009F7642" w14:paraId="2DF7FCEF" w14:textId="77777777" w:rsidTr="00F2274F">
        <w:trPr>
          <w:cantSplit/>
          <w:trHeight w:val="685"/>
        </w:trPr>
        <w:tc>
          <w:tcPr>
            <w:tcW w:w="3183" w:type="dxa"/>
            <w:noWrap/>
            <w:hideMark/>
          </w:tcPr>
          <w:p w14:paraId="5A9C8333" w14:textId="77777777" w:rsidR="006C06D6" w:rsidRPr="009F7642" w:rsidRDefault="00DE2272" w:rsidP="008B60B2">
            <w:pPr>
              <w:suppressAutoHyphens/>
              <w:spacing w:after="0" w:line="240" w:lineRule="auto"/>
              <w:ind w:left="0" w:firstLine="0"/>
              <w:rPr>
                <w:color w:val="auto"/>
                <w:lang w:val="is-IS"/>
              </w:rPr>
            </w:pPr>
            <w:r w:rsidRPr="009F7642">
              <w:rPr>
                <w:color w:val="auto"/>
                <w:lang w:val="is-IS"/>
              </w:rPr>
              <w:t xml:space="preserve">Heildarsvörunarhlutfall </w:t>
            </w:r>
          </w:p>
          <w:p w14:paraId="416216F1" w14:textId="77777777" w:rsidR="00DE2272" w:rsidRPr="009F7642" w:rsidRDefault="00DE2272" w:rsidP="008B60B2">
            <w:pPr>
              <w:suppressAutoHyphens/>
              <w:spacing w:line="240" w:lineRule="auto"/>
              <w:rPr>
                <w:color w:val="auto"/>
                <w:lang w:val="is-IS"/>
              </w:rPr>
            </w:pPr>
            <w:r w:rsidRPr="009F7642">
              <w:rPr>
                <w:color w:val="auto"/>
                <w:lang w:val="is-IS"/>
              </w:rPr>
              <w:t xml:space="preserve">(Mat rannsóknaraðila)** </w:t>
            </w:r>
          </w:p>
        </w:tc>
        <w:tc>
          <w:tcPr>
            <w:tcW w:w="2219" w:type="dxa"/>
            <w:noWrap/>
            <w:hideMark/>
          </w:tcPr>
          <w:p w14:paraId="6B16E61A" w14:textId="77777777" w:rsidR="00DE2272" w:rsidRPr="009F7642" w:rsidRDefault="00DE2272" w:rsidP="008B60B2">
            <w:pPr>
              <w:suppressAutoHyphens/>
              <w:spacing w:line="259" w:lineRule="auto"/>
              <w:ind w:right="6"/>
              <w:jc w:val="center"/>
              <w:rPr>
                <w:color w:val="auto"/>
                <w:lang w:val="is-IS"/>
              </w:rPr>
            </w:pPr>
            <w:r w:rsidRPr="009F7642">
              <w:rPr>
                <w:color w:val="auto"/>
                <w:lang w:val="is-IS"/>
              </w:rPr>
              <w:t xml:space="preserve">49,2% </w:t>
            </w:r>
          </w:p>
        </w:tc>
        <w:tc>
          <w:tcPr>
            <w:tcW w:w="2126" w:type="dxa"/>
            <w:noWrap/>
            <w:hideMark/>
          </w:tcPr>
          <w:p w14:paraId="68866961" w14:textId="77777777" w:rsidR="00DE2272" w:rsidRPr="009F7642" w:rsidRDefault="00DE2272" w:rsidP="008B60B2">
            <w:pPr>
              <w:suppressAutoHyphens/>
              <w:spacing w:line="259" w:lineRule="auto"/>
              <w:ind w:right="1"/>
              <w:jc w:val="center"/>
              <w:rPr>
                <w:color w:val="auto"/>
                <w:lang w:val="is-IS"/>
              </w:rPr>
            </w:pPr>
            <w:r w:rsidRPr="009F7642">
              <w:rPr>
                <w:color w:val="auto"/>
                <w:lang w:val="is-IS"/>
              </w:rPr>
              <w:t xml:space="preserve">46,5% </w:t>
            </w:r>
          </w:p>
        </w:tc>
        <w:tc>
          <w:tcPr>
            <w:tcW w:w="1418" w:type="dxa"/>
            <w:noWrap/>
            <w:hideMark/>
          </w:tcPr>
          <w:p w14:paraId="0785AAD9" w14:textId="77777777" w:rsidR="00DE2272" w:rsidRPr="009F7642" w:rsidRDefault="00DE2272" w:rsidP="008B60B2">
            <w:pPr>
              <w:keepNext/>
              <w:suppressAutoHyphens/>
              <w:spacing w:line="240" w:lineRule="auto"/>
              <w:jc w:val="center"/>
              <w:rPr>
                <w:color w:val="auto"/>
                <w:lang w:val="is-IS"/>
              </w:rPr>
            </w:pPr>
          </w:p>
        </w:tc>
      </w:tr>
      <w:tr w:rsidR="00AB7E86" w:rsidRPr="009F7642" w14:paraId="1E6DDA05" w14:textId="77777777" w:rsidTr="00F2274F">
        <w:trPr>
          <w:cantSplit/>
          <w:trHeight w:val="425"/>
        </w:trPr>
        <w:tc>
          <w:tcPr>
            <w:tcW w:w="3183" w:type="dxa"/>
            <w:noWrap/>
            <w:hideMark/>
          </w:tcPr>
          <w:p w14:paraId="1DAF15D9" w14:textId="0128B61D" w:rsidR="00DE2272" w:rsidRPr="009F7642" w:rsidRDefault="00DE2272" w:rsidP="008B60B2">
            <w:pPr>
              <w:suppressAutoHyphens/>
              <w:spacing w:after="0" w:line="240" w:lineRule="auto"/>
              <w:ind w:left="567" w:firstLine="0"/>
              <w:rPr>
                <w:color w:val="auto"/>
                <w:lang w:val="is-IS"/>
              </w:rPr>
            </w:pPr>
            <w:r w:rsidRPr="009F7642">
              <w:rPr>
                <w:color w:val="auto"/>
                <w:lang w:val="is-IS"/>
              </w:rPr>
              <w:t>Miðgildi</w:t>
            </w:r>
            <w:r w:rsidR="008872A8">
              <w:rPr>
                <w:color w:val="auto"/>
                <w:lang w:val="is-IS"/>
              </w:rPr>
              <w:t xml:space="preserve"> </w:t>
            </w:r>
            <w:r w:rsidRPr="009F7642">
              <w:rPr>
                <w:color w:val="auto"/>
                <w:lang w:val="is-IS"/>
              </w:rPr>
              <w:t>heildarlifun</w:t>
            </w:r>
            <w:r w:rsidR="008872A8">
              <w:rPr>
                <w:color w:val="auto"/>
                <w:lang w:val="is-IS"/>
              </w:rPr>
              <w:t>ar</w:t>
            </w:r>
            <w:r w:rsidRPr="009F7642">
              <w:rPr>
                <w:color w:val="auto"/>
                <w:lang w:val="is-IS"/>
              </w:rPr>
              <w:t xml:space="preserve">* </w:t>
            </w:r>
          </w:p>
        </w:tc>
        <w:tc>
          <w:tcPr>
            <w:tcW w:w="2219" w:type="dxa"/>
            <w:noWrap/>
            <w:hideMark/>
          </w:tcPr>
          <w:p w14:paraId="60E5E213" w14:textId="77777777" w:rsidR="00DE2272" w:rsidRPr="009F7642" w:rsidRDefault="00DE2272" w:rsidP="008B60B2">
            <w:pPr>
              <w:suppressAutoHyphens/>
              <w:spacing w:line="259" w:lineRule="auto"/>
              <w:ind w:right="2"/>
              <w:jc w:val="center"/>
              <w:rPr>
                <w:color w:val="auto"/>
                <w:lang w:val="is-IS"/>
              </w:rPr>
            </w:pPr>
            <w:r w:rsidRPr="009F7642">
              <w:rPr>
                <w:color w:val="auto"/>
                <w:lang w:val="is-IS"/>
              </w:rPr>
              <w:t xml:space="preserve">19,9 </w:t>
            </w:r>
          </w:p>
        </w:tc>
        <w:tc>
          <w:tcPr>
            <w:tcW w:w="2126" w:type="dxa"/>
            <w:noWrap/>
            <w:hideMark/>
          </w:tcPr>
          <w:p w14:paraId="6E1ECE3D" w14:textId="77777777" w:rsidR="00DE2272" w:rsidRPr="009F7642" w:rsidRDefault="00DE2272" w:rsidP="008B60B2">
            <w:pPr>
              <w:suppressAutoHyphens/>
              <w:spacing w:line="259" w:lineRule="auto"/>
              <w:ind w:right="2"/>
              <w:jc w:val="center"/>
              <w:rPr>
                <w:color w:val="auto"/>
                <w:lang w:val="is-IS"/>
              </w:rPr>
            </w:pPr>
            <w:r w:rsidRPr="009F7642">
              <w:rPr>
                <w:color w:val="auto"/>
                <w:lang w:val="is-IS"/>
              </w:rPr>
              <w:t xml:space="preserve">21,2 </w:t>
            </w:r>
          </w:p>
        </w:tc>
        <w:tc>
          <w:tcPr>
            <w:tcW w:w="1418" w:type="dxa"/>
            <w:noWrap/>
            <w:hideMark/>
          </w:tcPr>
          <w:p w14:paraId="2EDAE41C" w14:textId="77777777" w:rsidR="00DE2272" w:rsidRPr="009F7642" w:rsidRDefault="00DE2272" w:rsidP="008B60B2">
            <w:pPr>
              <w:suppressAutoHyphens/>
              <w:spacing w:line="259" w:lineRule="auto"/>
              <w:ind w:right="2"/>
              <w:jc w:val="center"/>
              <w:rPr>
                <w:color w:val="auto"/>
                <w:lang w:val="is-IS"/>
              </w:rPr>
            </w:pPr>
            <w:r w:rsidRPr="009F7642">
              <w:rPr>
                <w:color w:val="auto"/>
                <w:lang w:val="is-IS"/>
              </w:rPr>
              <w:t xml:space="preserve">0,0769 </w:t>
            </w:r>
          </w:p>
        </w:tc>
      </w:tr>
      <w:tr w:rsidR="00AB7E86" w:rsidRPr="009F7642" w14:paraId="64C8F87F" w14:textId="77777777" w:rsidTr="00F2274F">
        <w:trPr>
          <w:cantSplit/>
          <w:trHeight w:val="418"/>
        </w:trPr>
        <w:tc>
          <w:tcPr>
            <w:tcW w:w="3183" w:type="dxa"/>
            <w:noWrap/>
            <w:hideMark/>
          </w:tcPr>
          <w:p w14:paraId="7751AF1B" w14:textId="77777777" w:rsidR="00DE2272" w:rsidRPr="009F7642" w:rsidRDefault="00DE2272" w:rsidP="00F2274F">
            <w:pPr>
              <w:keepNext/>
              <w:suppressAutoHyphens/>
              <w:spacing w:after="0" w:line="240" w:lineRule="auto"/>
              <w:ind w:left="567" w:firstLine="0"/>
              <w:rPr>
                <w:color w:val="auto"/>
                <w:lang w:val="is-IS"/>
              </w:rPr>
            </w:pPr>
            <w:r w:rsidRPr="009F7642">
              <w:rPr>
                <w:color w:val="auto"/>
                <w:lang w:val="is-IS"/>
              </w:rPr>
              <w:t xml:space="preserve">Áhættuhlutfall (97,5% CI) </w:t>
            </w:r>
          </w:p>
        </w:tc>
        <w:tc>
          <w:tcPr>
            <w:tcW w:w="4345" w:type="dxa"/>
            <w:gridSpan w:val="2"/>
            <w:noWrap/>
            <w:hideMark/>
          </w:tcPr>
          <w:p w14:paraId="13B78EFB" w14:textId="77777777" w:rsidR="00DE2272" w:rsidRPr="009F7642" w:rsidRDefault="00DE2272" w:rsidP="00F2274F">
            <w:pPr>
              <w:keepNext/>
              <w:suppressAutoHyphens/>
              <w:spacing w:line="259" w:lineRule="auto"/>
              <w:ind w:right="8"/>
              <w:jc w:val="center"/>
              <w:rPr>
                <w:color w:val="auto"/>
                <w:lang w:val="is-IS"/>
              </w:rPr>
            </w:pPr>
            <w:r w:rsidRPr="009F7642">
              <w:rPr>
                <w:color w:val="auto"/>
                <w:lang w:val="is-IS"/>
              </w:rPr>
              <w:t xml:space="preserve">0,89 (0,76-1,03) </w:t>
            </w:r>
          </w:p>
        </w:tc>
        <w:tc>
          <w:tcPr>
            <w:tcW w:w="1418" w:type="dxa"/>
            <w:noWrap/>
            <w:hideMark/>
          </w:tcPr>
          <w:p w14:paraId="03F4E384" w14:textId="77777777" w:rsidR="00DE2272" w:rsidRPr="009F7642" w:rsidRDefault="00DE2272" w:rsidP="000120DA">
            <w:pPr>
              <w:keepNext/>
              <w:suppressAutoHyphens/>
              <w:spacing w:line="240" w:lineRule="auto"/>
              <w:jc w:val="center"/>
              <w:rPr>
                <w:color w:val="auto"/>
                <w:lang w:val="is-IS"/>
              </w:rPr>
            </w:pPr>
          </w:p>
        </w:tc>
      </w:tr>
    </w:tbl>
    <w:bookmarkEnd w:id="1"/>
    <w:p w14:paraId="0CF20D29" w14:textId="77777777" w:rsidR="006C06D6" w:rsidRPr="009F7642" w:rsidRDefault="00ED782B" w:rsidP="00F2274F">
      <w:pPr>
        <w:keepNext/>
        <w:suppressAutoHyphens/>
        <w:spacing w:after="0" w:line="240" w:lineRule="auto"/>
        <w:ind w:left="567" w:hanging="567"/>
        <w:rPr>
          <w:color w:val="auto"/>
          <w:sz w:val="20"/>
          <w:szCs w:val="20"/>
          <w:lang w:val="is-IS"/>
        </w:rPr>
      </w:pPr>
      <w:r w:rsidRPr="009F7642">
        <w:rPr>
          <w:color w:val="auto"/>
          <w:sz w:val="20"/>
          <w:szCs w:val="20"/>
          <w:lang w:val="is-IS"/>
        </w:rPr>
        <w:t>*</w:t>
      </w:r>
      <w:r w:rsidR="00E55D5B" w:rsidRPr="009F7642">
        <w:rPr>
          <w:color w:val="auto"/>
          <w:sz w:val="20"/>
          <w:szCs w:val="20"/>
          <w:lang w:val="is-IS"/>
        </w:rPr>
        <w:tab/>
      </w:r>
      <w:r w:rsidR="00564614" w:rsidRPr="009F7642">
        <w:rPr>
          <w:color w:val="auto"/>
          <w:sz w:val="20"/>
          <w:szCs w:val="20"/>
          <w:lang w:val="is-IS"/>
        </w:rPr>
        <w:t xml:space="preserve">Greining á heildarlifun við </w:t>
      </w:r>
      <w:r w:rsidR="00D80F10">
        <w:rPr>
          <w:color w:val="auto"/>
          <w:sz w:val="20"/>
          <w:szCs w:val="20"/>
          <w:lang w:val="is-IS"/>
        </w:rPr>
        <w:t>„</w:t>
      </w:r>
      <w:r w:rsidR="00564614" w:rsidRPr="009F7642">
        <w:rPr>
          <w:color w:val="auto"/>
          <w:sz w:val="20"/>
          <w:szCs w:val="20"/>
          <w:lang w:val="is-IS"/>
        </w:rPr>
        <w:t>clinical cut-off</w:t>
      </w:r>
      <w:r w:rsidR="00D80F10">
        <w:rPr>
          <w:color w:val="auto"/>
          <w:sz w:val="20"/>
          <w:szCs w:val="20"/>
          <w:lang w:val="is-IS"/>
        </w:rPr>
        <w:t>“</w:t>
      </w:r>
      <w:r w:rsidR="00D80F10" w:rsidRPr="009F7642">
        <w:rPr>
          <w:color w:val="auto"/>
          <w:sz w:val="20"/>
          <w:szCs w:val="20"/>
          <w:lang w:val="is-IS"/>
        </w:rPr>
        <w:t xml:space="preserve"> </w:t>
      </w:r>
      <w:r w:rsidR="00564614" w:rsidRPr="009F7642">
        <w:rPr>
          <w:color w:val="auto"/>
          <w:sz w:val="20"/>
          <w:szCs w:val="20"/>
          <w:lang w:val="is-IS"/>
        </w:rPr>
        <w:t>31. janúar 2007</w:t>
      </w:r>
      <w:r w:rsidR="00A46901" w:rsidRPr="009F7642">
        <w:rPr>
          <w:color w:val="auto"/>
          <w:sz w:val="20"/>
          <w:szCs w:val="20"/>
          <w:lang w:val="is-IS"/>
        </w:rPr>
        <w:t>.</w:t>
      </w:r>
    </w:p>
    <w:p w14:paraId="3CEF9C63" w14:textId="77777777" w:rsidR="006C06D6" w:rsidRPr="009F7642" w:rsidRDefault="00ED782B" w:rsidP="00F2274F">
      <w:pPr>
        <w:keepNext/>
        <w:suppressAutoHyphens/>
        <w:spacing w:after="0" w:line="240" w:lineRule="auto"/>
        <w:ind w:left="567" w:hanging="567"/>
        <w:rPr>
          <w:color w:val="auto"/>
          <w:sz w:val="20"/>
          <w:szCs w:val="20"/>
          <w:lang w:val="is-IS"/>
        </w:rPr>
      </w:pPr>
      <w:r w:rsidRPr="009F7642">
        <w:rPr>
          <w:color w:val="auto"/>
          <w:sz w:val="20"/>
          <w:szCs w:val="20"/>
          <w:lang w:val="is-IS"/>
        </w:rPr>
        <w:t>**</w:t>
      </w:r>
      <w:r w:rsidR="00E55D5B" w:rsidRPr="009F7642">
        <w:rPr>
          <w:color w:val="auto"/>
          <w:sz w:val="20"/>
          <w:szCs w:val="20"/>
          <w:lang w:val="is-IS"/>
        </w:rPr>
        <w:tab/>
      </w:r>
      <w:r w:rsidR="00564614" w:rsidRPr="009F7642">
        <w:rPr>
          <w:color w:val="auto"/>
          <w:sz w:val="20"/>
          <w:szCs w:val="20"/>
          <w:lang w:val="is-IS"/>
        </w:rPr>
        <w:t xml:space="preserve">Aðalgreining við </w:t>
      </w:r>
      <w:r w:rsidR="00D80F10">
        <w:rPr>
          <w:color w:val="auto"/>
          <w:sz w:val="20"/>
          <w:szCs w:val="20"/>
          <w:lang w:val="is-IS"/>
        </w:rPr>
        <w:t>„</w:t>
      </w:r>
      <w:r w:rsidR="00564614" w:rsidRPr="009F7642">
        <w:rPr>
          <w:color w:val="auto"/>
          <w:sz w:val="20"/>
          <w:szCs w:val="20"/>
          <w:lang w:val="is-IS"/>
        </w:rPr>
        <w:t>clinical cut-off</w:t>
      </w:r>
      <w:r w:rsidR="00D80F10">
        <w:rPr>
          <w:color w:val="auto"/>
          <w:sz w:val="20"/>
          <w:szCs w:val="20"/>
          <w:lang w:val="is-IS"/>
        </w:rPr>
        <w:t>“</w:t>
      </w:r>
      <w:r w:rsidR="00D80F10" w:rsidRPr="009F7642">
        <w:rPr>
          <w:color w:val="auto"/>
          <w:sz w:val="20"/>
          <w:szCs w:val="20"/>
          <w:lang w:val="is-IS"/>
        </w:rPr>
        <w:t xml:space="preserve"> </w:t>
      </w:r>
      <w:r w:rsidR="00564614" w:rsidRPr="009F7642">
        <w:rPr>
          <w:color w:val="auto"/>
          <w:sz w:val="20"/>
          <w:szCs w:val="20"/>
          <w:lang w:val="is-IS"/>
        </w:rPr>
        <w:t>31. janúar 2006</w:t>
      </w:r>
      <w:r w:rsidR="00A46901" w:rsidRPr="009F7642">
        <w:rPr>
          <w:color w:val="auto"/>
          <w:sz w:val="20"/>
          <w:szCs w:val="20"/>
          <w:lang w:val="is-IS"/>
        </w:rPr>
        <w:t>.</w:t>
      </w:r>
    </w:p>
    <w:p w14:paraId="4F4F482C" w14:textId="77777777" w:rsidR="005F36F3" w:rsidRPr="009F7642" w:rsidRDefault="00564614" w:rsidP="00F2274F">
      <w:pPr>
        <w:keepNext/>
        <w:suppressAutoHyphens/>
        <w:spacing w:after="0" w:line="240" w:lineRule="auto"/>
        <w:ind w:left="567" w:hanging="567"/>
        <w:rPr>
          <w:color w:val="auto"/>
          <w:sz w:val="20"/>
          <w:szCs w:val="20"/>
          <w:lang w:val="is-IS"/>
        </w:rPr>
      </w:pPr>
      <w:r w:rsidRPr="009F7642">
        <w:rPr>
          <w:color w:val="auto"/>
          <w:sz w:val="20"/>
          <w:szCs w:val="20"/>
          <w:vertAlign w:val="superscript"/>
          <w:lang w:val="is-IS"/>
        </w:rPr>
        <w:t>a</w:t>
      </w:r>
      <w:r w:rsidR="00E55D5B" w:rsidRPr="009F7642">
        <w:rPr>
          <w:color w:val="auto"/>
          <w:sz w:val="20"/>
          <w:szCs w:val="20"/>
          <w:lang w:val="is-IS"/>
        </w:rPr>
        <w:tab/>
      </w:r>
      <w:r w:rsidR="009A0D7C" w:rsidRPr="009F7642">
        <w:rPr>
          <w:color w:val="auto"/>
          <w:sz w:val="20"/>
          <w:szCs w:val="20"/>
          <w:lang w:val="is-IS"/>
        </w:rPr>
        <w:t>M</w:t>
      </w:r>
      <w:r w:rsidR="003C161D" w:rsidRPr="009F7642">
        <w:rPr>
          <w:color w:val="auto"/>
          <w:sz w:val="20"/>
          <w:szCs w:val="20"/>
          <w:lang w:val="is-IS"/>
        </w:rPr>
        <w:t>iðað við samanburðarhóp</w:t>
      </w:r>
      <w:r w:rsidR="00A46901" w:rsidRPr="009F7642">
        <w:rPr>
          <w:color w:val="auto"/>
          <w:sz w:val="20"/>
          <w:szCs w:val="20"/>
          <w:lang w:val="is-IS"/>
        </w:rPr>
        <w:t>.</w:t>
      </w:r>
    </w:p>
    <w:p w14:paraId="2F90A164" w14:textId="77777777" w:rsidR="005F36F3" w:rsidRPr="009F7642" w:rsidRDefault="005F36F3" w:rsidP="008B60B2">
      <w:pPr>
        <w:suppressAutoHyphens/>
        <w:spacing w:after="0" w:line="240" w:lineRule="auto"/>
        <w:ind w:left="0" w:firstLine="0"/>
        <w:rPr>
          <w:color w:val="auto"/>
          <w:lang w:val="is-IS"/>
        </w:rPr>
      </w:pPr>
    </w:p>
    <w:p w14:paraId="5A8C5843" w14:textId="4CACFA0C" w:rsidR="006C06D6" w:rsidRPr="009F7642" w:rsidRDefault="00564614" w:rsidP="008B60B2">
      <w:pPr>
        <w:suppressAutoHyphens/>
        <w:spacing w:after="0" w:line="240" w:lineRule="auto"/>
        <w:ind w:left="0" w:firstLine="0"/>
        <w:rPr>
          <w:color w:val="auto"/>
          <w:lang w:val="is-IS"/>
        </w:rPr>
      </w:pPr>
      <w:r w:rsidRPr="009F7642">
        <w:rPr>
          <w:color w:val="auto"/>
          <w:lang w:val="is-IS"/>
        </w:rPr>
        <w:t>Í FOLFOX meðferðar undirhópnum var miðgildi</w:t>
      </w:r>
      <w:r w:rsidR="008872A8">
        <w:rPr>
          <w:color w:val="auto"/>
          <w:lang w:val="is-IS"/>
        </w:rPr>
        <w:t xml:space="preserve"> </w:t>
      </w:r>
      <w:r w:rsidR="008872A8" w:rsidRPr="009F7642">
        <w:rPr>
          <w:color w:val="auto"/>
          <w:lang w:val="is-IS"/>
        </w:rPr>
        <w:t>tím</w:t>
      </w:r>
      <w:r w:rsidR="008872A8">
        <w:rPr>
          <w:color w:val="auto"/>
          <w:lang w:val="is-IS"/>
        </w:rPr>
        <w:t>a</w:t>
      </w:r>
      <w:r w:rsidR="008872A8" w:rsidRPr="009F7642">
        <w:rPr>
          <w:color w:val="auto"/>
          <w:lang w:val="is-IS"/>
        </w:rPr>
        <w:t xml:space="preserve"> </w:t>
      </w:r>
      <w:r w:rsidRPr="009F7642">
        <w:rPr>
          <w:color w:val="auto"/>
          <w:lang w:val="is-IS"/>
        </w:rPr>
        <w:t>fram að versnun sjúkdóms 8,6 mánuðir fyrir lyfleysu og 9,4 mánuðir fyrir bevacízúmab meðhöndlaða sjúklinga, áhættuhlutfall</w:t>
      </w:r>
      <w:r w:rsidR="009A0D7C">
        <w:rPr>
          <w:color w:val="auto"/>
          <w:lang w:val="is-IS"/>
        </w:rPr>
        <w:t> </w:t>
      </w:r>
      <w:r w:rsidR="00700BDC">
        <w:rPr>
          <w:color w:val="auto"/>
          <w:lang w:val="is-IS"/>
        </w:rPr>
        <w:t>=</w:t>
      </w:r>
      <w:r w:rsidR="009A0D7C">
        <w:rPr>
          <w:color w:val="auto"/>
          <w:lang w:val="is-IS"/>
        </w:rPr>
        <w:t> </w:t>
      </w:r>
      <w:r w:rsidR="00B65402" w:rsidRPr="009F7642">
        <w:rPr>
          <w:color w:val="auto"/>
          <w:lang w:val="is-IS"/>
        </w:rPr>
        <w:t>0,89, 97,5% öryggisbil</w:t>
      </w:r>
      <w:r w:rsidR="009A0D7C">
        <w:rPr>
          <w:color w:val="auto"/>
          <w:lang w:val="is-IS"/>
        </w:rPr>
        <w:t> </w:t>
      </w:r>
      <w:r w:rsidR="00700BDC">
        <w:rPr>
          <w:color w:val="auto"/>
          <w:lang w:val="is-IS"/>
        </w:rPr>
        <w:t>=</w:t>
      </w:r>
      <w:r w:rsidR="009A0D7C">
        <w:rPr>
          <w:color w:val="auto"/>
          <w:lang w:val="is-IS"/>
        </w:rPr>
        <w:t> </w:t>
      </w:r>
      <w:r w:rsidR="00B65402" w:rsidRPr="009F7642">
        <w:rPr>
          <w:color w:val="auto"/>
          <w:lang w:val="is-IS"/>
        </w:rPr>
        <w:t>[0,73</w:t>
      </w:r>
      <w:r w:rsidRPr="009F7642">
        <w:rPr>
          <w:color w:val="auto"/>
          <w:lang w:val="is-IS"/>
        </w:rPr>
        <w:t>; 1,08]; p-gildi</w:t>
      </w:r>
      <w:r w:rsidR="009A0D7C">
        <w:rPr>
          <w:color w:val="auto"/>
          <w:lang w:val="is-IS"/>
        </w:rPr>
        <w:t> </w:t>
      </w:r>
      <w:r w:rsidR="00700BDC">
        <w:rPr>
          <w:color w:val="auto"/>
          <w:lang w:val="is-IS"/>
        </w:rPr>
        <w:t>=</w:t>
      </w:r>
      <w:r w:rsidR="009A0D7C">
        <w:rPr>
          <w:color w:val="auto"/>
          <w:lang w:val="is-IS"/>
        </w:rPr>
        <w:t> </w:t>
      </w:r>
      <w:r w:rsidRPr="009F7642">
        <w:rPr>
          <w:color w:val="auto"/>
          <w:lang w:val="is-IS"/>
        </w:rPr>
        <w:t>0,1871, samsvarandi niðurstöður úr XELOX meðferðar undirhópnum voru 7,4 á móti 9,3 mánuðir, áhættuhlutfall</w:t>
      </w:r>
      <w:r w:rsidR="009A0D7C">
        <w:rPr>
          <w:color w:val="auto"/>
          <w:lang w:val="is-IS"/>
        </w:rPr>
        <w:t> </w:t>
      </w:r>
      <w:r w:rsidR="00700BDC">
        <w:rPr>
          <w:color w:val="auto"/>
          <w:lang w:val="is-IS"/>
        </w:rPr>
        <w:t>=</w:t>
      </w:r>
      <w:r w:rsidR="009A0D7C">
        <w:rPr>
          <w:color w:val="auto"/>
          <w:lang w:val="is-IS"/>
        </w:rPr>
        <w:t> </w:t>
      </w:r>
      <w:r w:rsidRPr="009F7642">
        <w:rPr>
          <w:color w:val="auto"/>
          <w:lang w:val="is-IS"/>
        </w:rPr>
        <w:t>0,77, 97,5% öryggisbil</w:t>
      </w:r>
      <w:r w:rsidR="009A0D7C">
        <w:rPr>
          <w:color w:val="auto"/>
          <w:lang w:val="is-IS"/>
        </w:rPr>
        <w:t> </w:t>
      </w:r>
      <w:r w:rsidR="00700BDC">
        <w:rPr>
          <w:color w:val="auto"/>
          <w:lang w:val="is-IS"/>
        </w:rPr>
        <w:t>=</w:t>
      </w:r>
      <w:r w:rsidR="009A0D7C">
        <w:rPr>
          <w:color w:val="auto"/>
          <w:lang w:val="is-IS"/>
        </w:rPr>
        <w:t> </w:t>
      </w:r>
      <w:r w:rsidRPr="009F7642">
        <w:rPr>
          <w:color w:val="auto"/>
          <w:lang w:val="is-IS"/>
        </w:rPr>
        <w:t>[0,63; 0,94]; p</w:t>
      </w:r>
      <w:r w:rsidR="003A0D79">
        <w:rPr>
          <w:color w:val="auto"/>
          <w:lang w:val="is-IS"/>
        </w:rPr>
        <w:noBreakHyphen/>
      </w:r>
      <w:r w:rsidRPr="009F7642">
        <w:rPr>
          <w:color w:val="auto"/>
          <w:lang w:val="is-IS"/>
        </w:rPr>
        <w:t>gildi</w:t>
      </w:r>
      <w:r w:rsidR="009A0D7C">
        <w:rPr>
          <w:color w:val="auto"/>
          <w:lang w:val="is-IS"/>
        </w:rPr>
        <w:t> </w:t>
      </w:r>
      <w:r w:rsidR="00700BDC">
        <w:rPr>
          <w:color w:val="auto"/>
          <w:lang w:val="is-IS"/>
        </w:rPr>
        <w:t>=</w:t>
      </w:r>
      <w:r w:rsidR="009A0D7C">
        <w:rPr>
          <w:color w:val="auto"/>
          <w:lang w:val="is-IS"/>
        </w:rPr>
        <w:t> </w:t>
      </w:r>
      <w:r w:rsidRPr="009F7642">
        <w:rPr>
          <w:color w:val="auto"/>
          <w:lang w:val="is-IS"/>
        </w:rPr>
        <w:t>0,0026.</w:t>
      </w:r>
    </w:p>
    <w:p w14:paraId="5522E17F" w14:textId="77777777" w:rsidR="005F36F3" w:rsidRPr="009F7642" w:rsidRDefault="005F36F3" w:rsidP="008B60B2">
      <w:pPr>
        <w:suppressAutoHyphens/>
        <w:spacing w:after="0" w:line="240" w:lineRule="auto"/>
        <w:ind w:left="0" w:firstLine="0"/>
        <w:rPr>
          <w:color w:val="auto"/>
          <w:lang w:val="is-IS"/>
        </w:rPr>
      </w:pPr>
    </w:p>
    <w:p w14:paraId="3631B934" w14:textId="23017042" w:rsidR="006C06D6" w:rsidRPr="009F7642" w:rsidRDefault="00564614" w:rsidP="008B60B2">
      <w:pPr>
        <w:suppressAutoHyphens/>
        <w:spacing w:after="0" w:line="240" w:lineRule="auto"/>
        <w:ind w:left="0" w:firstLine="0"/>
        <w:rPr>
          <w:color w:val="auto"/>
          <w:lang w:val="is-IS"/>
        </w:rPr>
      </w:pPr>
      <w:r w:rsidRPr="009F7642">
        <w:rPr>
          <w:color w:val="auto"/>
          <w:lang w:val="is-IS"/>
        </w:rPr>
        <w:t>Miðgildi</w:t>
      </w:r>
      <w:r w:rsidR="008872A8">
        <w:rPr>
          <w:color w:val="auto"/>
          <w:lang w:val="is-IS"/>
        </w:rPr>
        <w:t xml:space="preserve"> </w:t>
      </w:r>
      <w:r w:rsidRPr="009F7642">
        <w:rPr>
          <w:color w:val="auto"/>
          <w:lang w:val="is-IS"/>
        </w:rPr>
        <w:t>heildarlifun</w:t>
      </w:r>
      <w:r w:rsidR="008872A8">
        <w:rPr>
          <w:color w:val="auto"/>
          <w:lang w:val="is-IS"/>
        </w:rPr>
        <w:t>ar</w:t>
      </w:r>
      <w:r w:rsidRPr="009F7642">
        <w:rPr>
          <w:color w:val="auto"/>
          <w:lang w:val="is-IS"/>
        </w:rPr>
        <w:t xml:space="preserve"> var 20,3 mánuðir fyrir lyfleysu og 21,2 mánuðir fyrir bevacízúmab meðhöndlaða sjúklinga í FOLFOX meðferðar undirhópnum, áhættuhlutfall</w:t>
      </w:r>
      <w:r w:rsidR="009A0D7C">
        <w:rPr>
          <w:color w:val="auto"/>
          <w:lang w:val="is-IS"/>
        </w:rPr>
        <w:t> </w:t>
      </w:r>
      <w:r w:rsidR="00700BDC">
        <w:rPr>
          <w:color w:val="auto"/>
          <w:lang w:val="is-IS"/>
        </w:rPr>
        <w:t>=</w:t>
      </w:r>
      <w:r w:rsidR="009A0D7C">
        <w:rPr>
          <w:color w:val="auto"/>
          <w:lang w:val="is-IS"/>
        </w:rPr>
        <w:t> </w:t>
      </w:r>
      <w:r w:rsidRPr="009F7642">
        <w:rPr>
          <w:color w:val="auto"/>
          <w:lang w:val="is-IS"/>
        </w:rPr>
        <w:t>0,94, 97,5% öryggisbil</w:t>
      </w:r>
      <w:r w:rsidR="009A0D7C">
        <w:rPr>
          <w:color w:val="auto"/>
          <w:lang w:val="is-IS"/>
        </w:rPr>
        <w:t> </w:t>
      </w:r>
      <w:r w:rsidR="00700BDC">
        <w:rPr>
          <w:color w:val="auto"/>
          <w:lang w:val="is-IS"/>
        </w:rPr>
        <w:t>=</w:t>
      </w:r>
      <w:r w:rsidR="009A0D7C">
        <w:rPr>
          <w:color w:val="auto"/>
          <w:lang w:val="is-IS"/>
        </w:rPr>
        <w:t> </w:t>
      </w:r>
      <w:r w:rsidRPr="009F7642">
        <w:rPr>
          <w:color w:val="auto"/>
          <w:lang w:val="is-IS"/>
        </w:rPr>
        <w:t>[0,75; 1,16]; p-gildi</w:t>
      </w:r>
      <w:r w:rsidR="009A0D7C">
        <w:rPr>
          <w:color w:val="auto"/>
          <w:lang w:val="is-IS"/>
        </w:rPr>
        <w:t> </w:t>
      </w:r>
      <w:r w:rsidR="00700BDC">
        <w:rPr>
          <w:color w:val="auto"/>
          <w:lang w:val="is-IS"/>
        </w:rPr>
        <w:t>=</w:t>
      </w:r>
      <w:r w:rsidR="009A0D7C">
        <w:rPr>
          <w:color w:val="auto"/>
          <w:lang w:val="is-IS"/>
        </w:rPr>
        <w:t> </w:t>
      </w:r>
      <w:r w:rsidRPr="009F7642">
        <w:rPr>
          <w:color w:val="auto"/>
          <w:lang w:val="is-IS"/>
        </w:rPr>
        <w:t>0,4937, samsvarandi niðurstöður úr XELOX meðferðar undirhópnum voru 19,2 á móti 21,4 mánuðir, áhættuhlutfall</w:t>
      </w:r>
      <w:r w:rsidR="009A0D7C">
        <w:rPr>
          <w:color w:val="auto"/>
          <w:lang w:val="is-IS"/>
        </w:rPr>
        <w:t> </w:t>
      </w:r>
      <w:r w:rsidR="00700BDC">
        <w:rPr>
          <w:color w:val="auto"/>
          <w:lang w:val="is-IS"/>
        </w:rPr>
        <w:t>=</w:t>
      </w:r>
      <w:r w:rsidR="009A0D7C">
        <w:rPr>
          <w:color w:val="auto"/>
          <w:lang w:val="is-IS"/>
        </w:rPr>
        <w:t> </w:t>
      </w:r>
      <w:r w:rsidR="00707CDD" w:rsidRPr="009F7642">
        <w:rPr>
          <w:color w:val="auto"/>
          <w:lang w:val="is-IS"/>
        </w:rPr>
        <w:t>0,84, 97,5% öryggisbil</w:t>
      </w:r>
      <w:r w:rsidR="009A0D7C">
        <w:rPr>
          <w:color w:val="auto"/>
          <w:lang w:val="is-IS"/>
        </w:rPr>
        <w:t> </w:t>
      </w:r>
      <w:r w:rsidR="00700BDC">
        <w:rPr>
          <w:color w:val="auto"/>
          <w:lang w:val="is-IS"/>
        </w:rPr>
        <w:t>=</w:t>
      </w:r>
      <w:r w:rsidR="009A0D7C">
        <w:rPr>
          <w:color w:val="auto"/>
          <w:lang w:val="is-IS"/>
        </w:rPr>
        <w:t> </w:t>
      </w:r>
      <w:r w:rsidR="00707CDD" w:rsidRPr="009F7642">
        <w:rPr>
          <w:color w:val="auto"/>
          <w:lang w:val="is-IS"/>
        </w:rPr>
        <w:t>[0,68</w:t>
      </w:r>
      <w:r w:rsidRPr="009F7642">
        <w:rPr>
          <w:color w:val="auto"/>
          <w:lang w:val="is-IS"/>
        </w:rPr>
        <w:t>; 1,04]; p-gildi</w:t>
      </w:r>
      <w:r w:rsidR="009A0D7C">
        <w:rPr>
          <w:color w:val="auto"/>
          <w:lang w:val="is-IS"/>
        </w:rPr>
        <w:t> </w:t>
      </w:r>
      <w:r w:rsidR="00700BDC">
        <w:rPr>
          <w:color w:val="auto"/>
          <w:lang w:val="is-IS"/>
        </w:rPr>
        <w:t>=</w:t>
      </w:r>
      <w:r w:rsidR="009A0D7C">
        <w:rPr>
          <w:color w:val="auto"/>
          <w:lang w:val="is-IS"/>
        </w:rPr>
        <w:t> </w:t>
      </w:r>
      <w:r w:rsidRPr="009F7642">
        <w:rPr>
          <w:color w:val="auto"/>
          <w:lang w:val="is-IS"/>
        </w:rPr>
        <w:t>0,0698.</w:t>
      </w:r>
    </w:p>
    <w:p w14:paraId="2C9AC13B" w14:textId="77777777" w:rsidR="005F36F3" w:rsidRPr="009F7642" w:rsidRDefault="005F36F3" w:rsidP="008B60B2">
      <w:pPr>
        <w:suppressAutoHyphens/>
        <w:spacing w:after="0" w:line="240" w:lineRule="auto"/>
        <w:ind w:left="0" w:firstLine="0"/>
        <w:rPr>
          <w:color w:val="auto"/>
          <w:lang w:val="is-IS"/>
        </w:rPr>
      </w:pPr>
    </w:p>
    <w:p w14:paraId="47F3B6E5" w14:textId="77777777" w:rsidR="006C06D6" w:rsidRPr="009F7642" w:rsidRDefault="00564614" w:rsidP="008B60B2">
      <w:pPr>
        <w:keepNext/>
        <w:suppressAutoHyphens/>
        <w:spacing w:after="0" w:line="240" w:lineRule="auto"/>
        <w:ind w:left="0" w:firstLine="0"/>
        <w:rPr>
          <w:i/>
          <w:color w:val="auto"/>
          <w:lang w:val="is-IS"/>
        </w:rPr>
      </w:pPr>
      <w:r w:rsidRPr="009F7642">
        <w:rPr>
          <w:i/>
          <w:color w:val="auto"/>
          <w:lang w:val="is-IS"/>
        </w:rPr>
        <w:t>ECOG E3200</w:t>
      </w:r>
    </w:p>
    <w:p w14:paraId="6BBC4D73"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Þetta var III. stigs slembiröðuð, virk, opin samanburðarrannsókn þ</w:t>
      </w:r>
      <w:r w:rsidR="001B731E" w:rsidRPr="009F7642">
        <w:rPr>
          <w:color w:val="auto"/>
          <w:lang w:val="is-IS"/>
        </w:rPr>
        <w:t xml:space="preserve">ar sem rannsakað var </w:t>
      </w:r>
      <w:r w:rsidR="00690564" w:rsidRPr="00F2274F">
        <w:rPr>
          <w:lang w:val="is-IS"/>
        </w:rPr>
        <w:t>bevacízúmab</w:t>
      </w:r>
      <w:r w:rsidR="001B731E" w:rsidRPr="009F7642">
        <w:rPr>
          <w:color w:val="auto"/>
          <w:lang w:val="is-IS"/>
        </w:rPr>
        <w:t xml:space="preserve"> 10 </w:t>
      </w:r>
      <w:r w:rsidRPr="009F7642">
        <w:rPr>
          <w:color w:val="auto"/>
          <w:lang w:val="is-IS"/>
        </w:rPr>
        <w:t>mg/kg ásamt levkóvoríni með hleðsluskammti af 5-flúoróúracíli og síðan 5-flúoróúracíl innrennsli, ásamt oxalíplatíni í bláæð (FOLFOX-4), gefið á 2 vikna fresti hjá sjúklingum sem höfðu fengið meðferð áður (annað val) við langt gengnu krabbameini í ristli og endaþarmi. Í lyfjameðferðarhópunum voru notaðir sömu skammtar og áætlun í FOLFOX-4 meðferðaráætluninni og fram komu í töflu 6 fyrir rannsóknina NO16966.</w:t>
      </w:r>
    </w:p>
    <w:p w14:paraId="31F421F3" w14:textId="77777777" w:rsidR="005F36F3" w:rsidRPr="009F7642" w:rsidRDefault="005F36F3" w:rsidP="008B60B2">
      <w:pPr>
        <w:suppressAutoHyphens/>
        <w:spacing w:after="0" w:line="240" w:lineRule="auto"/>
        <w:ind w:left="0" w:firstLine="0"/>
        <w:rPr>
          <w:color w:val="auto"/>
          <w:lang w:val="is-IS"/>
        </w:rPr>
      </w:pPr>
    </w:p>
    <w:p w14:paraId="7DC733C7"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Aðalverkunarbreyta rannsóknarinnar var heildarlifun, skilgreind sem tíminn frá slembiröðun fram að dauða af hvaða orsök sem er. Áttahundruð tuttugu og níu sjúklingum var slembiraðað (292 á FOLFOX-4, 293 á </w:t>
      </w:r>
      <w:r w:rsidR="00690564" w:rsidRPr="00F2274F">
        <w:rPr>
          <w:lang w:val="is-IS"/>
        </w:rPr>
        <w:t>bevacízúmab</w:t>
      </w:r>
      <w:r w:rsidRPr="009F7642">
        <w:rPr>
          <w:color w:val="auto"/>
          <w:lang w:val="is-IS"/>
        </w:rPr>
        <w:t xml:space="preserve"> + FOLFOX-4 og 244 á </w:t>
      </w:r>
      <w:r w:rsidR="00690564" w:rsidRPr="00F2274F">
        <w:rPr>
          <w:lang w:val="is-IS"/>
        </w:rPr>
        <w:t>bevacízúmab</w:t>
      </w:r>
      <w:r w:rsidRPr="009F7642">
        <w:rPr>
          <w:color w:val="auto"/>
          <w:lang w:val="is-IS"/>
        </w:rPr>
        <w:t xml:space="preserve"> einlyfjameðferð). Ef </w:t>
      </w:r>
      <w:r w:rsidR="00690564" w:rsidRPr="00F2274F">
        <w:rPr>
          <w:lang w:val="is-IS"/>
        </w:rPr>
        <w:t>bevacízúmab</w:t>
      </w:r>
      <w:r w:rsidR="0044479B" w:rsidRPr="00F2274F">
        <w:rPr>
          <w:lang w:val="is-IS"/>
        </w:rPr>
        <w:t>i</w:t>
      </w:r>
      <w:r w:rsidRPr="009F7642">
        <w:rPr>
          <w:color w:val="auto"/>
          <w:lang w:val="is-IS"/>
        </w:rPr>
        <w:t xml:space="preserve"> var bætt við FOLFOX-4 olli það tölfræðilega marktækt lengri lifun. Einnig varð vart við tölfræðilega marktæka framför í lifun án versnunar sjúkdóms og hlutlægu heildarsvörunarhlutfalli (sjá töflu 8).</w:t>
      </w:r>
    </w:p>
    <w:p w14:paraId="5E1A4497" w14:textId="77777777" w:rsidR="005F36F3" w:rsidRPr="009F7642" w:rsidRDefault="005F36F3" w:rsidP="008B60B2">
      <w:pPr>
        <w:suppressAutoHyphens/>
        <w:spacing w:after="0" w:line="240" w:lineRule="auto"/>
        <w:ind w:left="0" w:firstLine="0"/>
        <w:rPr>
          <w:color w:val="auto"/>
          <w:lang w:val="is-IS"/>
        </w:rPr>
      </w:pPr>
    </w:p>
    <w:p w14:paraId="30C632E4" w14:textId="77777777" w:rsidR="006C06D6" w:rsidRPr="003819F9" w:rsidRDefault="00564614" w:rsidP="008B60B2">
      <w:pPr>
        <w:keepNext/>
        <w:suppressAutoHyphens/>
        <w:spacing w:after="0" w:line="240" w:lineRule="auto"/>
        <w:ind w:left="0" w:firstLine="0"/>
        <w:rPr>
          <w:b/>
          <w:color w:val="auto"/>
          <w:lang w:val="is-IS"/>
        </w:rPr>
      </w:pPr>
      <w:r w:rsidRPr="003819F9">
        <w:rPr>
          <w:b/>
          <w:color w:val="auto"/>
          <w:lang w:val="is-IS"/>
        </w:rPr>
        <w:lastRenderedPageBreak/>
        <w:t>T</w:t>
      </w:r>
      <w:r w:rsidR="00BF4F58" w:rsidRPr="003819F9">
        <w:rPr>
          <w:b/>
          <w:color w:val="auto"/>
          <w:lang w:val="is-IS"/>
        </w:rPr>
        <w:t>afla 8</w:t>
      </w:r>
      <w:r w:rsidR="00EA3543" w:rsidRPr="003819F9">
        <w:rPr>
          <w:b/>
          <w:color w:val="auto"/>
          <w:lang w:val="is-IS"/>
        </w:rPr>
        <w:t>.</w:t>
      </w:r>
      <w:r w:rsidR="00CE16F8" w:rsidRPr="003819F9">
        <w:rPr>
          <w:b/>
          <w:color w:val="auto"/>
          <w:lang w:val="is-IS"/>
        </w:rPr>
        <w:t xml:space="preserve"> </w:t>
      </w:r>
      <w:r w:rsidRPr="003819F9">
        <w:rPr>
          <w:b/>
          <w:color w:val="auto"/>
          <w:lang w:val="is-IS"/>
        </w:rPr>
        <w:t>Niðurstöður um verkun í rannsókn E3200</w:t>
      </w:r>
    </w:p>
    <w:p w14:paraId="3E9B2D18" w14:textId="77777777" w:rsidR="005F36F3" w:rsidRPr="009F7642" w:rsidRDefault="005F36F3" w:rsidP="008B60B2">
      <w:pPr>
        <w:keepNext/>
        <w:suppressAutoHyphens/>
        <w:spacing w:after="0" w:line="240" w:lineRule="auto"/>
        <w:ind w:left="0" w:firstLine="0"/>
        <w:rPr>
          <w:color w:val="auto"/>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2897"/>
        <w:gridCol w:w="3332"/>
      </w:tblGrid>
      <w:tr w:rsidR="00FF7676" w:rsidRPr="009F7642" w14:paraId="015928B0" w14:textId="77777777" w:rsidTr="00941CAB">
        <w:trPr>
          <w:trHeight w:val="300"/>
          <w:tblHeader/>
        </w:trPr>
        <w:tc>
          <w:tcPr>
            <w:tcW w:w="1646" w:type="pct"/>
            <w:vMerge w:val="restart"/>
            <w:noWrap/>
            <w:vAlign w:val="bottom"/>
            <w:hideMark/>
          </w:tcPr>
          <w:p w14:paraId="621DCA82" w14:textId="77777777" w:rsidR="00FF7676" w:rsidRPr="009F7642" w:rsidRDefault="00FF7676" w:rsidP="007309A2">
            <w:pPr>
              <w:keepNext/>
              <w:suppressAutoHyphens/>
              <w:spacing w:line="240" w:lineRule="auto"/>
              <w:rPr>
                <w:b/>
                <w:color w:val="auto"/>
                <w:lang w:val="is-IS"/>
              </w:rPr>
            </w:pPr>
          </w:p>
        </w:tc>
        <w:tc>
          <w:tcPr>
            <w:tcW w:w="3354" w:type="pct"/>
            <w:gridSpan w:val="2"/>
            <w:noWrap/>
            <w:hideMark/>
          </w:tcPr>
          <w:p w14:paraId="2BEEC06F" w14:textId="77777777" w:rsidR="00FF7676" w:rsidRPr="009F7642" w:rsidRDefault="00FF7676" w:rsidP="007309A2">
            <w:pPr>
              <w:keepNext/>
              <w:suppressAutoHyphens/>
              <w:spacing w:line="240" w:lineRule="auto"/>
              <w:jc w:val="center"/>
              <w:rPr>
                <w:b/>
                <w:color w:val="auto"/>
                <w:lang w:val="is-IS"/>
              </w:rPr>
            </w:pPr>
            <w:r w:rsidRPr="009F7642">
              <w:rPr>
                <w:b/>
                <w:color w:val="auto"/>
                <w:lang w:val="is-IS"/>
              </w:rPr>
              <w:t>E3200</w:t>
            </w:r>
          </w:p>
        </w:tc>
      </w:tr>
      <w:tr w:rsidR="00FF7676" w:rsidRPr="009F7642" w14:paraId="72006355" w14:textId="77777777" w:rsidTr="00941CAB">
        <w:trPr>
          <w:trHeight w:val="300"/>
          <w:tblHeader/>
        </w:trPr>
        <w:tc>
          <w:tcPr>
            <w:tcW w:w="1646" w:type="pct"/>
            <w:vMerge/>
            <w:noWrap/>
            <w:vAlign w:val="bottom"/>
            <w:hideMark/>
          </w:tcPr>
          <w:p w14:paraId="547A8A8E" w14:textId="77777777" w:rsidR="00FF7676" w:rsidRPr="009F7642" w:rsidRDefault="00FF7676" w:rsidP="007309A2">
            <w:pPr>
              <w:keepNext/>
              <w:suppressAutoHyphens/>
              <w:spacing w:line="240" w:lineRule="auto"/>
              <w:rPr>
                <w:b/>
                <w:color w:val="auto"/>
                <w:lang w:val="is-IS"/>
              </w:rPr>
            </w:pPr>
          </w:p>
        </w:tc>
        <w:tc>
          <w:tcPr>
            <w:tcW w:w="1560" w:type="pct"/>
            <w:noWrap/>
            <w:hideMark/>
          </w:tcPr>
          <w:p w14:paraId="7C224047" w14:textId="77777777" w:rsidR="00FF7676" w:rsidRPr="009F7642" w:rsidRDefault="00FF7676" w:rsidP="007309A2">
            <w:pPr>
              <w:keepNext/>
              <w:suppressAutoHyphens/>
              <w:spacing w:line="240" w:lineRule="auto"/>
              <w:jc w:val="center"/>
              <w:rPr>
                <w:b/>
                <w:color w:val="auto"/>
                <w:lang w:val="is-IS"/>
              </w:rPr>
            </w:pPr>
            <w:r w:rsidRPr="009F7642">
              <w:rPr>
                <w:b/>
                <w:color w:val="auto"/>
                <w:lang w:val="is-IS"/>
              </w:rPr>
              <w:t>FOLFOX-4</w:t>
            </w:r>
          </w:p>
        </w:tc>
        <w:tc>
          <w:tcPr>
            <w:tcW w:w="1794" w:type="pct"/>
            <w:noWrap/>
            <w:hideMark/>
          </w:tcPr>
          <w:p w14:paraId="4908CF2A" w14:textId="77777777" w:rsidR="00FF7676" w:rsidRPr="009F7642" w:rsidRDefault="00FF7676" w:rsidP="007309A2">
            <w:pPr>
              <w:keepNext/>
              <w:suppressAutoHyphens/>
              <w:spacing w:line="240" w:lineRule="auto"/>
              <w:jc w:val="center"/>
              <w:rPr>
                <w:b/>
                <w:color w:val="auto"/>
                <w:lang w:val="is-IS"/>
              </w:rPr>
            </w:pPr>
            <w:r w:rsidRPr="009F7642">
              <w:rPr>
                <w:b/>
                <w:color w:val="auto"/>
                <w:lang w:val="is-IS"/>
              </w:rPr>
              <w:t>FOLFOX</w:t>
            </w:r>
            <w:r w:rsidRPr="009F7642">
              <w:rPr>
                <w:rFonts w:eastAsia="Calibri"/>
                <w:b/>
                <w:color w:val="auto"/>
                <w:lang w:val="is-IS"/>
              </w:rPr>
              <w:t>-</w:t>
            </w:r>
            <w:r w:rsidRPr="009F7642">
              <w:rPr>
                <w:b/>
                <w:color w:val="auto"/>
                <w:lang w:val="is-IS"/>
              </w:rPr>
              <w:t xml:space="preserve">4 + </w:t>
            </w:r>
            <w:proofErr w:type="spellStart"/>
            <w:r w:rsidR="004526D5" w:rsidRPr="00F2274F">
              <w:rPr>
                <w:b/>
                <w:color w:val="auto"/>
                <w:lang w:val="en-GB"/>
              </w:rPr>
              <w:t>bevacízúmab</w:t>
            </w:r>
            <w:proofErr w:type="spellEnd"/>
            <w:r w:rsidRPr="009F7642">
              <w:rPr>
                <w:b/>
                <w:color w:val="auto"/>
                <w:vertAlign w:val="superscript"/>
                <w:lang w:val="is-IS"/>
              </w:rPr>
              <w:t>a</w:t>
            </w:r>
          </w:p>
        </w:tc>
      </w:tr>
      <w:tr w:rsidR="00FF7676" w:rsidRPr="009F7642" w14:paraId="1FEC7B9C" w14:textId="77777777" w:rsidTr="00941CAB">
        <w:trPr>
          <w:trHeight w:val="300"/>
        </w:trPr>
        <w:tc>
          <w:tcPr>
            <w:tcW w:w="1646" w:type="pct"/>
            <w:noWrap/>
            <w:hideMark/>
          </w:tcPr>
          <w:p w14:paraId="13EFB55C" w14:textId="77777777" w:rsidR="00FF7676" w:rsidRPr="009F7642" w:rsidRDefault="00FF7676" w:rsidP="007309A2">
            <w:pPr>
              <w:keepNext/>
              <w:suppressAutoHyphens/>
              <w:spacing w:after="0" w:line="240" w:lineRule="auto"/>
              <w:ind w:left="0" w:firstLine="0"/>
              <w:rPr>
                <w:color w:val="auto"/>
                <w:lang w:val="is-IS"/>
              </w:rPr>
            </w:pPr>
            <w:r w:rsidRPr="009F7642">
              <w:rPr>
                <w:color w:val="auto"/>
                <w:lang w:val="is-IS"/>
              </w:rPr>
              <w:t xml:space="preserve">Fjöldi sjúklinga </w:t>
            </w:r>
          </w:p>
        </w:tc>
        <w:tc>
          <w:tcPr>
            <w:tcW w:w="1560" w:type="pct"/>
            <w:noWrap/>
            <w:hideMark/>
          </w:tcPr>
          <w:p w14:paraId="6E0D391A" w14:textId="77777777" w:rsidR="00FF7676" w:rsidRPr="009F7642" w:rsidRDefault="00FF7676" w:rsidP="007309A2">
            <w:pPr>
              <w:keepNext/>
              <w:suppressAutoHyphens/>
              <w:spacing w:line="259" w:lineRule="auto"/>
              <w:ind w:left="5"/>
              <w:jc w:val="center"/>
              <w:rPr>
                <w:color w:val="auto"/>
                <w:lang w:val="is-IS"/>
              </w:rPr>
            </w:pPr>
            <w:r w:rsidRPr="009F7642">
              <w:rPr>
                <w:color w:val="auto"/>
                <w:lang w:val="is-IS"/>
              </w:rPr>
              <w:t xml:space="preserve">292 </w:t>
            </w:r>
          </w:p>
        </w:tc>
        <w:tc>
          <w:tcPr>
            <w:tcW w:w="1794" w:type="pct"/>
            <w:noWrap/>
            <w:hideMark/>
          </w:tcPr>
          <w:p w14:paraId="0C547A82" w14:textId="77777777" w:rsidR="00FF7676" w:rsidRPr="009F7642" w:rsidRDefault="00FF7676" w:rsidP="007309A2">
            <w:pPr>
              <w:keepNext/>
              <w:suppressAutoHyphens/>
              <w:spacing w:line="259" w:lineRule="auto"/>
              <w:ind w:left="5"/>
              <w:jc w:val="center"/>
              <w:rPr>
                <w:color w:val="auto"/>
                <w:lang w:val="is-IS"/>
              </w:rPr>
            </w:pPr>
            <w:r w:rsidRPr="009F7642">
              <w:rPr>
                <w:color w:val="auto"/>
                <w:lang w:val="is-IS"/>
              </w:rPr>
              <w:t xml:space="preserve">293 </w:t>
            </w:r>
          </w:p>
        </w:tc>
      </w:tr>
      <w:tr w:rsidR="00FF7676" w:rsidRPr="009F7642" w14:paraId="41225DA3" w14:textId="77777777" w:rsidTr="00941CAB">
        <w:trPr>
          <w:trHeight w:val="300"/>
        </w:trPr>
        <w:tc>
          <w:tcPr>
            <w:tcW w:w="5000" w:type="pct"/>
            <w:gridSpan w:val="3"/>
            <w:noWrap/>
            <w:vAlign w:val="bottom"/>
            <w:hideMark/>
          </w:tcPr>
          <w:p w14:paraId="4E4ED3DB" w14:textId="77777777" w:rsidR="00FF7676" w:rsidRPr="009F7642" w:rsidRDefault="00FF7676" w:rsidP="007309A2">
            <w:pPr>
              <w:keepNext/>
              <w:suppressAutoHyphens/>
              <w:spacing w:after="0" w:line="240" w:lineRule="auto"/>
              <w:ind w:left="0" w:firstLine="0"/>
              <w:rPr>
                <w:color w:val="auto"/>
                <w:lang w:val="is-IS"/>
              </w:rPr>
            </w:pPr>
            <w:r w:rsidRPr="009F7642">
              <w:rPr>
                <w:color w:val="auto"/>
                <w:lang w:val="is-IS"/>
              </w:rPr>
              <w:t>Heildarlifun</w:t>
            </w:r>
          </w:p>
        </w:tc>
      </w:tr>
      <w:tr w:rsidR="00FF7676" w:rsidRPr="009F7642" w14:paraId="0E7ECF53" w14:textId="77777777" w:rsidTr="00941CAB">
        <w:trPr>
          <w:trHeight w:val="368"/>
        </w:trPr>
        <w:tc>
          <w:tcPr>
            <w:tcW w:w="1646" w:type="pct"/>
            <w:noWrap/>
            <w:vAlign w:val="center"/>
            <w:hideMark/>
          </w:tcPr>
          <w:p w14:paraId="5E6F1153" w14:textId="77777777" w:rsidR="00FF7676" w:rsidRPr="009F7642" w:rsidRDefault="00FF7676" w:rsidP="007309A2">
            <w:pPr>
              <w:keepNext/>
              <w:suppressAutoHyphens/>
              <w:spacing w:after="0" w:line="240" w:lineRule="auto"/>
              <w:ind w:left="567" w:firstLine="0"/>
              <w:rPr>
                <w:color w:val="auto"/>
                <w:lang w:val="is-IS"/>
              </w:rPr>
            </w:pPr>
            <w:r w:rsidRPr="009F7642">
              <w:rPr>
                <w:color w:val="auto"/>
                <w:lang w:val="is-IS"/>
              </w:rPr>
              <w:t>Miðgildi (mánuðir)</w:t>
            </w:r>
          </w:p>
        </w:tc>
        <w:tc>
          <w:tcPr>
            <w:tcW w:w="1560" w:type="pct"/>
            <w:noWrap/>
            <w:vAlign w:val="center"/>
            <w:hideMark/>
          </w:tcPr>
          <w:p w14:paraId="65F8988F" w14:textId="77777777" w:rsidR="00FF7676" w:rsidRPr="009F7642" w:rsidRDefault="00FF7676" w:rsidP="007309A2">
            <w:pPr>
              <w:keepNext/>
              <w:suppressAutoHyphens/>
              <w:spacing w:line="259" w:lineRule="auto"/>
              <w:ind w:left="7"/>
              <w:jc w:val="center"/>
              <w:rPr>
                <w:color w:val="auto"/>
                <w:lang w:val="is-IS"/>
              </w:rPr>
            </w:pPr>
            <w:r w:rsidRPr="009F7642">
              <w:rPr>
                <w:color w:val="auto"/>
                <w:lang w:val="is-IS"/>
              </w:rPr>
              <w:t>10,8</w:t>
            </w:r>
          </w:p>
        </w:tc>
        <w:tc>
          <w:tcPr>
            <w:tcW w:w="1794" w:type="pct"/>
            <w:noWrap/>
            <w:vAlign w:val="center"/>
            <w:hideMark/>
          </w:tcPr>
          <w:p w14:paraId="0D018603" w14:textId="77777777" w:rsidR="00FF7676" w:rsidRPr="009F7642" w:rsidRDefault="00FF7676" w:rsidP="007309A2">
            <w:pPr>
              <w:keepNext/>
              <w:suppressAutoHyphens/>
              <w:spacing w:line="259" w:lineRule="auto"/>
              <w:ind w:left="7"/>
              <w:jc w:val="center"/>
              <w:rPr>
                <w:color w:val="auto"/>
                <w:lang w:val="is-IS"/>
              </w:rPr>
            </w:pPr>
            <w:r w:rsidRPr="009F7642">
              <w:rPr>
                <w:color w:val="auto"/>
                <w:lang w:val="is-IS"/>
              </w:rPr>
              <w:t>13,0</w:t>
            </w:r>
          </w:p>
        </w:tc>
      </w:tr>
      <w:tr w:rsidR="00FF7676" w:rsidRPr="009F7642" w14:paraId="200B4C40" w14:textId="77777777" w:rsidTr="00941CAB">
        <w:trPr>
          <w:trHeight w:val="429"/>
        </w:trPr>
        <w:tc>
          <w:tcPr>
            <w:tcW w:w="1646" w:type="pct"/>
            <w:noWrap/>
            <w:vAlign w:val="center"/>
            <w:hideMark/>
          </w:tcPr>
          <w:p w14:paraId="31E45967" w14:textId="093C5BE9" w:rsidR="00FF7676" w:rsidRPr="009F7642" w:rsidRDefault="00FF7676" w:rsidP="007309A2">
            <w:pPr>
              <w:keepNext/>
              <w:suppressAutoHyphens/>
              <w:spacing w:after="0" w:line="240" w:lineRule="auto"/>
              <w:ind w:left="567" w:firstLine="0"/>
              <w:rPr>
                <w:color w:val="auto"/>
                <w:lang w:val="is-IS"/>
              </w:rPr>
            </w:pPr>
            <w:r w:rsidRPr="009F7642">
              <w:rPr>
                <w:color w:val="auto"/>
                <w:lang w:val="is-IS"/>
              </w:rPr>
              <w:t xml:space="preserve">95% </w:t>
            </w:r>
            <w:r w:rsidR="008872A8" w:rsidRPr="008872A8">
              <w:rPr>
                <w:color w:val="auto"/>
                <w:lang w:val="is-IS"/>
              </w:rPr>
              <w:t>öryggisbil</w:t>
            </w:r>
          </w:p>
        </w:tc>
        <w:tc>
          <w:tcPr>
            <w:tcW w:w="1560" w:type="pct"/>
            <w:noWrap/>
            <w:vAlign w:val="center"/>
            <w:hideMark/>
          </w:tcPr>
          <w:p w14:paraId="20468B61" w14:textId="77777777" w:rsidR="00FF7676" w:rsidRPr="009F7642" w:rsidRDefault="00FF7676" w:rsidP="007309A2">
            <w:pPr>
              <w:keepNext/>
              <w:suppressAutoHyphens/>
              <w:spacing w:line="259" w:lineRule="auto"/>
              <w:ind w:left="7"/>
              <w:jc w:val="center"/>
              <w:rPr>
                <w:color w:val="auto"/>
                <w:lang w:val="is-IS"/>
              </w:rPr>
            </w:pPr>
            <w:r w:rsidRPr="009F7642">
              <w:rPr>
                <w:color w:val="auto"/>
                <w:lang w:val="is-IS"/>
              </w:rPr>
              <w:t>10,12 – 11,86</w:t>
            </w:r>
          </w:p>
        </w:tc>
        <w:tc>
          <w:tcPr>
            <w:tcW w:w="1794" w:type="pct"/>
            <w:noWrap/>
            <w:vAlign w:val="center"/>
            <w:hideMark/>
          </w:tcPr>
          <w:p w14:paraId="4D5DBC3D" w14:textId="77777777" w:rsidR="00FF7676" w:rsidRPr="009F7642" w:rsidRDefault="00FF7676" w:rsidP="007309A2">
            <w:pPr>
              <w:keepNext/>
              <w:suppressAutoHyphens/>
              <w:spacing w:line="259" w:lineRule="auto"/>
              <w:ind w:left="7"/>
              <w:jc w:val="center"/>
              <w:rPr>
                <w:color w:val="auto"/>
                <w:lang w:val="is-IS"/>
              </w:rPr>
            </w:pPr>
            <w:r w:rsidRPr="009F7642">
              <w:rPr>
                <w:color w:val="auto"/>
                <w:lang w:val="is-IS"/>
              </w:rPr>
              <w:t>12,09 – 14,03</w:t>
            </w:r>
          </w:p>
        </w:tc>
      </w:tr>
      <w:tr w:rsidR="00FF7676" w:rsidRPr="009F7642" w14:paraId="5B2DD5B6" w14:textId="77777777" w:rsidTr="00941CAB">
        <w:trPr>
          <w:trHeight w:val="606"/>
        </w:trPr>
        <w:tc>
          <w:tcPr>
            <w:tcW w:w="1646" w:type="pct"/>
            <w:noWrap/>
            <w:vAlign w:val="center"/>
            <w:hideMark/>
          </w:tcPr>
          <w:p w14:paraId="6C78EFCA" w14:textId="77777777" w:rsidR="00FF7676" w:rsidRPr="009F7642" w:rsidRDefault="00FF7676" w:rsidP="007309A2">
            <w:pPr>
              <w:keepNext/>
              <w:suppressAutoHyphens/>
              <w:spacing w:after="0" w:line="240" w:lineRule="auto"/>
              <w:ind w:left="567" w:firstLine="0"/>
              <w:rPr>
                <w:color w:val="auto"/>
                <w:lang w:val="is-IS"/>
              </w:rPr>
            </w:pPr>
            <w:r w:rsidRPr="009F7642">
              <w:rPr>
                <w:color w:val="auto"/>
                <w:lang w:val="is-IS"/>
              </w:rPr>
              <w:t>Áhættuhlutfall</w:t>
            </w:r>
            <w:r w:rsidRPr="009F7642">
              <w:rPr>
                <w:color w:val="auto"/>
                <w:vertAlign w:val="superscript"/>
                <w:lang w:val="is-IS"/>
              </w:rPr>
              <w:t>b</w:t>
            </w:r>
          </w:p>
        </w:tc>
        <w:tc>
          <w:tcPr>
            <w:tcW w:w="3354" w:type="pct"/>
            <w:gridSpan w:val="2"/>
            <w:noWrap/>
            <w:hideMark/>
          </w:tcPr>
          <w:p w14:paraId="76940F97" w14:textId="77777777" w:rsidR="006C06D6" w:rsidRPr="009F7642" w:rsidRDefault="00FF7676" w:rsidP="007309A2">
            <w:pPr>
              <w:keepNext/>
              <w:suppressAutoHyphens/>
              <w:spacing w:after="14" w:line="259" w:lineRule="auto"/>
              <w:jc w:val="center"/>
              <w:rPr>
                <w:color w:val="auto"/>
                <w:lang w:val="is-IS"/>
              </w:rPr>
            </w:pPr>
            <w:r w:rsidRPr="009F7642">
              <w:rPr>
                <w:color w:val="auto"/>
                <w:lang w:val="is-IS"/>
              </w:rPr>
              <w:t>0,751</w:t>
            </w:r>
          </w:p>
          <w:p w14:paraId="292713C3" w14:textId="77777777" w:rsidR="00FF7676" w:rsidRPr="009F7642" w:rsidRDefault="00FF7676" w:rsidP="007309A2">
            <w:pPr>
              <w:keepNext/>
              <w:suppressAutoHyphens/>
              <w:spacing w:line="259" w:lineRule="auto"/>
              <w:ind w:left="6"/>
              <w:jc w:val="center"/>
              <w:rPr>
                <w:color w:val="auto"/>
                <w:lang w:val="is-IS"/>
              </w:rPr>
            </w:pPr>
            <w:r w:rsidRPr="009F7642">
              <w:rPr>
                <w:color w:val="auto"/>
                <w:lang w:val="is-IS"/>
              </w:rPr>
              <w:t>(p-gildi</w:t>
            </w:r>
            <w:r w:rsidR="009A0D7C">
              <w:rPr>
                <w:color w:val="auto"/>
                <w:lang w:val="is-IS"/>
              </w:rPr>
              <w:t> </w:t>
            </w:r>
            <w:r w:rsidR="00700BDC">
              <w:rPr>
                <w:color w:val="auto"/>
                <w:lang w:val="is-IS"/>
              </w:rPr>
              <w:t>=</w:t>
            </w:r>
            <w:r w:rsidR="009A0D7C">
              <w:rPr>
                <w:color w:val="auto"/>
                <w:lang w:val="is-IS"/>
              </w:rPr>
              <w:t> </w:t>
            </w:r>
            <w:r w:rsidRPr="009F7642">
              <w:rPr>
                <w:color w:val="auto"/>
                <w:lang w:val="is-IS"/>
              </w:rPr>
              <w:t xml:space="preserve">0,0012) </w:t>
            </w:r>
          </w:p>
        </w:tc>
      </w:tr>
      <w:tr w:rsidR="00FF7676" w:rsidRPr="009F7642" w14:paraId="490E80F9" w14:textId="77777777" w:rsidTr="00941CAB">
        <w:trPr>
          <w:trHeight w:val="359"/>
        </w:trPr>
        <w:tc>
          <w:tcPr>
            <w:tcW w:w="5000" w:type="pct"/>
            <w:gridSpan w:val="3"/>
            <w:noWrap/>
            <w:vAlign w:val="center"/>
            <w:hideMark/>
          </w:tcPr>
          <w:p w14:paraId="086C97F7" w14:textId="77777777" w:rsidR="00FF7676" w:rsidRPr="009F7642" w:rsidRDefault="00FF7676" w:rsidP="008B60B2">
            <w:pPr>
              <w:suppressAutoHyphens/>
              <w:spacing w:after="0" w:line="240" w:lineRule="auto"/>
              <w:ind w:left="0" w:firstLine="0"/>
              <w:rPr>
                <w:color w:val="auto"/>
                <w:lang w:val="is-IS"/>
              </w:rPr>
            </w:pPr>
            <w:r w:rsidRPr="009F7642">
              <w:rPr>
                <w:color w:val="auto"/>
                <w:lang w:val="is-IS"/>
              </w:rPr>
              <w:t>Lifun án versnunar sjúkdóms</w:t>
            </w:r>
          </w:p>
        </w:tc>
      </w:tr>
      <w:tr w:rsidR="00FF7676" w:rsidRPr="009F7642" w14:paraId="06AB8041" w14:textId="77777777" w:rsidTr="00941CAB">
        <w:trPr>
          <w:trHeight w:val="422"/>
        </w:trPr>
        <w:tc>
          <w:tcPr>
            <w:tcW w:w="1646" w:type="pct"/>
            <w:noWrap/>
            <w:vAlign w:val="center"/>
            <w:hideMark/>
          </w:tcPr>
          <w:p w14:paraId="4C76AAAC" w14:textId="77777777" w:rsidR="00FF7676" w:rsidRPr="009F7642" w:rsidRDefault="00FF7676" w:rsidP="008B60B2">
            <w:pPr>
              <w:suppressAutoHyphens/>
              <w:spacing w:after="0" w:line="240" w:lineRule="auto"/>
              <w:ind w:left="567" w:firstLine="0"/>
              <w:rPr>
                <w:color w:val="auto"/>
                <w:lang w:val="is-IS"/>
              </w:rPr>
            </w:pPr>
            <w:r w:rsidRPr="009F7642">
              <w:rPr>
                <w:color w:val="auto"/>
                <w:lang w:val="is-IS"/>
              </w:rPr>
              <w:t>Miðgildi (mánuðir)</w:t>
            </w:r>
          </w:p>
        </w:tc>
        <w:tc>
          <w:tcPr>
            <w:tcW w:w="1560" w:type="pct"/>
            <w:noWrap/>
            <w:vAlign w:val="center"/>
            <w:hideMark/>
          </w:tcPr>
          <w:p w14:paraId="7F7E56A2" w14:textId="77777777" w:rsidR="00FF7676" w:rsidRPr="009F7642" w:rsidRDefault="00FF7676" w:rsidP="008B60B2">
            <w:pPr>
              <w:suppressAutoHyphens/>
              <w:spacing w:line="259" w:lineRule="auto"/>
              <w:ind w:left="7"/>
              <w:jc w:val="center"/>
              <w:rPr>
                <w:color w:val="auto"/>
                <w:lang w:val="is-IS"/>
              </w:rPr>
            </w:pPr>
            <w:r w:rsidRPr="009F7642">
              <w:rPr>
                <w:color w:val="auto"/>
                <w:lang w:val="is-IS"/>
              </w:rPr>
              <w:t>4,5</w:t>
            </w:r>
          </w:p>
        </w:tc>
        <w:tc>
          <w:tcPr>
            <w:tcW w:w="1794" w:type="pct"/>
            <w:noWrap/>
            <w:vAlign w:val="center"/>
            <w:hideMark/>
          </w:tcPr>
          <w:p w14:paraId="2CCE7000" w14:textId="77777777" w:rsidR="00FF7676" w:rsidRPr="009F7642" w:rsidRDefault="00FF7676" w:rsidP="008B60B2">
            <w:pPr>
              <w:suppressAutoHyphens/>
              <w:spacing w:line="259" w:lineRule="auto"/>
              <w:ind w:left="7"/>
              <w:jc w:val="center"/>
              <w:rPr>
                <w:color w:val="auto"/>
                <w:lang w:val="is-IS"/>
              </w:rPr>
            </w:pPr>
            <w:r w:rsidRPr="009F7642">
              <w:rPr>
                <w:color w:val="auto"/>
                <w:lang w:val="is-IS"/>
              </w:rPr>
              <w:t>7,5</w:t>
            </w:r>
          </w:p>
        </w:tc>
      </w:tr>
      <w:tr w:rsidR="00FF7676" w:rsidRPr="009F7642" w14:paraId="14CC88DE" w14:textId="77777777" w:rsidTr="00941CAB">
        <w:trPr>
          <w:trHeight w:val="600"/>
        </w:trPr>
        <w:tc>
          <w:tcPr>
            <w:tcW w:w="1646" w:type="pct"/>
            <w:noWrap/>
            <w:vAlign w:val="center"/>
            <w:hideMark/>
          </w:tcPr>
          <w:p w14:paraId="7C63DF54" w14:textId="77777777" w:rsidR="00FF7676" w:rsidRPr="009F7642" w:rsidRDefault="00FF7676" w:rsidP="008B60B2">
            <w:pPr>
              <w:suppressAutoHyphens/>
              <w:spacing w:after="0" w:line="240" w:lineRule="auto"/>
              <w:ind w:left="567" w:firstLine="0"/>
              <w:rPr>
                <w:color w:val="auto"/>
                <w:lang w:val="is-IS"/>
              </w:rPr>
            </w:pPr>
            <w:r w:rsidRPr="009F7642">
              <w:rPr>
                <w:color w:val="auto"/>
                <w:lang w:val="is-IS"/>
              </w:rPr>
              <w:t>Áhættuhlutfall</w:t>
            </w:r>
          </w:p>
        </w:tc>
        <w:tc>
          <w:tcPr>
            <w:tcW w:w="3354" w:type="pct"/>
            <w:gridSpan w:val="2"/>
            <w:noWrap/>
            <w:hideMark/>
          </w:tcPr>
          <w:p w14:paraId="1E7B8FAE" w14:textId="77777777" w:rsidR="006C06D6" w:rsidRPr="009F7642" w:rsidRDefault="00FF7676" w:rsidP="008B60B2">
            <w:pPr>
              <w:suppressAutoHyphens/>
              <w:spacing w:after="14" w:line="259" w:lineRule="auto"/>
              <w:jc w:val="center"/>
              <w:rPr>
                <w:color w:val="auto"/>
                <w:lang w:val="is-IS"/>
              </w:rPr>
            </w:pPr>
            <w:r w:rsidRPr="009F7642">
              <w:rPr>
                <w:color w:val="auto"/>
                <w:lang w:val="is-IS"/>
              </w:rPr>
              <w:t>0,518</w:t>
            </w:r>
          </w:p>
          <w:p w14:paraId="0543CAED" w14:textId="77777777" w:rsidR="00FF7676" w:rsidRPr="009F7642" w:rsidRDefault="00FF7676" w:rsidP="008B60B2">
            <w:pPr>
              <w:suppressAutoHyphens/>
              <w:spacing w:line="259" w:lineRule="auto"/>
              <w:ind w:left="9"/>
              <w:jc w:val="center"/>
              <w:rPr>
                <w:color w:val="auto"/>
                <w:lang w:val="is-IS"/>
              </w:rPr>
            </w:pPr>
            <w:r w:rsidRPr="009F7642">
              <w:rPr>
                <w:color w:val="auto"/>
                <w:lang w:val="is-IS"/>
              </w:rPr>
              <w:t>(p-gildi</w:t>
            </w:r>
            <w:r w:rsidR="009A0D7C">
              <w:rPr>
                <w:color w:val="auto"/>
                <w:lang w:val="is-IS"/>
              </w:rPr>
              <w:t> </w:t>
            </w:r>
            <w:r w:rsidRPr="009F7642">
              <w:rPr>
                <w:rFonts w:eastAsia="Segoe UI Symbol"/>
                <w:color w:val="auto"/>
                <w:lang w:val="is-IS"/>
              </w:rPr>
              <w:t>&lt;</w:t>
            </w:r>
            <w:r w:rsidR="009A0D7C">
              <w:rPr>
                <w:color w:val="auto"/>
                <w:lang w:val="is-IS"/>
              </w:rPr>
              <w:t> </w:t>
            </w:r>
            <w:r w:rsidRPr="009F7642">
              <w:rPr>
                <w:color w:val="auto"/>
                <w:lang w:val="is-IS"/>
              </w:rPr>
              <w:t xml:space="preserve">0,0001) </w:t>
            </w:r>
          </w:p>
        </w:tc>
      </w:tr>
      <w:tr w:rsidR="00FF7676" w:rsidRPr="009F7642" w14:paraId="1C316AAD" w14:textId="77777777" w:rsidTr="00941CAB">
        <w:trPr>
          <w:trHeight w:val="300"/>
        </w:trPr>
        <w:tc>
          <w:tcPr>
            <w:tcW w:w="5000" w:type="pct"/>
            <w:gridSpan w:val="3"/>
            <w:noWrap/>
            <w:vAlign w:val="center"/>
            <w:hideMark/>
          </w:tcPr>
          <w:p w14:paraId="05AB6AEB" w14:textId="77777777" w:rsidR="00FF7676" w:rsidRPr="009F7642" w:rsidRDefault="00FF7676" w:rsidP="008B60B2">
            <w:pPr>
              <w:suppressAutoHyphens/>
              <w:spacing w:after="0" w:line="240" w:lineRule="auto"/>
              <w:ind w:left="0" w:firstLine="0"/>
              <w:rPr>
                <w:color w:val="auto"/>
                <w:lang w:val="is-IS"/>
              </w:rPr>
            </w:pPr>
            <w:r w:rsidRPr="009F7642">
              <w:rPr>
                <w:color w:val="auto"/>
                <w:lang w:val="is-IS"/>
              </w:rPr>
              <w:t>Hlutlægt svörunarhlutfall</w:t>
            </w:r>
          </w:p>
        </w:tc>
      </w:tr>
      <w:tr w:rsidR="00FF7676" w:rsidRPr="009F7642" w14:paraId="26E1153C" w14:textId="77777777" w:rsidTr="00941CAB">
        <w:trPr>
          <w:cantSplit/>
          <w:trHeight w:val="453"/>
        </w:trPr>
        <w:tc>
          <w:tcPr>
            <w:tcW w:w="1646" w:type="pct"/>
            <w:noWrap/>
            <w:vAlign w:val="center"/>
            <w:hideMark/>
          </w:tcPr>
          <w:p w14:paraId="2ED63641" w14:textId="77777777" w:rsidR="00FF7676" w:rsidRPr="009F7642" w:rsidRDefault="00FF7676" w:rsidP="008B60B2">
            <w:pPr>
              <w:suppressAutoHyphens/>
              <w:spacing w:after="0" w:line="240" w:lineRule="auto"/>
              <w:ind w:left="567" w:firstLine="0"/>
              <w:rPr>
                <w:color w:val="auto"/>
                <w:lang w:val="is-IS"/>
              </w:rPr>
            </w:pPr>
            <w:r w:rsidRPr="009F7642">
              <w:rPr>
                <w:color w:val="auto"/>
                <w:lang w:val="is-IS"/>
              </w:rPr>
              <w:t>Hlutfall</w:t>
            </w:r>
          </w:p>
        </w:tc>
        <w:tc>
          <w:tcPr>
            <w:tcW w:w="1560" w:type="pct"/>
            <w:noWrap/>
            <w:vAlign w:val="center"/>
            <w:hideMark/>
          </w:tcPr>
          <w:p w14:paraId="6AEC396C" w14:textId="77777777" w:rsidR="00FF7676" w:rsidRPr="009F7642" w:rsidRDefault="00FF7676" w:rsidP="008B60B2">
            <w:pPr>
              <w:suppressAutoHyphens/>
              <w:spacing w:line="259" w:lineRule="auto"/>
              <w:ind w:left="9"/>
              <w:jc w:val="center"/>
              <w:rPr>
                <w:color w:val="auto"/>
                <w:lang w:val="is-IS"/>
              </w:rPr>
            </w:pPr>
            <w:r w:rsidRPr="009F7642">
              <w:rPr>
                <w:color w:val="auto"/>
                <w:lang w:val="is-IS"/>
              </w:rPr>
              <w:t>8,6%</w:t>
            </w:r>
          </w:p>
        </w:tc>
        <w:tc>
          <w:tcPr>
            <w:tcW w:w="1794" w:type="pct"/>
            <w:noWrap/>
            <w:vAlign w:val="center"/>
            <w:hideMark/>
          </w:tcPr>
          <w:p w14:paraId="0363CDF6" w14:textId="77777777" w:rsidR="00FF7676" w:rsidRPr="009F7642" w:rsidRDefault="00FF7676" w:rsidP="008B60B2">
            <w:pPr>
              <w:suppressAutoHyphens/>
              <w:spacing w:line="259" w:lineRule="auto"/>
              <w:ind w:left="9"/>
              <w:jc w:val="center"/>
              <w:rPr>
                <w:color w:val="auto"/>
                <w:lang w:val="is-IS"/>
              </w:rPr>
            </w:pPr>
            <w:r w:rsidRPr="009F7642">
              <w:rPr>
                <w:color w:val="auto"/>
                <w:lang w:val="is-IS"/>
              </w:rPr>
              <w:t>22,2%</w:t>
            </w:r>
          </w:p>
        </w:tc>
      </w:tr>
      <w:tr w:rsidR="00FF7676" w:rsidRPr="009F7642" w14:paraId="1A9ACBA4" w14:textId="77777777" w:rsidTr="00941CAB">
        <w:trPr>
          <w:cantSplit/>
          <w:trHeight w:val="429"/>
        </w:trPr>
        <w:tc>
          <w:tcPr>
            <w:tcW w:w="1646" w:type="pct"/>
            <w:noWrap/>
            <w:vAlign w:val="bottom"/>
            <w:hideMark/>
          </w:tcPr>
          <w:p w14:paraId="23F8617C" w14:textId="77777777" w:rsidR="00FF7676" w:rsidRPr="009F7642" w:rsidRDefault="00FF7676" w:rsidP="008B60B2">
            <w:pPr>
              <w:suppressAutoHyphens/>
              <w:spacing w:line="240" w:lineRule="auto"/>
              <w:rPr>
                <w:color w:val="auto"/>
                <w:lang w:val="is-IS"/>
              </w:rPr>
            </w:pPr>
          </w:p>
        </w:tc>
        <w:tc>
          <w:tcPr>
            <w:tcW w:w="3354" w:type="pct"/>
            <w:gridSpan w:val="2"/>
            <w:noWrap/>
            <w:vAlign w:val="center"/>
            <w:hideMark/>
          </w:tcPr>
          <w:p w14:paraId="0AC09EDA" w14:textId="77777777" w:rsidR="00FF7676" w:rsidRPr="009F7642" w:rsidRDefault="00FF7676" w:rsidP="008B60B2">
            <w:pPr>
              <w:suppressAutoHyphens/>
              <w:spacing w:line="240" w:lineRule="auto"/>
              <w:jc w:val="center"/>
              <w:rPr>
                <w:color w:val="auto"/>
                <w:lang w:val="is-IS"/>
              </w:rPr>
            </w:pPr>
            <w:r w:rsidRPr="009F7642">
              <w:rPr>
                <w:color w:val="auto"/>
                <w:lang w:val="is-IS"/>
              </w:rPr>
              <w:t>(p-gildi</w:t>
            </w:r>
            <w:r w:rsidR="009A0D7C">
              <w:rPr>
                <w:color w:val="auto"/>
                <w:lang w:val="is-IS"/>
              </w:rPr>
              <w:t> </w:t>
            </w:r>
            <w:r w:rsidRPr="009F7642">
              <w:rPr>
                <w:rFonts w:eastAsia="Segoe UI Symbol"/>
                <w:color w:val="auto"/>
                <w:lang w:val="is-IS"/>
              </w:rPr>
              <w:t>&lt;</w:t>
            </w:r>
            <w:r w:rsidR="009A0D7C">
              <w:rPr>
                <w:rFonts w:eastAsia="Segoe UI Symbol"/>
                <w:color w:val="auto"/>
                <w:lang w:val="is-IS"/>
              </w:rPr>
              <w:t> </w:t>
            </w:r>
            <w:r w:rsidRPr="009F7642">
              <w:rPr>
                <w:rFonts w:eastAsia="Segoe UI Symbol"/>
                <w:color w:val="auto"/>
                <w:lang w:val="is-IS"/>
              </w:rPr>
              <w:t>0.0001</w:t>
            </w:r>
            <w:r w:rsidRPr="009F7642">
              <w:rPr>
                <w:color w:val="auto"/>
                <w:lang w:val="is-IS"/>
              </w:rPr>
              <w:t>)</w:t>
            </w:r>
          </w:p>
        </w:tc>
      </w:tr>
    </w:tbl>
    <w:p w14:paraId="3F832021" w14:textId="77777777" w:rsidR="006C06D6" w:rsidRPr="009F7642" w:rsidRDefault="001B731E" w:rsidP="008B60B2">
      <w:pPr>
        <w:suppressAutoHyphens/>
        <w:spacing w:after="0" w:line="240" w:lineRule="auto"/>
        <w:ind w:left="567" w:hanging="567"/>
        <w:rPr>
          <w:color w:val="auto"/>
          <w:sz w:val="20"/>
          <w:lang w:val="is-IS"/>
        </w:rPr>
      </w:pPr>
      <w:r w:rsidRPr="009F7642">
        <w:rPr>
          <w:color w:val="auto"/>
          <w:sz w:val="20"/>
          <w:vertAlign w:val="superscript"/>
          <w:lang w:val="is-IS"/>
        </w:rPr>
        <w:t>a</w:t>
      </w:r>
      <w:r w:rsidRPr="009F7642">
        <w:rPr>
          <w:color w:val="auto"/>
          <w:sz w:val="20"/>
          <w:lang w:val="is-IS"/>
        </w:rPr>
        <w:tab/>
        <w:t>10 </w:t>
      </w:r>
      <w:r w:rsidR="00564614" w:rsidRPr="009F7642">
        <w:rPr>
          <w:color w:val="auto"/>
          <w:sz w:val="20"/>
          <w:lang w:val="is-IS"/>
        </w:rPr>
        <w:t>mg/kg á 2 vikna fresti</w:t>
      </w:r>
      <w:r w:rsidR="006A0206" w:rsidRPr="009F7642">
        <w:rPr>
          <w:color w:val="auto"/>
          <w:sz w:val="20"/>
          <w:lang w:val="is-IS"/>
        </w:rPr>
        <w:t>.</w:t>
      </w:r>
    </w:p>
    <w:p w14:paraId="24746BC1" w14:textId="77777777" w:rsidR="006C06D6" w:rsidRPr="009F7642" w:rsidRDefault="00564614" w:rsidP="008B60B2">
      <w:pPr>
        <w:suppressAutoHyphens/>
        <w:spacing w:after="0" w:line="240" w:lineRule="auto"/>
        <w:ind w:left="567" w:hanging="567"/>
        <w:rPr>
          <w:color w:val="auto"/>
          <w:lang w:val="is-IS"/>
        </w:rPr>
      </w:pPr>
      <w:r w:rsidRPr="009F7642">
        <w:rPr>
          <w:color w:val="auto"/>
          <w:sz w:val="20"/>
          <w:vertAlign w:val="superscript"/>
          <w:lang w:val="is-IS"/>
        </w:rPr>
        <w:t>b</w:t>
      </w:r>
      <w:r w:rsidR="006A0206" w:rsidRPr="009F7642">
        <w:rPr>
          <w:color w:val="auto"/>
          <w:sz w:val="20"/>
          <w:lang w:val="is-IS"/>
        </w:rPr>
        <w:tab/>
      </w:r>
      <w:r w:rsidR="009A0D7C" w:rsidRPr="009F7642">
        <w:rPr>
          <w:color w:val="auto"/>
          <w:sz w:val="20"/>
          <w:lang w:val="is-IS"/>
        </w:rPr>
        <w:t>M</w:t>
      </w:r>
      <w:r w:rsidRPr="009F7642">
        <w:rPr>
          <w:color w:val="auto"/>
          <w:sz w:val="20"/>
          <w:lang w:val="is-IS"/>
        </w:rPr>
        <w:t>iðað við samanburðarhóp</w:t>
      </w:r>
      <w:r w:rsidR="006A0206" w:rsidRPr="009F7642">
        <w:rPr>
          <w:color w:val="auto"/>
          <w:sz w:val="20"/>
          <w:lang w:val="is-IS"/>
        </w:rPr>
        <w:t>.</w:t>
      </w:r>
    </w:p>
    <w:p w14:paraId="215695D2" w14:textId="77777777" w:rsidR="005F36F3" w:rsidRPr="009F7642" w:rsidRDefault="005F36F3" w:rsidP="008B60B2">
      <w:pPr>
        <w:suppressAutoHyphens/>
        <w:spacing w:after="0" w:line="240" w:lineRule="auto"/>
        <w:ind w:left="0" w:firstLine="0"/>
        <w:rPr>
          <w:color w:val="auto"/>
          <w:lang w:val="is-IS"/>
        </w:rPr>
      </w:pPr>
    </w:p>
    <w:p w14:paraId="11BE5070" w14:textId="77777777" w:rsidR="006C06D6" w:rsidRPr="009F7642" w:rsidRDefault="00564614" w:rsidP="008B60B2">
      <w:pPr>
        <w:suppressAutoHyphens/>
        <w:spacing w:after="0" w:line="240" w:lineRule="auto"/>
        <w:ind w:left="0" w:firstLine="0"/>
        <w:rPr>
          <w:color w:val="auto"/>
          <w:lang w:val="is-IS"/>
        </w:rPr>
      </w:pPr>
      <w:r w:rsidRPr="009F7642">
        <w:rPr>
          <w:color w:val="auto"/>
          <w:lang w:val="is-IS"/>
        </w:rPr>
        <w:t xml:space="preserve">Ekki varð vart við neinn marktækan mun á tímalengd heildarlifunar milli sjúklinga sem fengu </w:t>
      </w:r>
      <w:r w:rsidR="00690564" w:rsidRPr="00F2274F">
        <w:rPr>
          <w:lang w:val="is-IS"/>
        </w:rPr>
        <w:t>bevacízúmab</w:t>
      </w:r>
      <w:r w:rsidRPr="009F7642">
        <w:rPr>
          <w:color w:val="auto"/>
          <w:lang w:val="is-IS"/>
        </w:rPr>
        <w:t xml:space="preserve"> einlyfjameðferð og þeirra sem fengu FOLFOX-4. Lifun án versnunar sjúkdóms og hlutlægt svörunarhlutfall voru lægri hjá hópnum sem fékk </w:t>
      </w:r>
      <w:r w:rsidR="00690564" w:rsidRPr="00F2274F">
        <w:rPr>
          <w:lang w:val="is-IS"/>
        </w:rPr>
        <w:t>bevacízúmab</w:t>
      </w:r>
      <w:r w:rsidRPr="009F7642">
        <w:rPr>
          <w:color w:val="auto"/>
          <w:lang w:val="is-IS"/>
        </w:rPr>
        <w:t xml:space="preserve"> einlyfjameðferð samanborið við hópinn á FOLFOX-4.</w:t>
      </w:r>
    </w:p>
    <w:p w14:paraId="4D20A68A" w14:textId="77777777" w:rsidR="005F36F3" w:rsidRPr="009F7642" w:rsidRDefault="005F36F3" w:rsidP="008B60B2">
      <w:pPr>
        <w:suppressAutoHyphens/>
        <w:spacing w:after="0" w:line="240" w:lineRule="auto"/>
        <w:ind w:left="0" w:firstLine="0"/>
        <w:rPr>
          <w:color w:val="auto"/>
          <w:lang w:val="is-IS"/>
        </w:rPr>
      </w:pPr>
    </w:p>
    <w:p w14:paraId="78A1CB67" w14:textId="77777777" w:rsidR="005F36F3" w:rsidRPr="009F7642" w:rsidRDefault="00564614" w:rsidP="0073217C">
      <w:pPr>
        <w:keepNext/>
        <w:suppressAutoHyphens/>
        <w:spacing w:after="0" w:line="240" w:lineRule="auto"/>
        <w:ind w:left="0" w:firstLine="0"/>
        <w:rPr>
          <w:color w:val="auto"/>
          <w:lang w:val="is-IS"/>
        </w:rPr>
      </w:pPr>
      <w:r w:rsidRPr="009F7642">
        <w:rPr>
          <w:i/>
          <w:color w:val="auto"/>
          <w:lang w:val="is-IS"/>
        </w:rPr>
        <w:t>ML18147</w:t>
      </w:r>
    </w:p>
    <w:p w14:paraId="7205355C"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Þetta var slembiröðuð, opin III. stigs samanburðarrannsókn </w:t>
      </w:r>
      <w:r w:rsidR="001B731E" w:rsidRPr="009F7642">
        <w:rPr>
          <w:color w:val="auto"/>
          <w:lang w:val="is-IS"/>
        </w:rPr>
        <w:t xml:space="preserve">þar sem meðferð með </w:t>
      </w:r>
      <w:r w:rsidR="00690564" w:rsidRPr="00F2274F">
        <w:rPr>
          <w:lang w:val="is-IS"/>
        </w:rPr>
        <w:t>bevacízúmab</w:t>
      </w:r>
      <w:r w:rsidR="001B731E" w:rsidRPr="009F7642">
        <w:rPr>
          <w:color w:val="auto"/>
          <w:lang w:val="is-IS"/>
        </w:rPr>
        <w:t xml:space="preserve"> 5,0 </w:t>
      </w:r>
      <w:r w:rsidRPr="009F7642">
        <w:rPr>
          <w:color w:val="auto"/>
          <w:lang w:val="is-IS"/>
        </w:rPr>
        <w:t>mg/kg á</w:t>
      </w:r>
      <w:r w:rsidR="00587FE4">
        <w:rPr>
          <w:color w:val="auto"/>
          <w:lang w:val="is-IS"/>
        </w:rPr>
        <w:t xml:space="preserve"> </w:t>
      </w:r>
      <w:r w:rsidR="001B731E" w:rsidRPr="009F7642">
        <w:rPr>
          <w:color w:val="auto"/>
          <w:lang w:val="is-IS"/>
        </w:rPr>
        <w:t>2 vikna fresti og 7,5 </w:t>
      </w:r>
      <w:r w:rsidRPr="009F7642">
        <w:rPr>
          <w:color w:val="auto"/>
          <w:lang w:val="is-IS"/>
        </w:rPr>
        <w:t>mg/kg á 3 vikna fresti ásamt krabbameinslyfjameðferð sem byggðist á flúorópýrimidíni var borin saman við krabbameinslyfjameðferð sem byggðist á flúorópýrimidíni eingöngu, hjá sjúklingum með krabbameini í ristli eða endaþarmi með meinvörpum þar sem sjúkdómurinn hafði versnað eftir fyrstu meðferð með meðferðaráætlun sem innihélt bevacízúmab.</w:t>
      </w:r>
    </w:p>
    <w:p w14:paraId="4CDD0FDE" w14:textId="77777777" w:rsidR="00A93E05" w:rsidRPr="009F7642" w:rsidRDefault="00A93E05" w:rsidP="0073217C">
      <w:pPr>
        <w:suppressAutoHyphens/>
        <w:spacing w:after="0" w:line="240" w:lineRule="auto"/>
        <w:ind w:left="0" w:firstLine="0"/>
        <w:rPr>
          <w:color w:val="auto"/>
          <w:lang w:val="is-IS"/>
        </w:rPr>
      </w:pPr>
    </w:p>
    <w:p w14:paraId="57B6A4D1"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Sjúklingum með vefjafræðilega staðfest krabbamein í ristli eða endaþarmi með meinvörpum, þar sem sjúkdómurinn hafði versnað, var slembiraðað í hlutföllunum 1:1 í hópa sem fengu krabbameinslyfjameðferð sem byggðist á flúorópýrimidíni/oxaliplatíni eða flúorópýrimidíni/írínótekani (skipt var á milli meðferðaráætlana eftir því hvaða lyf höfðu verið notuð við fyrstu meðferð), með eða án bevacízúmabs, innan 3 mánaða eftir að fyrstu meðferð með meðferðaráætlun sem innihélt bevacízúmab var hætt. Meðferð var haldið áfram þar til sjúkdómurinn versnaði eða óásættanleg eituráhrif komu fram. Aðalmælikvarði á árangur var heildarlifun, skilgreind sem tími frá slembiröðun fram að dauðsfalli af hvaða ástæðu sem var.</w:t>
      </w:r>
    </w:p>
    <w:p w14:paraId="14DDD8B8" w14:textId="77777777" w:rsidR="00A93E05" w:rsidRPr="009F7642" w:rsidRDefault="00A93E05" w:rsidP="0073217C">
      <w:pPr>
        <w:suppressAutoHyphens/>
        <w:spacing w:after="0" w:line="240" w:lineRule="auto"/>
        <w:ind w:left="0" w:firstLine="0"/>
        <w:rPr>
          <w:color w:val="auto"/>
          <w:lang w:val="is-IS"/>
        </w:rPr>
      </w:pPr>
    </w:p>
    <w:p w14:paraId="1DCFC8D0"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Alls var 820 sjúklingum slembiraðað. Viðbót bevacízúmabs við krabbameinslyfjameðferð sem byggðist á flúorópýrimidíni leiddi til tölfræðilega marktækt lengri lifunar sjúklinga með krabbamein í ristli eða endaþarmi með meinvörpum þar sem sjúkdómurinn hafði versnað eftir fyrstu meðferð með meðferðaráætlun sem innihélt bevacízúmab (ITT</w:t>
      </w:r>
      <w:r w:rsidR="009A0D7C">
        <w:rPr>
          <w:color w:val="auto"/>
          <w:lang w:val="is-IS"/>
        </w:rPr>
        <w:t> </w:t>
      </w:r>
      <w:r w:rsidR="00700BDC">
        <w:rPr>
          <w:color w:val="auto"/>
          <w:lang w:val="is-IS"/>
        </w:rPr>
        <w:t>=</w:t>
      </w:r>
      <w:r w:rsidR="009A0D7C">
        <w:rPr>
          <w:color w:val="auto"/>
          <w:lang w:val="is-IS"/>
        </w:rPr>
        <w:t> </w:t>
      </w:r>
      <w:r w:rsidRPr="009F7642">
        <w:rPr>
          <w:color w:val="auto"/>
          <w:lang w:val="is-IS"/>
        </w:rPr>
        <w:t>819) (sjá töflu 9).</w:t>
      </w:r>
    </w:p>
    <w:p w14:paraId="47578F5B" w14:textId="77777777" w:rsidR="005F36F3" w:rsidRPr="009F7642" w:rsidRDefault="005F36F3" w:rsidP="0073217C">
      <w:pPr>
        <w:suppressAutoHyphens/>
        <w:spacing w:after="0" w:line="240" w:lineRule="auto"/>
        <w:ind w:left="0" w:firstLine="0"/>
        <w:rPr>
          <w:color w:val="auto"/>
          <w:lang w:val="is-IS"/>
        </w:rPr>
      </w:pPr>
    </w:p>
    <w:p w14:paraId="05236DF4" w14:textId="77777777" w:rsidR="006C06D6" w:rsidRPr="00731E89" w:rsidRDefault="00564614" w:rsidP="0073217C">
      <w:pPr>
        <w:keepNext/>
        <w:suppressAutoHyphens/>
        <w:spacing w:after="0" w:line="240" w:lineRule="auto"/>
        <w:ind w:left="0" w:firstLine="0"/>
        <w:rPr>
          <w:b/>
          <w:color w:val="auto"/>
          <w:lang w:val="is-IS"/>
        </w:rPr>
      </w:pPr>
      <w:r w:rsidRPr="00731E89">
        <w:rPr>
          <w:b/>
          <w:color w:val="auto"/>
          <w:lang w:val="is-IS"/>
        </w:rPr>
        <w:lastRenderedPageBreak/>
        <w:t>Tafla 9</w:t>
      </w:r>
      <w:r w:rsidR="00EA3543" w:rsidRPr="00731E89">
        <w:rPr>
          <w:b/>
          <w:color w:val="auto"/>
          <w:lang w:val="is-IS"/>
        </w:rPr>
        <w:t>.</w:t>
      </w:r>
      <w:r w:rsidRPr="00731E89">
        <w:rPr>
          <w:b/>
          <w:color w:val="auto"/>
          <w:lang w:val="is-IS"/>
        </w:rPr>
        <w:t xml:space="preserve"> Niðurstöður um verkun í rannsókn ML18147 (þýði sem til stóð að meðhöndla samkvæmt meðferðaráætlun; ITT)</w:t>
      </w:r>
    </w:p>
    <w:p w14:paraId="3B3DDF97" w14:textId="77777777" w:rsidR="005F36F3" w:rsidRPr="009F7642" w:rsidRDefault="005F36F3" w:rsidP="0073217C">
      <w:pPr>
        <w:keepNext/>
        <w:suppressAutoHyphens/>
        <w:spacing w:after="0" w:line="240" w:lineRule="auto"/>
        <w:ind w:left="0" w:firstLine="0"/>
        <w:rPr>
          <w:color w:val="auto"/>
          <w:lang w:val="is-IS"/>
        </w:rPr>
      </w:pPr>
    </w:p>
    <w:tbl>
      <w:tblPr>
        <w:tblW w:w="0" w:type="auto"/>
        <w:tblInd w:w="93" w:type="dxa"/>
        <w:tblLook w:val="04A0" w:firstRow="1" w:lastRow="0" w:firstColumn="1" w:lastColumn="0" w:noHBand="0" w:noVBand="1"/>
      </w:tblPr>
      <w:tblGrid>
        <w:gridCol w:w="2709"/>
        <w:gridCol w:w="2976"/>
        <w:gridCol w:w="3261"/>
      </w:tblGrid>
      <w:tr w:rsidR="004B7E74" w:rsidRPr="009F7642" w14:paraId="67B253E0" w14:textId="77777777" w:rsidTr="004B7E74">
        <w:trPr>
          <w:trHeight w:val="300"/>
          <w:tblHeader/>
        </w:trPr>
        <w:tc>
          <w:tcPr>
            <w:tcW w:w="2709" w:type="dxa"/>
            <w:tcBorders>
              <w:top w:val="single" w:sz="4" w:space="0" w:color="auto"/>
              <w:left w:val="single" w:sz="4" w:space="0" w:color="auto"/>
              <w:bottom w:val="single" w:sz="4" w:space="0" w:color="auto"/>
              <w:right w:val="single" w:sz="4" w:space="0" w:color="auto"/>
            </w:tcBorders>
            <w:noWrap/>
            <w:vAlign w:val="bottom"/>
            <w:hideMark/>
          </w:tcPr>
          <w:p w14:paraId="4FB7754D" w14:textId="77777777" w:rsidR="004B1027" w:rsidRPr="009F7642" w:rsidRDefault="004B1027" w:rsidP="007309A2">
            <w:pPr>
              <w:keepNext/>
              <w:suppressAutoHyphens/>
              <w:spacing w:line="240" w:lineRule="auto"/>
              <w:ind w:left="11" w:hanging="11"/>
              <w:rPr>
                <w:color w:val="auto"/>
                <w:lang w:val="is-IS"/>
              </w:rPr>
            </w:pPr>
          </w:p>
        </w:tc>
        <w:tc>
          <w:tcPr>
            <w:tcW w:w="6237" w:type="dxa"/>
            <w:gridSpan w:val="2"/>
            <w:tcBorders>
              <w:top w:val="single" w:sz="4" w:space="0" w:color="auto"/>
              <w:left w:val="single" w:sz="4" w:space="0" w:color="auto"/>
              <w:bottom w:val="single" w:sz="4" w:space="0" w:color="auto"/>
              <w:right w:val="single" w:sz="4" w:space="0" w:color="auto"/>
            </w:tcBorders>
            <w:noWrap/>
            <w:vAlign w:val="center"/>
            <w:hideMark/>
          </w:tcPr>
          <w:p w14:paraId="4C1BF5D2" w14:textId="77777777" w:rsidR="004B1027" w:rsidRPr="009F7642" w:rsidRDefault="004B1027" w:rsidP="0073217C">
            <w:pPr>
              <w:keepNext/>
              <w:suppressAutoHyphens/>
              <w:spacing w:line="240" w:lineRule="auto"/>
              <w:jc w:val="center"/>
              <w:rPr>
                <w:b/>
                <w:color w:val="auto"/>
                <w:lang w:val="is-IS"/>
              </w:rPr>
            </w:pPr>
            <w:r w:rsidRPr="009F7642">
              <w:rPr>
                <w:b/>
                <w:color w:val="auto"/>
                <w:lang w:val="is-IS"/>
              </w:rPr>
              <w:t>ML18147</w:t>
            </w:r>
          </w:p>
        </w:tc>
      </w:tr>
      <w:tr w:rsidR="004B7E74" w:rsidRPr="009F7642" w14:paraId="746EDE4E" w14:textId="77777777" w:rsidTr="004B7E74">
        <w:trPr>
          <w:trHeight w:val="300"/>
          <w:tblHeader/>
        </w:trPr>
        <w:tc>
          <w:tcPr>
            <w:tcW w:w="2709" w:type="dxa"/>
            <w:tcBorders>
              <w:top w:val="single" w:sz="4" w:space="0" w:color="auto"/>
              <w:left w:val="single" w:sz="4" w:space="0" w:color="auto"/>
              <w:bottom w:val="single" w:sz="4" w:space="0" w:color="auto"/>
              <w:right w:val="single" w:sz="4" w:space="0" w:color="auto"/>
            </w:tcBorders>
            <w:noWrap/>
            <w:vAlign w:val="bottom"/>
            <w:hideMark/>
          </w:tcPr>
          <w:p w14:paraId="3F48A95E" w14:textId="77777777" w:rsidR="004B1027" w:rsidRPr="009F7642" w:rsidRDefault="004B1027" w:rsidP="0073217C">
            <w:pPr>
              <w:suppressAutoHyphens/>
              <w:rPr>
                <w:color w:val="auto"/>
                <w:lang w:val="is-IS"/>
              </w:rPr>
            </w:pPr>
          </w:p>
        </w:tc>
        <w:tc>
          <w:tcPr>
            <w:tcW w:w="2976" w:type="dxa"/>
            <w:tcBorders>
              <w:top w:val="single" w:sz="4" w:space="0" w:color="auto"/>
              <w:left w:val="single" w:sz="4" w:space="0" w:color="auto"/>
              <w:bottom w:val="single" w:sz="4" w:space="0" w:color="auto"/>
              <w:right w:val="single" w:sz="4" w:space="0" w:color="auto"/>
            </w:tcBorders>
            <w:noWrap/>
            <w:hideMark/>
          </w:tcPr>
          <w:p w14:paraId="619651B0" w14:textId="77777777" w:rsidR="006C06D6" w:rsidRPr="009F7642" w:rsidRDefault="009A0D7C" w:rsidP="0073217C">
            <w:pPr>
              <w:suppressAutoHyphens/>
              <w:spacing w:line="237" w:lineRule="auto"/>
              <w:jc w:val="center"/>
              <w:rPr>
                <w:b/>
                <w:color w:val="auto"/>
                <w:lang w:val="is-IS"/>
              </w:rPr>
            </w:pPr>
            <w:r w:rsidRPr="009F7642">
              <w:rPr>
                <w:b/>
                <w:color w:val="auto"/>
                <w:lang w:val="is-IS"/>
              </w:rPr>
              <w:t>K</w:t>
            </w:r>
            <w:r w:rsidR="004B1027" w:rsidRPr="009F7642">
              <w:rPr>
                <w:b/>
                <w:color w:val="auto"/>
                <w:lang w:val="is-IS"/>
              </w:rPr>
              <w:t>rabbameinslyfjameðferð sem byggist á flúorópýrimidíni/írínótekani eða</w:t>
            </w:r>
          </w:p>
          <w:p w14:paraId="5EC8C545" w14:textId="77777777" w:rsidR="004B1027" w:rsidRPr="009F7642" w:rsidRDefault="004B1027" w:rsidP="0073217C">
            <w:pPr>
              <w:keepNext/>
              <w:suppressAutoHyphens/>
              <w:spacing w:line="240" w:lineRule="auto"/>
              <w:jc w:val="center"/>
              <w:rPr>
                <w:b/>
                <w:color w:val="auto"/>
                <w:lang w:val="is-IS"/>
              </w:rPr>
            </w:pPr>
            <w:r w:rsidRPr="009F7642">
              <w:rPr>
                <w:b/>
                <w:color w:val="auto"/>
                <w:lang w:val="is-IS"/>
              </w:rPr>
              <w:t>flúorópýrimidíni/oxaliplatíni</w:t>
            </w:r>
          </w:p>
        </w:tc>
        <w:tc>
          <w:tcPr>
            <w:tcW w:w="3261" w:type="dxa"/>
            <w:tcBorders>
              <w:top w:val="single" w:sz="4" w:space="0" w:color="auto"/>
              <w:left w:val="single" w:sz="4" w:space="0" w:color="auto"/>
              <w:bottom w:val="single" w:sz="4" w:space="0" w:color="auto"/>
              <w:right w:val="single" w:sz="4" w:space="0" w:color="auto"/>
            </w:tcBorders>
            <w:noWrap/>
            <w:hideMark/>
          </w:tcPr>
          <w:p w14:paraId="5744DD54" w14:textId="77777777" w:rsidR="006C06D6" w:rsidRPr="009F7642" w:rsidRDefault="009A0D7C" w:rsidP="0073217C">
            <w:pPr>
              <w:suppressAutoHyphens/>
              <w:spacing w:after="2" w:line="236" w:lineRule="auto"/>
              <w:jc w:val="center"/>
              <w:rPr>
                <w:b/>
                <w:color w:val="auto"/>
                <w:lang w:val="is-IS"/>
              </w:rPr>
            </w:pPr>
            <w:r>
              <w:rPr>
                <w:b/>
                <w:color w:val="auto"/>
                <w:lang w:val="is-IS"/>
              </w:rPr>
              <w:t>K</w:t>
            </w:r>
            <w:r w:rsidRPr="009F7642">
              <w:rPr>
                <w:b/>
                <w:color w:val="auto"/>
                <w:lang w:val="is-IS"/>
              </w:rPr>
              <w:t xml:space="preserve">rabbameinslyfjameðferð </w:t>
            </w:r>
            <w:r w:rsidR="004B1027" w:rsidRPr="009F7642">
              <w:rPr>
                <w:b/>
                <w:color w:val="auto"/>
                <w:lang w:val="is-IS"/>
              </w:rPr>
              <w:t xml:space="preserve">sem byggist á </w:t>
            </w:r>
          </w:p>
          <w:p w14:paraId="07EBC3A0" w14:textId="77777777" w:rsidR="006C06D6" w:rsidRPr="009F7642" w:rsidRDefault="004B1027" w:rsidP="0073217C">
            <w:pPr>
              <w:suppressAutoHyphens/>
              <w:spacing w:after="27" w:line="236" w:lineRule="auto"/>
              <w:jc w:val="center"/>
              <w:rPr>
                <w:b/>
                <w:color w:val="auto"/>
                <w:lang w:val="is-IS"/>
              </w:rPr>
            </w:pPr>
            <w:r w:rsidRPr="009F7642">
              <w:rPr>
                <w:b/>
                <w:color w:val="auto"/>
                <w:lang w:val="is-IS"/>
              </w:rPr>
              <w:t>flúorópýrimidíni/írínótekani eða</w:t>
            </w:r>
          </w:p>
          <w:p w14:paraId="7ABC7802" w14:textId="77777777" w:rsidR="006C06D6" w:rsidRPr="009F7642" w:rsidRDefault="004B1027" w:rsidP="0073217C">
            <w:pPr>
              <w:suppressAutoHyphens/>
              <w:spacing w:after="1" w:line="259" w:lineRule="auto"/>
              <w:rPr>
                <w:b/>
                <w:color w:val="auto"/>
                <w:lang w:val="is-IS"/>
              </w:rPr>
            </w:pPr>
            <w:r w:rsidRPr="009F7642">
              <w:rPr>
                <w:b/>
                <w:color w:val="auto"/>
                <w:lang w:val="is-IS"/>
              </w:rPr>
              <w:t>flúorópýrimidíni/oxaliplatíni</w:t>
            </w:r>
          </w:p>
          <w:p w14:paraId="2B54EF58" w14:textId="77777777" w:rsidR="004B1027" w:rsidRPr="009F7642" w:rsidRDefault="004B1027" w:rsidP="0073217C">
            <w:pPr>
              <w:keepNext/>
              <w:suppressAutoHyphens/>
              <w:spacing w:line="240" w:lineRule="auto"/>
              <w:jc w:val="center"/>
              <w:rPr>
                <w:b/>
                <w:color w:val="auto"/>
                <w:lang w:val="is-IS"/>
              </w:rPr>
            </w:pPr>
            <w:r w:rsidRPr="009F7642">
              <w:rPr>
                <w:b/>
                <w:color w:val="auto"/>
                <w:lang w:val="is-IS"/>
              </w:rPr>
              <w:t xml:space="preserve">+ </w:t>
            </w:r>
            <w:proofErr w:type="spellStart"/>
            <w:r w:rsidR="00690564">
              <w:rPr>
                <w:b/>
              </w:rPr>
              <w:t>bevacízúmab</w:t>
            </w:r>
            <w:proofErr w:type="spellEnd"/>
            <w:r w:rsidRPr="009F7642">
              <w:rPr>
                <w:b/>
                <w:color w:val="auto"/>
                <w:vertAlign w:val="superscript"/>
                <w:lang w:val="is-IS"/>
              </w:rPr>
              <w:t>a</w:t>
            </w:r>
          </w:p>
        </w:tc>
      </w:tr>
      <w:tr w:rsidR="004B7E74" w:rsidRPr="009F7642" w14:paraId="142B83DC" w14:textId="77777777" w:rsidTr="004B7E74">
        <w:trPr>
          <w:trHeight w:val="300"/>
        </w:trPr>
        <w:tc>
          <w:tcPr>
            <w:tcW w:w="2709" w:type="dxa"/>
            <w:tcBorders>
              <w:top w:val="single" w:sz="4" w:space="0" w:color="auto"/>
              <w:left w:val="single" w:sz="4" w:space="0" w:color="auto"/>
              <w:bottom w:val="single" w:sz="4" w:space="0" w:color="auto"/>
              <w:right w:val="single" w:sz="4" w:space="0" w:color="auto"/>
            </w:tcBorders>
            <w:noWrap/>
            <w:hideMark/>
          </w:tcPr>
          <w:p w14:paraId="5C534048" w14:textId="77777777" w:rsidR="004B1027" w:rsidRPr="009F7642" w:rsidRDefault="004B1027" w:rsidP="0073217C">
            <w:pPr>
              <w:suppressAutoHyphens/>
              <w:spacing w:after="0" w:line="240" w:lineRule="auto"/>
              <w:ind w:left="0" w:firstLine="0"/>
              <w:rPr>
                <w:color w:val="auto"/>
                <w:lang w:val="is-IS"/>
              </w:rPr>
            </w:pPr>
            <w:r w:rsidRPr="009F7642">
              <w:rPr>
                <w:color w:val="auto"/>
                <w:lang w:val="is-IS"/>
              </w:rPr>
              <w:t xml:space="preserve">Fjöldi sjúklinga </w:t>
            </w:r>
          </w:p>
        </w:tc>
        <w:tc>
          <w:tcPr>
            <w:tcW w:w="2976" w:type="dxa"/>
            <w:tcBorders>
              <w:top w:val="single" w:sz="4" w:space="0" w:color="auto"/>
              <w:left w:val="single" w:sz="4" w:space="0" w:color="auto"/>
              <w:bottom w:val="single" w:sz="4" w:space="0" w:color="auto"/>
              <w:right w:val="single" w:sz="4" w:space="0" w:color="auto"/>
            </w:tcBorders>
            <w:noWrap/>
            <w:hideMark/>
          </w:tcPr>
          <w:p w14:paraId="00D6045E" w14:textId="77777777" w:rsidR="004B1027" w:rsidRPr="009F7642" w:rsidRDefault="004B1027" w:rsidP="0073217C">
            <w:pPr>
              <w:suppressAutoHyphens/>
              <w:spacing w:line="259" w:lineRule="auto"/>
              <w:ind w:right="60"/>
              <w:jc w:val="center"/>
              <w:rPr>
                <w:color w:val="auto"/>
                <w:lang w:val="is-IS"/>
              </w:rPr>
            </w:pPr>
            <w:r w:rsidRPr="009F7642">
              <w:rPr>
                <w:color w:val="auto"/>
                <w:lang w:val="is-IS"/>
              </w:rPr>
              <w:t xml:space="preserve">410 </w:t>
            </w:r>
          </w:p>
        </w:tc>
        <w:tc>
          <w:tcPr>
            <w:tcW w:w="3261" w:type="dxa"/>
            <w:tcBorders>
              <w:top w:val="single" w:sz="4" w:space="0" w:color="auto"/>
              <w:left w:val="single" w:sz="4" w:space="0" w:color="auto"/>
              <w:bottom w:val="single" w:sz="4" w:space="0" w:color="auto"/>
              <w:right w:val="single" w:sz="4" w:space="0" w:color="auto"/>
            </w:tcBorders>
            <w:noWrap/>
            <w:hideMark/>
          </w:tcPr>
          <w:p w14:paraId="2D724771" w14:textId="77777777" w:rsidR="004B1027" w:rsidRPr="009F7642" w:rsidRDefault="004B1027" w:rsidP="0073217C">
            <w:pPr>
              <w:suppressAutoHyphens/>
              <w:spacing w:line="259" w:lineRule="auto"/>
              <w:ind w:right="62"/>
              <w:jc w:val="center"/>
              <w:rPr>
                <w:color w:val="auto"/>
                <w:lang w:val="is-IS"/>
              </w:rPr>
            </w:pPr>
            <w:r w:rsidRPr="009F7642">
              <w:rPr>
                <w:color w:val="auto"/>
                <w:lang w:val="is-IS"/>
              </w:rPr>
              <w:t xml:space="preserve">409 </w:t>
            </w:r>
          </w:p>
        </w:tc>
      </w:tr>
      <w:tr w:rsidR="004B7E74" w:rsidRPr="009F7642" w14:paraId="38EAB1EB" w14:textId="77777777" w:rsidTr="004B7E74">
        <w:trPr>
          <w:trHeight w:val="300"/>
        </w:trPr>
        <w:tc>
          <w:tcPr>
            <w:tcW w:w="2709" w:type="dxa"/>
            <w:tcBorders>
              <w:top w:val="single" w:sz="4" w:space="0" w:color="auto"/>
              <w:left w:val="single" w:sz="4" w:space="0" w:color="auto"/>
              <w:bottom w:val="single" w:sz="4" w:space="0" w:color="auto"/>
              <w:right w:val="single" w:sz="4" w:space="0" w:color="auto"/>
            </w:tcBorders>
            <w:noWrap/>
            <w:vAlign w:val="bottom"/>
            <w:hideMark/>
          </w:tcPr>
          <w:p w14:paraId="646E4AAD" w14:textId="77777777" w:rsidR="004B1027" w:rsidRPr="009F7642" w:rsidRDefault="004B1027" w:rsidP="0073217C">
            <w:pPr>
              <w:suppressAutoHyphens/>
              <w:spacing w:after="0" w:line="240" w:lineRule="auto"/>
              <w:ind w:left="0" w:firstLine="0"/>
              <w:rPr>
                <w:color w:val="auto"/>
                <w:lang w:val="is-IS"/>
              </w:rPr>
            </w:pPr>
            <w:r w:rsidRPr="009F7642">
              <w:rPr>
                <w:color w:val="auto"/>
                <w:lang w:val="is-IS"/>
              </w:rPr>
              <w:t>Heildarlifun</w:t>
            </w:r>
          </w:p>
        </w:tc>
        <w:tc>
          <w:tcPr>
            <w:tcW w:w="6237" w:type="dxa"/>
            <w:gridSpan w:val="2"/>
            <w:tcBorders>
              <w:top w:val="single" w:sz="4" w:space="0" w:color="auto"/>
              <w:left w:val="single" w:sz="4" w:space="0" w:color="auto"/>
              <w:bottom w:val="single" w:sz="4" w:space="0" w:color="auto"/>
              <w:right w:val="single" w:sz="4" w:space="0" w:color="auto"/>
            </w:tcBorders>
            <w:noWrap/>
            <w:vAlign w:val="center"/>
            <w:hideMark/>
          </w:tcPr>
          <w:p w14:paraId="7633B66F" w14:textId="77777777" w:rsidR="004B1027" w:rsidRPr="009F7642" w:rsidRDefault="004B1027" w:rsidP="0073217C">
            <w:pPr>
              <w:suppressAutoHyphens/>
              <w:rPr>
                <w:color w:val="auto"/>
                <w:lang w:val="is-IS"/>
              </w:rPr>
            </w:pPr>
          </w:p>
        </w:tc>
      </w:tr>
      <w:tr w:rsidR="004B7E74" w:rsidRPr="009F7642" w14:paraId="7B4DC0F5" w14:textId="77777777" w:rsidTr="004B7E74">
        <w:trPr>
          <w:trHeight w:val="300"/>
        </w:trPr>
        <w:tc>
          <w:tcPr>
            <w:tcW w:w="2709" w:type="dxa"/>
            <w:tcBorders>
              <w:top w:val="single" w:sz="4" w:space="0" w:color="auto"/>
              <w:left w:val="single" w:sz="4" w:space="0" w:color="auto"/>
              <w:bottom w:val="single" w:sz="4" w:space="0" w:color="auto"/>
              <w:right w:val="single" w:sz="4" w:space="0" w:color="auto"/>
            </w:tcBorders>
            <w:noWrap/>
            <w:hideMark/>
          </w:tcPr>
          <w:p w14:paraId="1EB845F0" w14:textId="77777777" w:rsidR="004B1027" w:rsidRPr="009F7642" w:rsidRDefault="004B1027" w:rsidP="0073217C">
            <w:pPr>
              <w:suppressAutoHyphens/>
              <w:spacing w:after="0" w:line="240" w:lineRule="auto"/>
              <w:ind w:left="567" w:firstLine="0"/>
              <w:rPr>
                <w:color w:val="auto"/>
                <w:lang w:val="is-IS"/>
              </w:rPr>
            </w:pPr>
            <w:r w:rsidRPr="009F7642">
              <w:rPr>
                <w:color w:val="auto"/>
                <w:lang w:val="is-IS"/>
              </w:rPr>
              <w:t xml:space="preserve">Miðgildi (mánuðir) </w:t>
            </w:r>
          </w:p>
        </w:tc>
        <w:tc>
          <w:tcPr>
            <w:tcW w:w="2976" w:type="dxa"/>
            <w:tcBorders>
              <w:top w:val="single" w:sz="4" w:space="0" w:color="auto"/>
              <w:left w:val="single" w:sz="4" w:space="0" w:color="auto"/>
              <w:bottom w:val="single" w:sz="4" w:space="0" w:color="auto"/>
              <w:right w:val="single" w:sz="4" w:space="0" w:color="auto"/>
            </w:tcBorders>
            <w:noWrap/>
            <w:hideMark/>
          </w:tcPr>
          <w:p w14:paraId="1E5FB931" w14:textId="77777777" w:rsidR="004B1027" w:rsidRPr="009F7642" w:rsidRDefault="004B1027" w:rsidP="0073217C">
            <w:pPr>
              <w:suppressAutoHyphens/>
              <w:spacing w:line="259" w:lineRule="auto"/>
              <w:ind w:right="62"/>
              <w:jc w:val="center"/>
              <w:rPr>
                <w:color w:val="auto"/>
                <w:lang w:val="is-IS"/>
              </w:rPr>
            </w:pPr>
            <w:r w:rsidRPr="009F7642">
              <w:rPr>
                <w:color w:val="auto"/>
                <w:lang w:val="is-IS"/>
              </w:rPr>
              <w:t xml:space="preserve">9,8 </w:t>
            </w:r>
          </w:p>
        </w:tc>
        <w:tc>
          <w:tcPr>
            <w:tcW w:w="3261" w:type="dxa"/>
            <w:tcBorders>
              <w:top w:val="single" w:sz="4" w:space="0" w:color="auto"/>
              <w:left w:val="single" w:sz="4" w:space="0" w:color="auto"/>
              <w:bottom w:val="single" w:sz="4" w:space="0" w:color="auto"/>
              <w:right w:val="single" w:sz="4" w:space="0" w:color="auto"/>
            </w:tcBorders>
            <w:noWrap/>
            <w:hideMark/>
          </w:tcPr>
          <w:p w14:paraId="59505EB2" w14:textId="77777777" w:rsidR="004B1027" w:rsidRPr="009F7642" w:rsidRDefault="004B1027" w:rsidP="0073217C">
            <w:pPr>
              <w:suppressAutoHyphens/>
              <w:spacing w:line="259" w:lineRule="auto"/>
              <w:ind w:right="60"/>
              <w:jc w:val="center"/>
              <w:rPr>
                <w:color w:val="auto"/>
                <w:lang w:val="is-IS"/>
              </w:rPr>
            </w:pPr>
            <w:r w:rsidRPr="009F7642">
              <w:rPr>
                <w:color w:val="auto"/>
                <w:lang w:val="is-IS"/>
              </w:rPr>
              <w:t xml:space="preserve">11,2 </w:t>
            </w:r>
          </w:p>
        </w:tc>
      </w:tr>
      <w:tr w:rsidR="004B7E74" w:rsidRPr="009F7642" w14:paraId="73950082" w14:textId="77777777" w:rsidTr="004B7E74">
        <w:trPr>
          <w:trHeight w:val="300"/>
        </w:trPr>
        <w:tc>
          <w:tcPr>
            <w:tcW w:w="2709" w:type="dxa"/>
            <w:tcBorders>
              <w:top w:val="single" w:sz="4" w:space="0" w:color="auto"/>
              <w:left w:val="single" w:sz="4" w:space="0" w:color="auto"/>
              <w:bottom w:val="single" w:sz="4" w:space="0" w:color="auto"/>
              <w:right w:val="single" w:sz="4" w:space="0" w:color="auto"/>
            </w:tcBorders>
            <w:noWrap/>
            <w:hideMark/>
          </w:tcPr>
          <w:p w14:paraId="70F05F3A" w14:textId="77777777" w:rsidR="004B1027" w:rsidRPr="009F7642" w:rsidRDefault="004B1027" w:rsidP="0073217C">
            <w:pPr>
              <w:suppressAutoHyphens/>
              <w:spacing w:after="0" w:line="240" w:lineRule="auto"/>
              <w:ind w:left="567" w:firstLine="0"/>
              <w:rPr>
                <w:color w:val="auto"/>
                <w:lang w:val="is-IS"/>
              </w:rPr>
            </w:pPr>
            <w:r w:rsidRPr="009F7642">
              <w:rPr>
                <w:color w:val="auto"/>
                <w:lang w:val="is-IS"/>
              </w:rPr>
              <w:t>Áhættuhlutfall</w:t>
            </w:r>
            <w:r w:rsidR="002B3F9E">
              <w:rPr>
                <w:color w:val="auto"/>
                <w:lang w:val="is-IS"/>
              </w:rPr>
              <w:t xml:space="preserve"> </w:t>
            </w:r>
            <w:r w:rsidRPr="009F7642">
              <w:rPr>
                <w:color w:val="auto"/>
                <w:lang w:val="is-IS"/>
              </w:rPr>
              <w:t xml:space="preserve">(95% öryggisbil) </w:t>
            </w:r>
          </w:p>
        </w:tc>
        <w:tc>
          <w:tcPr>
            <w:tcW w:w="6237" w:type="dxa"/>
            <w:gridSpan w:val="2"/>
            <w:tcBorders>
              <w:top w:val="single" w:sz="4" w:space="0" w:color="auto"/>
              <w:left w:val="single" w:sz="4" w:space="0" w:color="auto"/>
              <w:bottom w:val="single" w:sz="4" w:space="0" w:color="auto"/>
              <w:right w:val="single" w:sz="4" w:space="0" w:color="auto"/>
            </w:tcBorders>
            <w:noWrap/>
            <w:hideMark/>
          </w:tcPr>
          <w:p w14:paraId="50822762" w14:textId="77777777" w:rsidR="006C06D6" w:rsidRPr="009F7642" w:rsidRDefault="004B1027" w:rsidP="0073217C">
            <w:pPr>
              <w:suppressAutoHyphens/>
              <w:spacing w:line="259" w:lineRule="auto"/>
              <w:ind w:right="61"/>
              <w:jc w:val="center"/>
              <w:rPr>
                <w:color w:val="auto"/>
                <w:lang w:val="is-IS"/>
              </w:rPr>
            </w:pPr>
            <w:r w:rsidRPr="009F7642">
              <w:rPr>
                <w:color w:val="auto"/>
                <w:lang w:val="is-IS"/>
              </w:rPr>
              <w:t>0,81 (0,69; 0,94)</w:t>
            </w:r>
          </w:p>
          <w:p w14:paraId="2C2DC96C" w14:textId="77777777" w:rsidR="004B1027" w:rsidRPr="009F7642" w:rsidRDefault="004B1027" w:rsidP="0073217C">
            <w:pPr>
              <w:suppressAutoHyphens/>
              <w:spacing w:line="259" w:lineRule="auto"/>
              <w:ind w:right="58"/>
              <w:jc w:val="center"/>
              <w:rPr>
                <w:color w:val="auto"/>
                <w:lang w:val="is-IS"/>
              </w:rPr>
            </w:pPr>
            <w:r w:rsidRPr="009F7642">
              <w:rPr>
                <w:color w:val="auto"/>
                <w:lang w:val="is-IS"/>
              </w:rPr>
              <w:t>(p-gildi</w:t>
            </w:r>
            <w:r w:rsidR="009A0D7C">
              <w:rPr>
                <w:color w:val="auto"/>
                <w:lang w:val="is-IS"/>
              </w:rPr>
              <w:t> </w:t>
            </w:r>
            <w:r w:rsidR="00700BDC">
              <w:rPr>
                <w:color w:val="auto"/>
                <w:lang w:val="is-IS"/>
              </w:rPr>
              <w:t>=</w:t>
            </w:r>
            <w:r w:rsidR="009A0D7C">
              <w:rPr>
                <w:color w:val="auto"/>
                <w:lang w:val="is-IS"/>
              </w:rPr>
              <w:t> </w:t>
            </w:r>
            <w:r w:rsidRPr="009F7642">
              <w:rPr>
                <w:color w:val="auto"/>
                <w:lang w:val="is-IS"/>
              </w:rPr>
              <w:t xml:space="preserve">0,0062) </w:t>
            </w:r>
          </w:p>
        </w:tc>
      </w:tr>
      <w:tr w:rsidR="004B7E74" w:rsidRPr="009F7642" w14:paraId="33CC8524" w14:textId="77777777" w:rsidTr="004B7E74">
        <w:trPr>
          <w:trHeight w:val="300"/>
        </w:trPr>
        <w:tc>
          <w:tcPr>
            <w:tcW w:w="2709" w:type="dxa"/>
            <w:tcBorders>
              <w:top w:val="single" w:sz="4" w:space="0" w:color="auto"/>
              <w:left w:val="single" w:sz="4" w:space="0" w:color="auto"/>
              <w:bottom w:val="single" w:sz="4" w:space="0" w:color="auto"/>
              <w:right w:val="single" w:sz="4" w:space="0" w:color="auto"/>
            </w:tcBorders>
            <w:noWrap/>
            <w:hideMark/>
          </w:tcPr>
          <w:p w14:paraId="364177FC" w14:textId="77777777" w:rsidR="004B1027" w:rsidRPr="009F7642" w:rsidRDefault="004B1027" w:rsidP="0073217C">
            <w:pPr>
              <w:suppressAutoHyphens/>
              <w:spacing w:after="0" w:line="240" w:lineRule="auto"/>
              <w:ind w:left="0" w:firstLine="0"/>
              <w:rPr>
                <w:color w:val="auto"/>
                <w:lang w:val="is-IS"/>
              </w:rPr>
            </w:pPr>
            <w:r w:rsidRPr="009F7642">
              <w:rPr>
                <w:color w:val="auto"/>
                <w:lang w:val="is-IS"/>
              </w:rPr>
              <w:t xml:space="preserve">Lifun án versnunar sjúkdóms </w:t>
            </w:r>
          </w:p>
        </w:tc>
        <w:tc>
          <w:tcPr>
            <w:tcW w:w="6237" w:type="dxa"/>
            <w:gridSpan w:val="2"/>
            <w:tcBorders>
              <w:top w:val="single" w:sz="4" w:space="0" w:color="auto"/>
              <w:left w:val="single" w:sz="4" w:space="0" w:color="auto"/>
              <w:bottom w:val="single" w:sz="4" w:space="0" w:color="auto"/>
              <w:right w:val="single" w:sz="4" w:space="0" w:color="auto"/>
            </w:tcBorders>
            <w:noWrap/>
            <w:vAlign w:val="center"/>
            <w:hideMark/>
          </w:tcPr>
          <w:p w14:paraId="08A4C2A9" w14:textId="77777777" w:rsidR="004B1027" w:rsidRPr="009F7642" w:rsidRDefault="004B1027" w:rsidP="0073217C">
            <w:pPr>
              <w:suppressAutoHyphens/>
              <w:rPr>
                <w:color w:val="auto"/>
                <w:u w:val="single"/>
                <w:lang w:val="is-IS"/>
              </w:rPr>
            </w:pPr>
          </w:p>
        </w:tc>
      </w:tr>
      <w:tr w:rsidR="004B7E74" w:rsidRPr="009F7642" w14:paraId="1F5331CB" w14:textId="77777777" w:rsidTr="004B7E74">
        <w:trPr>
          <w:trHeight w:val="300"/>
        </w:trPr>
        <w:tc>
          <w:tcPr>
            <w:tcW w:w="2709" w:type="dxa"/>
            <w:tcBorders>
              <w:top w:val="single" w:sz="4" w:space="0" w:color="auto"/>
              <w:left w:val="single" w:sz="4" w:space="0" w:color="auto"/>
              <w:bottom w:val="single" w:sz="4" w:space="0" w:color="auto"/>
              <w:right w:val="single" w:sz="4" w:space="0" w:color="auto"/>
            </w:tcBorders>
            <w:noWrap/>
            <w:hideMark/>
          </w:tcPr>
          <w:p w14:paraId="481C9550" w14:textId="77777777" w:rsidR="004B1027" w:rsidRPr="009F7642" w:rsidRDefault="004B1027" w:rsidP="0073217C">
            <w:pPr>
              <w:suppressAutoHyphens/>
              <w:spacing w:after="0" w:line="240" w:lineRule="auto"/>
              <w:ind w:left="567" w:firstLine="0"/>
              <w:rPr>
                <w:color w:val="auto"/>
                <w:lang w:val="is-IS"/>
              </w:rPr>
            </w:pPr>
            <w:r w:rsidRPr="009F7642">
              <w:rPr>
                <w:color w:val="auto"/>
                <w:lang w:val="is-IS"/>
              </w:rPr>
              <w:t xml:space="preserve">Miðgildi (mánuðir) </w:t>
            </w:r>
          </w:p>
        </w:tc>
        <w:tc>
          <w:tcPr>
            <w:tcW w:w="2976" w:type="dxa"/>
            <w:tcBorders>
              <w:top w:val="single" w:sz="4" w:space="0" w:color="auto"/>
              <w:left w:val="single" w:sz="4" w:space="0" w:color="auto"/>
              <w:bottom w:val="single" w:sz="4" w:space="0" w:color="auto"/>
              <w:right w:val="single" w:sz="4" w:space="0" w:color="auto"/>
            </w:tcBorders>
            <w:noWrap/>
            <w:hideMark/>
          </w:tcPr>
          <w:p w14:paraId="0B98F2BC" w14:textId="77777777" w:rsidR="004B1027" w:rsidRPr="009F7642" w:rsidRDefault="004B1027" w:rsidP="0073217C">
            <w:pPr>
              <w:suppressAutoHyphens/>
              <w:spacing w:line="259" w:lineRule="auto"/>
              <w:ind w:right="62"/>
              <w:jc w:val="center"/>
              <w:rPr>
                <w:color w:val="auto"/>
                <w:lang w:val="is-IS"/>
              </w:rPr>
            </w:pPr>
            <w:r w:rsidRPr="009F7642">
              <w:rPr>
                <w:color w:val="auto"/>
                <w:lang w:val="is-IS"/>
              </w:rPr>
              <w:t xml:space="preserve">4,1 </w:t>
            </w:r>
          </w:p>
        </w:tc>
        <w:tc>
          <w:tcPr>
            <w:tcW w:w="3261" w:type="dxa"/>
            <w:tcBorders>
              <w:top w:val="single" w:sz="4" w:space="0" w:color="auto"/>
              <w:left w:val="single" w:sz="4" w:space="0" w:color="auto"/>
              <w:bottom w:val="single" w:sz="4" w:space="0" w:color="auto"/>
              <w:right w:val="single" w:sz="4" w:space="0" w:color="auto"/>
            </w:tcBorders>
            <w:noWrap/>
            <w:hideMark/>
          </w:tcPr>
          <w:p w14:paraId="05A4D384" w14:textId="77777777" w:rsidR="004B1027" w:rsidRPr="009F7642" w:rsidRDefault="004B1027" w:rsidP="0073217C">
            <w:pPr>
              <w:suppressAutoHyphens/>
              <w:spacing w:line="259" w:lineRule="auto"/>
              <w:ind w:right="60"/>
              <w:jc w:val="center"/>
              <w:rPr>
                <w:color w:val="auto"/>
                <w:lang w:val="is-IS"/>
              </w:rPr>
            </w:pPr>
            <w:r w:rsidRPr="009F7642">
              <w:rPr>
                <w:color w:val="auto"/>
                <w:lang w:val="is-IS"/>
              </w:rPr>
              <w:t xml:space="preserve">5,7 </w:t>
            </w:r>
          </w:p>
        </w:tc>
      </w:tr>
      <w:tr w:rsidR="004B7E74" w:rsidRPr="009F7642" w14:paraId="499A2339" w14:textId="77777777" w:rsidTr="004B7E74">
        <w:trPr>
          <w:trHeight w:val="547"/>
        </w:trPr>
        <w:tc>
          <w:tcPr>
            <w:tcW w:w="2709" w:type="dxa"/>
            <w:tcBorders>
              <w:top w:val="single" w:sz="4" w:space="0" w:color="auto"/>
              <w:left w:val="single" w:sz="4" w:space="0" w:color="auto"/>
              <w:bottom w:val="single" w:sz="4" w:space="0" w:color="auto"/>
              <w:right w:val="single" w:sz="4" w:space="0" w:color="auto"/>
            </w:tcBorders>
            <w:noWrap/>
            <w:hideMark/>
          </w:tcPr>
          <w:p w14:paraId="55A9ED1F" w14:textId="77777777" w:rsidR="004B1027" w:rsidRPr="009F7642" w:rsidRDefault="004B1027" w:rsidP="0073217C">
            <w:pPr>
              <w:suppressAutoHyphens/>
              <w:spacing w:after="0" w:line="240" w:lineRule="auto"/>
              <w:ind w:left="567" w:firstLine="0"/>
              <w:rPr>
                <w:color w:val="auto"/>
                <w:lang w:val="is-IS"/>
              </w:rPr>
            </w:pPr>
            <w:r w:rsidRPr="009F7642">
              <w:rPr>
                <w:color w:val="auto"/>
                <w:lang w:val="is-IS"/>
              </w:rPr>
              <w:t xml:space="preserve">Áhættuhlutfall (95% öryggisbil) </w:t>
            </w:r>
          </w:p>
        </w:tc>
        <w:tc>
          <w:tcPr>
            <w:tcW w:w="6237" w:type="dxa"/>
            <w:gridSpan w:val="2"/>
            <w:tcBorders>
              <w:top w:val="single" w:sz="4" w:space="0" w:color="auto"/>
              <w:left w:val="single" w:sz="4" w:space="0" w:color="auto"/>
              <w:bottom w:val="single" w:sz="4" w:space="0" w:color="auto"/>
              <w:right w:val="single" w:sz="4" w:space="0" w:color="auto"/>
            </w:tcBorders>
            <w:noWrap/>
            <w:hideMark/>
          </w:tcPr>
          <w:p w14:paraId="72FA96D3" w14:textId="77777777" w:rsidR="006C06D6" w:rsidRPr="009F7642" w:rsidRDefault="004B1027" w:rsidP="0073217C">
            <w:pPr>
              <w:suppressAutoHyphens/>
              <w:spacing w:after="2" w:line="259" w:lineRule="auto"/>
              <w:ind w:right="61"/>
              <w:jc w:val="center"/>
              <w:rPr>
                <w:color w:val="auto"/>
                <w:lang w:val="is-IS"/>
              </w:rPr>
            </w:pPr>
            <w:r w:rsidRPr="009F7642">
              <w:rPr>
                <w:color w:val="auto"/>
                <w:lang w:val="is-IS"/>
              </w:rPr>
              <w:t>0,68 (0,59; 0,78)</w:t>
            </w:r>
          </w:p>
          <w:p w14:paraId="12791152" w14:textId="77777777" w:rsidR="004B1027" w:rsidRPr="009F7642" w:rsidRDefault="004B1027" w:rsidP="0073217C">
            <w:pPr>
              <w:suppressAutoHyphens/>
              <w:spacing w:line="259" w:lineRule="auto"/>
              <w:ind w:right="61"/>
              <w:jc w:val="center"/>
              <w:rPr>
                <w:color w:val="auto"/>
                <w:lang w:val="is-IS"/>
              </w:rPr>
            </w:pPr>
            <w:r w:rsidRPr="009F7642">
              <w:rPr>
                <w:color w:val="auto"/>
                <w:lang w:val="is-IS"/>
              </w:rPr>
              <w:t>(p-gildi</w:t>
            </w:r>
            <w:r w:rsidR="009A0D7C">
              <w:rPr>
                <w:color w:val="auto"/>
                <w:lang w:val="is-IS"/>
              </w:rPr>
              <w:t> </w:t>
            </w:r>
            <w:r w:rsidRPr="009F7642">
              <w:rPr>
                <w:color w:val="auto"/>
                <w:lang w:val="is-IS"/>
              </w:rPr>
              <w:t>&lt;</w:t>
            </w:r>
            <w:r w:rsidR="009A0D7C">
              <w:rPr>
                <w:color w:val="auto"/>
                <w:lang w:val="is-IS"/>
              </w:rPr>
              <w:t> </w:t>
            </w:r>
            <w:r w:rsidRPr="009F7642">
              <w:rPr>
                <w:color w:val="auto"/>
                <w:lang w:val="is-IS"/>
              </w:rPr>
              <w:t xml:space="preserve">0,0001) </w:t>
            </w:r>
          </w:p>
        </w:tc>
      </w:tr>
      <w:tr w:rsidR="004B7E74" w:rsidRPr="009F7642" w14:paraId="073BBBDF" w14:textId="77777777" w:rsidTr="004B7E74">
        <w:trPr>
          <w:trHeight w:val="300"/>
        </w:trPr>
        <w:tc>
          <w:tcPr>
            <w:tcW w:w="2709" w:type="dxa"/>
            <w:tcBorders>
              <w:top w:val="single" w:sz="4" w:space="0" w:color="auto"/>
              <w:left w:val="single" w:sz="4" w:space="0" w:color="auto"/>
              <w:bottom w:val="single" w:sz="4" w:space="0" w:color="auto"/>
              <w:right w:val="single" w:sz="4" w:space="0" w:color="auto"/>
            </w:tcBorders>
            <w:noWrap/>
            <w:vAlign w:val="bottom"/>
            <w:hideMark/>
          </w:tcPr>
          <w:p w14:paraId="39461088" w14:textId="77777777" w:rsidR="004B1027" w:rsidRPr="009F7642" w:rsidRDefault="004B1027" w:rsidP="0073217C">
            <w:pPr>
              <w:suppressAutoHyphens/>
              <w:spacing w:after="0" w:line="240" w:lineRule="auto"/>
              <w:ind w:left="0" w:firstLine="0"/>
              <w:rPr>
                <w:color w:val="auto"/>
                <w:lang w:val="is-IS"/>
              </w:rPr>
            </w:pPr>
            <w:r w:rsidRPr="009F7642">
              <w:rPr>
                <w:color w:val="auto"/>
                <w:lang w:val="is-IS"/>
              </w:rPr>
              <w:t>Hlutlægt svörunarhlutfall</w:t>
            </w:r>
          </w:p>
        </w:tc>
        <w:tc>
          <w:tcPr>
            <w:tcW w:w="6237" w:type="dxa"/>
            <w:gridSpan w:val="2"/>
            <w:tcBorders>
              <w:top w:val="single" w:sz="4" w:space="0" w:color="auto"/>
              <w:left w:val="single" w:sz="4" w:space="0" w:color="auto"/>
              <w:bottom w:val="single" w:sz="4" w:space="0" w:color="auto"/>
              <w:right w:val="single" w:sz="4" w:space="0" w:color="auto"/>
            </w:tcBorders>
            <w:noWrap/>
            <w:vAlign w:val="center"/>
            <w:hideMark/>
          </w:tcPr>
          <w:p w14:paraId="4FF50E8B" w14:textId="77777777" w:rsidR="004B1027" w:rsidRPr="009F7642" w:rsidRDefault="004B1027" w:rsidP="0073217C">
            <w:pPr>
              <w:suppressAutoHyphens/>
              <w:rPr>
                <w:color w:val="auto"/>
                <w:lang w:val="is-IS"/>
              </w:rPr>
            </w:pPr>
          </w:p>
        </w:tc>
      </w:tr>
      <w:tr w:rsidR="004B7E74" w:rsidRPr="009F7642" w14:paraId="6CDF2236" w14:textId="77777777" w:rsidTr="00F2274F">
        <w:trPr>
          <w:cantSplit/>
          <w:trHeight w:val="300"/>
        </w:trPr>
        <w:tc>
          <w:tcPr>
            <w:tcW w:w="2709" w:type="dxa"/>
            <w:tcBorders>
              <w:top w:val="single" w:sz="4" w:space="0" w:color="auto"/>
              <w:left w:val="single" w:sz="4" w:space="0" w:color="auto"/>
              <w:bottom w:val="single" w:sz="4" w:space="0" w:color="auto"/>
              <w:right w:val="single" w:sz="4" w:space="0" w:color="auto"/>
            </w:tcBorders>
            <w:noWrap/>
            <w:hideMark/>
          </w:tcPr>
          <w:p w14:paraId="19A31788" w14:textId="77777777" w:rsidR="004B1027" w:rsidRPr="009F7642" w:rsidRDefault="004B1027" w:rsidP="0073217C">
            <w:pPr>
              <w:suppressAutoHyphens/>
              <w:spacing w:after="0" w:line="240" w:lineRule="auto"/>
              <w:ind w:left="567" w:firstLine="0"/>
              <w:rPr>
                <w:color w:val="auto"/>
                <w:lang w:val="is-IS"/>
              </w:rPr>
            </w:pPr>
            <w:r w:rsidRPr="009F7642">
              <w:rPr>
                <w:color w:val="auto"/>
                <w:lang w:val="is-IS"/>
              </w:rPr>
              <w:t xml:space="preserve">Sjúklingar sem voru teknir með í greiningu </w:t>
            </w:r>
          </w:p>
        </w:tc>
        <w:tc>
          <w:tcPr>
            <w:tcW w:w="2976" w:type="dxa"/>
            <w:tcBorders>
              <w:top w:val="single" w:sz="4" w:space="0" w:color="auto"/>
              <w:left w:val="single" w:sz="4" w:space="0" w:color="auto"/>
              <w:bottom w:val="single" w:sz="4" w:space="0" w:color="auto"/>
              <w:right w:val="single" w:sz="4" w:space="0" w:color="auto"/>
            </w:tcBorders>
            <w:noWrap/>
            <w:vAlign w:val="center"/>
            <w:hideMark/>
          </w:tcPr>
          <w:p w14:paraId="20CA74C1" w14:textId="77777777" w:rsidR="004B1027" w:rsidRPr="009F7642" w:rsidRDefault="004B1027" w:rsidP="0073217C">
            <w:pPr>
              <w:suppressAutoHyphens/>
              <w:spacing w:line="259" w:lineRule="auto"/>
              <w:ind w:right="60"/>
              <w:jc w:val="center"/>
              <w:rPr>
                <w:color w:val="auto"/>
                <w:lang w:val="is-IS"/>
              </w:rPr>
            </w:pPr>
            <w:r w:rsidRPr="009F7642">
              <w:rPr>
                <w:color w:val="auto"/>
                <w:lang w:val="is-IS"/>
              </w:rPr>
              <w:t xml:space="preserve">406 </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11EDDA5F" w14:textId="77777777" w:rsidR="004B1027" w:rsidRPr="009F7642" w:rsidRDefault="004B1027" w:rsidP="0073217C">
            <w:pPr>
              <w:suppressAutoHyphens/>
              <w:spacing w:line="259" w:lineRule="auto"/>
              <w:ind w:right="62"/>
              <w:jc w:val="center"/>
              <w:rPr>
                <w:color w:val="auto"/>
                <w:lang w:val="is-IS"/>
              </w:rPr>
            </w:pPr>
            <w:r w:rsidRPr="009F7642">
              <w:rPr>
                <w:color w:val="auto"/>
                <w:lang w:val="is-IS"/>
              </w:rPr>
              <w:t xml:space="preserve">404 </w:t>
            </w:r>
          </w:p>
        </w:tc>
      </w:tr>
      <w:tr w:rsidR="004B7E74" w:rsidRPr="009F7642" w14:paraId="4174C93F" w14:textId="77777777" w:rsidTr="004B7E74">
        <w:trPr>
          <w:trHeight w:val="300"/>
        </w:trPr>
        <w:tc>
          <w:tcPr>
            <w:tcW w:w="2709" w:type="dxa"/>
            <w:tcBorders>
              <w:top w:val="single" w:sz="4" w:space="0" w:color="auto"/>
              <w:left w:val="single" w:sz="4" w:space="0" w:color="auto"/>
              <w:bottom w:val="single" w:sz="4" w:space="0" w:color="auto"/>
              <w:right w:val="single" w:sz="4" w:space="0" w:color="auto"/>
            </w:tcBorders>
            <w:noWrap/>
            <w:hideMark/>
          </w:tcPr>
          <w:p w14:paraId="47305832" w14:textId="77777777" w:rsidR="004B1027" w:rsidRPr="009F7642" w:rsidRDefault="004B1027" w:rsidP="0073217C">
            <w:pPr>
              <w:suppressAutoHyphens/>
              <w:spacing w:after="0" w:line="240" w:lineRule="auto"/>
              <w:ind w:left="567" w:firstLine="0"/>
              <w:rPr>
                <w:color w:val="auto"/>
                <w:lang w:val="is-IS"/>
              </w:rPr>
            </w:pPr>
            <w:r w:rsidRPr="009F7642">
              <w:rPr>
                <w:color w:val="auto"/>
                <w:lang w:val="is-IS"/>
              </w:rPr>
              <w:t xml:space="preserve">Hlutfall </w:t>
            </w:r>
          </w:p>
        </w:tc>
        <w:tc>
          <w:tcPr>
            <w:tcW w:w="2976" w:type="dxa"/>
            <w:tcBorders>
              <w:top w:val="single" w:sz="4" w:space="0" w:color="auto"/>
              <w:left w:val="single" w:sz="4" w:space="0" w:color="auto"/>
              <w:bottom w:val="single" w:sz="4" w:space="0" w:color="auto"/>
              <w:right w:val="single" w:sz="4" w:space="0" w:color="auto"/>
            </w:tcBorders>
            <w:noWrap/>
            <w:hideMark/>
          </w:tcPr>
          <w:p w14:paraId="24B44344" w14:textId="77777777" w:rsidR="004B1027" w:rsidRPr="009F7642" w:rsidRDefault="004B1027" w:rsidP="0073217C">
            <w:pPr>
              <w:suppressAutoHyphens/>
              <w:spacing w:line="259" w:lineRule="auto"/>
              <w:ind w:right="61"/>
              <w:jc w:val="center"/>
              <w:rPr>
                <w:color w:val="auto"/>
                <w:lang w:val="is-IS"/>
              </w:rPr>
            </w:pPr>
            <w:r w:rsidRPr="009F7642">
              <w:rPr>
                <w:color w:val="auto"/>
                <w:lang w:val="is-IS"/>
              </w:rPr>
              <w:t xml:space="preserve">3,9% </w:t>
            </w:r>
          </w:p>
        </w:tc>
        <w:tc>
          <w:tcPr>
            <w:tcW w:w="3261" w:type="dxa"/>
            <w:tcBorders>
              <w:top w:val="single" w:sz="4" w:space="0" w:color="auto"/>
              <w:left w:val="single" w:sz="4" w:space="0" w:color="auto"/>
              <w:bottom w:val="single" w:sz="4" w:space="0" w:color="auto"/>
              <w:right w:val="single" w:sz="4" w:space="0" w:color="auto"/>
            </w:tcBorders>
            <w:noWrap/>
            <w:hideMark/>
          </w:tcPr>
          <w:p w14:paraId="32855E06" w14:textId="77777777" w:rsidR="004B1027" w:rsidRPr="009F7642" w:rsidRDefault="004B1027" w:rsidP="0073217C">
            <w:pPr>
              <w:suppressAutoHyphens/>
              <w:spacing w:line="259" w:lineRule="auto"/>
              <w:ind w:right="58"/>
              <w:jc w:val="center"/>
              <w:rPr>
                <w:color w:val="auto"/>
                <w:lang w:val="is-IS"/>
              </w:rPr>
            </w:pPr>
            <w:r w:rsidRPr="009F7642">
              <w:rPr>
                <w:color w:val="auto"/>
                <w:lang w:val="is-IS"/>
              </w:rPr>
              <w:t xml:space="preserve">5,4% </w:t>
            </w:r>
          </w:p>
        </w:tc>
      </w:tr>
      <w:tr w:rsidR="004B7E74" w:rsidRPr="009F7642" w14:paraId="50D053D6" w14:textId="77777777" w:rsidTr="004B7E74">
        <w:trPr>
          <w:trHeight w:val="300"/>
        </w:trPr>
        <w:tc>
          <w:tcPr>
            <w:tcW w:w="2709" w:type="dxa"/>
            <w:tcBorders>
              <w:top w:val="single" w:sz="4" w:space="0" w:color="auto"/>
              <w:left w:val="single" w:sz="4" w:space="0" w:color="auto"/>
              <w:bottom w:val="single" w:sz="4" w:space="0" w:color="auto"/>
              <w:right w:val="single" w:sz="4" w:space="0" w:color="auto"/>
            </w:tcBorders>
            <w:noWrap/>
            <w:vAlign w:val="bottom"/>
            <w:hideMark/>
          </w:tcPr>
          <w:p w14:paraId="38595126" w14:textId="77777777" w:rsidR="004B1027" w:rsidRPr="009F7642" w:rsidRDefault="004B1027" w:rsidP="0073217C">
            <w:pPr>
              <w:suppressAutoHyphens/>
              <w:rPr>
                <w:color w:val="auto"/>
                <w:lang w:val="is-IS"/>
              </w:rPr>
            </w:pPr>
          </w:p>
        </w:tc>
        <w:tc>
          <w:tcPr>
            <w:tcW w:w="6237" w:type="dxa"/>
            <w:gridSpan w:val="2"/>
            <w:tcBorders>
              <w:top w:val="single" w:sz="4" w:space="0" w:color="auto"/>
              <w:left w:val="single" w:sz="4" w:space="0" w:color="auto"/>
              <w:bottom w:val="single" w:sz="4" w:space="0" w:color="auto"/>
              <w:right w:val="single" w:sz="4" w:space="0" w:color="auto"/>
            </w:tcBorders>
            <w:noWrap/>
            <w:vAlign w:val="center"/>
            <w:hideMark/>
          </w:tcPr>
          <w:p w14:paraId="558B01C9" w14:textId="77777777" w:rsidR="004B1027" w:rsidRPr="009F7642" w:rsidRDefault="004B1027" w:rsidP="0073217C">
            <w:pPr>
              <w:suppressAutoHyphens/>
              <w:spacing w:line="240" w:lineRule="auto"/>
              <w:jc w:val="center"/>
              <w:rPr>
                <w:color w:val="auto"/>
                <w:lang w:val="is-IS"/>
              </w:rPr>
            </w:pPr>
            <w:r w:rsidRPr="009F7642">
              <w:rPr>
                <w:color w:val="auto"/>
                <w:lang w:val="is-IS"/>
              </w:rPr>
              <w:t>(p-gildi</w:t>
            </w:r>
            <w:r w:rsidR="009A0D7C">
              <w:rPr>
                <w:color w:val="auto"/>
                <w:lang w:val="is-IS"/>
              </w:rPr>
              <w:t> </w:t>
            </w:r>
            <w:r w:rsidR="00700BDC">
              <w:rPr>
                <w:color w:val="auto"/>
                <w:lang w:val="is-IS"/>
              </w:rPr>
              <w:t>=</w:t>
            </w:r>
            <w:r w:rsidR="009A0D7C">
              <w:rPr>
                <w:color w:val="auto"/>
                <w:lang w:val="is-IS"/>
              </w:rPr>
              <w:t> </w:t>
            </w:r>
            <w:r w:rsidRPr="009F7642">
              <w:rPr>
                <w:color w:val="auto"/>
                <w:lang w:val="is-IS"/>
              </w:rPr>
              <w:t>0,3113)</w:t>
            </w:r>
          </w:p>
        </w:tc>
      </w:tr>
    </w:tbl>
    <w:p w14:paraId="632D0E15" w14:textId="77777777" w:rsidR="006C06D6" w:rsidRPr="009F7642" w:rsidRDefault="00564614" w:rsidP="0073217C">
      <w:pPr>
        <w:suppressAutoHyphens/>
        <w:spacing w:after="0" w:line="240" w:lineRule="auto"/>
        <w:ind w:left="567" w:hanging="567"/>
        <w:rPr>
          <w:color w:val="auto"/>
          <w:sz w:val="20"/>
          <w:szCs w:val="20"/>
          <w:lang w:val="is-IS"/>
        </w:rPr>
      </w:pPr>
      <w:r w:rsidRPr="009F7642">
        <w:rPr>
          <w:color w:val="auto"/>
          <w:sz w:val="20"/>
          <w:szCs w:val="20"/>
          <w:vertAlign w:val="superscript"/>
          <w:lang w:val="is-IS"/>
        </w:rPr>
        <w:t>a</w:t>
      </w:r>
      <w:r w:rsidR="00ED782B" w:rsidRPr="009F7642">
        <w:rPr>
          <w:color w:val="auto"/>
          <w:sz w:val="20"/>
          <w:szCs w:val="20"/>
          <w:lang w:val="is-IS"/>
        </w:rPr>
        <w:tab/>
      </w:r>
      <w:r w:rsidR="001B731E" w:rsidRPr="009F7642">
        <w:rPr>
          <w:color w:val="auto"/>
          <w:sz w:val="20"/>
          <w:szCs w:val="20"/>
          <w:lang w:val="is-IS"/>
        </w:rPr>
        <w:t>5,0 </w:t>
      </w:r>
      <w:r w:rsidRPr="009F7642">
        <w:rPr>
          <w:color w:val="auto"/>
          <w:sz w:val="20"/>
          <w:szCs w:val="20"/>
          <w:lang w:val="is-IS"/>
        </w:rPr>
        <w:t xml:space="preserve">mg/kg á 2 vikna fresti eða </w:t>
      </w:r>
      <w:r w:rsidR="001B731E" w:rsidRPr="009F7642">
        <w:rPr>
          <w:color w:val="auto"/>
          <w:sz w:val="20"/>
          <w:szCs w:val="20"/>
          <w:lang w:val="is-IS"/>
        </w:rPr>
        <w:t>7,5 </w:t>
      </w:r>
      <w:r w:rsidRPr="009F7642">
        <w:rPr>
          <w:color w:val="auto"/>
          <w:sz w:val="20"/>
          <w:szCs w:val="20"/>
          <w:lang w:val="is-IS"/>
        </w:rPr>
        <w:t>mg/kg á 3 vikna fresti</w:t>
      </w:r>
      <w:r w:rsidR="004B1027" w:rsidRPr="009F7642">
        <w:rPr>
          <w:color w:val="auto"/>
          <w:sz w:val="20"/>
          <w:szCs w:val="20"/>
          <w:lang w:val="is-IS"/>
        </w:rPr>
        <w:t>.</w:t>
      </w:r>
    </w:p>
    <w:p w14:paraId="5282378F" w14:textId="77777777" w:rsidR="005F36F3" w:rsidRPr="009F7642" w:rsidRDefault="005F36F3" w:rsidP="0073217C">
      <w:pPr>
        <w:suppressAutoHyphens/>
        <w:spacing w:after="0" w:line="240" w:lineRule="auto"/>
        <w:ind w:left="0" w:firstLine="0"/>
        <w:rPr>
          <w:color w:val="auto"/>
          <w:lang w:val="is-IS"/>
        </w:rPr>
      </w:pPr>
    </w:p>
    <w:p w14:paraId="689A536C"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Einnig sást tölfræðilega marktækur ávinningur varðandi lifun án versnunar sjúkdóms. Hlutlægt svörunarhlutfall var lágt í báðum meðferðarhópum og munur milli þeirra var ekki marktækur.</w:t>
      </w:r>
    </w:p>
    <w:p w14:paraId="037F3459" w14:textId="77777777" w:rsidR="005F36F3" w:rsidRPr="009F7642" w:rsidRDefault="005F36F3" w:rsidP="0073217C">
      <w:pPr>
        <w:suppressAutoHyphens/>
        <w:spacing w:after="0" w:line="240" w:lineRule="auto"/>
        <w:ind w:left="0" w:firstLine="0"/>
        <w:rPr>
          <w:color w:val="auto"/>
          <w:lang w:val="is-IS"/>
        </w:rPr>
      </w:pPr>
    </w:p>
    <w:p w14:paraId="4207F334" w14:textId="6B9EBB81" w:rsidR="006C06D6" w:rsidRPr="009F7642" w:rsidRDefault="00564614" w:rsidP="0073217C">
      <w:pPr>
        <w:suppressAutoHyphens/>
        <w:spacing w:after="0" w:line="240" w:lineRule="auto"/>
        <w:ind w:left="0" w:firstLine="0"/>
        <w:rPr>
          <w:color w:val="auto"/>
          <w:lang w:val="is-IS"/>
        </w:rPr>
      </w:pPr>
      <w:r w:rsidRPr="009F7642">
        <w:rPr>
          <w:color w:val="auto"/>
          <w:lang w:val="is-IS"/>
        </w:rPr>
        <w:t>Í E3200-rannsókninni var sjúklingum sem ekki höfðu áður fengið bevacízúmab gefinn skammtur</w:t>
      </w:r>
      <w:r w:rsidR="001B731E" w:rsidRPr="009F7642">
        <w:rPr>
          <w:color w:val="auto"/>
          <w:lang w:val="is-IS"/>
        </w:rPr>
        <w:t xml:space="preserve"> af bevacízúmab sem jafngilti 5 </w:t>
      </w:r>
      <w:r w:rsidRPr="009F7642">
        <w:rPr>
          <w:color w:val="auto"/>
          <w:lang w:val="is-IS"/>
        </w:rPr>
        <w:t>mg/kg/viku, en í ML18147-rannsókninni var sjúklingum sem áður höfðu fengið bevacízúmab gefinn skammtur a</w:t>
      </w:r>
      <w:r w:rsidR="001B731E" w:rsidRPr="009F7642">
        <w:rPr>
          <w:color w:val="auto"/>
          <w:lang w:val="is-IS"/>
        </w:rPr>
        <w:t>f bevacízúmab sem jafngilti 2,5 </w:t>
      </w:r>
      <w:r w:rsidRPr="009F7642">
        <w:rPr>
          <w:color w:val="auto"/>
          <w:lang w:val="is-IS"/>
        </w:rPr>
        <w:t>mg/kg/viku. Erfitt er að bera saman gögn um verkun og öryggi úr þessum rannsóknum vegna þess hver þær eru ólíkar, sérstaklega með tilliti til sjúklingahópa, fyrri meðferðar með bevacízúmabi og krabbameinslyfjameðferðar. B</w:t>
      </w:r>
      <w:r w:rsidR="001B731E" w:rsidRPr="009F7642">
        <w:rPr>
          <w:color w:val="auto"/>
          <w:lang w:val="is-IS"/>
        </w:rPr>
        <w:t>æði skammturinn sem jafngilti 5 </w:t>
      </w:r>
      <w:r w:rsidRPr="009F7642">
        <w:rPr>
          <w:color w:val="auto"/>
          <w:lang w:val="is-IS"/>
        </w:rPr>
        <w:t>mg/kg/viku af bevacízúmabi og skammturinn sem jafngilti</w:t>
      </w:r>
      <w:r w:rsidR="003F7CB7">
        <w:rPr>
          <w:color w:val="auto"/>
          <w:lang w:val="is-IS"/>
        </w:rPr>
        <w:t xml:space="preserve"> </w:t>
      </w:r>
      <w:r w:rsidR="001B731E" w:rsidRPr="009F7642">
        <w:rPr>
          <w:color w:val="auto"/>
          <w:lang w:val="is-IS"/>
        </w:rPr>
        <w:t>2,5 </w:t>
      </w:r>
      <w:r w:rsidRPr="009F7642">
        <w:rPr>
          <w:color w:val="auto"/>
          <w:lang w:val="is-IS"/>
        </w:rPr>
        <w:t xml:space="preserve">mg/kg/viku af bevacízúmabi leiddu til tölfræðilega marktæks ávinnings með tilliti til heildarlifunar (áhættuhlutfall 0,751 í E3200-rannsókninni; áhættuhlutfall 0,81 í ML18147-rannsókninni) og lifunar án </w:t>
      </w:r>
      <w:r w:rsidR="008872A8" w:rsidRPr="008872A8">
        <w:rPr>
          <w:color w:val="auto"/>
          <w:lang w:val="is-IS"/>
        </w:rPr>
        <w:t>versnunar</w:t>
      </w:r>
      <w:r w:rsidRPr="009F7642">
        <w:rPr>
          <w:color w:val="auto"/>
          <w:lang w:val="is-IS"/>
        </w:rPr>
        <w:t xml:space="preserve"> sjúkdóms (áhættuhlutfall 0,518 í E3200-rannsókninni; áhættuhlutfall 0,68 í ML18147</w:t>
      </w:r>
      <w:r w:rsidR="009A0D7C">
        <w:rPr>
          <w:color w:val="auto"/>
          <w:lang w:val="is-IS"/>
        </w:rPr>
        <w:t>-</w:t>
      </w:r>
      <w:r w:rsidRPr="009F7642">
        <w:rPr>
          <w:color w:val="auto"/>
          <w:lang w:val="is-IS"/>
        </w:rPr>
        <w:t>rannsókninni). Hvað öryggi varðaði var heildartíðni aukaverkana af stigi 3-5 meiri í E3200</w:t>
      </w:r>
      <w:r w:rsidR="00056CB3">
        <w:rPr>
          <w:color w:val="auto"/>
          <w:lang w:val="is-IS"/>
        </w:rPr>
        <w:noBreakHyphen/>
      </w:r>
      <w:r w:rsidRPr="009F7642">
        <w:rPr>
          <w:color w:val="auto"/>
          <w:lang w:val="is-IS"/>
        </w:rPr>
        <w:t>rannsókninni en í ML18147-rannsókninni.</w:t>
      </w:r>
    </w:p>
    <w:p w14:paraId="4609E68F" w14:textId="77777777" w:rsidR="005F36F3" w:rsidRPr="009F7642" w:rsidRDefault="005F36F3" w:rsidP="0073217C">
      <w:pPr>
        <w:suppressAutoHyphens/>
        <w:spacing w:after="0" w:line="240" w:lineRule="auto"/>
        <w:ind w:left="0" w:firstLine="0"/>
        <w:rPr>
          <w:color w:val="auto"/>
          <w:lang w:val="is-IS"/>
        </w:rPr>
      </w:pPr>
    </w:p>
    <w:p w14:paraId="04DEDF88"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u w:val="single" w:color="000000"/>
          <w:lang w:val="is-IS"/>
        </w:rPr>
        <w:t>Brjóstakrabbamein með meinvörpum</w:t>
      </w:r>
    </w:p>
    <w:p w14:paraId="7532273D" w14:textId="77777777" w:rsidR="005F36F3" w:rsidRPr="009F7642" w:rsidRDefault="005F36F3" w:rsidP="0073217C">
      <w:pPr>
        <w:keepNext/>
        <w:suppressAutoHyphens/>
        <w:spacing w:after="0" w:line="240" w:lineRule="auto"/>
        <w:ind w:left="0" w:firstLine="0"/>
        <w:rPr>
          <w:color w:val="auto"/>
          <w:lang w:val="is-IS"/>
        </w:rPr>
      </w:pPr>
    </w:p>
    <w:p w14:paraId="20185044" w14:textId="77777777" w:rsidR="006C06D6" w:rsidRPr="00B64117" w:rsidRDefault="00815FA8" w:rsidP="002B12AD">
      <w:pPr>
        <w:suppressAutoHyphens/>
        <w:spacing w:after="0" w:line="240" w:lineRule="auto"/>
        <w:ind w:left="0" w:firstLine="0"/>
        <w:rPr>
          <w:color w:val="auto"/>
          <w:lang w:val="is-IS"/>
        </w:rPr>
      </w:pPr>
      <w:r w:rsidRPr="00B64117">
        <w:rPr>
          <w:color w:val="auto"/>
          <w:lang w:val="is-IS"/>
        </w:rPr>
        <w:t xml:space="preserve">Tvær </w:t>
      </w:r>
      <w:r w:rsidR="002040BE" w:rsidRPr="00B64117">
        <w:rPr>
          <w:color w:val="auto"/>
          <w:lang w:val="is-IS"/>
        </w:rPr>
        <w:t xml:space="preserve">stórar </w:t>
      </w:r>
      <w:r w:rsidR="00564614" w:rsidRPr="00B64117">
        <w:rPr>
          <w:color w:val="auto"/>
          <w:lang w:val="is-IS"/>
        </w:rPr>
        <w:t>III.</w:t>
      </w:r>
      <w:r w:rsidRPr="00B64117">
        <w:rPr>
          <w:color w:val="auto"/>
          <w:lang w:val="is-IS"/>
        </w:rPr>
        <w:t> </w:t>
      </w:r>
      <w:r w:rsidR="00564614" w:rsidRPr="00B64117">
        <w:rPr>
          <w:color w:val="auto"/>
          <w:lang w:val="is-IS"/>
        </w:rPr>
        <w:t>stigs rannsókn</w:t>
      </w:r>
      <w:r w:rsidRPr="00B64117">
        <w:rPr>
          <w:color w:val="auto"/>
          <w:lang w:val="is-IS"/>
        </w:rPr>
        <w:t>ir</w:t>
      </w:r>
      <w:r w:rsidR="00564614" w:rsidRPr="00B64117">
        <w:rPr>
          <w:color w:val="auto"/>
          <w:lang w:val="is-IS"/>
        </w:rPr>
        <w:t xml:space="preserve"> </w:t>
      </w:r>
      <w:r w:rsidRPr="00B64117">
        <w:rPr>
          <w:color w:val="auto"/>
          <w:lang w:val="is-IS"/>
        </w:rPr>
        <w:t>voru</w:t>
      </w:r>
      <w:r w:rsidR="00564614" w:rsidRPr="00B64117">
        <w:rPr>
          <w:color w:val="auto"/>
          <w:lang w:val="is-IS"/>
        </w:rPr>
        <w:t xml:space="preserve"> gerð</w:t>
      </w:r>
      <w:r w:rsidRPr="00B64117">
        <w:rPr>
          <w:color w:val="auto"/>
          <w:lang w:val="is-IS"/>
        </w:rPr>
        <w:t>ar</w:t>
      </w:r>
      <w:r w:rsidR="00564614" w:rsidRPr="00B64117">
        <w:rPr>
          <w:color w:val="auto"/>
          <w:lang w:val="is-IS"/>
        </w:rPr>
        <w:t xml:space="preserve"> til að kanna meðferðaráhrif </w:t>
      </w:r>
      <w:r w:rsidR="00690564" w:rsidRPr="00B64117">
        <w:rPr>
          <w:lang w:val="is-IS"/>
        </w:rPr>
        <w:t>bevacízúmab</w:t>
      </w:r>
      <w:r w:rsidR="00687A18" w:rsidRPr="00B64117">
        <w:rPr>
          <w:lang w:val="is-IS"/>
        </w:rPr>
        <w:t>s</w:t>
      </w:r>
      <w:r w:rsidR="00564614" w:rsidRPr="00B64117">
        <w:rPr>
          <w:color w:val="auto"/>
          <w:lang w:val="is-IS"/>
        </w:rPr>
        <w:t xml:space="preserve"> í samsettri meðferð með </w:t>
      </w:r>
      <w:r w:rsidRPr="00B64117">
        <w:rPr>
          <w:color w:val="auto"/>
          <w:lang w:val="is-IS"/>
        </w:rPr>
        <w:t xml:space="preserve">tveimur </w:t>
      </w:r>
      <w:r w:rsidR="0058789B" w:rsidRPr="00B64117">
        <w:rPr>
          <w:color w:val="auto"/>
          <w:lang w:val="is-IS"/>
        </w:rPr>
        <w:t>öðrum</w:t>
      </w:r>
      <w:r w:rsidRPr="00B64117">
        <w:rPr>
          <w:color w:val="auto"/>
          <w:lang w:val="is-IS"/>
        </w:rPr>
        <w:t xml:space="preserve"> krabbameinslyfjum</w:t>
      </w:r>
      <w:r w:rsidR="00564614" w:rsidRPr="00B64117">
        <w:rPr>
          <w:color w:val="auto"/>
          <w:lang w:val="is-IS"/>
        </w:rPr>
        <w:t xml:space="preserve">, þar sem aðalendapunktur var lifun án versnunar sjúkdóms. </w:t>
      </w:r>
      <w:r w:rsidR="002040BE" w:rsidRPr="00B64117">
        <w:rPr>
          <w:color w:val="auto"/>
          <w:lang w:val="is-IS"/>
        </w:rPr>
        <w:t>Í báðum rannsóknunum sást t</w:t>
      </w:r>
      <w:r w:rsidR="00564614" w:rsidRPr="00B64117">
        <w:rPr>
          <w:color w:val="auto"/>
          <w:lang w:val="is-IS"/>
        </w:rPr>
        <w:t>ölfræðilega marktæk lenging á lifun án versnunar sjúkdóms, sem hafði klíníska þýðingu.</w:t>
      </w:r>
    </w:p>
    <w:p w14:paraId="5FCBF2FA" w14:textId="77777777" w:rsidR="005F36F3" w:rsidRPr="00B64117" w:rsidRDefault="005F36F3" w:rsidP="0073217C">
      <w:pPr>
        <w:suppressAutoHyphens/>
        <w:spacing w:after="0" w:line="240" w:lineRule="auto"/>
        <w:ind w:left="0" w:firstLine="0"/>
        <w:rPr>
          <w:color w:val="auto"/>
          <w:lang w:val="is-IS"/>
        </w:rPr>
      </w:pPr>
    </w:p>
    <w:p w14:paraId="2E355C74" w14:textId="77777777" w:rsidR="006C06D6" w:rsidRPr="00815FA8" w:rsidRDefault="00564614" w:rsidP="0073217C">
      <w:pPr>
        <w:keepNext/>
        <w:suppressAutoHyphens/>
        <w:spacing w:after="0" w:line="240" w:lineRule="auto"/>
        <w:ind w:left="0" w:firstLine="0"/>
        <w:rPr>
          <w:color w:val="auto"/>
          <w:lang w:val="is-IS"/>
        </w:rPr>
      </w:pPr>
      <w:r w:rsidRPr="00B64117">
        <w:rPr>
          <w:color w:val="auto"/>
          <w:lang w:val="is-IS"/>
        </w:rPr>
        <w:lastRenderedPageBreak/>
        <w:t xml:space="preserve">Hér að neðan eru teknar saman niðurstöður </w:t>
      </w:r>
      <w:r w:rsidRPr="00815FA8">
        <w:rPr>
          <w:color w:val="auto"/>
          <w:lang w:val="is-IS"/>
        </w:rPr>
        <w:t>varðandi lifun án versnunar sjúkdóms</w:t>
      </w:r>
      <w:r w:rsidR="0058789B">
        <w:rPr>
          <w:color w:val="auto"/>
          <w:lang w:val="is-IS"/>
        </w:rPr>
        <w:t xml:space="preserve"> fyrir einstök krabbameinslyf sem getið er í ábendingunni</w:t>
      </w:r>
      <w:r w:rsidRPr="00815FA8">
        <w:rPr>
          <w:color w:val="auto"/>
          <w:lang w:val="is-IS"/>
        </w:rPr>
        <w:t>:</w:t>
      </w:r>
    </w:p>
    <w:p w14:paraId="50289CBD" w14:textId="77777777" w:rsidR="005F36F3" w:rsidRPr="00815FA8" w:rsidRDefault="005F36F3" w:rsidP="0073217C">
      <w:pPr>
        <w:keepNext/>
        <w:suppressAutoHyphens/>
        <w:spacing w:after="0" w:line="240" w:lineRule="auto"/>
        <w:ind w:left="0" w:firstLine="0"/>
        <w:rPr>
          <w:color w:val="auto"/>
          <w:lang w:val="is-IS"/>
        </w:rPr>
      </w:pPr>
    </w:p>
    <w:p w14:paraId="4111ED41" w14:textId="77777777" w:rsidR="005F36F3" w:rsidRPr="00815FA8" w:rsidRDefault="003C161D" w:rsidP="000B055B">
      <w:pPr>
        <w:keepNext/>
        <w:keepLines/>
        <w:numPr>
          <w:ilvl w:val="0"/>
          <w:numId w:val="6"/>
        </w:numPr>
        <w:suppressAutoHyphens/>
        <w:spacing w:after="0" w:line="240" w:lineRule="auto"/>
        <w:ind w:left="567" w:hanging="567"/>
        <w:rPr>
          <w:color w:val="auto"/>
          <w:lang w:val="is-IS"/>
        </w:rPr>
      </w:pPr>
      <w:r w:rsidRPr="00815FA8">
        <w:rPr>
          <w:color w:val="auto"/>
          <w:lang w:val="is-IS"/>
        </w:rPr>
        <w:t>E2100-rannsóknin (paklítaxel)</w:t>
      </w:r>
    </w:p>
    <w:p w14:paraId="67C7B459" w14:textId="77777777" w:rsidR="005F36F3" w:rsidRDefault="00564614" w:rsidP="0073217C">
      <w:pPr>
        <w:numPr>
          <w:ilvl w:val="0"/>
          <w:numId w:val="6"/>
        </w:numPr>
        <w:tabs>
          <w:tab w:val="left" w:pos="1134"/>
        </w:tabs>
        <w:suppressAutoHyphens/>
        <w:spacing w:after="0" w:line="240" w:lineRule="auto"/>
        <w:ind w:left="1134" w:hanging="567"/>
        <w:rPr>
          <w:color w:val="auto"/>
          <w:lang w:val="is-IS"/>
        </w:rPr>
      </w:pPr>
      <w:r w:rsidRPr="00815FA8">
        <w:rPr>
          <w:color w:val="auto"/>
          <w:lang w:val="is-IS"/>
        </w:rPr>
        <w:t>Lenging miðgildis lifunar án versnunar sjúkdóms 5,</w:t>
      </w:r>
      <w:r w:rsidR="006F4D31" w:rsidRPr="00815FA8">
        <w:rPr>
          <w:color w:val="auto"/>
          <w:lang w:val="is-IS"/>
        </w:rPr>
        <w:t xml:space="preserve">6 mánuðir, áhættuhlutfall 0,421 </w:t>
      </w:r>
      <w:r w:rsidRPr="00815FA8">
        <w:rPr>
          <w:color w:val="auto"/>
          <w:lang w:val="is-IS"/>
        </w:rPr>
        <w:t>(p</w:t>
      </w:r>
      <w:r w:rsidR="00E74B74" w:rsidRPr="00815FA8">
        <w:rPr>
          <w:color w:val="auto"/>
          <w:lang w:val="is-IS"/>
        </w:rPr>
        <w:t> </w:t>
      </w:r>
      <w:r w:rsidRPr="00815FA8">
        <w:rPr>
          <w:color w:val="auto"/>
          <w:lang w:val="is-IS"/>
        </w:rPr>
        <w:t>&lt;</w:t>
      </w:r>
      <w:r w:rsidR="00A90C76" w:rsidRPr="00815FA8">
        <w:rPr>
          <w:color w:val="auto"/>
          <w:lang w:val="is-IS"/>
        </w:rPr>
        <w:t> </w:t>
      </w:r>
      <w:r w:rsidRPr="00815FA8">
        <w:rPr>
          <w:color w:val="auto"/>
          <w:lang w:val="is-IS"/>
        </w:rPr>
        <w:t>0,0001, 95%</w:t>
      </w:r>
      <w:r w:rsidR="009A0D7C" w:rsidRPr="00815FA8">
        <w:rPr>
          <w:color w:val="auto"/>
          <w:lang w:val="is-IS"/>
        </w:rPr>
        <w:t> </w:t>
      </w:r>
      <w:r w:rsidRPr="00815FA8">
        <w:rPr>
          <w:color w:val="auto"/>
          <w:lang w:val="is-IS"/>
        </w:rPr>
        <w:t>öryggisbil 0,343; 0,516)</w:t>
      </w:r>
    </w:p>
    <w:p w14:paraId="735E9D16" w14:textId="77777777" w:rsidR="0058789B" w:rsidRDefault="0058789B" w:rsidP="00B64117">
      <w:pPr>
        <w:numPr>
          <w:ilvl w:val="0"/>
          <w:numId w:val="6"/>
        </w:numPr>
        <w:suppressAutoHyphens/>
        <w:spacing w:after="0" w:line="240" w:lineRule="auto"/>
        <w:ind w:left="567" w:hanging="567"/>
        <w:rPr>
          <w:color w:val="auto"/>
          <w:lang w:val="is-IS"/>
        </w:rPr>
      </w:pPr>
      <w:r w:rsidRPr="00B64117">
        <w:rPr>
          <w:color w:val="auto"/>
          <w:lang w:val="is-IS"/>
        </w:rPr>
        <w:t>AVF3694g-rannsóknin (capecítabín)</w:t>
      </w:r>
    </w:p>
    <w:p w14:paraId="0FBD3E45" w14:textId="77777777" w:rsidR="0058789B" w:rsidRPr="00815FA8" w:rsidRDefault="0058789B" w:rsidP="002040BE">
      <w:pPr>
        <w:numPr>
          <w:ilvl w:val="0"/>
          <w:numId w:val="6"/>
        </w:numPr>
        <w:tabs>
          <w:tab w:val="left" w:pos="1134"/>
        </w:tabs>
        <w:suppressAutoHyphens/>
        <w:spacing w:after="0" w:line="240" w:lineRule="auto"/>
        <w:ind w:left="1134" w:hanging="567"/>
        <w:rPr>
          <w:color w:val="auto"/>
          <w:lang w:val="is-IS"/>
        </w:rPr>
      </w:pPr>
      <w:r w:rsidRPr="00B64117">
        <w:rPr>
          <w:color w:val="auto"/>
          <w:lang w:val="is-IS"/>
        </w:rPr>
        <w:t>Lenging miðgildis lifunar án versnunar sjúkdóms 2,9 mánuðir, áhættuhlutfall 0,69 (p=0,0002, 95% öryggisbil 0,56 ; 0,84)</w:t>
      </w:r>
    </w:p>
    <w:p w14:paraId="6A0A987B" w14:textId="77777777" w:rsidR="005F36F3" w:rsidRPr="00815FA8" w:rsidRDefault="005F36F3" w:rsidP="00F2274F">
      <w:pPr>
        <w:tabs>
          <w:tab w:val="left" w:pos="1134"/>
        </w:tabs>
        <w:suppressAutoHyphens/>
        <w:spacing w:after="0" w:line="240" w:lineRule="auto"/>
        <w:ind w:left="0" w:firstLine="0"/>
        <w:rPr>
          <w:color w:val="auto"/>
          <w:lang w:val="is-IS"/>
        </w:rPr>
      </w:pPr>
    </w:p>
    <w:p w14:paraId="3388A876" w14:textId="77777777" w:rsidR="005F36F3" w:rsidRPr="009F7642" w:rsidRDefault="00564614" w:rsidP="0073217C">
      <w:pPr>
        <w:suppressAutoHyphens/>
        <w:spacing w:after="0" w:line="240" w:lineRule="auto"/>
        <w:ind w:left="0" w:firstLine="0"/>
        <w:rPr>
          <w:color w:val="auto"/>
          <w:lang w:val="is-IS"/>
        </w:rPr>
      </w:pPr>
      <w:r w:rsidRPr="00815FA8">
        <w:rPr>
          <w:color w:val="auto"/>
          <w:lang w:val="is-IS"/>
        </w:rPr>
        <w:t xml:space="preserve">Frekari upplýsingar um </w:t>
      </w:r>
      <w:r w:rsidR="0058789B">
        <w:rPr>
          <w:color w:val="auto"/>
          <w:lang w:val="is-IS"/>
        </w:rPr>
        <w:t xml:space="preserve">hverja </w:t>
      </w:r>
      <w:r w:rsidRPr="00815FA8">
        <w:rPr>
          <w:color w:val="auto"/>
          <w:lang w:val="is-IS"/>
        </w:rPr>
        <w:t>rannsókn og niður</w:t>
      </w:r>
      <w:r w:rsidR="00C91845" w:rsidRPr="00815FA8">
        <w:rPr>
          <w:color w:val="auto"/>
          <w:lang w:val="is-IS"/>
        </w:rPr>
        <w:t xml:space="preserve">stöður </w:t>
      </w:r>
      <w:r w:rsidR="00E30EC9" w:rsidRPr="00815FA8">
        <w:rPr>
          <w:color w:val="auto"/>
          <w:lang w:val="is-IS"/>
        </w:rPr>
        <w:t xml:space="preserve">hennar </w:t>
      </w:r>
      <w:r w:rsidR="00C91845" w:rsidRPr="00815FA8">
        <w:rPr>
          <w:color w:val="auto"/>
          <w:lang w:val="is-IS"/>
        </w:rPr>
        <w:t>eru hér að neðan.</w:t>
      </w:r>
    </w:p>
    <w:p w14:paraId="1CB3816C" w14:textId="77777777" w:rsidR="005F36F3" w:rsidRPr="009F7642" w:rsidRDefault="005F36F3" w:rsidP="0073217C">
      <w:pPr>
        <w:suppressAutoHyphens/>
        <w:spacing w:after="0" w:line="240" w:lineRule="auto"/>
        <w:ind w:left="0" w:firstLine="0"/>
        <w:rPr>
          <w:color w:val="auto"/>
          <w:lang w:val="is-IS"/>
        </w:rPr>
      </w:pPr>
    </w:p>
    <w:p w14:paraId="2D78DBCF" w14:textId="77777777" w:rsidR="005F36F3" w:rsidRPr="009F7642" w:rsidRDefault="00564614" w:rsidP="0073217C">
      <w:pPr>
        <w:keepNext/>
        <w:suppressAutoHyphens/>
        <w:spacing w:after="0" w:line="240" w:lineRule="auto"/>
        <w:ind w:left="0" w:firstLine="0"/>
        <w:rPr>
          <w:color w:val="auto"/>
          <w:lang w:val="is-IS"/>
        </w:rPr>
      </w:pPr>
      <w:r w:rsidRPr="009F7642">
        <w:rPr>
          <w:i/>
          <w:color w:val="auto"/>
          <w:lang w:val="is-IS"/>
        </w:rPr>
        <w:t>ECOG E2100</w:t>
      </w:r>
    </w:p>
    <w:p w14:paraId="10956A4C" w14:textId="438C371A"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Rannsókn E2100, var opin, slembiröðuð, fjölsetra klínísk rannsókn </w:t>
      </w:r>
      <w:r w:rsidR="008872A8" w:rsidRPr="008872A8">
        <w:rPr>
          <w:color w:val="auto"/>
          <w:lang w:val="is-IS"/>
        </w:rPr>
        <w:t>með samanburði við virkt lyf</w:t>
      </w:r>
      <w:r w:rsidR="008872A8">
        <w:rPr>
          <w:color w:val="auto"/>
          <w:lang w:val="is-IS"/>
        </w:rPr>
        <w:t xml:space="preserve"> </w:t>
      </w:r>
      <w:r w:rsidRPr="009F7642">
        <w:rPr>
          <w:color w:val="auto"/>
          <w:lang w:val="is-IS"/>
        </w:rPr>
        <w:t xml:space="preserve">þar sem </w:t>
      </w:r>
      <w:r w:rsidR="00690564" w:rsidRPr="00F2274F">
        <w:rPr>
          <w:lang w:val="is-IS"/>
        </w:rPr>
        <w:t>bevacízúmab</w:t>
      </w:r>
      <w:r w:rsidRPr="009F7642">
        <w:rPr>
          <w:color w:val="auto"/>
          <w:lang w:val="is-IS"/>
        </w:rPr>
        <w:t xml:space="preserve"> var metið í samsetningu með paklítaxeli við endurteknu staðbundnu brjóstakrabbameini eða brjóstakrabbameini með meinvörpum hjá sjúklingum sem höfðu ekki áður fengið krabbameinslyfjameðferð við endurteknum staðbundnum sjúkdómi og með meinvörpum. Sjúklingar voru slembiraðaðir ti</w:t>
      </w:r>
      <w:r w:rsidR="001B731E" w:rsidRPr="009F7642">
        <w:rPr>
          <w:color w:val="auto"/>
          <w:lang w:val="is-IS"/>
        </w:rPr>
        <w:t>l að fá paklítaxel eitt sér (90 </w:t>
      </w:r>
      <w:r w:rsidRPr="009F7642">
        <w:rPr>
          <w:color w:val="auto"/>
          <w:lang w:val="is-IS"/>
        </w:rPr>
        <w:t>mg/m</w:t>
      </w:r>
      <w:r w:rsidRPr="009F7642">
        <w:rPr>
          <w:color w:val="auto"/>
          <w:vertAlign w:val="superscript"/>
          <w:lang w:val="is-IS"/>
        </w:rPr>
        <w:t>2</w:t>
      </w:r>
      <w:r w:rsidRPr="009F7642">
        <w:rPr>
          <w:color w:val="auto"/>
          <w:lang w:val="is-IS"/>
        </w:rPr>
        <w:t xml:space="preserve"> í bláæð á 1 klukkustund einu sinni í viku í þrjár vikur a</w:t>
      </w:r>
      <w:r w:rsidR="001B731E" w:rsidRPr="009F7642">
        <w:rPr>
          <w:color w:val="auto"/>
          <w:lang w:val="is-IS"/>
        </w:rPr>
        <w:t xml:space="preserve">f fjórum) eða ásamt </w:t>
      </w:r>
      <w:r w:rsidR="00690564" w:rsidRPr="00F2274F">
        <w:rPr>
          <w:lang w:val="is-IS"/>
        </w:rPr>
        <w:t>bevacízúmab</w:t>
      </w:r>
      <w:r w:rsidR="00687A18" w:rsidRPr="00F2274F">
        <w:rPr>
          <w:lang w:val="is-IS"/>
        </w:rPr>
        <w:t>i</w:t>
      </w:r>
      <w:r w:rsidR="001B731E" w:rsidRPr="009F7642">
        <w:rPr>
          <w:color w:val="auto"/>
          <w:lang w:val="is-IS"/>
        </w:rPr>
        <w:t xml:space="preserve"> (10 </w:t>
      </w:r>
      <w:r w:rsidRPr="009F7642">
        <w:rPr>
          <w:color w:val="auto"/>
          <w:lang w:val="is-IS"/>
        </w:rPr>
        <w:t>mg/kg innrennsli í bláæð á tveggja vikna fresti). Leyfilegt var að hormónameðferð við sjúkdómi með meinvörpum hefði átt sér stað. Leyfilegt var að stuðningsmeðferð með taxan hefði átt sér stað að því tilskildu að henni hefði verið lokið a.m.k. 12 mánuðum áður en rannsóknin hófst. Af þeim 722 sjúklingum sem þátt tóku í rannsókninni var meiri hlutinn með HER2-neikvæðan sjúkdóm (90%), en nokkrir sjúklinganna með óþekkta (8%) eða staðfesta HER2-jákvæða stöðu (2%) og höfðu þá áður verið meðhöndlaðir með trastúzúmabi eða slík meðferð ekki talin henta. Ennfremur höfðu 65% sjúklinga fengið stuðningsmeðferð með krabbameinslyfjum og höfðu 19% þeirra áður fengið taxan og 49% antracýklín. Sjúklingar með meinvörp í miðtaugakerfi, að meðtöldum þeim með heilaskemmd sem áður höfðu verið meðhöndlaðir eða gengist undir skurðaðgerð, voru útilokaðir frá þátttöku.</w:t>
      </w:r>
    </w:p>
    <w:p w14:paraId="4F1B8DC5" w14:textId="77777777" w:rsidR="005F36F3" w:rsidRPr="009F7642" w:rsidRDefault="005F36F3" w:rsidP="0073217C">
      <w:pPr>
        <w:suppressAutoHyphens/>
        <w:spacing w:after="0" w:line="240" w:lineRule="auto"/>
        <w:ind w:left="0" w:firstLine="0"/>
        <w:rPr>
          <w:color w:val="auto"/>
          <w:lang w:val="is-IS"/>
        </w:rPr>
      </w:pPr>
    </w:p>
    <w:p w14:paraId="6F1AA631"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Í rannsókn E2100 fengu sjúklingar meðferð fram að versnun sjúkdóms. Í þeim tilvikum þar sem snemma þurfti að stöðva krabbameinslyfjameðferð, var meðferð með </w:t>
      </w:r>
      <w:r w:rsidR="00690564" w:rsidRPr="00F2274F">
        <w:rPr>
          <w:lang w:val="is-IS"/>
        </w:rPr>
        <w:t>bevacízúmab</w:t>
      </w:r>
      <w:r w:rsidR="0044479B" w:rsidRPr="00F2274F">
        <w:rPr>
          <w:lang w:val="is-IS"/>
        </w:rPr>
        <w:t>i</w:t>
      </w:r>
      <w:r w:rsidRPr="009F7642">
        <w:rPr>
          <w:color w:val="auto"/>
          <w:lang w:val="is-IS"/>
        </w:rPr>
        <w:t xml:space="preserve"> sem einlyfja meðferð haldið áfram þar til sjúkdómur versnaði. Einkenni sjúklinganna voru svipuð hjá rannsóknarhópunum. Aðalendapunktur rannsóknarinnar var lifun án versnunar sjúkdóms (progression free survival (PFS)), byggt á mati rannsóknaraðila á versnun sjúkdómsins. Enn fremur fór fram óháð endurskoðun á aðalendapunktinum. Niðurstöður rannsóknarinnar eru kynntar í töflu 10.</w:t>
      </w:r>
    </w:p>
    <w:p w14:paraId="6C6687A8" w14:textId="77777777" w:rsidR="005F36F3" w:rsidRPr="009F7642" w:rsidRDefault="005F36F3" w:rsidP="0073217C">
      <w:pPr>
        <w:suppressAutoHyphens/>
        <w:spacing w:after="0" w:line="240" w:lineRule="auto"/>
        <w:ind w:left="0" w:firstLine="0"/>
        <w:rPr>
          <w:color w:val="auto"/>
          <w:lang w:val="is-IS"/>
        </w:rPr>
      </w:pPr>
    </w:p>
    <w:p w14:paraId="346F1A90" w14:textId="77777777" w:rsidR="006C06D6" w:rsidRPr="009F7642" w:rsidRDefault="00ED782B" w:rsidP="0073217C">
      <w:pPr>
        <w:keepNext/>
        <w:keepLines/>
        <w:tabs>
          <w:tab w:val="center" w:pos="3117"/>
        </w:tabs>
        <w:suppressAutoHyphens/>
        <w:spacing w:after="0" w:line="240" w:lineRule="auto"/>
        <w:ind w:left="0" w:firstLine="0"/>
        <w:rPr>
          <w:b/>
          <w:color w:val="auto"/>
          <w:lang w:val="is-IS"/>
        </w:rPr>
      </w:pPr>
      <w:r w:rsidRPr="009F7642">
        <w:rPr>
          <w:b/>
          <w:color w:val="auto"/>
          <w:lang w:val="is-IS"/>
        </w:rPr>
        <w:t>Tafla 10</w:t>
      </w:r>
      <w:r w:rsidR="00816D79" w:rsidRPr="009F7642">
        <w:rPr>
          <w:b/>
          <w:color w:val="auto"/>
          <w:lang w:val="is-IS"/>
        </w:rPr>
        <w:t>.</w:t>
      </w:r>
      <w:r w:rsidRPr="009F7642">
        <w:rPr>
          <w:b/>
          <w:color w:val="auto"/>
          <w:lang w:val="is-IS"/>
        </w:rPr>
        <w:t xml:space="preserve"> </w:t>
      </w:r>
      <w:r w:rsidR="00564614" w:rsidRPr="009F7642">
        <w:rPr>
          <w:b/>
          <w:color w:val="auto"/>
          <w:lang w:val="is-IS"/>
        </w:rPr>
        <w:t>Rannsókn E2100 Niðurstöður um verkun</w:t>
      </w:r>
    </w:p>
    <w:p w14:paraId="255ADAC2" w14:textId="77777777" w:rsidR="005F36F3" w:rsidRPr="009F7642" w:rsidRDefault="005F36F3" w:rsidP="0073217C">
      <w:pPr>
        <w:keepNext/>
        <w:keepLines/>
        <w:suppressAutoHyphens/>
        <w:spacing w:after="0" w:line="240" w:lineRule="auto"/>
        <w:ind w:left="0" w:firstLine="0"/>
        <w:rPr>
          <w:color w:val="auto"/>
          <w:lang w:val="is-IS"/>
        </w:rPr>
      </w:pPr>
    </w:p>
    <w:tbl>
      <w:tblPr>
        <w:tblW w:w="0" w:type="auto"/>
        <w:tblInd w:w="108" w:type="dxa"/>
        <w:tblLayout w:type="fixed"/>
        <w:tblCellMar>
          <w:top w:w="51" w:type="dxa"/>
          <w:right w:w="24" w:type="dxa"/>
        </w:tblCellMar>
        <w:tblLook w:val="04A0" w:firstRow="1" w:lastRow="0" w:firstColumn="1" w:lastColumn="0" w:noHBand="0" w:noVBand="1"/>
      </w:tblPr>
      <w:tblGrid>
        <w:gridCol w:w="1985"/>
        <w:gridCol w:w="1134"/>
        <w:gridCol w:w="2332"/>
        <w:gridCol w:w="1070"/>
        <w:gridCol w:w="2573"/>
      </w:tblGrid>
      <w:tr w:rsidR="00DA66EB" w:rsidRPr="00DA66EB" w14:paraId="36C085C3" w14:textId="77777777" w:rsidTr="00F2274F">
        <w:trPr>
          <w:trHeight w:val="516"/>
        </w:trPr>
        <w:tc>
          <w:tcPr>
            <w:tcW w:w="5451" w:type="dxa"/>
            <w:gridSpan w:val="3"/>
            <w:tcBorders>
              <w:top w:val="single" w:sz="4" w:space="0" w:color="000000"/>
              <w:left w:val="single" w:sz="4" w:space="0" w:color="000000"/>
              <w:bottom w:val="single" w:sz="4" w:space="0" w:color="000000"/>
            </w:tcBorders>
          </w:tcPr>
          <w:p w14:paraId="29871327" w14:textId="77777777" w:rsidR="00776AC9" w:rsidRPr="00DA66EB" w:rsidRDefault="00776AC9" w:rsidP="0073217C">
            <w:pPr>
              <w:keepNext/>
              <w:keepLines/>
              <w:suppressAutoHyphens/>
              <w:spacing w:line="259" w:lineRule="auto"/>
              <w:rPr>
                <w:color w:val="auto"/>
                <w:lang w:val="is-IS"/>
              </w:rPr>
            </w:pPr>
            <w:r w:rsidRPr="00DA66EB">
              <w:rPr>
                <w:color w:val="auto"/>
                <w:lang w:val="is-IS"/>
              </w:rPr>
              <w:t>Lifun án versnunar sjúkdóms</w:t>
            </w:r>
          </w:p>
        </w:tc>
        <w:tc>
          <w:tcPr>
            <w:tcW w:w="3643" w:type="dxa"/>
            <w:gridSpan w:val="2"/>
            <w:tcBorders>
              <w:top w:val="single" w:sz="4" w:space="0" w:color="000000"/>
              <w:bottom w:val="single" w:sz="4" w:space="0" w:color="000000"/>
              <w:right w:val="single" w:sz="4" w:space="0" w:color="000000"/>
            </w:tcBorders>
          </w:tcPr>
          <w:p w14:paraId="3DF68E5E" w14:textId="77777777" w:rsidR="00776AC9" w:rsidRPr="00DA66EB" w:rsidRDefault="00776AC9" w:rsidP="0073217C">
            <w:pPr>
              <w:keepNext/>
              <w:keepLines/>
              <w:suppressAutoHyphens/>
              <w:spacing w:after="160" w:line="259" w:lineRule="auto"/>
              <w:rPr>
                <w:color w:val="auto"/>
                <w:lang w:val="is-IS"/>
              </w:rPr>
            </w:pPr>
          </w:p>
        </w:tc>
      </w:tr>
      <w:tr w:rsidR="009D280F" w:rsidRPr="00DA66EB" w14:paraId="2BA7F725" w14:textId="77777777" w:rsidTr="00F2274F">
        <w:trPr>
          <w:trHeight w:val="264"/>
        </w:trPr>
        <w:tc>
          <w:tcPr>
            <w:tcW w:w="1985" w:type="dxa"/>
            <w:tcBorders>
              <w:top w:val="single" w:sz="4" w:space="0" w:color="000000"/>
              <w:left w:val="single" w:sz="4" w:space="0" w:color="000000"/>
              <w:bottom w:val="single" w:sz="4" w:space="0" w:color="000000"/>
              <w:right w:val="single" w:sz="4" w:space="0" w:color="000000"/>
            </w:tcBorders>
          </w:tcPr>
          <w:p w14:paraId="12D86CF9" w14:textId="77777777" w:rsidR="00776AC9" w:rsidRPr="00DA66EB" w:rsidRDefault="00776AC9" w:rsidP="0073217C">
            <w:pPr>
              <w:suppressAutoHyphens/>
              <w:spacing w:line="259" w:lineRule="auto"/>
              <w:ind w:right="31"/>
              <w:rPr>
                <w:color w:val="auto"/>
                <w:lang w:val="is-IS"/>
              </w:rPr>
            </w:pPr>
          </w:p>
        </w:tc>
        <w:tc>
          <w:tcPr>
            <w:tcW w:w="3466" w:type="dxa"/>
            <w:gridSpan w:val="2"/>
            <w:tcBorders>
              <w:top w:val="single" w:sz="4" w:space="0" w:color="000000"/>
              <w:left w:val="single" w:sz="4" w:space="0" w:color="000000"/>
              <w:bottom w:val="single" w:sz="4" w:space="0" w:color="000000"/>
              <w:right w:val="single" w:sz="4" w:space="0" w:color="000000"/>
            </w:tcBorders>
          </w:tcPr>
          <w:p w14:paraId="13D94BD9" w14:textId="77777777" w:rsidR="00776AC9" w:rsidRPr="00DA66EB" w:rsidRDefault="00776AC9" w:rsidP="0073217C">
            <w:pPr>
              <w:suppressAutoHyphens/>
              <w:spacing w:line="259" w:lineRule="auto"/>
              <w:ind w:right="86"/>
              <w:jc w:val="center"/>
              <w:rPr>
                <w:color w:val="auto"/>
                <w:lang w:val="is-IS"/>
              </w:rPr>
            </w:pPr>
            <w:r w:rsidRPr="00DA66EB">
              <w:rPr>
                <w:color w:val="auto"/>
                <w:lang w:val="is-IS"/>
              </w:rPr>
              <w:t>Mat rannsóknaraðila*</w:t>
            </w:r>
          </w:p>
        </w:tc>
        <w:tc>
          <w:tcPr>
            <w:tcW w:w="3643" w:type="dxa"/>
            <w:gridSpan w:val="2"/>
            <w:tcBorders>
              <w:top w:val="single" w:sz="4" w:space="0" w:color="000000"/>
              <w:left w:val="single" w:sz="4" w:space="0" w:color="000000"/>
              <w:bottom w:val="single" w:sz="4" w:space="0" w:color="000000"/>
              <w:right w:val="single" w:sz="4" w:space="0" w:color="000000"/>
            </w:tcBorders>
          </w:tcPr>
          <w:p w14:paraId="123F90F0" w14:textId="77777777" w:rsidR="00776AC9" w:rsidRPr="00DA66EB" w:rsidRDefault="00776AC9" w:rsidP="0073217C">
            <w:pPr>
              <w:suppressAutoHyphens/>
              <w:spacing w:line="259" w:lineRule="auto"/>
              <w:ind w:right="87"/>
              <w:jc w:val="center"/>
              <w:rPr>
                <w:color w:val="auto"/>
                <w:lang w:val="is-IS"/>
              </w:rPr>
            </w:pPr>
            <w:r w:rsidRPr="00DA66EB">
              <w:rPr>
                <w:color w:val="auto"/>
                <w:lang w:val="is-IS"/>
              </w:rPr>
              <w:t xml:space="preserve">IRF mat </w:t>
            </w:r>
          </w:p>
        </w:tc>
      </w:tr>
      <w:tr w:rsidR="009D280F" w:rsidRPr="00DA66EB" w14:paraId="5FFB2146" w14:textId="77777777" w:rsidTr="00F2274F">
        <w:trPr>
          <w:trHeight w:val="768"/>
        </w:trPr>
        <w:tc>
          <w:tcPr>
            <w:tcW w:w="1985" w:type="dxa"/>
            <w:tcBorders>
              <w:top w:val="single" w:sz="4" w:space="0" w:color="000000"/>
              <w:left w:val="single" w:sz="4" w:space="0" w:color="000000"/>
              <w:bottom w:val="single" w:sz="4" w:space="0" w:color="000000"/>
              <w:right w:val="single" w:sz="4" w:space="0" w:color="000000"/>
            </w:tcBorders>
          </w:tcPr>
          <w:p w14:paraId="65C10382" w14:textId="77777777" w:rsidR="00776AC9" w:rsidRPr="00DA66EB" w:rsidRDefault="00776AC9" w:rsidP="0073217C">
            <w:pPr>
              <w:suppressAutoHyphens/>
              <w:spacing w:line="259" w:lineRule="auto"/>
              <w:ind w:right="31"/>
              <w:rPr>
                <w:color w:val="auto"/>
                <w:lang w:val="is-IS"/>
              </w:rPr>
            </w:pPr>
          </w:p>
        </w:tc>
        <w:tc>
          <w:tcPr>
            <w:tcW w:w="1134" w:type="dxa"/>
            <w:tcBorders>
              <w:top w:val="single" w:sz="4" w:space="0" w:color="000000"/>
              <w:left w:val="single" w:sz="4" w:space="0" w:color="000000"/>
              <w:bottom w:val="single" w:sz="4" w:space="0" w:color="000000"/>
              <w:right w:val="single" w:sz="4" w:space="0" w:color="000000"/>
            </w:tcBorders>
          </w:tcPr>
          <w:p w14:paraId="38B06D7D" w14:textId="77777777" w:rsidR="006C06D6" w:rsidRPr="00DA66EB" w:rsidRDefault="00776AC9" w:rsidP="0073217C">
            <w:pPr>
              <w:suppressAutoHyphens/>
              <w:spacing w:line="259" w:lineRule="auto"/>
              <w:jc w:val="center"/>
              <w:rPr>
                <w:color w:val="auto"/>
                <w:lang w:val="is-IS"/>
              </w:rPr>
            </w:pPr>
            <w:r w:rsidRPr="00DA66EB">
              <w:rPr>
                <w:color w:val="auto"/>
                <w:lang w:val="is-IS"/>
              </w:rPr>
              <w:t>Paklítaxel</w:t>
            </w:r>
          </w:p>
          <w:p w14:paraId="63653763" w14:textId="77777777" w:rsidR="00776AC9" w:rsidRPr="00DA66EB" w:rsidRDefault="00776AC9" w:rsidP="0073217C">
            <w:pPr>
              <w:suppressAutoHyphens/>
              <w:spacing w:line="259" w:lineRule="auto"/>
              <w:jc w:val="center"/>
              <w:rPr>
                <w:color w:val="auto"/>
                <w:lang w:val="is-IS"/>
              </w:rPr>
            </w:pPr>
            <w:r w:rsidRPr="00DA66EB">
              <w:rPr>
                <w:color w:val="auto"/>
                <w:lang w:val="is-IS"/>
              </w:rPr>
              <w:t>(n</w:t>
            </w:r>
            <w:r w:rsidR="001347B7">
              <w:rPr>
                <w:color w:val="auto"/>
                <w:lang w:val="is-IS"/>
              </w:rPr>
              <w:t> </w:t>
            </w:r>
            <w:r w:rsidR="00700BDC">
              <w:rPr>
                <w:color w:val="auto"/>
                <w:lang w:val="is-IS"/>
              </w:rPr>
              <w:t>=</w:t>
            </w:r>
            <w:r w:rsidR="001347B7">
              <w:rPr>
                <w:color w:val="auto"/>
                <w:lang w:val="is-IS"/>
              </w:rPr>
              <w:t> </w:t>
            </w:r>
            <w:r w:rsidRPr="00DA66EB">
              <w:rPr>
                <w:color w:val="auto"/>
                <w:lang w:val="is-IS"/>
              </w:rPr>
              <w:t xml:space="preserve">354) </w:t>
            </w:r>
          </w:p>
        </w:tc>
        <w:tc>
          <w:tcPr>
            <w:tcW w:w="2332" w:type="dxa"/>
            <w:tcBorders>
              <w:top w:val="single" w:sz="4" w:space="0" w:color="000000"/>
              <w:left w:val="single" w:sz="4" w:space="0" w:color="000000"/>
              <w:bottom w:val="single" w:sz="4" w:space="0" w:color="000000"/>
              <w:right w:val="single" w:sz="4" w:space="0" w:color="000000"/>
            </w:tcBorders>
          </w:tcPr>
          <w:p w14:paraId="3D0ACF25" w14:textId="77777777" w:rsidR="006C06D6" w:rsidRPr="00DA66EB" w:rsidRDefault="00776AC9" w:rsidP="0073217C">
            <w:pPr>
              <w:suppressAutoHyphens/>
              <w:spacing w:after="2" w:line="236" w:lineRule="auto"/>
              <w:ind w:right="63"/>
              <w:jc w:val="center"/>
              <w:rPr>
                <w:color w:val="auto"/>
                <w:lang w:val="is-IS"/>
              </w:rPr>
            </w:pPr>
            <w:r w:rsidRPr="00DA66EB">
              <w:rPr>
                <w:color w:val="auto"/>
                <w:lang w:val="is-IS"/>
              </w:rPr>
              <w:t>Paklítaxel/</w:t>
            </w:r>
            <w:proofErr w:type="spellStart"/>
            <w:r w:rsidR="00690564">
              <w:t>bevacízúmab</w:t>
            </w:r>
            <w:proofErr w:type="spellEnd"/>
          </w:p>
          <w:p w14:paraId="62B993C8" w14:textId="77777777" w:rsidR="00776AC9" w:rsidRPr="00DA66EB" w:rsidRDefault="00776AC9" w:rsidP="0073217C">
            <w:pPr>
              <w:suppressAutoHyphens/>
              <w:spacing w:line="259" w:lineRule="auto"/>
              <w:ind w:right="83"/>
              <w:jc w:val="center"/>
              <w:rPr>
                <w:color w:val="auto"/>
                <w:lang w:val="is-IS"/>
              </w:rPr>
            </w:pPr>
            <w:r w:rsidRPr="00DA66EB">
              <w:rPr>
                <w:color w:val="auto"/>
                <w:lang w:val="is-IS"/>
              </w:rPr>
              <w:t>(n</w:t>
            </w:r>
            <w:r w:rsidR="001347B7">
              <w:rPr>
                <w:color w:val="auto"/>
                <w:lang w:val="is-IS"/>
              </w:rPr>
              <w:t> </w:t>
            </w:r>
            <w:r w:rsidR="00700BDC">
              <w:rPr>
                <w:color w:val="auto"/>
                <w:lang w:val="is-IS"/>
              </w:rPr>
              <w:t>=</w:t>
            </w:r>
            <w:r w:rsidR="001347B7">
              <w:rPr>
                <w:color w:val="auto"/>
                <w:lang w:val="is-IS"/>
              </w:rPr>
              <w:t> </w:t>
            </w:r>
            <w:r w:rsidRPr="00DA66EB">
              <w:rPr>
                <w:color w:val="auto"/>
                <w:lang w:val="is-IS"/>
              </w:rPr>
              <w:t xml:space="preserve">368) </w:t>
            </w:r>
          </w:p>
        </w:tc>
        <w:tc>
          <w:tcPr>
            <w:tcW w:w="1070" w:type="dxa"/>
            <w:tcBorders>
              <w:top w:val="single" w:sz="4" w:space="0" w:color="000000"/>
              <w:left w:val="single" w:sz="4" w:space="0" w:color="000000"/>
              <w:bottom w:val="single" w:sz="4" w:space="0" w:color="000000"/>
              <w:right w:val="single" w:sz="4" w:space="0" w:color="000000"/>
            </w:tcBorders>
          </w:tcPr>
          <w:p w14:paraId="04675B97" w14:textId="77777777" w:rsidR="00E576DF" w:rsidRDefault="00776AC9" w:rsidP="0073217C">
            <w:pPr>
              <w:suppressAutoHyphens/>
              <w:spacing w:line="259" w:lineRule="auto"/>
              <w:jc w:val="center"/>
              <w:rPr>
                <w:color w:val="auto"/>
                <w:lang w:val="is-IS"/>
              </w:rPr>
            </w:pPr>
            <w:r w:rsidRPr="00DA66EB">
              <w:rPr>
                <w:color w:val="auto"/>
                <w:lang w:val="is-IS"/>
              </w:rPr>
              <w:t xml:space="preserve">Paklítaxel </w:t>
            </w:r>
          </w:p>
          <w:p w14:paraId="0C3173F8" w14:textId="77777777" w:rsidR="00776AC9" w:rsidRPr="00DA66EB" w:rsidRDefault="00776AC9" w:rsidP="0073217C">
            <w:pPr>
              <w:suppressAutoHyphens/>
              <w:spacing w:line="259" w:lineRule="auto"/>
              <w:jc w:val="center"/>
              <w:rPr>
                <w:color w:val="auto"/>
                <w:lang w:val="is-IS"/>
              </w:rPr>
            </w:pPr>
            <w:r w:rsidRPr="00DA66EB">
              <w:rPr>
                <w:color w:val="auto"/>
                <w:lang w:val="is-IS"/>
              </w:rPr>
              <w:t>(n</w:t>
            </w:r>
            <w:r w:rsidR="001347B7">
              <w:rPr>
                <w:color w:val="auto"/>
                <w:lang w:val="is-IS"/>
              </w:rPr>
              <w:t> </w:t>
            </w:r>
            <w:r w:rsidR="00700BDC">
              <w:rPr>
                <w:color w:val="auto"/>
                <w:lang w:val="is-IS"/>
              </w:rPr>
              <w:t>=</w:t>
            </w:r>
            <w:r w:rsidR="001347B7">
              <w:rPr>
                <w:color w:val="auto"/>
                <w:lang w:val="is-IS"/>
              </w:rPr>
              <w:t> </w:t>
            </w:r>
            <w:r w:rsidRPr="00DA66EB">
              <w:rPr>
                <w:color w:val="auto"/>
                <w:lang w:val="is-IS"/>
              </w:rPr>
              <w:t xml:space="preserve">354) </w:t>
            </w:r>
          </w:p>
        </w:tc>
        <w:tc>
          <w:tcPr>
            <w:tcW w:w="2573" w:type="dxa"/>
            <w:tcBorders>
              <w:top w:val="single" w:sz="4" w:space="0" w:color="000000"/>
              <w:left w:val="single" w:sz="4" w:space="0" w:color="000000"/>
              <w:bottom w:val="single" w:sz="4" w:space="0" w:color="000000"/>
              <w:right w:val="single" w:sz="4" w:space="0" w:color="000000"/>
            </w:tcBorders>
          </w:tcPr>
          <w:p w14:paraId="603AA8D7" w14:textId="77777777" w:rsidR="006C06D6" w:rsidRPr="00DA66EB" w:rsidRDefault="00776AC9" w:rsidP="0073217C">
            <w:pPr>
              <w:suppressAutoHyphens/>
              <w:spacing w:after="2" w:line="236" w:lineRule="auto"/>
              <w:ind w:right="63"/>
              <w:jc w:val="center"/>
              <w:rPr>
                <w:color w:val="auto"/>
                <w:lang w:val="is-IS"/>
              </w:rPr>
            </w:pPr>
            <w:r w:rsidRPr="00DA66EB">
              <w:rPr>
                <w:color w:val="auto"/>
                <w:lang w:val="is-IS"/>
              </w:rPr>
              <w:t>Paklítaxel/</w:t>
            </w:r>
            <w:proofErr w:type="spellStart"/>
            <w:r w:rsidR="00690564">
              <w:t>bevacízúmab</w:t>
            </w:r>
            <w:proofErr w:type="spellEnd"/>
          </w:p>
          <w:p w14:paraId="456C1F57" w14:textId="77777777" w:rsidR="00776AC9" w:rsidRPr="00DA66EB" w:rsidRDefault="00776AC9" w:rsidP="0073217C">
            <w:pPr>
              <w:suppressAutoHyphens/>
              <w:spacing w:line="259" w:lineRule="auto"/>
              <w:ind w:right="83"/>
              <w:jc w:val="center"/>
              <w:rPr>
                <w:color w:val="auto"/>
                <w:lang w:val="is-IS"/>
              </w:rPr>
            </w:pPr>
            <w:r w:rsidRPr="00DA66EB">
              <w:rPr>
                <w:color w:val="auto"/>
                <w:lang w:val="is-IS"/>
              </w:rPr>
              <w:t>(n</w:t>
            </w:r>
            <w:r w:rsidR="001347B7">
              <w:rPr>
                <w:color w:val="auto"/>
                <w:lang w:val="is-IS"/>
              </w:rPr>
              <w:t> </w:t>
            </w:r>
            <w:r w:rsidR="00700BDC">
              <w:rPr>
                <w:color w:val="auto"/>
                <w:lang w:val="is-IS"/>
              </w:rPr>
              <w:t>=</w:t>
            </w:r>
            <w:r w:rsidR="001347B7">
              <w:rPr>
                <w:color w:val="auto"/>
                <w:lang w:val="is-IS"/>
              </w:rPr>
              <w:t> </w:t>
            </w:r>
            <w:r w:rsidRPr="00DA66EB">
              <w:rPr>
                <w:color w:val="auto"/>
                <w:lang w:val="is-IS"/>
              </w:rPr>
              <w:t xml:space="preserve">368) </w:t>
            </w:r>
          </w:p>
        </w:tc>
      </w:tr>
      <w:tr w:rsidR="009D280F" w:rsidRPr="00DA66EB" w14:paraId="3F389ECC" w14:textId="77777777" w:rsidTr="00F2274F">
        <w:trPr>
          <w:trHeight w:val="770"/>
        </w:trPr>
        <w:tc>
          <w:tcPr>
            <w:tcW w:w="1985" w:type="dxa"/>
            <w:tcBorders>
              <w:top w:val="single" w:sz="4" w:space="0" w:color="000000"/>
              <w:left w:val="single" w:sz="4" w:space="0" w:color="000000"/>
              <w:bottom w:val="single" w:sz="4" w:space="0" w:color="000000"/>
              <w:right w:val="single" w:sz="4" w:space="0" w:color="000000"/>
            </w:tcBorders>
          </w:tcPr>
          <w:p w14:paraId="40385E02" w14:textId="752AC85E" w:rsidR="00776AC9" w:rsidRPr="00DA66EB" w:rsidRDefault="00776AC9" w:rsidP="0073217C">
            <w:pPr>
              <w:suppressAutoHyphens/>
              <w:spacing w:after="100" w:afterAutospacing="1" w:line="240" w:lineRule="auto"/>
              <w:ind w:left="0" w:firstLine="0"/>
              <w:rPr>
                <w:color w:val="auto"/>
                <w:lang w:val="is-IS"/>
              </w:rPr>
            </w:pPr>
            <w:r w:rsidRPr="00DA66EB">
              <w:rPr>
                <w:color w:val="auto"/>
                <w:lang w:val="is-IS"/>
              </w:rPr>
              <w:t xml:space="preserve">Miðgildi lifunar </w:t>
            </w:r>
            <w:r w:rsidR="00EE1CD6">
              <w:rPr>
                <w:color w:val="auto"/>
                <w:lang w:val="is-IS"/>
              </w:rPr>
              <w:t>án versnunar sjúkdóms (mánuðir)</w:t>
            </w:r>
          </w:p>
        </w:tc>
        <w:tc>
          <w:tcPr>
            <w:tcW w:w="1134" w:type="dxa"/>
            <w:tcBorders>
              <w:top w:val="single" w:sz="4" w:space="0" w:color="000000"/>
              <w:left w:val="single" w:sz="4" w:space="0" w:color="000000"/>
              <w:bottom w:val="single" w:sz="4" w:space="0" w:color="000000"/>
              <w:right w:val="single" w:sz="4" w:space="0" w:color="000000"/>
            </w:tcBorders>
          </w:tcPr>
          <w:p w14:paraId="4D7B5BED" w14:textId="77777777" w:rsidR="00776AC9" w:rsidRPr="00DA66EB" w:rsidRDefault="00776AC9" w:rsidP="0073217C">
            <w:pPr>
              <w:suppressAutoHyphens/>
              <w:spacing w:line="259" w:lineRule="auto"/>
              <w:ind w:right="86"/>
              <w:jc w:val="center"/>
              <w:rPr>
                <w:color w:val="auto"/>
                <w:lang w:val="is-IS"/>
              </w:rPr>
            </w:pPr>
            <w:r w:rsidRPr="00DA66EB">
              <w:rPr>
                <w:color w:val="auto"/>
                <w:lang w:val="is-IS"/>
              </w:rPr>
              <w:t xml:space="preserve">5,8 </w:t>
            </w:r>
          </w:p>
        </w:tc>
        <w:tc>
          <w:tcPr>
            <w:tcW w:w="2332" w:type="dxa"/>
            <w:tcBorders>
              <w:top w:val="single" w:sz="4" w:space="0" w:color="000000"/>
              <w:left w:val="single" w:sz="4" w:space="0" w:color="000000"/>
              <w:bottom w:val="single" w:sz="4" w:space="0" w:color="000000"/>
              <w:right w:val="single" w:sz="4" w:space="0" w:color="000000"/>
            </w:tcBorders>
          </w:tcPr>
          <w:p w14:paraId="10826DD7" w14:textId="77777777" w:rsidR="00776AC9" w:rsidRPr="00DA66EB" w:rsidRDefault="00776AC9" w:rsidP="0073217C">
            <w:pPr>
              <w:suppressAutoHyphens/>
              <w:spacing w:line="259" w:lineRule="auto"/>
              <w:ind w:right="82"/>
              <w:jc w:val="center"/>
              <w:rPr>
                <w:color w:val="auto"/>
                <w:lang w:val="is-IS"/>
              </w:rPr>
            </w:pPr>
            <w:r w:rsidRPr="00DA66EB">
              <w:rPr>
                <w:color w:val="auto"/>
                <w:lang w:val="is-IS"/>
              </w:rPr>
              <w:t xml:space="preserve">11,4 </w:t>
            </w:r>
          </w:p>
        </w:tc>
        <w:tc>
          <w:tcPr>
            <w:tcW w:w="1070" w:type="dxa"/>
            <w:tcBorders>
              <w:top w:val="single" w:sz="4" w:space="0" w:color="000000"/>
              <w:left w:val="single" w:sz="4" w:space="0" w:color="000000"/>
              <w:bottom w:val="single" w:sz="4" w:space="0" w:color="000000"/>
              <w:right w:val="single" w:sz="4" w:space="0" w:color="000000"/>
            </w:tcBorders>
          </w:tcPr>
          <w:p w14:paraId="76BC834E" w14:textId="77777777" w:rsidR="00776AC9" w:rsidRPr="00DA66EB" w:rsidRDefault="00776AC9" w:rsidP="0073217C">
            <w:pPr>
              <w:suppressAutoHyphens/>
              <w:spacing w:line="259" w:lineRule="auto"/>
              <w:ind w:right="86"/>
              <w:jc w:val="center"/>
              <w:rPr>
                <w:color w:val="auto"/>
                <w:lang w:val="is-IS"/>
              </w:rPr>
            </w:pPr>
            <w:r w:rsidRPr="00DA66EB">
              <w:rPr>
                <w:color w:val="auto"/>
                <w:lang w:val="is-IS"/>
              </w:rPr>
              <w:t xml:space="preserve">5,8 </w:t>
            </w:r>
          </w:p>
        </w:tc>
        <w:tc>
          <w:tcPr>
            <w:tcW w:w="2573" w:type="dxa"/>
            <w:tcBorders>
              <w:top w:val="single" w:sz="4" w:space="0" w:color="000000"/>
              <w:left w:val="single" w:sz="4" w:space="0" w:color="000000"/>
              <w:bottom w:val="single" w:sz="4" w:space="0" w:color="000000"/>
              <w:right w:val="single" w:sz="4" w:space="0" w:color="000000"/>
            </w:tcBorders>
          </w:tcPr>
          <w:p w14:paraId="39063C00" w14:textId="77777777" w:rsidR="00776AC9" w:rsidRPr="00DA66EB" w:rsidRDefault="00776AC9" w:rsidP="0073217C">
            <w:pPr>
              <w:suppressAutoHyphens/>
              <w:spacing w:line="259" w:lineRule="auto"/>
              <w:ind w:right="82"/>
              <w:jc w:val="center"/>
              <w:rPr>
                <w:color w:val="auto"/>
                <w:lang w:val="is-IS"/>
              </w:rPr>
            </w:pPr>
            <w:r w:rsidRPr="00DA66EB">
              <w:rPr>
                <w:color w:val="auto"/>
                <w:lang w:val="is-IS"/>
              </w:rPr>
              <w:t xml:space="preserve">11,3 </w:t>
            </w:r>
          </w:p>
        </w:tc>
      </w:tr>
      <w:tr w:rsidR="00DA66EB" w:rsidRPr="00DA66EB" w14:paraId="2D7AABED" w14:textId="77777777" w:rsidTr="00F2274F">
        <w:trPr>
          <w:trHeight w:val="516"/>
        </w:trPr>
        <w:tc>
          <w:tcPr>
            <w:tcW w:w="1985" w:type="dxa"/>
            <w:tcBorders>
              <w:top w:val="single" w:sz="4" w:space="0" w:color="000000"/>
              <w:left w:val="single" w:sz="4" w:space="0" w:color="000000"/>
              <w:bottom w:val="single" w:sz="4" w:space="0" w:color="000000"/>
              <w:right w:val="single" w:sz="4" w:space="0" w:color="000000"/>
            </w:tcBorders>
          </w:tcPr>
          <w:p w14:paraId="7A30C6EE" w14:textId="77777777" w:rsidR="00776AC9" w:rsidRPr="00DA66EB" w:rsidRDefault="00776AC9" w:rsidP="0073217C">
            <w:pPr>
              <w:suppressAutoHyphens/>
              <w:spacing w:after="0" w:line="240" w:lineRule="auto"/>
              <w:ind w:left="567" w:firstLine="0"/>
              <w:rPr>
                <w:color w:val="auto"/>
                <w:lang w:val="is-IS"/>
              </w:rPr>
            </w:pPr>
            <w:r w:rsidRPr="00DA66EB">
              <w:rPr>
                <w:color w:val="auto"/>
                <w:lang w:val="is-IS"/>
              </w:rPr>
              <w:t>Áhættuhlutfall</w:t>
            </w:r>
            <w:r w:rsidR="002B3F9E">
              <w:rPr>
                <w:color w:val="auto"/>
                <w:lang w:val="is-IS"/>
              </w:rPr>
              <w:t xml:space="preserve"> </w:t>
            </w:r>
            <w:r w:rsidR="00EE1CD6">
              <w:rPr>
                <w:color w:val="auto"/>
                <w:lang w:val="is-IS"/>
              </w:rPr>
              <w:t>(95% CI)</w:t>
            </w:r>
          </w:p>
        </w:tc>
        <w:tc>
          <w:tcPr>
            <w:tcW w:w="3466" w:type="dxa"/>
            <w:gridSpan w:val="2"/>
            <w:tcBorders>
              <w:top w:val="single" w:sz="4" w:space="0" w:color="000000"/>
              <w:left w:val="single" w:sz="4" w:space="0" w:color="000000"/>
              <w:bottom w:val="single" w:sz="4" w:space="0" w:color="000000"/>
              <w:right w:val="single" w:sz="4" w:space="0" w:color="000000"/>
            </w:tcBorders>
          </w:tcPr>
          <w:p w14:paraId="3C4C9BF6" w14:textId="77777777" w:rsidR="006C06D6" w:rsidRPr="00DA66EB" w:rsidRDefault="002B3F9E" w:rsidP="0073217C">
            <w:pPr>
              <w:suppressAutoHyphens/>
              <w:spacing w:line="259" w:lineRule="auto"/>
              <w:ind w:right="86"/>
              <w:jc w:val="center"/>
              <w:rPr>
                <w:color w:val="auto"/>
                <w:lang w:val="is-IS"/>
              </w:rPr>
            </w:pPr>
            <w:r>
              <w:rPr>
                <w:color w:val="auto"/>
                <w:lang w:val="is-IS"/>
              </w:rPr>
              <w:t>0,421</w:t>
            </w:r>
          </w:p>
          <w:p w14:paraId="6207FDD0" w14:textId="77777777" w:rsidR="00776AC9" w:rsidRPr="00DA66EB" w:rsidRDefault="00776AC9" w:rsidP="0073217C">
            <w:pPr>
              <w:suppressAutoHyphens/>
              <w:spacing w:line="259" w:lineRule="auto"/>
              <w:ind w:right="85"/>
              <w:jc w:val="center"/>
              <w:rPr>
                <w:color w:val="auto"/>
                <w:lang w:val="is-IS"/>
              </w:rPr>
            </w:pPr>
            <w:r w:rsidRPr="00DA66EB">
              <w:rPr>
                <w:color w:val="auto"/>
                <w:lang w:val="is-IS"/>
              </w:rPr>
              <w:t>(0,343</w:t>
            </w:r>
            <w:r w:rsidR="00EE1CD6">
              <w:rPr>
                <w:color w:val="auto"/>
                <w:lang w:val="is-IS"/>
              </w:rPr>
              <w:t>; 0,516)</w:t>
            </w:r>
          </w:p>
        </w:tc>
        <w:tc>
          <w:tcPr>
            <w:tcW w:w="3643" w:type="dxa"/>
            <w:gridSpan w:val="2"/>
            <w:tcBorders>
              <w:top w:val="single" w:sz="4" w:space="0" w:color="000000"/>
              <w:left w:val="single" w:sz="4" w:space="0" w:color="000000"/>
              <w:bottom w:val="single" w:sz="4" w:space="0" w:color="000000"/>
              <w:right w:val="single" w:sz="4" w:space="0" w:color="000000"/>
            </w:tcBorders>
          </w:tcPr>
          <w:p w14:paraId="67A0FF68" w14:textId="77777777" w:rsidR="006C06D6" w:rsidRPr="00DA66EB" w:rsidRDefault="002B3F9E" w:rsidP="0073217C">
            <w:pPr>
              <w:suppressAutoHyphens/>
              <w:spacing w:line="259" w:lineRule="auto"/>
              <w:ind w:right="86"/>
              <w:jc w:val="center"/>
              <w:rPr>
                <w:color w:val="auto"/>
                <w:lang w:val="is-IS"/>
              </w:rPr>
            </w:pPr>
            <w:r>
              <w:rPr>
                <w:color w:val="auto"/>
                <w:lang w:val="is-IS"/>
              </w:rPr>
              <w:t>0,483</w:t>
            </w:r>
          </w:p>
          <w:p w14:paraId="267339BC" w14:textId="77777777" w:rsidR="00776AC9" w:rsidRPr="00DA66EB" w:rsidRDefault="00776AC9" w:rsidP="0073217C">
            <w:pPr>
              <w:suppressAutoHyphens/>
              <w:spacing w:line="259" w:lineRule="auto"/>
              <w:ind w:right="85"/>
              <w:jc w:val="center"/>
              <w:rPr>
                <w:color w:val="auto"/>
                <w:lang w:val="is-IS"/>
              </w:rPr>
            </w:pPr>
            <w:r w:rsidRPr="00DA66EB">
              <w:rPr>
                <w:color w:val="auto"/>
                <w:lang w:val="is-IS"/>
              </w:rPr>
              <w:t>(0,385</w:t>
            </w:r>
            <w:r w:rsidR="00EE1CD6">
              <w:rPr>
                <w:color w:val="auto"/>
                <w:lang w:val="is-IS"/>
              </w:rPr>
              <w:t>; 0,607)</w:t>
            </w:r>
          </w:p>
        </w:tc>
      </w:tr>
      <w:tr w:rsidR="00DA66EB" w:rsidRPr="00DA66EB" w14:paraId="1F27635E" w14:textId="77777777" w:rsidTr="00F2274F">
        <w:trPr>
          <w:trHeight w:val="262"/>
        </w:trPr>
        <w:tc>
          <w:tcPr>
            <w:tcW w:w="1985" w:type="dxa"/>
            <w:tcBorders>
              <w:top w:val="single" w:sz="4" w:space="0" w:color="000000"/>
              <w:left w:val="single" w:sz="4" w:space="0" w:color="000000"/>
              <w:bottom w:val="single" w:sz="4" w:space="0" w:color="000000"/>
              <w:right w:val="single" w:sz="4" w:space="0" w:color="000000"/>
            </w:tcBorders>
          </w:tcPr>
          <w:p w14:paraId="562279A4" w14:textId="77777777" w:rsidR="00776AC9" w:rsidRPr="00DA66EB" w:rsidRDefault="00EE1CD6" w:rsidP="0073217C">
            <w:pPr>
              <w:suppressAutoHyphens/>
              <w:spacing w:after="0" w:line="240" w:lineRule="auto"/>
              <w:ind w:left="567" w:firstLine="0"/>
              <w:rPr>
                <w:color w:val="auto"/>
                <w:lang w:val="is-IS"/>
              </w:rPr>
            </w:pPr>
            <w:r>
              <w:rPr>
                <w:color w:val="auto"/>
                <w:lang w:val="is-IS"/>
              </w:rPr>
              <w:t>p-gildi</w:t>
            </w:r>
          </w:p>
        </w:tc>
        <w:tc>
          <w:tcPr>
            <w:tcW w:w="3466" w:type="dxa"/>
            <w:gridSpan w:val="2"/>
            <w:tcBorders>
              <w:top w:val="single" w:sz="4" w:space="0" w:color="000000"/>
              <w:left w:val="single" w:sz="4" w:space="0" w:color="000000"/>
              <w:bottom w:val="single" w:sz="4" w:space="0" w:color="000000"/>
              <w:right w:val="single" w:sz="4" w:space="0" w:color="000000"/>
            </w:tcBorders>
          </w:tcPr>
          <w:p w14:paraId="03A15A8E" w14:textId="77777777" w:rsidR="00776AC9" w:rsidRPr="00DA66EB" w:rsidRDefault="00776AC9" w:rsidP="0073217C">
            <w:pPr>
              <w:suppressAutoHyphens/>
              <w:spacing w:line="259" w:lineRule="auto"/>
              <w:ind w:right="84"/>
              <w:jc w:val="center"/>
              <w:rPr>
                <w:color w:val="auto"/>
                <w:lang w:val="is-IS"/>
              </w:rPr>
            </w:pPr>
            <w:r w:rsidRPr="00DA66EB">
              <w:rPr>
                <w:color w:val="auto"/>
                <w:lang w:val="is-IS"/>
              </w:rPr>
              <w:t>&lt;</w:t>
            </w:r>
            <w:r w:rsidR="001347B7">
              <w:rPr>
                <w:color w:val="auto"/>
                <w:lang w:val="is-IS"/>
              </w:rPr>
              <w:t> </w:t>
            </w:r>
            <w:r w:rsidRPr="00DA66EB">
              <w:rPr>
                <w:color w:val="auto"/>
                <w:lang w:val="is-IS"/>
              </w:rPr>
              <w:t xml:space="preserve">0,0001 </w:t>
            </w:r>
          </w:p>
        </w:tc>
        <w:tc>
          <w:tcPr>
            <w:tcW w:w="3643" w:type="dxa"/>
            <w:gridSpan w:val="2"/>
            <w:tcBorders>
              <w:top w:val="single" w:sz="4" w:space="0" w:color="000000"/>
              <w:left w:val="single" w:sz="4" w:space="0" w:color="000000"/>
              <w:bottom w:val="single" w:sz="4" w:space="0" w:color="000000"/>
              <w:right w:val="single" w:sz="4" w:space="0" w:color="000000"/>
            </w:tcBorders>
          </w:tcPr>
          <w:p w14:paraId="601BA21F" w14:textId="77777777" w:rsidR="00776AC9" w:rsidRPr="00DA66EB" w:rsidRDefault="00EE1CD6" w:rsidP="0073217C">
            <w:pPr>
              <w:suppressAutoHyphens/>
              <w:spacing w:line="259" w:lineRule="auto"/>
              <w:ind w:right="84"/>
              <w:jc w:val="center"/>
              <w:rPr>
                <w:color w:val="auto"/>
                <w:lang w:val="is-IS"/>
              </w:rPr>
            </w:pPr>
            <w:r>
              <w:rPr>
                <w:color w:val="auto"/>
                <w:lang w:val="is-IS"/>
              </w:rPr>
              <w:t>&lt;</w:t>
            </w:r>
            <w:r w:rsidR="001347B7">
              <w:rPr>
                <w:color w:val="auto"/>
                <w:lang w:val="is-IS"/>
              </w:rPr>
              <w:t> </w:t>
            </w:r>
            <w:r>
              <w:rPr>
                <w:color w:val="auto"/>
                <w:lang w:val="is-IS"/>
              </w:rPr>
              <w:t>0,0001</w:t>
            </w:r>
          </w:p>
        </w:tc>
      </w:tr>
      <w:tr w:rsidR="001347B7" w:rsidRPr="00DA66EB" w14:paraId="58965F4F" w14:textId="77777777" w:rsidTr="00D14DCD">
        <w:trPr>
          <w:trHeight w:val="504"/>
        </w:trPr>
        <w:tc>
          <w:tcPr>
            <w:tcW w:w="9094" w:type="dxa"/>
            <w:gridSpan w:val="5"/>
            <w:tcBorders>
              <w:top w:val="single" w:sz="4" w:space="0" w:color="000000"/>
              <w:left w:val="single" w:sz="4" w:space="0" w:color="000000"/>
              <w:bottom w:val="single" w:sz="4" w:space="0" w:color="000000"/>
              <w:right w:val="single" w:sz="4" w:space="0" w:color="000000"/>
            </w:tcBorders>
            <w:vAlign w:val="center"/>
          </w:tcPr>
          <w:p w14:paraId="451BDA66" w14:textId="77777777" w:rsidR="001347B7" w:rsidRPr="00DA66EB" w:rsidRDefault="001347B7" w:rsidP="000B055B">
            <w:pPr>
              <w:keepNext/>
              <w:keepLines/>
              <w:suppressAutoHyphens/>
              <w:spacing w:line="259" w:lineRule="auto"/>
              <w:ind w:left="11" w:hanging="11"/>
              <w:rPr>
                <w:color w:val="auto"/>
                <w:lang w:val="is-IS"/>
              </w:rPr>
            </w:pPr>
            <w:r w:rsidRPr="00DA66EB">
              <w:rPr>
                <w:color w:val="auto"/>
                <w:lang w:val="is-IS"/>
              </w:rPr>
              <w:lastRenderedPageBreak/>
              <w:t>Svörunarhlutfall (hjá sjú</w:t>
            </w:r>
            <w:r>
              <w:rPr>
                <w:color w:val="auto"/>
                <w:lang w:val="is-IS"/>
              </w:rPr>
              <w:t>klingum með mælanlegan sjúkdóm)</w:t>
            </w:r>
          </w:p>
        </w:tc>
      </w:tr>
      <w:tr w:rsidR="009D280F" w:rsidRPr="00DA66EB" w14:paraId="0FACB0F3" w14:textId="77777777" w:rsidTr="00F2274F">
        <w:trPr>
          <w:trHeight w:val="262"/>
        </w:trPr>
        <w:tc>
          <w:tcPr>
            <w:tcW w:w="1985" w:type="dxa"/>
            <w:tcBorders>
              <w:top w:val="single" w:sz="4" w:space="0" w:color="000000"/>
              <w:left w:val="single" w:sz="4" w:space="0" w:color="000000"/>
              <w:bottom w:val="single" w:sz="4" w:space="0" w:color="000000"/>
              <w:right w:val="single" w:sz="4" w:space="0" w:color="000000"/>
            </w:tcBorders>
          </w:tcPr>
          <w:p w14:paraId="1BD334E4" w14:textId="77777777" w:rsidR="00776AC9" w:rsidRPr="00DA66EB" w:rsidRDefault="00776AC9" w:rsidP="000B055B">
            <w:pPr>
              <w:keepNext/>
              <w:keepLines/>
              <w:suppressAutoHyphens/>
              <w:spacing w:line="259" w:lineRule="auto"/>
              <w:ind w:left="11" w:right="31" w:hanging="11"/>
              <w:rPr>
                <w:color w:val="auto"/>
                <w:lang w:val="is-IS"/>
              </w:rPr>
            </w:pPr>
          </w:p>
        </w:tc>
        <w:tc>
          <w:tcPr>
            <w:tcW w:w="3466" w:type="dxa"/>
            <w:gridSpan w:val="2"/>
            <w:tcBorders>
              <w:top w:val="single" w:sz="4" w:space="0" w:color="000000"/>
              <w:left w:val="single" w:sz="4" w:space="0" w:color="000000"/>
              <w:bottom w:val="single" w:sz="4" w:space="0" w:color="000000"/>
              <w:right w:val="single" w:sz="4" w:space="0" w:color="000000"/>
            </w:tcBorders>
          </w:tcPr>
          <w:p w14:paraId="10A0C47B" w14:textId="77777777" w:rsidR="00776AC9" w:rsidRPr="00DA66EB" w:rsidRDefault="00776AC9" w:rsidP="0073217C">
            <w:pPr>
              <w:suppressAutoHyphens/>
              <w:spacing w:line="259" w:lineRule="auto"/>
              <w:ind w:right="82"/>
              <w:jc w:val="center"/>
              <w:rPr>
                <w:color w:val="auto"/>
                <w:lang w:val="is-IS"/>
              </w:rPr>
            </w:pPr>
            <w:r w:rsidRPr="00DA66EB">
              <w:rPr>
                <w:color w:val="auto"/>
                <w:lang w:val="is-IS"/>
              </w:rPr>
              <w:t xml:space="preserve">Mat rannsóknaraðila </w:t>
            </w:r>
          </w:p>
        </w:tc>
        <w:tc>
          <w:tcPr>
            <w:tcW w:w="3643" w:type="dxa"/>
            <w:gridSpan w:val="2"/>
            <w:tcBorders>
              <w:top w:val="single" w:sz="4" w:space="0" w:color="000000"/>
              <w:left w:val="single" w:sz="4" w:space="0" w:color="000000"/>
              <w:bottom w:val="single" w:sz="4" w:space="0" w:color="000000"/>
              <w:right w:val="single" w:sz="4" w:space="0" w:color="000000"/>
            </w:tcBorders>
          </w:tcPr>
          <w:p w14:paraId="029E5843" w14:textId="77777777" w:rsidR="00776AC9" w:rsidRPr="00DA66EB" w:rsidRDefault="00776AC9" w:rsidP="0073217C">
            <w:pPr>
              <w:suppressAutoHyphens/>
              <w:spacing w:line="259" w:lineRule="auto"/>
              <w:ind w:right="87"/>
              <w:jc w:val="center"/>
              <w:rPr>
                <w:color w:val="auto"/>
                <w:lang w:val="is-IS"/>
              </w:rPr>
            </w:pPr>
            <w:r w:rsidRPr="00DA66EB">
              <w:rPr>
                <w:color w:val="auto"/>
                <w:lang w:val="is-IS"/>
              </w:rPr>
              <w:t xml:space="preserve">IRF mat </w:t>
            </w:r>
          </w:p>
        </w:tc>
      </w:tr>
      <w:tr w:rsidR="009D280F" w:rsidRPr="00DA66EB" w14:paraId="2494E805" w14:textId="77777777" w:rsidTr="00F2274F">
        <w:trPr>
          <w:trHeight w:val="770"/>
        </w:trPr>
        <w:tc>
          <w:tcPr>
            <w:tcW w:w="1985" w:type="dxa"/>
            <w:tcBorders>
              <w:top w:val="single" w:sz="4" w:space="0" w:color="000000"/>
              <w:left w:val="single" w:sz="4" w:space="0" w:color="000000"/>
              <w:bottom w:val="single" w:sz="4" w:space="0" w:color="000000"/>
              <w:right w:val="single" w:sz="4" w:space="0" w:color="000000"/>
            </w:tcBorders>
          </w:tcPr>
          <w:p w14:paraId="6F0D0D01" w14:textId="77777777" w:rsidR="00776AC9" w:rsidRPr="00DA66EB" w:rsidRDefault="00776AC9" w:rsidP="0073217C">
            <w:pPr>
              <w:suppressAutoHyphens/>
              <w:spacing w:line="259" w:lineRule="auto"/>
              <w:ind w:right="31"/>
              <w:rPr>
                <w:color w:val="auto"/>
                <w:lang w:val="is-IS"/>
              </w:rPr>
            </w:pPr>
          </w:p>
        </w:tc>
        <w:tc>
          <w:tcPr>
            <w:tcW w:w="1134" w:type="dxa"/>
            <w:tcBorders>
              <w:top w:val="single" w:sz="4" w:space="0" w:color="000000"/>
              <w:left w:val="single" w:sz="4" w:space="0" w:color="000000"/>
              <w:bottom w:val="single" w:sz="4" w:space="0" w:color="000000"/>
              <w:right w:val="single" w:sz="4" w:space="0" w:color="000000"/>
            </w:tcBorders>
          </w:tcPr>
          <w:p w14:paraId="62B8CF14" w14:textId="77777777" w:rsidR="002B3F9E" w:rsidRDefault="002B3F9E" w:rsidP="0073217C">
            <w:pPr>
              <w:suppressAutoHyphens/>
              <w:spacing w:line="259" w:lineRule="auto"/>
              <w:jc w:val="center"/>
              <w:rPr>
                <w:color w:val="auto"/>
                <w:lang w:val="is-IS"/>
              </w:rPr>
            </w:pPr>
            <w:r>
              <w:rPr>
                <w:color w:val="auto"/>
                <w:lang w:val="is-IS"/>
              </w:rPr>
              <w:t>Paklítaxel</w:t>
            </w:r>
          </w:p>
          <w:p w14:paraId="66ED2BDF" w14:textId="77777777" w:rsidR="00776AC9" w:rsidRPr="00DA66EB" w:rsidRDefault="00776AC9" w:rsidP="0073217C">
            <w:pPr>
              <w:suppressAutoHyphens/>
              <w:spacing w:line="259" w:lineRule="auto"/>
              <w:jc w:val="center"/>
              <w:rPr>
                <w:color w:val="auto"/>
                <w:lang w:val="is-IS"/>
              </w:rPr>
            </w:pPr>
            <w:r w:rsidRPr="00DA66EB">
              <w:rPr>
                <w:color w:val="auto"/>
                <w:lang w:val="is-IS"/>
              </w:rPr>
              <w:t>(n</w:t>
            </w:r>
            <w:r w:rsidR="001347B7">
              <w:rPr>
                <w:color w:val="auto"/>
                <w:lang w:val="is-IS"/>
              </w:rPr>
              <w:t> </w:t>
            </w:r>
            <w:r w:rsidR="00700BDC">
              <w:rPr>
                <w:color w:val="auto"/>
                <w:lang w:val="is-IS"/>
              </w:rPr>
              <w:t>=</w:t>
            </w:r>
            <w:r w:rsidR="001347B7">
              <w:rPr>
                <w:color w:val="auto"/>
                <w:lang w:val="is-IS"/>
              </w:rPr>
              <w:t> </w:t>
            </w:r>
            <w:r w:rsidRPr="00DA66EB">
              <w:rPr>
                <w:color w:val="auto"/>
                <w:lang w:val="is-IS"/>
              </w:rPr>
              <w:t xml:space="preserve">273) </w:t>
            </w:r>
          </w:p>
        </w:tc>
        <w:tc>
          <w:tcPr>
            <w:tcW w:w="2332" w:type="dxa"/>
            <w:tcBorders>
              <w:top w:val="single" w:sz="4" w:space="0" w:color="000000"/>
              <w:left w:val="single" w:sz="4" w:space="0" w:color="000000"/>
              <w:bottom w:val="single" w:sz="4" w:space="0" w:color="000000"/>
              <w:right w:val="single" w:sz="4" w:space="0" w:color="000000"/>
            </w:tcBorders>
          </w:tcPr>
          <w:p w14:paraId="33B902A6" w14:textId="77777777" w:rsidR="006C06D6" w:rsidRPr="00DA66EB" w:rsidRDefault="00776AC9" w:rsidP="0073217C">
            <w:pPr>
              <w:suppressAutoHyphens/>
              <w:spacing w:line="236" w:lineRule="auto"/>
              <w:ind w:right="63"/>
              <w:jc w:val="center"/>
              <w:rPr>
                <w:color w:val="auto"/>
                <w:lang w:val="is-IS"/>
              </w:rPr>
            </w:pPr>
            <w:r w:rsidRPr="00DA66EB">
              <w:rPr>
                <w:color w:val="auto"/>
                <w:lang w:val="is-IS"/>
              </w:rPr>
              <w:t>Paklítaxel/</w:t>
            </w:r>
            <w:proofErr w:type="spellStart"/>
            <w:r w:rsidR="00690564">
              <w:t>bevacízúmab</w:t>
            </w:r>
            <w:proofErr w:type="spellEnd"/>
          </w:p>
          <w:p w14:paraId="5BA75EB6" w14:textId="77777777" w:rsidR="00776AC9" w:rsidRPr="00DA66EB" w:rsidRDefault="00776AC9" w:rsidP="0073217C">
            <w:pPr>
              <w:suppressAutoHyphens/>
              <w:spacing w:line="259" w:lineRule="auto"/>
              <w:ind w:right="83"/>
              <w:jc w:val="center"/>
              <w:rPr>
                <w:color w:val="auto"/>
                <w:lang w:val="is-IS"/>
              </w:rPr>
            </w:pPr>
            <w:r w:rsidRPr="00DA66EB">
              <w:rPr>
                <w:color w:val="auto"/>
                <w:lang w:val="is-IS"/>
              </w:rPr>
              <w:t>(n</w:t>
            </w:r>
            <w:r w:rsidR="001347B7">
              <w:rPr>
                <w:color w:val="auto"/>
                <w:lang w:val="is-IS"/>
              </w:rPr>
              <w:t> </w:t>
            </w:r>
            <w:r w:rsidR="00700BDC">
              <w:rPr>
                <w:color w:val="auto"/>
                <w:lang w:val="is-IS"/>
              </w:rPr>
              <w:t>=</w:t>
            </w:r>
            <w:r w:rsidR="001347B7">
              <w:rPr>
                <w:color w:val="auto"/>
                <w:lang w:val="is-IS"/>
              </w:rPr>
              <w:t> </w:t>
            </w:r>
            <w:r w:rsidRPr="00DA66EB">
              <w:rPr>
                <w:color w:val="auto"/>
                <w:lang w:val="is-IS"/>
              </w:rPr>
              <w:t xml:space="preserve">252) </w:t>
            </w:r>
          </w:p>
        </w:tc>
        <w:tc>
          <w:tcPr>
            <w:tcW w:w="1070" w:type="dxa"/>
            <w:tcBorders>
              <w:top w:val="single" w:sz="4" w:space="0" w:color="000000"/>
              <w:left w:val="single" w:sz="4" w:space="0" w:color="000000"/>
              <w:bottom w:val="single" w:sz="4" w:space="0" w:color="000000"/>
              <w:right w:val="single" w:sz="4" w:space="0" w:color="000000"/>
            </w:tcBorders>
          </w:tcPr>
          <w:p w14:paraId="3EE9661A" w14:textId="77777777" w:rsidR="002B3F9E" w:rsidRDefault="002B3F9E" w:rsidP="0073217C">
            <w:pPr>
              <w:suppressAutoHyphens/>
              <w:spacing w:line="259" w:lineRule="auto"/>
              <w:jc w:val="center"/>
              <w:rPr>
                <w:color w:val="auto"/>
                <w:lang w:val="is-IS"/>
              </w:rPr>
            </w:pPr>
            <w:r>
              <w:rPr>
                <w:color w:val="auto"/>
                <w:lang w:val="is-IS"/>
              </w:rPr>
              <w:t>Paklítaxel</w:t>
            </w:r>
          </w:p>
          <w:p w14:paraId="1AFEC233" w14:textId="77777777" w:rsidR="00776AC9" w:rsidRPr="00DA66EB" w:rsidRDefault="00776AC9" w:rsidP="0073217C">
            <w:pPr>
              <w:suppressAutoHyphens/>
              <w:spacing w:line="259" w:lineRule="auto"/>
              <w:jc w:val="center"/>
              <w:rPr>
                <w:color w:val="auto"/>
                <w:lang w:val="is-IS"/>
              </w:rPr>
            </w:pPr>
            <w:r w:rsidRPr="00DA66EB">
              <w:rPr>
                <w:color w:val="auto"/>
                <w:lang w:val="is-IS"/>
              </w:rPr>
              <w:t>(n</w:t>
            </w:r>
            <w:r w:rsidR="001347B7">
              <w:rPr>
                <w:color w:val="auto"/>
                <w:lang w:val="is-IS"/>
              </w:rPr>
              <w:t> </w:t>
            </w:r>
            <w:r w:rsidR="00700BDC">
              <w:rPr>
                <w:color w:val="auto"/>
                <w:lang w:val="is-IS"/>
              </w:rPr>
              <w:t>=</w:t>
            </w:r>
            <w:r w:rsidR="001347B7">
              <w:rPr>
                <w:color w:val="auto"/>
                <w:lang w:val="is-IS"/>
              </w:rPr>
              <w:t> </w:t>
            </w:r>
            <w:r w:rsidRPr="00DA66EB">
              <w:rPr>
                <w:color w:val="auto"/>
                <w:lang w:val="is-IS"/>
              </w:rPr>
              <w:t xml:space="preserve">243) </w:t>
            </w:r>
          </w:p>
        </w:tc>
        <w:tc>
          <w:tcPr>
            <w:tcW w:w="2573" w:type="dxa"/>
            <w:tcBorders>
              <w:top w:val="single" w:sz="4" w:space="0" w:color="000000"/>
              <w:left w:val="single" w:sz="4" w:space="0" w:color="000000"/>
              <w:bottom w:val="single" w:sz="4" w:space="0" w:color="000000"/>
              <w:right w:val="single" w:sz="4" w:space="0" w:color="000000"/>
            </w:tcBorders>
          </w:tcPr>
          <w:p w14:paraId="3A6CCE55" w14:textId="77777777" w:rsidR="006C06D6" w:rsidRPr="00DA66EB" w:rsidRDefault="00776AC9" w:rsidP="0073217C">
            <w:pPr>
              <w:suppressAutoHyphens/>
              <w:spacing w:line="236" w:lineRule="auto"/>
              <w:ind w:right="63"/>
              <w:jc w:val="center"/>
              <w:rPr>
                <w:color w:val="auto"/>
                <w:lang w:val="is-IS"/>
              </w:rPr>
            </w:pPr>
            <w:r w:rsidRPr="00DA66EB">
              <w:rPr>
                <w:color w:val="auto"/>
                <w:lang w:val="is-IS"/>
              </w:rPr>
              <w:t>Paklítaxel/</w:t>
            </w:r>
            <w:proofErr w:type="spellStart"/>
            <w:r w:rsidR="00690564">
              <w:t>bevacízúmab</w:t>
            </w:r>
            <w:proofErr w:type="spellEnd"/>
          </w:p>
          <w:p w14:paraId="7B34685E" w14:textId="77777777" w:rsidR="00776AC9" w:rsidRPr="00DA66EB" w:rsidRDefault="00776AC9" w:rsidP="0073217C">
            <w:pPr>
              <w:suppressAutoHyphens/>
              <w:spacing w:line="259" w:lineRule="auto"/>
              <w:ind w:right="83"/>
              <w:jc w:val="center"/>
              <w:rPr>
                <w:color w:val="auto"/>
                <w:lang w:val="is-IS"/>
              </w:rPr>
            </w:pPr>
            <w:r w:rsidRPr="00DA66EB">
              <w:rPr>
                <w:color w:val="auto"/>
                <w:lang w:val="is-IS"/>
              </w:rPr>
              <w:t>(n</w:t>
            </w:r>
            <w:r w:rsidR="001347B7">
              <w:rPr>
                <w:color w:val="auto"/>
                <w:lang w:val="is-IS"/>
              </w:rPr>
              <w:t> </w:t>
            </w:r>
            <w:r w:rsidR="00700BDC">
              <w:rPr>
                <w:color w:val="auto"/>
                <w:lang w:val="is-IS"/>
              </w:rPr>
              <w:t>=</w:t>
            </w:r>
            <w:r w:rsidR="001347B7">
              <w:rPr>
                <w:color w:val="auto"/>
                <w:lang w:val="is-IS"/>
              </w:rPr>
              <w:t> </w:t>
            </w:r>
            <w:r w:rsidRPr="00DA66EB">
              <w:rPr>
                <w:color w:val="auto"/>
                <w:lang w:val="is-IS"/>
              </w:rPr>
              <w:t xml:space="preserve">229) </w:t>
            </w:r>
          </w:p>
        </w:tc>
      </w:tr>
      <w:tr w:rsidR="009D280F" w:rsidRPr="00DA66EB" w14:paraId="7BD55EDD" w14:textId="77777777" w:rsidTr="00F2274F">
        <w:trPr>
          <w:trHeight w:val="516"/>
        </w:trPr>
        <w:tc>
          <w:tcPr>
            <w:tcW w:w="1985" w:type="dxa"/>
            <w:tcBorders>
              <w:top w:val="single" w:sz="4" w:space="0" w:color="000000"/>
              <w:left w:val="single" w:sz="4" w:space="0" w:color="000000"/>
              <w:bottom w:val="single" w:sz="4" w:space="0" w:color="000000"/>
              <w:right w:val="single" w:sz="4" w:space="0" w:color="000000"/>
            </w:tcBorders>
          </w:tcPr>
          <w:p w14:paraId="7F95C3AE" w14:textId="77777777" w:rsidR="00776AC9" w:rsidRPr="00DA66EB" w:rsidRDefault="00776AC9" w:rsidP="0073217C">
            <w:pPr>
              <w:suppressAutoHyphens/>
              <w:spacing w:after="0" w:line="240" w:lineRule="auto"/>
              <w:ind w:left="0" w:firstLine="0"/>
              <w:rPr>
                <w:color w:val="auto"/>
                <w:lang w:val="is-IS"/>
              </w:rPr>
            </w:pPr>
            <w:r w:rsidRPr="00DA66EB">
              <w:rPr>
                <w:color w:val="auto"/>
                <w:lang w:val="is-IS"/>
              </w:rPr>
              <w:t>% sjúklinga með hlutlæga svörun</w:t>
            </w:r>
          </w:p>
        </w:tc>
        <w:tc>
          <w:tcPr>
            <w:tcW w:w="1134" w:type="dxa"/>
            <w:tcBorders>
              <w:top w:val="single" w:sz="4" w:space="0" w:color="000000"/>
              <w:left w:val="single" w:sz="4" w:space="0" w:color="000000"/>
              <w:bottom w:val="single" w:sz="4" w:space="0" w:color="000000"/>
              <w:right w:val="single" w:sz="4" w:space="0" w:color="000000"/>
            </w:tcBorders>
          </w:tcPr>
          <w:p w14:paraId="2F80EF6F" w14:textId="77777777" w:rsidR="00776AC9" w:rsidRPr="00DA66EB" w:rsidRDefault="002B3F9E" w:rsidP="0073217C">
            <w:pPr>
              <w:suppressAutoHyphens/>
              <w:spacing w:line="259" w:lineRule="auto"/>
              <w:ind w:right="82"/>
              <w:jc w:val="center"/>
              <w:rPr>
                <w:color w:val="auto"/>
                <w:lang w:val="is-IS"/>
              </w:rPr>
            </w:pPr>
            <w:r>
              <w:rPr>
                <w:color w:val="auto"/>
                <w:lang w:val="is-IS"/>
              </w:rPr>
              <w:t>23,4</w:t>
            </w:r>
          </w:p>
        </w:tc>
        <w:tc>
          <w:tcPr>
            <w:tcW w:w="2332" w:type="dxa"/>
            <w:tcBorders>
              <w:top w:val="single" w:sz="4" w:space="0" w:color="000000"/>
              <w:left w:val="single" w:sz="4" w:space="0" w:color="000000"/>
              <w:bottom w:val="single" w:sz="4" w:space="0" w:color="000000"/>
              <w:right w:val="single" w:sz="4" w:space="0" w:color="000000"/>
            </w:tcBorders>
          </w:tcPr>
          <w:p w14:paraId="006E4DAB" w14:textId="77777777" w:rsidR="00776AC9" w:rsidRPr="00DA66EB" w:rsidRDefault="002B3F9E" w:rsidP="0073217C">
            <w:pPr>
              <w:suppressAutoHyphens/>
              <w:spacing w:line="259" w:lineRule="auto"/>
              <w:ind w:right="82"/>
              <w:jc w:val="center"/>
              <w:rPr>
                <w:color w:val="auto"/>
                <w:lang w:val="is-IS"/>
              </w:rPr>
            </w:pPr>
            <w:r>
              <w:rPr>
                <w:color w:val="auto"/>
                <w:lang w:val="is-IS"/>
              </w:rPr>
              <w:t>48,0</w:t>
            </w:r>
          </w:p>
        </w:tc>
        <w:tc>
          <w:tcPr>
            <w:tcW w:w="1070" w:type="dxa"/>
            <w:tcBorders>
              <w:top w:val="single" w:sz="4" w:space="0" w:color="000000"/>
              <w:left w:val="single" w:sz="4" w:space="0" w:color="000000"/>
              <w:bottom w:val="single" w:sz="4" w:space="0" w:color="000000"/>
              <w:right w:val="single" w:sz="4" w:space="0" w:color="000000"/>
            </w:tcBorders>
          </w:tcPr>
          <w:p w14:paraId="22A65285" w14:textId="77777777" w:rsidR="00776AC9" w:rsidRPr="00DA66EB" w:rsidRDefault="002B3F9E" w:rsidP="0073217C">
            <w:pPr>
              <w:suppressAutoHyphens/>
              <w:spacing w:line="259" w:lineRule="auto"/>
              <w:ind w:right="82"/>
              <w:jc w:val="center"/>
              <w:rPr>
                <w:color w:val="auto"/>
                <w:lang w:val="is-IS"/>
              </w:rPr>
            </w:pPr>
            <w:r>
              <w:rPr>
                <w:color w:val="auto"/>
                <w:lang w:val="is-IS"/>
              </w:rPr>
              <w:t>22,2</w:t>
            </w:r>
          </w:p>
        </w:tc>
        <w:tc>
          <w:tcPr>
            <w:tcW w:w="2573" w:type="dxa"/>
            <w:tcBorders>
              <w:top w:val="single" w:sz="4" w:space="0" w:color="000000"/>
              <w:left w:val="single" w:sz="4" w:space="0" w:color="000000"/>
              <w:bottom w:val="single" w:sz="4" w:space="0" w:color="000000"/>
              <w:right w:val="single" w:sz="4" w:space="0" w:color="000000"/>
            </w:tcBorders>
          </w:tcPr>
          <w:p w14:paraId="61B87109" w14:textId="77777777" w:rsidR="00776AC9" w:rsidRPr="00DA66EB" w:rsidRDefault="002B3F9E" w:rsidP="0073217C">
            <w:pPr>
              <w:suppressAutoHyphens/>
              <w:spacing w:line="259" w:lineRule="auto"/>
              <w:ind w:right="82"/>
              <w:jc w:val="center"/>
              <w:rPr>
                <w:color w:val="auto"/>
                <w:lang w:val="is-IS"/>
              </w:rPr>
            </w:pPr>
            <w:r>
              <w:rPr>
                <w:color w:val="auto"/>
                <w:lang w:val="is-IS"/>
              </w:rPr>
              <w:t>49,8</w:t>
            </w:r>
          </w:p>
        </w:tc>
      </w:tr>
      <w:tr w:rsidR="00DA66EB" w:rsidRPr="00DA66EB" w14:paraId="7388EE35" w14:textId="77777777" w:rsidTr="00F2274F">
        <w:trPr>
          <w:trHeight w:val="262"/>
        </w:trPr>
        <w:tc>
          <w:tcPr>
            <w:tcW w:w="1985" w:type="dxa"/>
            <w:tcBorders>
              <w:top w:val="single" w:sz="4" w:space="0" w:color="000000"/>
              <w:left w:val="single" w:sz="4" w:space="0" w:color="000000"/>
              <w:bottom w:val="single" w:sz="4" w:space="0" w:color="000000"/>
              <w:right w:val="single" w:sz="4" w:space="0" w:color="000000"/>
            </w:tcBorders>
          </w:tcPr>
          <w:p w14:paraId="43A53EB8" w14:textId="77777777" w:rsidR="00776AC9" w:rsidRPr="00DA66EB" w:rsidRDefault="002B3F9E" w:rsidP="0073217C">
            <w:pPr>
              <w:suppressAutoHyphens/>
              <w:spacing w:after="0" w:line="240" w:lineRule="auto"/>
              <w:ind w:left="567" w:firstLine="0"/>
              <w:rPr>
                <w:color w:val="auto"/>
                <w:lang w:val="is-IS"/>
              </w:rPr>
            </w:pPr>
            <w:r>
              <w:rPr>
                <w:color w:val="auto"/>
                <w:lang w:val="is-IS"/>
              </w:rPr>
              <w:t>p-gildi</w:t>
            </w:r>
          </w:p>
        </w:tc>
        <w:tc>
          <w:tcPr>
            <w:tcW w:w="3466" w:type="dxa"/>
            <w:gridSpan w:val="2"/>
            <w:tcBorders>
              <w:top w:val="single" w:sz="4" w:space="0" w:color="000000"/>
              <w:left w:val="single" w:sz="4" w:space="0" w:color="000000"/>
              <w:bottom w:val="single" w:sz="4" w:space="0" w:color="000000"/>
              <w:right w:val="single" w:sz="4" w:space="0" w:color="000000"/>
            </w:tcBorders>
          </w:tcPr>
          <w:p w14:paraId="3563EB31" w14:textId="77777777" w:rsidR="00776AC9" w:rsidRPr="00DA66EB" w:rsidRDefault="002B3F9E" w:rsidP="0073217C">
            <w:pPr>
              <w:suppressAutoHyphens/>
              <w:spacing w:line="259" w:lineRule="auto"/>
              <w:ind w:right="84"/>
              <w:jc w:val="center"/>
              <w:rPr>
                <w:color w:val="auto"/>
                <w:lang w:val="is-IS"/>
              </w:rPr>
            </w:pPr>
            <w:r>
              <w:rPr>
                <w:color w:val="auto"/>
                <w:lang w:val="is-IS"/>
              </w:rPr>
              <w:t>&lt;</w:t>
            </w:r>
            <w:r w:rsidR="001347B7">
              <w:rPr>
                <w:color w:val="auto"/>
                <w:lang w:val="is-IS"/>
              </w:rPr>
              <w:t> </w:t>
            </w:r>
            <w:r>
              <w:rPr>
                <w:color w:val="auto"/>
                <w:lang w:val="is-IS"/>
              </w:rPr>
              <w:t>0,0001</w:t>
            </w:r>
          </w:p>
        </w:tc>
        <w:tc>
          <w:tcPr>
            <w:tcW w:w="3643" w:type="dxa"/>
            <w:gridSpan w:val="2"/>
            <w:tcBorders>
              <w:top w:val="single" w:sz="4" w:space="0" w:color="000000"/>
              <w:left w:val="single" w:sz="4" w:space="0" w:color="000000"/>
              <w:bottom w:val="single" w:sz="4" w:space="0" w:color="000000"/>
              <w:right w:val="single" w:sz="4" w:space="0" w:color="000000"/>
            </w:tcBorders>
          </w:tcPr>
          <w:p w14:paraId="5542822D" w14:textId="77777777" w:rsidR="00776AC9" w:rsidRPr="00DA66EB" w:rsidRDefault="002B3F9E" w:rsidP="0073217C">
            <w:pPr>
              <w:suppressAutoHyphens/>
              <w:spacing w:line="259" w:lineRule="auto"/>
              <w:ind w:right="84"/>
              <w:jc w:val="center"/>
              <w:rPr>
                <w:color w:val="auto"/>
                <w:lang w:val="is-IS"/>
              </w:rPr>
            </w:pPr>
            <w:r>
              <w:rPr>
                <w:color w:val="auto"/>
                <w:lang w:val="is-IS"/>
              </w:rPr>
              <w:t>&lt;</w:t>
            </w:r>
            <w:r w:rsidR="001347B7">
              <w:rPr>
                <w:color w:val="auto"/>
                <w:lang w:val="is-IS"/>
              </w:rPr>
              <w:t> </w:t>
            </w:r>
            <w:r>
              <w:rPr>
                <w:color w:val="auto"/>
                <w:lang w:val="is-IS"/>
              </w:rPr>
              <w:t>0,0001</w:t>
            </w:r>
          </w:p>
        </w:tc>
      </w:tr>
    </w:tbl>
    <w:p w14:paraId="67275CBD" w14:textId="77777777" w:rsidR="006C06D6" w:rsidRPr="00F2274F" w:rsidRDefault="00F07F3E" w:rsidP="0073217C">
      <w:pPr>
        <w:suppressAutoHyphens/>
        <w:spacing w:after="0" w:line="240" w:lineRule="auto"/>
        <w:ind w:left="567" w:hanging="567"/>
        <w:rPr>
          <w:color w:val="auto"/>
          <w:sz w:val="20"/>
          <w:szCs w:val="20"/>
          <w:lang w:val="is-IS"/>
        </w:rPr>
      </w:pPr>
      <w:r w:rsidRPr="00F2274F">
        <w:rPr>
          <w:color w:val="auto"/>
          <w:sz w:val="20"/>
          <w:szCs w:val="20"/>
          <w:lang w:val="is-IS"/>
        </w:rPr>
        <w:t>*</w:t>
      </w:r>
      <w:r w:rsidR="00776AC9" w:rsidRPr="00F2274F">
        <w:rPr>
          <w:color w:val="auto"/>
          <w:sz w:val="20"/>
          <w:szCs w:val="20"/>
          <w:lang w:val="is-IS"/>
        </w:rPr>
        <w:tab/>
      </w:r>
      <w:r w:rsidR="00564614" w:rsidRPr="00F2274F">
        <w:rPr>
          <w:color w:val="auto"/>
          <w:sz w:val="20"/>
          <w:szCs w:val="20"/>
          <w:lang w:val="is-IS"/>
        </w:rPr>
        <w:t>aðalgreining</w:t>
      </w:r>
    </w:p>
    <w:p w14:paraId="6C1DB7AB" w14:textId="77777777" w:rsidR="00916901" w:rsidRPr="009F7642" w:rsidRDefault="00916901" w:rsidP="0073217C">
      <w:pPr>
        <w:suppressAutoHyphens/>
        <w:spacing w:after="0" w:line="240" w:lineRule="auto"/>
        <w:ind w:left="0" w:firstLine="0"/>
        <w:rPr>
          <w:color w:val="auto"/>
          <w:lang w:val="is-I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067"/>
        <w:gridCol w:w="3417"/>
        <w:gridCol w:w="3588"/>
      </w:tblGrid>
      <w:tr w:rsidR="009D280F" w:rsidRPr="009F7642" w14:paraId="0C93DC0B" w14:textId="77777777" w:rsidTr="002D7642">
        <w:trPr>
          <w:trHeight w:val="300"/>
        </w:trPr>
        <w:tc>
          <w:tcPr>
            <w:tcW w:w="9072" w:type="dxa"/>
            <w:gridSpan w:val="3"/>
            <w:tcBorders>
              <w:top w:val="single" w:sz="4" w:space="0" w:color="auto"/>
              <w:left w:val="single" w:sz="4" w:space="0" w:color="auto"/>
              <w:bottom w:val="single" w:sz="4" w:space="0" w:color="auto"/>
              <w:right w:val="single" w:sz="4" w:space="0" w:color="auto"/>
            </w:tcBorders>
            <w:noWrap/>
            <w:vAlign w:val="bottom"/>
            <w:hideMark/>
          </w:tcPr>
          <w:p w14:paraId="4B1C025F" w14:textId="77777777" w:rsidR="00776AC9" w:rsidRPr="009F7642" w:rsidRDefault="00776AC9" w:rsidP="007309A2">
            <w:pPr>
              <w:keepNext/>
              <w:suppressAutoHyphens/>
              <w:spacing w:line="240" w:lineRule="auto"/>
              <w:ind w:left="11" w:hanging="11"/>
              <w:rPr>
                <w:color w:val="auto"/>
                <w:lang w:val="is-IS"/>
              </w:rPr>
            </w:pPr>
            <w:r w:rsidRPr="009F7642">
              <w:rPr>
                <w:color w:val="auto"/>
                <w:lang w:val="is-IS"/>
              </w:rPr>
              <w:t>Heildarlifun</w:t>
            </w:r>
          </w:p>
        </w:tc>
      </w:tr>
      <w:tr w:rsidR="009D280F" w:rsidRPr="009F7642" w14:paraId="76F29920" w14:textId="77777777" w:rsidTr="009D280F">
        <w:trPr>
          <w:trHeight w:val="733"/>
          <w:tblHeader/>
        </w:trPr>
        <w:tc>
          <w:tcPr>
            <w:tcW w:w="2067" w:type="dxa"/>
            <w:tcBorders>
              <w:top w:val="single" w:sz="4" w:space="0" w:color="auto"/>
              <w:left w:val="single" w:sz="4" w:space="0" w:color="auto"/>
              <w:bottom w:val="single" w:sz="4" w:space="0" w:color="auto"/>
              <w:right w:val="single" w:sz="4" w:space="0" w:color="auto"/>
            </w:tcBorders>
            <w:noWrap/>
            <w:vAlign w:val="bottom"/>
            <w:hideMark/>
          </w:tcPr>
          <w:p w14:paraId="1F6D4A32" w14:textId="77777777" w:rsidR="00776AC9" w:rsidRPr="009F7642" w:rsidRDefault="00776AC9" w:rsidP="007309A2">
            <w:pPr>
              <w:keepNext/>
              <w:suppressAutoHyphens/>
              <w:ind w:left="11" w:hanging="11"/>
              <w:rPr>
                <w:color w:val="auto"/>
                <w:lang w:val="is-IS"/>
              </w:rPr>
            </w:pPr>
          </w:p>
        </w:tc>
        <w:tc>
          <w:tcPr>
            <w:tcW w:w="3417" w:type="dxa"/>
            <w:tcBorders>
              <w:top w:val="single" w:sz="4" w:space="0" w:color="auto"/>
              <w:left w:val="single" w:sz="4" w:space="0" w:color="auto"/>
              <w:bottom w:val="single" w:sz="4" w:space="0" w:color="auto"/>
              <w:right w:val="single" w:sz="4" w:space="0" w:color="auto"/>
            </w:tcBorders>
            <w:noWrap/>
            <w:vAlign w:val="center"/>
          </w:tcPr>
          <w:p w14:paraId="3EC41C7B" w14:textId="77777777" w:rsidR="006C06D6" w:rsidRPr="009F7642" w:rsidRDefault="00776AC9" w:rsidP="007309A2">
            <w:pPr>
              <w:keepNext/>
              <w:suppressAutoHyphens/>
              <w:spacing w:line="240" w:lineRule="auto"/>
              <w:ind w:left="11" w:hanging="11"/>
              <w:jc w:val="center"/>
              <w:rPr>
                <w:color w:val="auto"/>
                <w:lang w:val="is-IS"/>
              </w:rPr>
            </w:pPr>
            <w:r w:rsidRPr="009F7642">
              <w:rPr>
                <w:color w:val="auto"/>
                <w:lang w:val="is-IS"/>
              </w:rPr>
              <w:t>Paklítaxel</w:t>
            </w:r>
          </w:p>
          <w:p w14:paraId="04857CFE" w14:textId="77777777" w:rsidR="00776AC9" w:rsidRPr="009F7642" w:rsidRDefault="00776AC9" w:rsidP="007309A2">
            <w:pPr>
              <w:keepNext/>
              <w:suppressAutoHyphens/>
              <w:spacing w:line="240" w:lineRule="auto"/>
              <w:ind w:left="11" w:hanging="11"/>
              <w:jc w:val="center"/>
              <w:rPr>
                <w:color w:val="auto"/>
                <w:lang w:val="is-IS"/>
              </w:rPr>
            </w:pPr>
            <w:r w:rsidRPr="009F7642">
              <w:rPr>
                <w:color w:val="auto"/>
                <w:lang w:val="is-IS"/>
              </w:rPr>
              <w:t>(n</w:t>
            </w:r>
            <w:r w:rsidR="001347B7">
              <w:rPr>
                <w:color w:val="auto"/>
                <w:lang w:val="is-IS"/>
              </w:rPr>
              <w:t> </w:t>
            </w:r>
            <w:r w:rsidR="00700BDC">
              <w:rPr>
                <w:color w:val="auto"/>
                <w:lang w:val="is-IS"/>
              </w:rPr>
              <w:t>=</w:t>
            </w:r>
            <w:r w:rsidR="001347B7">
              <w:rPr>
                <w:color w:val="auto"/>
                <w:lang w:val="is-IS"/>
              </w:rPr>
              <w:t> </w:t>
            </w:r>
            <w:r w:rsidRPr="009F7642">
              <w:rPr>
                <w:color w:val="auto"/>
                <w:lang w:val="is-IS"/>
              </w:rPr>
              <w:t>354)</w:t>
            </w:r>
          </w:p>
        </w:tc>
        <w:tc>
          <w:tcPr>
            <w:tcW w:w="3588" w:type="dxa"/>
            <w:tcBorders>
              <w:top w:val="single" w:sz="4" w:space="0" w:color="auto"/>
              <w:left w:val="single" w:sz="4" w:space="0" w:color="auto"/>
              <w:bottom w:val="single" w:sz="4" w:space="0" w:color="auto"/>
              <w:right w:val="single" w:sz="4" w:space="0" w:color="auto"/>
            </w:tcBorders>
            <w:noWrap/>
            <w:vAlign w:val="center"/>
            <w:hideMark/>
          </w:tcPr>
          <w:p w14:paraId="1018DBBE" w14:textId="77777777" w:rsidR="006C06D6" w:rsidRPr="009F7642" w:rsidRDefault="00776AC9" w:rsidP="007309A2">
            <w:pPr>
              <w:keepNext/>
              <w:suppressAutoHyphens/>
              <w:spacing w:line="240" w:lineRule="auto"/>
              <w:ind w:left="11" w:hanging="11"/>
              <w:jc w:val="center"/>
              <w:rPr>
                <w:color w:val="auto"/>
                <w:lang w:val="is-IS"/>
              </w:rPr>
            </w:pPr>
            <w:r w:rsidRPr="009F7642">
              <w:rPr>
                <w:color w:val="auto"/>
                <w:lang w:val="is-IS"/>
              </w:rPr>
              <w:t>Paklítaxel/</w:t>
            </w:r>
            <w:proofErr w:type="spellStart"/>
            <w:r w:rsidR="00690564">
              <w:t>bevacízúmab</w:t>
            </w:r>
            <w:proofErr w:type="spellEnd"/>
          </w:p>
          <w:p w14:paraId="24B2B5BB" w14:textId="77777777" w:rsidR="00776AC9" w:rsidRPr="009F7642" w:rsidRDefault="00776AC9" w:rsidP="007309A2">
            <w:pPr>
              <w:keepNext/>
              <w:suppressAutoHyphens/>
              <w:spacing w:line="240" w:lineRule="auto"/>
              <w:ind w:left="11" w:hanging="11"/>
              <w:jc w:val="center"/>
              <w:rPr>
                <w:color w:val="auto"/>
                <w:lang w:val="is-IS"/>
              </w:rPr>
            </w:pPr>
            <w:r w:rsidRPr="009F7642">
              <w:rPr>
                <w:color w:val="auto"/>
                <w:lang w:val="is-IS"/>
              </w:rPr>
              <w:t>(n</w:t>
            </w:r>
            <w:r w:rsidR="001347B7">
              <w:rPr>
                <w:color w:val="auto"/>
                <w:lang w:val="is-IS"/>
              </w:rPr>
              <w:t> </w:t>
            </w:r>
            <w:r w:rsidR="00700BDC">
              <w:rPr>
                <w:color w:val="auto"/>
                <w:lang w:val="is-IS"/>
              </w:rPr>
              <w:t>=</w:t>
            </w:r>
            <w:r w:rsidR="001347B7">
              <w:rPr>
                <w:color w:val="auto"/>
                <w:lang w:val="is-IS"/>
              </w:rPr>
              <w:t> </w:t>
            </w:r>
            <w:r w:rsidRPr="009F7642">
              <w:rPr>
                <w:color w:val="auto"/>
                <w:lang w:val="is-IS"/>
              </w:rPr>
              <w:t>368)</w:t>
            </w:r>
          </w:p>
        </w:tc>
      </w:tr>
      <w:tr w:rsidR="009D280F" w:rsidRPr="009F7642" w14:paraId="42C36AB5" w14:textId="77777777" w:rsidTr="009D280F">
        <w:trPr>
          <w:trHeight w:val="300"/>
        </w:trPr>
        <w:tc>
          <w:tcPr>
            <w:tcW w:w="2067" w:type="dxa"/>
            <w:tcBorders>
              <w:top w:val="single" w:sz="4" w:space="0" w:color="auto"/>
              <w:left w:val="single" w:sz="4" w:space="0" w:color="auto"/>
              <w:bottom w:val="single" w:sz="4" w:space="0" w:color="auto"/>
              <w:right w:val="single" w:sz="4" w:space="0" w:color="auto"/>
            </w:tcBorders>
            <w:noWrap/>
            <w:vAlign w:val="bottom"/>
            <w:hideMark/>
          </w:tcPr>
          <w:p w14:paraId="53E96ACB" w14:textId="0555BBE2" w:rsidR="00776AC9" w:rsidRPr="009F7642" w:rsidRDefault="00776AC9" w:rsidP="0073217C">
            <w:pPr>
              <w:suppressAutoHyphens/>
              <w:spacing w:after="0" w:line="240" w:lineRule="auto"/>
              <w:ind w:left="0" w:firstLine="0"/>
              <w:rPr>
                <w:color w:val="auto"/>
                <w:lang w:val="is-IS"/>
              </w:rPr>
            </w:pPr>
            <w:r w:rsidRPr="009F7642">
              <w:rPr>
                <w:color w:val="auto"/>
                <w:lang w:val="is-IS"/>
              </w:rPr>
              <w:t>Miðgildi heildarlifun</w:t>
            </w:r>
            <w:r w:rsidR="008872A8">
              <w:rPr>
                <w:color w:val="auto"/>
                <w:lang w:val="is-IS"/>
              </w:rPr>
              <w:t>ar</w:t>
            </w:r>
            <w:r w:rsidRPr="009F7642">
              <w:rPr>
                <w:color w:val="auto"/>
                <w:lang w:val="is-IS"/>
              </w:rPr>
              <w:t xml:space="preserve"> (mánuðir)</w:t>
            </w:r>
          </w:p>
        </w:tc>
        <w:tc>
          <w:tcPr>
            <w:tcW w:w="3417" w:type="dxa"/>
            <w:tcBorders>
              <w:top w:val="single" w:sz="4" w:space="0" w:color="auto"/>
              <w:left w:val="single" w:sz="4" w:space="0" w:color="auto"/>
              <w:bottom w:val="single" w:sz="4" w:space="0" w:color="auto"/>
              <w:right w:val="single" w:sz="4" w:space="0" w:color="auto"/>
            </w:tcBorders>
            <w:noWrap/>
            <w:vAlign w:val="center"/>
            <w:hideMark/>
          </w:tcPr>
          <w:p w14:paraId="3CB2C57D" w14:textId="77777777" w:rsidR="00776AC9" w:rsidRPr="009F7642" w:rsidRDefault="00776AC9" w:rsidP="0073217C">
            <w:pPr>
              <w:suppressAutoHyphens/>
              <w:spacing w:line="240" w:lineRule="auto"/>
              <w:jc w:val="center"/>
              <w:rPr>
                <w:color w:val="auto"/>
                <w:lang w:val="is-IS"/>
              </w:rPr>
            </w:pPr>
            <w:r w:rsidRPr="009F7642">
              <w:rPr>
                <w:color w:val="auto"/>
                <w:lang w:val="is-IS"/>
              </w:rPr>
              <w:t>24,8</w:t>
            </w:r>
          </w:p>
        </w:tc>
        <w:tc>
          <w:tcPr>
            <w:tcW w:w="3588" w:type="dxa"/>
            <w:tcBorders>
              <w:top w:val="single" w:sz="4" w:space="0" w:color="auto"/>
              <w:left w:val="single" w:sz="4" w:space="0" w:color="auto"/>
              <w:bottom w:val="single" w:sz="4" w:space="0" w:color="auto"/>
              <w:right w:val="single" w:sz="4" w:space="0" w:color="auto"/>
            </w:tcBorders>
            <w:noWrap/>
            <w:vAlign w:val="center"/>
            <w:hideMark/>
          </w:tcPr>
          <w:p w14:paraId="314F1AC9" w14:textId="77777777" w:rsidR="00776AC9" w:rsidRPr="009F7642" w:rsidRDefault="00776AC9" w:rsidP="0073217C">
            <w:pPr>
              <w:suppressAutoHyphens/>
              <w:spacing w:line="240" w:lineRule="auto"/>
              <w:jc w:val="center"/>
              <w:rPr>
                <w:color w:val="auto"/>
                <w:lang w:val="is-IS"/>
              </w:rPr>
            </w:pPr>
            <w:r w:rsidRPr="009F7642">
              <w:rPr>
                <w:color w:val="auto"/>
                <w:lang w:val="is-IS"/>
              </w:rPr>
              <w:t>26,5</w:t>
            </w:r>
          </w:p>
        </w:tc>
      </w:tr>
      <w:tr w:rsidR="009D280F" w:rsidRPr="009F7642" w14:paraId="1E1B6192" w14:textId="77777777" w:rsidTr="009D280F">
        <w:trPr>
          <w:trHeight w:val="561"/>
        </w:trPr>
        <w:tc>
          <w:tcPr>
            <w:tcW w:w="2067" w:type="dxa"/>
            <w:tcBorders>
              <w:top w:val="single" w:sz="4" w:space="0" w:color="auto"/>
              <w:left w:val="single" w:sz="4" w:space="0" w:color="auto"/>
              <w:bottom w:val="single" w:sz="4" w:space="0" w:color="auto"/>
              <w:right w:val="single" w:sz="4" w:space="0" w:color="auto"/>
            </w:tcBorders>
            <w:noWrap/>
            <w:hideMark/>
          </w:tcPr>
          <w:p w14:paraId="5DE18BDA" w14:textId="77777777" w:rsidR="00776AC9" w:rsidRPr="009F7642" w:rsidRDefault="00776AC9" w:rsidP="0073217C">
            <w:pPr>
              <w:suppressAutoHyphens/>
              <w:spacing w:after="0" w:line="240" w:lineRule="auto"/>
              <w:ind w:left="567" w:firstLine="0"/>
              <w:rPr>
                <w:color w:val="auto"/>
                <w:lang w:val="is-IS"/>
              </w:rPr>
            </w:pPr>
            <w:r w:rsidRPr="009F7642">
              <w:rPr>
                <w:color w:val="auto"/>
                <w:lang w:val="is-IS"/>
              </w:rPr>
              <w:t>Áhættuhlutfall (95% CI)</w:t>
            </w:r>
          </w:p>
        </w:tc>
        <w:tc>
          <w:tcPr>
            <w:tcW w:w="7005" w:type="dxa"/>
            <w:gridSpan w:val="2"/>
            <w:tcBorders>
              <w:top w:val="single" w:sz="4" w:space="0" w:color="auto"/>
              <w:left w:val="single" w:sz="4" w:space="0" w:color="auto"/>
              <w:bottom w:val="single" w:sz="4" w:space="0" w:color="auto"/>
              <w:right w:val="single" w:sz="4" w:space="0" w:color="auto"/>
            </w:tcBorders>
            <w:noWrap/>
            <w:hideMark/>
          </w:tcPr>
          <w:p w14:paraId="30BF0BD4" w14:textId="77777777" w:rsidR="006C06D6" w:rsidRPr="009F7642" w:rsidRDefault="00776AC9" w:rsidP="0073217C">
            <w:pPr>
              <w:suppressAutoHyphens/>
              <w:spacing w:line="259" w:lineRule="auto"/>
              <w:ind w:right="2"/>
              <w:jc w:val="center"/>
              <w:rPr>
                <w:color w:val="auto"/>
                <w:lang w:val="is-IS"/>
              </w:rPr>
            </w:pPr>
            <w:r w:rsidRPr="009F7642">
              <w:rPr>
                <w:color w:val="auto"/>
                <w:lang w:val="is-IS"/>
              </w:rPr>
              <w:t xml:space="preserve">0,869 </w:t>
            </w:r>
          </w:p>
          <w:p w14:paraId="2C35917E" w14:textId="77777777" w:rsidR="00776AC9" w:rsidRPr="009F7642" w:rsidRDefault="00776AC9" w:rsidP="0073217C">
            <w:pPr>
              <w:suppressAutoHyphens/>
              <w:spacing w:line="240" w:lineRule="auto"/>
              <w:jc w:val="center"/>
              <w:rPr>
                <w:color w:val="auto"/>
                <w:lang w:val="is-IS"/>
              </w:rPr>
            </w:pPr>
            <w:r w:rsidRPr="009F7642">
              <w:rPr>
                <w:color w:val="auto"/>
                <w:lang w:val="is-IS"/>
              </w:rPr>
              <w:t>(0,722; 1,046)</w:t>
            </w:r>
          </w:p>
        </w:tc>
      </w:tr>
      <w:tr w:rsidR="009D280F" w:rsidRPr="009F7642" w14:paraId="35D27B9C" w14:textId="77777777" w:rsidTr="009D280F">
        <w:trPr>
          <w:trHeight w:val="300"/>
        </w:trPr>
        <w:tc>
          <w:tcPr>
            <w:tcW w:w="2067" w:type="dxa"/>
            <w:tcBorders>
              <w:top w:val="single" w:sz="4" w:space="0" w:color="auto"/>
              <w:left w:val="single" w:sz="4" w:space="0" w:color="auto"/>
              <w:bottom w:val="single" w:sz="4" w:space="0" w:color="auto"/>
              <w:right w:val="single" w:sz="4" w:space="0" w:color="auto"/>
            </w:tcBorders>
            <w:noWrap/>
            <w:vAlign w:val="center"/>
            <w:hideMark/>
          </w:tcPr>
          <w:p w14:paraId="1B7AECDE" w14:textId="77777777" w:rsidR="00776AC9" w:rsidRPr="009F7642" w:rsidRDefault="00776AC9" w:rsidP="0073217C">
            <w:pPr>
              <w:suppressAutoHyphens/>
              <w:spacing w:after="0" w:line="240" w:lineRule="auto"/>
              <w:ind w:left="567" w:firstLine="0"/>
              <w:rPr>
                <w:color w:val="auto"/>
                <w:lang w:val="is-IS"/>
              </w:rPr>
            </w:pPr>
            <w:r w:rsidRPr="009F7642">
              <w:rPr>
                <w:color w:val="auto"/>
                <w:lang w:val="is-IS"/>
              </w:rPr>
              <w:t>p-gildi</w:t>
            </w:r>
          </w:p>
        </w:tc>
        <w:tc>
          <w:tcPr>
            <w:tcW w:w="7005" w:type="dxa"/>
            <w:gridSpan w:val="2"/>
            <w:tcBorders>
              <w:top w:val="single" w:sz="4" w:space="0" w:color="auto"/>
              <w:left w:val="single" w:sz="4" w:space="0" w:color="auto"/>
              <w:bottom w:val="single" w:sz="4" w:space="0" w:color="auto"/>
              <w:right w:val="single" w:sz="4" w:space="0" w:color="auto"/>
            </w:tcBorders>
            <w:noWrap/>
            <w:vAlign w:val="center"/>
            <w:hideMark/>
          </w:tcPr>
          <w:p w14:paraId="55DDB76C" w14:textId="77777777" w:rsidR="00776AC9" w:rsidRPr="009F7642" w:rsidRDefault="00776AC9" w:rsidP="0073217C">
            <w:pPr>
              <w:keepNext/>
              <w:suppressAutoHyphens/>
              <w:spacing w:line="240" w:lineRule="auto"/>
              <w:jc w:val="center"/>
              <w:rPr>
                <w:color w:val="auto"/>
                <w:lang w:val="is-IS"/>
              </w:rPr>
            </w:pPr>
            <w:r w:rsidRPr="009F7642">
              <w:rPr>
                <w:color w:val="auto"/>
                <w:lang w:val="is-IS"/>
              </w:rPr>
              <w:t>0,1374</w:t>
            </w:r>
          </w:p>
        </w:tc>
      </w:tr>
    </w:tbl>
    <w:p w14:paraId="66DCCD30" w14:textId="77777777" w:rsidR="005F36F3" w:rsidRPr="009F7642" w:rsidRDefault="005F36F3" w:rsidP="0073217C">
      <w:pPr>
        <w:suppressAutoHyphens/>
        <w:spacing w:after="0" w:line="240" w:lineRule="auto"/>
        <w:ind w:left="0" w:firstLine="0"/>
        <w:rPr>
          <w:color w:val="auto"/>
          <w:lang w:val="is-IS"/>
        </w:rPr>
      </w:pPr>
    </w:p>
    <w:p w14:paraId="3FB88926" w14:textId="77777777" w:rsidR="005F36F3" w:rsidRDefault="00564614" w:rsidP="0073217C">
      <w:pPr>
        <w:suppressAutoHyphens/>
        <w:spacing w:after="0" w:line="240" w:lineRule="auto"/>
        <w:ind w:left="0" w:firstLine="0"/>
        <w:rPr>
          <w:color w:val="auto"/>
          <w:lang w:val="is-IS"/>
        </w:rPr>
      </w:pPr>
      <w:r w:rsidRPr="009F7642">
        <w:rPr>
          <w:color w:val="auto"/>
          <w:lang w:val="is-IS"/>
        </w:rPr>
        <w:t xml:space="preserve">Klínískur ávinningur af </w:t>
      </w:r>
      <w:r w:rsidR="00690564" w:rsidRPr="00F2274F">
        <w:rPr>
          <w:lang w:val="is-IS"/>
        </w:rPr>
        <w:t>bevacízúmab</w:t>
      </w:r>
      <w:r w:rsidR="00687A18" w:rsidRPr="00F2274F">
        <w:rPr>
          <w:lang w:val="is-IS"/>
        </w:rPr>
        <w:t>i</w:t>
      </w:r>
      <w:r w:rsidRPr="009F7642">
        <w:rPr>
          <w:color w:val="auto"/>
          <w:lang w:val="is-IS"/>
        </w:rPr>
        <w:t xml:space="preserve"> mældur út frá lifun án versnunar sjúkdóms kom í ljós hjá öllum forskilgreindum undirhópum sem prófaðir voru (þar með talið sjúkdómslaust bil, fjöldi meinvarpastaða, fyrri stuðningsmeðferð með krabbameinslyfjum og staða estrógenvi</w:t>
      </w:r>
      <w:r w:rsidR="003C161D" w:rsidRPr="009F7642">
        <w:rPr>
          <w:color w:val="auto"/>
          <w:lang w:val="is-IS"/>
        </w:rPr>
        <w:t>ðtaka (ER, estrogen receptor).</w:t>
      </w:r>
    </w:p>
    <w:p w14:paraId="25724110" w14:textId="77777777" w:rsidR="00815FA8" w:rsidRPr="00B64117" w:rsidRDefault="00815FA8" w:rsidP="00815FA8">
      <w:pPr>
        <w:pStyle w:val="Default"/>
        <w:rPr>
          <w:lang w:val="is-IS"/>
        </w:rPr>
      </w:pPr>
    </w:p>
    <w:p w14:paraId="2B36B684" w14:textId="77777777" w:rsidR="00815FA8" w:rsidRPr="00B64117" w:rsidRDefault="00815FA8" w:rsidP="00815FA8">
      <w:pPr>
        <w:pStyle w:val="Default"/>
        <w:rPr>
          <w:i/>
          <w:iCs/>
          <w:sz w:val="22"/>
          <w:szCs w:val="22"/>
          <w:lang w:val="is-IS"/>
        </w:rPr>
      </w:pPr>
      <w:r w:rsidRPr="00B64117">
        <w:rPr>
          <w:i/>
          <w:iCs/>
          <w:sz w:val="22"/>
          <w:szCs w:val="22"/>
          <w:lang w:val="is-IS"/>
        </w:rPr>
        <w:t>AVF3694g</w:t>
      </w:r>
    </w:p>
    <w:p w14:paraId="6D04A62A" w14:textId="77777777" w:rsidR="00815FA8" w:rsidRPr="00B64117" w:rsidRDefault="002040BE" w:rsidP="002B12AD">
      <w:pPr>
        <w:pStyle w:val="Default"/>
        <w:rPr>
          <w:sz w:val="22"/>
          <w:szCs w:val="22"/>
          <w:lang w:val="is-IS"/>
        </w:rPr>
      </w:pPr>
      <w:r w:rsidRPr="002040BE">
        <w:rPr>
          <w:sz w:val="22"/>
          <w:szCs w:val="22"/>
          <w:lang w:val="is-IS"/>
        </w:rPr>
        <w:t xml:space="preserve">AVF3694g var fjölsetra, slembiröðuð III. stigs rannsókn með samanburði við lyfleysu, gerð til að meta verkun og öryggi </w:t>
      </w:r>
      <w:r w:rsidR="002B12AD" w:rsidRPr="002B12AD">
        <w:rPr>
          <w:sz w:val="22"/>
          <w:szCs w:val="22"/>
          <w:lang w:val="is-IS"/>
        </w:rPr>
        <w:t>bevacízúmab</w:t>
      </w:r>
      <w:r w:rsidRPr="002040BE">
        <w:rPr>
          <w:sz w:val="22"/>
          <w:szCs w:val="22"/>
          <w:lang w:val="is-IS"/>
        </w:rPr>
        <w:t xml:space="preserve"> í samsettri meðferð með öðrum krabbameinslyfjum, samanborið við sömu krabbameinslyf ásamt lyfleysu, sem fyrstu meðferð fyrir sjúklinga með HER2-neikvætt brjóstakrabbamein, með meinvörpum eða sem tók sig aftur upp á sama stað</w:t>
      </w:r>
      <w:r>
        <w:rPr>
          <w:sz w:val="22"/>
          <w:szCs w:val="22"/>
          <w:lang w:val="is-IS"/>
        </w:rPr>
        <w:t>.</w:t>
      </w:r>
    </w:p>
    <w:p w14:paraId="66678CA5" w14:textId="77777777" w:rsidR="00815FA8" w:rsidRPr="00B64117" w:rsidRDefault="00815FA8" w:rsidP="00815FA8">
      <w:pPr>
        <w:pStyle w:val="Default"/>
        <w:rPr>
          <w:sz w:val="22"/>
          <w:szCs w:val="22"/>
          <w:lang w:val="is-IS"/>
        </w:rPr>
      </w:pPr>
    </w:p>
    <w:p w14:paraId="2D8B8BA8" w14:textId="451578C9" w:rsidR="00815FA8" w:rsidRPr="00B64117" w:rsidRDefault="00F65DC1" w:rsidP="00815FA8">
      <w:pPr>
        <w:pStyle w:val="Default"/>
        <w:rPr>
          <w:sz w:val="22"/>
          <w:szCs w:val="22"/>
          <w:lang w:val="is-IS"/>
        </w:rPr>
      </w:pPr>
      <w:r w:rsidRPr="00B64117">
        <w:rPr>
          <w:sz w:val="22"/>
          <w:szCs w:val="22"/>
          <w:lang w:val="is-IS"/>
        </w:rPr>
        <w:t xml:space="preserve">Þátttakendur fengu krabbameinslyfjameðferð að vali rannsakanda og var síðan slembiraðað í hlutfallinu </w:t>
      </w:r>
      <w:r w:rsidR="00815FA8" w:rsidRPr="00B64117">
        <w:rPr>
          <w:sz w:val="22"/>
          <w:szCs w:val="22"/>
          <w:lang w:val="is-IS"/>
        </w:rPr>
        <w:t xml:space="preserve">2:1 </w:t>
      </w:r>
      <w:r w:rsidRPr="00B64117">
        <w:rPr>
          <w:sz w:val="22"/>
          <w:szCs w:val="22"/>
          <w:lang w:val="is-IS"/>
        </w:rPr>
        <w:t xml:space="preserve">í hópa sem fengu annaðhvort krabbameinslyfjameðferð ásamt </w:t>
      </w:r>
      <w:r w:rsidR="00D365ED" w:rsidRPr="00B64117">
        <w:rPr>
          <w:sz w:val="22"/>
          <w:szCs w:val="22"/>
          <w:lang w:val="is-IS"/>
        </w:rPr>
        <w:t>bevacízúmab</w:t>
      </w:r>
      <w:r w:rsidR="00815FA8" w:rsidRPr="00B64117">
        <w:rPr>
          <w:sz w:val="22"/>
          <w:szCs w:val="22"/>
          <w:lang w:val="is-IS"/>
        </w:rPr>
        <w:t xml:space="preserve"> </w:t>
      </w:r>
      <w:r w:rsidRPr="00B64117">
        <w:rPr>
          <w:sz w:val="22"/>
          <w:szCs w:val="22"/>
          <w:lang w:val="is-IS"/>
        </w:rPr>
        <w:t xml:space="preserve">eða </w:t>
      </w:r>
      <w:r w:rsidR="002040BE">
        <w:rPr>
          <w:sz w:val="22"/>
          <w:szCs w:val="22"/>
          <w:lang w:val="is-IS"/>
        </w:rPr>
        <w:t xml:space="preserve">sömu </w:t>
      </w:r>
      <w:r w:rsidRPr="00B64117">
        <w:rPr>
          <w:sz w:val="22"/>
          <w:szCs w:val="22"/>
          <w:lang w:val="is-IS"/>
        </w:rPr>
        <w:t>krabbameinslyfjameðferð ásamt lyfleysu</w:t>
      </w:r>
      <w:r w:rsidR="00815FA8" w:rsidRPr="00B64117">
        <w:rPr>
          <w:sz w:val="22"/>
          <w:szCs w:val="22"/>
          <w:lang w:val="is-IS"/>
        </w:rPr>
        <w:t xml:space="preserve">. </w:t>
      </w:r>
      <w:r w:rsidRPr="00B64117">
        <w:rPr>
          <w:sz w:val="22"/>
          <w:szCs w:val="22"/>
          <w:lang w:val="is-IS"/>
        </w:rPr>
        <w:t>Meðal krabbameinslyfja sem til greina komu voru capecitabín, taxan (próteinbundið paklítaxel, dócetaxel), efni byggð á antracýklíni (doxórúbicín, cýklófosfamíð, epirúbicín/cýklófosfamíð, 5-flúoróúracíl/doxórúbicín/cýklófosfamíð, 5-flúoróúracíl/epirúbicín/cýklófosfamíð), gefin á þriggja vikna fresti. Þátttakendur fengu 15</w:t>
      </w:r>
      <w:r w:rsidR="0058789B">
        <w:rPr>
          <w:sz w:val="22"/>
          <w:szCs w:val="22"/>
          <w:lang w:val="is-IS"/>
        </w:rPr>
        <w:t> </w:t>
      </w:r>
      <w:r w:rsidRPr="00B64117">
        <w:rPr>
          <w:sz w:val="22"/>
          <w:szCs w:val="22"/>
          <w:lang w:val="is-IS"/>
        </w:rPr>
        <w:t xml:space="preserve">mg/kg </w:t>
      </w:r>
      <w:r w:rsidR="0058789B">
        <w:rPr>
          <w:sz w:val="22"/>
          <w:szCs w:val="22"/>
          <w:lang w:val="is-IS"/>
        </w:rPr>
        <w:t>bevacízúmab</w:t>
      </w:r>
      <w:r w:rsidRPr="00B64117">
        <w:rPr>
          <w:sz w:val="22"/>
          <w:szCs w:val="22"/>
          <w:lang w:val="is-IS"/>
        </w:rPr>
        <w:t xml:space="preserve"> eða lyfleysu á þriggja vikna fresti.</w:t>
      </w:r>
    </w:p>
    <w:p w14:paraId="5D796D38" w14:textId="77777777" w:rsidR="00815FA8" w:rsidRPr="00B64117" w:rsidRDefault="00815FA8" w:rsidP="00815FA8">
      <w:pPr>
        <w:pStyle w:val="Default"/>
        <w:rPr>
          <w:sz w:val="22"/>
          <w:szCs w:val="22"/>
          <w:lang w:val="is-IS"/>
        </w:rPr>
      </w:pPr>
    </w:p>
    <w:p w14:paraId="165FD83C" w14:textId="77777777" w:rsidR="00F65DC1" w:rsidRPr="00B64117" w:rsidRDefault="00F65DC1" w:rsidP="00F65DC1">
      <w:pPr>
        <w:pStyle w:val="Default"/>
        <w:rPr>
          <w:sz w:val="22"/>
          <w:szCs w:val="22"/>
          <w:lang w:val="is-IS"/>
        </w:rPr>
      </w:pPr>
      <w:r w:rsidRPr="00B64117">
        <w:rPr>
          <w:sz w:val="22"/>
          <w:szCs w:val="22"/>
          <w:lang w:val="is-IS"/>
        </w:rPr>
        <w:t>Rannsóknin samanstóð af blinduðu meðferðartímabili, valfrjálsu tímabili með opinni meðferð (open-label) eftir versnun sjúkdóms og eftirfylgnitímabili til að meta lifun. Á blindaða meðferðartímabilinu fengu þátttakendur krabbameinslyf og annað lyf (bevacízúmab eða lyfleysu) á þriggja vikna fresti þar til sjúkdómurinn versnaði, fram komu eituráhrif sem gerðu að verkum að hætta þurfti meðferð, eða þátttakandi lést. Þegar staðfest var að sjúkdómur hafði versnað, gátu sjúklingar sem tóku þátt í valfrjálsu tímabili með opinni meðferð fengið bevacízúmab ásamt margháttuðum frekari meðferðarúrræðum sem reynd eru ef fyrsta meðferð bregst.</w:t>
      </w:r>
    </w:p>
    <w:p w14:paraId="75F735EF" w14:textId="77777777" w:rsidR="00815FA8" w:rsidRPr="00B64117" w:rsidRDefault="00815FA8" w:rsidP="00815FA8">
      <w:pPr>
        <w:pStyle w:val="Default"/>
        <w:rPr>
          <w:sz w:val="22"/>
          <w:szCs w:val="22"/>
          <w:lang w:val="is-IS"/>
        </w:rPr>
      </w:pPr>
    </w:p>
    <w:p w14:paraId="27DCFE3F" w14:textId="77777777" w:rsidR="00D46B1F" w:rsidRPr="00B64117" w:rsidRDefault="00D46B1F" w:rsidP="00815FA8">
      <w:pPr>
        <w:pStyle w:val="Default"/>
        <w:rPr>
          <w:sz w:val="22"/>
          <w:szCs w:val="22"/>
          <w:lang w:val="is-IS"/>
        </w:rPr>
      </w:pPr>
      <w:r w:rsidRPr="00B64117">
        <w:rPr>
          <w:sz w:val="22"/>
          <w:szCs w:val="22"/>
          <w:lang w:val="is-IS"/>
        </w:rPr>
        <w:t>Óháð tölfræðileg greining var framkvæmd fyrir 1) þátttakendur sem fengu capecítabín ásamt bevacízúmab</w:t>
      </w:r>
      <w:r w:rsidR="0058789B">
        <w:rPr>
          <w:sz w:val="22"/>
          <w:szCs w:val="22"/>
          <w:lang w:val="is-IS"/>
        </w:rPr>
        <w:t>i</w:t>
      </w:r>
      <w:r w:rsidRPr="00B64117">
        <w:rPr>
          <w:sz w:val="22"/>
          <w:szCs w:val="22"/>
          <w:lang w:val="is-IS"/>
        </w:rPr>
        <w:t xml:space="preserve"> eða lyfleysu, 2) þátttakendur sem fengu taxan- eða antracýklínlyf ásamt bevacízúmab eða lyfleysu. Aðalendapunktur var lifun án versnunar sjúkdóms að mati rannsakanda. Að auki var aðalendapunkturinn metinn af óháðri matsnefnd</w:t>
      </w:r>
      <w:r w:rsidR="0058789B">
        <w:rPr>
          <w:sz w:val="22"/>
          <w:szCs w:val="22"/>
          <w:lang w:val="is-IS"/>
        </w:rPr>
        <w:t>.</w:t>
      </w:r>
    </w:p>
    <w:p w14:paraId="64128A6E" w14:textId="77777777" w:rsidR="00815FA8" w:rsidRPr="00B64117" w:rsidRDefault="00815FA8" w:rsidP="00815FA8">
      <w:pPr>
        <w:pStyle w:val="Default"/>
        <w:rPr>
          <w:sz w:val="22"/>
          <w:szCs w:val="22"/>
          <w:lang w:val="is-IS"/>
        </w:rPr>
      </w:pPr>
    </w:p>
    <w:p w14:paraId="36558C1B" w14:textId="77777777" w:rsidR="00D46B1F" w:rsidRPr="00B64117" w:rsidRDefault="00D46B1F" w:rsidP="00815FA8">
      <w:pPr>
        <w:pStyle w:val="Default"/>
        <w:rPr>
          <w:sz w:val="22"/>
          <w:szCs w:val="22"/>
          <w:lang w:val="is-IS"/>
        </w:rPr>
      </w:pPr>
      <w:r w:rsidRPr="00B64117">
        <w:rPr>
          <w:sz w:val="22"/>
          <w:szCs w:val="22"/>
          <w:lang w:val="is-IS"/>
        </w:rPr>
        <w:lastRenderedPageBreak/>
        <w:t>Niðurstöður lokagreininga samkvæmt rannsóknaráætlun á hópnum sem fékk capecítabín í AVF3694g-rannsókninni, varðandi lifun án versnunar sjúkdóms og tíðni svörunar við meðferð, eru sýndar í töflu</w:t>
      </w:r>
      <w:r w:rsidR="0058789B">
        <w:rPr>
          <w:sz w:val="22"/>
          <w:szCs w:val="22"/>
          <w:lang w:val="is-IS"/>
        </w:rPr>
        <w:t> </w:t>
      </w:r>
      <w:r w:rsidRPr="00B64117">
        <w:rPr>
          <w:sz w:val="22"/>
          <w:szCs w:val="22"/>
          <w:lang w:val="is-IS"/>
        </w:rPr>
        <w:t>11. Niðurstöður úr könnunargreiningu á heildarlifun, sem tók að auki til 7</w:t>
      </w:r>
      <w:r w:rsidR="002040BE">
        <w:rPr>
          <w:sz w:val="22"/>
          <w:szCs w:val="22"/>
          <w:lang w:val="is-IS"/>
        </w:rPr>
        <w:t> </w:t>
      </w:r>
      <w:r w:rsidRPr="00B64117">
        <w:rPr>
          <w:sz w:val="22"/>
          <w:szCs w:val="22"/>
          <w:lang w:val="is-IS"/>
        </w:rPr>
        <w:t>mánaða eftirfylgnitímabils</w:t>
      </w:r>
      <w:r w:rsidR="00111FA1" w:rsidRPr="00B64117">
        <w:rPr>
          <w:sz w:val="22"/>
          <w:szCs w:val="22"/>
          <w:lang w:val="is-IS"/>
        </w:rPr>
        <w:t xml:space="preserve"> (um þaðð bil 46% sjúlinga létust)</w:t>
      </w:r>
      <w:r w:rsidRPr="00B64117">
        <w:rPr>
          <w:sz w:val="22"/>
          <w:szCs w:val="22"/>
          <w:lang w:val="is-IS"/>
        </w:rPr>
        <w:t xml:space="preserve">, eru einnig sýndar. Hlutfall sjúklinga sem fékk </w:t>
      </w:r>
      <w:r w:rsidR="00111FA1" w:rsidRPr="00B64117">
        <w:rPr>
          <w:sz w:val="22"/>
          <w:szCs w:val="22"/>
          <w:lang w:val="is-IS"/>
        </w:rPr>
        <w:t xml:space="preserve">bevacízúmab </w:t>
      </w:r>
      <w:r w:rsidRPr="00B64117">
        <w:rPr>
          <w:sz w:val="22"/>
          <w:szCs w:val="22"/>
          <w:lang w:val="is-IS"/>
        </w:rPr>
        <w:t xml:space="preserve">í opinni meðferð var 62,1% í hópnum sem fékk capecítabín + lyfleysa og 49,9% í hópnum sem fékk capecítabín + </w:t>
      </w:r>
      <w:r w:rsidR="00111FA1" w:rsidRPr="00B64117">
        <w:rPr>
          <w:sz w:val="22"/>
          <w:szCs w:val="22"/>
          <w:lang w:val="is-IS"/>
        </w:rPr>
        <w:t>bevacízúmab</w:t>
      </w:r>
      <w:r w:rsidRPr="00B64117">
        <w:rPr>
          <w:sz w:val="22"/>
          <w:szCs w:val="22"/>
          <w:lang w:val="is-IS"/>
        </w:rPr>
        <w:t>.</w:t>
      </w:r>
    </w:p>
    <w:p w14:paraId="0AECC21A" w14:textId="77777777" w:rsidR="00815FA8" w:rsidRPr="00B64117" w:rsidRDefault="00815FA8" w:rsidP="00815FA8">
      <w:pPr>
        <w:pStyle w:val="CM2"/>
        <w:widowControl/>
        <w:spacing w:line="240" w:lineRule="auto"/>
        <w:rPr>
          <w:i/>
          <w:iCs/>
          <w:sz w:val="22"/>
          <w:szCs w:val="22"/>
          <w:lang w:val="is-IS"/>
        </w:rPr>
      </w:pPr>
    </w:p>
    <w:p w14:paraId="37DF0E34" w14:textId="77777777" w:rsidR="00815FA8" w:rsidRPr="00B64117" w:rsidRDefault="00F826FE" w:rsidP="00815FA8">
      <w:pPr>
        <w:keepNext/>
        <w:autoSpaceDE w:val="0"/>
        <w:autoSpaceDN w:val="0"/>
        <w:adjustRightInd w:val="0"/>
        <w:spacing w:line="240" w:lineRule="auto"/>
        <w:rPr>
          <w:rFonts w:eastAsia="Calibri"/>
          <w:b/>
          <w:bCs/>
          <w:lang w:val="is-IS"/>
        </w:rPr>
      </w:pPr>
      <w:r w:rsidRPr="00B64117">
        <w:rPr>
          <w:b/>
          <w:bCs/>
          <w:lang w:val="is-IS"/>
        </w:rPr>
        <w:t>Tafla</w:t>
      </w:r>
      <w:r w:rsidR="0058789B">
        <w:rPr>
          <w:b/>
          <w:bCs/>
          <w:lang w:val="is-IS"/>
        </w:rPr>
        <w:t> </w:t>
      </w:r>
      <w:r w:rsidRPr="00B64117">
        <w:rPr>
          <w:b/>
          <w:bCs/>
          <w:lang w:val="is-IS"/>
        </w:rPr>
        <w:t>11 Niðurstöður AVF3694g-rannsóknarinnar varðandi verkun: – Capecítabín</w:t>
      </w:r>
      <w:r w:rsidR="0058789B" w:rsidRPr="00B64117">
        <w:rPr>
          <w:rFonts w:eastAsia="Calibri"/>
          <w:b/>
          <w:bCs/>
          <w:vertAlign w:val="superscript"/>
          <w:lang w:val="is-IS"/>
        </w:rPr>
        <w:t>a</w:t>
      </w:r>
      <w:r w:rsidRPr="00B64117">
        <w:rPr>
          <w:b/>
          <w:bCs/>
          <w:sz w:val="14"/>
          <w:szCs w:val="14"/>
          <w:lang w:val="is-IS"/>
        </w:rPr>
        <w:t xml:space="preserve"> </w:t>
      </w:r>
      <w:r w:rsidRPr="00B64117">
        <w:rPr>
          <w:b/>
          <w:bCs/>
          <w:lang w:val="is-IS"/>
        </w:rPr>
        <w:t xml:space="preserve">og bevacízúmab/lyfleysa (Cap+ </w:t>
      </w:r>
      <w:r w:rsidR="0058789B">
        <w:rPr>
          <w:b/>
          <w:bCs/>
          <w:lang w:val="is-IS"/>
        </w:rPr>
        <w:t>bevacízúmab</w:t>
      </w:r>
      <w:r w:rsidRPr="00B64117">
        <w:rPr>
          <w:b/>
          <w:bCs/>
          <w:lang w:val="is-IS"/>
        </w:rPr>
        <w:t>/Pl)</w:t>
      </w:r>
    </w:p>
    <w:p w14:paraId="0330A18F" w14:textId="77777777" w:rsidR="00815FA8" w:rsidRPr="00B64117" w:rsidRDefault="00815FA8" w:rsidP="00815FA8">
      <w:pPr>
        <w:pStyle w:val="Default"/>
        <w:keepNext/>
        <w:rPr>
          <w:sz w:val="22"/>
          <w:szCs w:val="22"/>
          <w:lang w:val="is-IS" w:eastAsia="en-US"/>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815FA8" w:rsidRPr="00E30038" w14:paraId="0D0D3D71" w14:textId="77777777" w:rsidTr="00781331">
        <w:trPr>
          <w:trHeight w:val="300"/>
          <w:tblHeader/>
        </w:trPr>
        <w:tc>
          <w:tcPr>
            <w:tcW w:w="9229" w:type="dxa"/>
            <w:gridSpan w:val="6"/>
            <w:noWrap/>
            <w:vAlign w:val="bottom"/>
            <w:hideMark/>
          </w:tcPr>
          <w:p w14:paraId="7BB2950E" w14:textId="77777777" w:rsidR="00815FA8" w:rsidRPr="00E30038" w:rsidRDefault="00F826FE" w:rsidP="002040BE">
            <w:pPr>
              <w:keepNext/>
              <w:spacing w:line="240" w:lineRule="auto"/>
            </w:pPr>
            <w:proofErr w:type="spellStart"/>
            <w:r>
              <w:t>Tími</w:t>
            </w:r>
            <w:proofErr w:type="spellEnd"/>
            <w:r>
              <w:t xml:space="preserve"> </w:t>
            </w:r>
            <w:proofErr w:type="spellStart"/>
            <w:r>
              <w:t>fram</w:t>
            </w:r>
            <w:proofErr w:type="spellEnd"/>
            <w:r>
              <w:t xml:space="preserve"> </w:t>
            </w:r>
            <w:proofErr w:type="spellStart"/>
            <w:r>
              <w:t>að</w:t>
            </w:r>
            <w:proofErr w:type="spellEnd"/>
            <w:r>
              <w:t xml:space="preserve"> </w:t>
            </w:r>
            <w:proofErr w:type="spellStart"/>
            <w:r>
              <w:t>versnun</w:t>
            </w:r>
            <w:r w:rsidR="002040BE" w:rsidRPr="00B64117">
              <w:rPr>
                <w:vertAlign w:val="superscript"/>
              </w:rPr>
              <w:t>b</w:t>
            </w:r>
            <w:proofErr w:type="spellEnd"/>
          </w:p>
        </w:tc>
      </w:tr>
      <w:tr w:rsidR="00815FA8" w:rsidRPr="00E30038" w14:paraId="03BC2EDD" w14:textId="77777777" w:rsidTr="00781331">
        <w:trPr>
          <w:trHeight w:val="300"/>
          <w:tblHeader/>
        </w:trPr>
        <w:tc>
          <w:tcPr>
            <w:tcW w:w="2140" w:type="dxa"/>
            <w:noWrap/>
            <w:vAlign w:val="bottom"/>
            <w:hideMark/>
          </w:tcPr>
          <w:p w14:paraId="4FFACC20" w14:textId="77777777" w:rsidR="00815FA8" w:rsidRPr="00E30038" w:rsidRDefault="00815FA8" w:rsidP="00781331">
            <w:pPr>
              <w:keepNext/>
              <w:spacing w:line="240" w:lineRule="auto"/>
            </w:pPr>
          </w:p>
        </w:tc>
        <w:tc>
          <w:tcPr>
            <w:tcW w:w="3395" w:type="dxa"/>
            <w:gridSpan w:val="2"/>
            <w:noWrap/>
            <w:vAlign w:val="bottom"/>
            <w:hideMark/>
          </w:tcPr>
          <w:p w14:paraId="6375CAAE" w14:textId="77777777" w:rsidR="00815FA8" w:rsidRPr="00E30038" w:rsidRDefault="00F826FE" w:rsidP="002040BE">
            <w:pPr>
              <w:keepNext/>
              <w:spacing w:line="240" w:lineRule="auto"/>
            </w:pPr>
            <w:r>
              <w:t xml:space="preserve">Mat </w:t>
            </w:r>
            <w:proofErr w:type="spellStart"/>
            <w:r>
              <w:t>rannsakanda</w:t>
            </w:r>
            <w:proofErr w:type="spellEnd"/>
            <w:r w:rsidR="00815FA8" w:rsidRPr="00E30038">
              <w:t xml:space="preserve"> </w:t>
            </w:r>
          </w:p>
        </w:tc>
        <w:tc>
          <w:tcPr>
            <w:tcW w:w="3694" w:type="dxa"/>
            <w:gridSpan w:val="3"/>
            <w:noWrap/>
            <w:vAlign w:val="bottom"/>
            <w:hideMark/>
          </w:tcPr>
          <w:p w14:paraId="38ED53FF" w14:textId="77777777" w:rsidR="00815FA8" w:rsidRPr="00E30038" w:rsidRDefault="00F826FE" w:rsidP="00B64117">
            <w:pPr>
              <w:keepNext/>
              <w:spacing w:line="240" w:lineRule="auto"/>
            </w:pPr>
            <w:r>
              <w:t xml:space="preserve">Mat </w:t>
            </w:r>
            <w:proofErr w:type="spellStart"/>
            <w:r>
              <w:t>óháðrar</w:t>
            </w:r>
            <w:proofErr w:type="spellEnd"/>
            <w:r>
              <w:t xml:space="preserve"> </w:t>
            </w:r>
            <w:proofErr w:type="spellStart"/>
            <w:r>
              <w:t>matsneefndar</w:t>
            </w:r>
            <w:proofErr w:type="spellEnd"/>
            <w:r w:rsidR="00815FA8" w:rsidRPr="00E30038">
              <w:t xml:space="preserve"> </w:t>
            </w:r>
          </w:p>
        </w:tc>
      </w:tr>
      <w:tr w:rsidR="00815FA8" w:rsidRPr="00E30038" w14:paraId="3A8834C5" w14:textId="77777777" w:rsidTr="00781331">
        <w:trPr>
          <w:trHeight w:val="300"/>
          <w:tblHeader/>
        </w:trPr>
        <w:tc>
          <w:tcPr>
            <w:tcW w:w="2140" w:type="dxa"/>
            <w:noWrap/>
            <w:vAlign w:val="bottom"/>
            <w:hideMark/>
          </w:tcPr>
          <w:p w14:paraId="655E83DD" w14:textId="77777777" w:rsidR="00815FA8" w:rsidRPr="00E30038" w:rsidRDefault="00815FA8" w:rsidP="00781331">
            <w:pPr>
              <w:keepNext/>
              <w:spacing w:line="240" w:lineRule="auto"/>
            </w:pPr>
          </w:p>
        </w:tc>
        <w:tc>
          <w:tcPr>
            <w:tcW w:w="1561" w:type="dxa"/>
            <w:noWrap/>
            <w:hideMark/>
          </w:tcPr>
          <w:p w14:paraId="75F59C3C" w14:textId="77777777" w:rsidR="00815FA8" w:rsidRPr="00E30038" w:rsidRDefault="00815FA8" w:rsidP="00781331">
            <w:pPr>
              <w:keepNext/>
              <w:spacing w:line="240" w:lineRule="auto"/>
              <w:jc w:val="center"/>
            </w:pPr>
            <w:r w:rsidRPr="00E30038">
              <w:t>Cap + Pl</w:t>
            </w:r>
          </w:p>
          <w:p w14:paraId="6A7799AA" w14:textId="77777777" w:rsidR="00815FA8" w:rsidRPr="00E30038" w:rsidRDefault="00815FA8" w:rsidP="00781331">
            <w:pPr>
              <w:keepNext/>
              <w:spacing w:line="240" w:lineRule="auto"/>
              <w:jc w:val="center"/>
            </w:pPr>
            <w:r w:rsidRPr="00E30038">
              <w:t>(n = 206)</w:t>
            </w:r>
          </w:p>
        </w:tc>
        <w:tc>
          <w:tcPr>
            <w:tcW w:w="1834" w:type="dxa"/>
            <w:noWrap/>
            <w:hideMark/>
          </w:tcPr>
          <w:p w14:paraId="094EEFF2" w14:textId="77777777" w:rsidR="00815FA8" w:rsidRPr="00E30038" w:rsidRDefault="00815FA8" w:rsidP="002040BE">
            <w:pPr>
              <w:keepNext/>
              <w:spacing w:line="240" w:lineRule="auto"/>
              <w:jc w:val="center"/>
            </w:pPr>
            <w:r w:rsidRPr="00E30038">
              <w:t xml:space="preserve">Cap + </w:t>
            </w:r>
            <w:proofErr w:type="spellStart"/>
            <w:r w:rsidRPr="00E30038">
              <w:t>bevac</w:t>
            </w:r>
            <w:r w:rsidR="00F826FE">
              <w:t>í</w:t>
            </w:r>
            <w:r w:rsidRPr="00E30038">
              <w:t>z</w:t>
            </w:r>
            <w:r w:rsidR="00F826FE">
              <w:t>ú</w:t>
            </w:r>
            <w:r w:rsidRPr="00E30038">
              <w:t>mab</w:t>
            </w:r>
            <w:proofErr w:type="spellEnd"/>
            <w:r w:rsidRPr="00E30038">
              <w:t xml:space="preserve"> (n = 409)</w:t>
            </w:r>
          </w:p>
        </w:tc>
        <w:tc>
          <w:tcPr>
            <w:tcW w:w="1849" w:type="dxa"/>
            <w:gridSpan w:val="2"/>
            <w:noWrap/>
            <w:hideMark/>
          </w:tcPr>
          <w:p w14:paraId="3457BA95" w14:textId="77777777" w:rsidR="00815FA8" w:rsidRPr="00E30038" w:rsidRDefault="00815FA8" w:rsidP="00781331">
            <w:pPr>
              <w:keepNext/>
              <w:spacing w:line="240" w:lineRule="auto"/>
              <w:jc w:val="center"/>
            </w:pPr>
            <w:r w:rsidRPr="00E30038">
              <w:t>Cap + Pl</w:t>
            </w:r>
          </w:p>
          <w:p w14:paraId="249DAB4A" w14:textId="77777777" w:rsidR="00815FA8" w:rsidRPr="00E30038" w:rsidRDefault="00815FA8" w:rsidP="00781331">
            <w:pPr>
              <w:keepNext/>
              <w:spacing w:line="240" w:lineRule="auto"/>
              <w:jc w:val="center"/>
            </w:pPr>
            <w:r w:rsidRPr="00E30038">
              <w:t>(n = 206)</w:t>
            </w:r>
          </w:p>
        </w:tc>
        <w:tc>
          <w:tcPr>
            <w:tcW w:w="1845" w:type="dxa"/>
            <w:noWrap/>
            <w:hideMark/>
          </w:tcPr>
          <w:p w14:paraId="4FC10275" w14:textId="77777777" w:rsidR="00815FA8" w:rsidRPr="00E30038" w:rsidRDefault="00815FA8" w:rsidP="002040BE">
            <w:pPr>
              <w:keepNext/>
              <w:spacing w:line="240" w:lineRule="auto"/>
              <w:jc w:val="center"/>
            </w:pPr>
            <w:r w:rsidRPr="00E30038">
              <w:t xml:space="preserve">Cap + </w:t>
            </w:r>
            <w:proofErr w:type="spellStart"/>
            <w:r w:rsidRPr="00E30038">
              <w:t>bevac</w:t>
            </w:r>
            <w:r w:rsidR="00F826FE">
              <w:t>í</w:t>
            </w:r>
            <w:r w:rsidRPr="00E30038">
              <w:t>z</w:t>
            </w:r>
            <w:r w:rsidR="00F826FE">
              <w:t>ú</w:t>
            </w:r>
            <w:r w:rsidRPr="00E30038">
              <w:t>mab</w:t>
            </w:r>
            <w:proofErr w:type="spellEnd"/>
            <w:r w:rsidRPr="00E30038">
              <w:t xml:space="preserve"> (n = 409)</w:t>
            </w:r>
          </w:p>
        </w:tc>
      </w:tr>
      <w:tr w:rsidR="00815FA8" w:rsidRPr="00E30038" w14:paraId="104A0AB2" w14:textId="77777777" w:rsidTr="00781331">
        <w:trPr>
          <w:trHeight w:val="300"/>
        </w:trPr>
        <w:tc>
          <w:tcPr>
            <w:tcW w:w="2140" w:type="dxa"/>
            <w:noWrap/>
            <w:vAlign w:val="bottom"/>
            <w:hideMark/>
          </w:tcPr>
          <w:p w14:paraId="165D437C" w14:textId="77777777" w:rsidR="00815FA8" w:rsidRPr="00E30038" w:rsidRDefault="00F826FE" w:rsidP="002040BE">
            <w:pPr>
              <w:spacing w:line="240" w:lineRule="auto"/>
            </w:pPr>
            <w:proofErr w:type="spellStart"/>
            <w:r>
              <w:t>Miðgildi</w:t>
            </w:r>
            <w:proofErr w:type="spellEnd"/>
            <w:r>
              <w:t xml:space="preserve"> </w:t>
            </w:r>
            <w:proofErr w:type="spellStart"/>
            <w:r>
              <w:t>lifunar</w:t>
            </w:r>
            <w:proofErr w:type="spellEnd"/>
            <w:r>
              <w:t xml:space="preserve"> </w:t>
            </w:r>
            <w:proofErr w:type="spellStart"/>
            <w:r>
              <w:t>án</w:t>
            </w:r>
            <w:proofErr w:type="spellEnd"/>
            <w:r>
              <w:t xml:space="preserve"> </w:t>
            </w:r>
            <w:proofErr w:type="spellStart"/>
            <w:r>
              <w:t>versnunar</w:t>
            </w:r>
            <w:proofErr w:type="spellEnd"/>
            <w:r>
              <w:t xml:space="preserve"> </w:t>
            </w:r>
            <w:proofErr w:type="spellStart"/>
            <w:r>
              <w:t>sjúkdoms</w:t>
            </w:r>
            <w:proofErr w:type="spellEnd"/>
            <w:r>
              <w:t xml:space="preserve"> (</w:t>
            </w:r>
            <w:proofErr w:type="spellStart"/>
            <w:r>
              <w:t>mánuðir</w:t>
            </w:r>
            <w:proofErr w:type="spellEnd"/>
            <w:r>
              <w:t>)</w:t>
            </w:r>
            <w:r w:rsidR="00815FA8" w:rsidRPr="00E30038">
              <w:t xml:space="preserve"> </w:t>
            </w:r>
          </w:p>
        </w:tc>
        <w:tc>
          <w:tcPr>
            <w:tcW w:w="1561" w:type="dxa"/>
            <w:noWrap/>
            <w:vAlign w:val="center"/>
            <w:hideMark/>
          </w:tcPr>
          <w:p w14:paraId="12F29E54" w14:textId="77777777" w:rsidR="00815FA8" w:rsidRPr="00E30038" w:rsidRDefault="00815FA8" w:rsidP="00B64117">
            <w:pPr>
              <w:spacing w:line="240" w:lineRule="auto"/>
              <w:jc w:val="center"/>
            </w:pPr>
            <w:r w:rsidRPr="00E30038">
              <w:t>5</w:t>
            </w:r>
            <w:r w:rsidR="00F826FE">
              <w:t>,</w:t>
            </w:r>
            <w:r w:rsidRPr="00E30038">
              <w:t>7</w:t>
            </w:r>
          </w:p>
        </w:tc>
        <w:tc>
          <w:tcPr>
            <w:tcW w:w="1834" w:type="dxa"/>
            <w:noWrap/>
            <w:vAlign w:val="center"/>
            <w:hideMark/>
          </w:tcPr>
          <w:p w14:paraId="00B0AB6D" w14:textId="77777777" w:rsidR="00815FA8" w:rsidRPr="00E30038" w:rsidRDefault="00815FA8" w:rsidP="00B64117">
            <w:pPr>
              <w:spacing w:line="240" w:lineRule="auto"/>
              <w:jc w:val="center"/>
            </w:pPr>
            <w:r w:rsidRPr="00E30038">
              <w:t>8</w:t>
            </w:r>
            <w:r w:rsidR="00F826FE">
              <w:t>,</w:t>
            </w:r>
            <w:r w:rsidRPr="00E30038">
              <w:t>6</w:t>
            </w:r>
          </w:p>
        </w:tc>
        <w:tc>
          <w:tcPr>
            <w:tcW w:w="1849" w:type="dxa"/>
            <w:gridSpan w:val="2"/>
            <w:noWrap/>
            <w:vAlign w:val="center"/>
            <w:hideMark/>
          </w:tcPr>
          <w:p w14:paraId="14AD1CD6" w14:textId="77777777" w:rsidR="00815FA8" w:rsidRPr="00E30038" w:rsidRDefault="00815FA8" w:rsidP="00B64117">
            <w:pPr>
              <w:spacing w:line="240" w:lineRule="auto"/>
              <w:jc w:val="center"/>
            </w:pPr>
            <w:r w:rsidRPr="00E30038">
              <w:t>6</w:t>
            </w:r>
            <w:r w:rsidR="00F826FE">
              <w:t>,</w:t>
            </w:r>
            <w:r w:rsidRPr="00E30038">
              <w:t>2</w:t>
            </w:r>
          </w:p>
        </w:tc>
        <w:tc>
          <w:tcPr>
            <w:tcW w:w="1845" w:type="dxa"/>
            <w:noWrap/>
            <w:vAlign w:val="center"/>
            <w:hideMark/>
          </w:tcPr>
          <w:p w14:paraId="503805F9" w14:textId="77777777" w:rsidR="00815FA8" w:rsidRPr="00E30038" w:rsidRDefault="00815FA8" w:rsidP="00B64117">
            <w:pPr>
              <w:spacing w:line="240" w:lineRule="auto"/>
              <w:jc w:val="center"/>
            </w:pPr>
            <w:r w:rsidRPr="00E30038">
              <w:t>9</w:t>
            </w:r>
            <w:r w:rsidR="00F826FE">
              <w:t>,</w:t>
            </w:r>
            <w:r w:rsidRPr="00E30038">
              <w:t>8</w:t>
            </w:r>
          </w:p>
        </w:tc>
      </w:tr>
      <w:tr w:rsidR="00815FA8" w:rsidRPr="00E30038" w14:paraId="01748B54" w14:textId="77777777" w:rsidTr="00781331">
        <w:trPr>
          <w:trHeight w:val="300"/>
        </w:trPr>
        <w:tc>
          <w:tcPr>
            <w:tcW w:w="2140" w:type="dxa"/>
            <w:noWrap/>
            <w:vAlign w:val="bottom"/>
            <w:hideMark/>
          </w:tcPr>
          <w:p w14:paraId="038919BF" w14:textId="77777777" w:rsidR="00815FA8" w:rsidRPr="00E30038" w:rsidRDefault="00E0001D" w:rsidP="00781331">
            <w:pPr>
              <w:spacing w:line="240" w:lineRule="auto"/>
            </w:pPr>
            <w:proofErr w:type="spellStart"/>
            <w:r>
              <w:t>Áhættuhlutfall</w:t>
            </w:r>
            <w:proofErr w:type="spellEnd"/>
            <w:r>
              <w:t xml:space="preserve">, </w:t>
            </w:r>
            <w:proofErr w:type="spellStart"/>
            <w:r>
              <w:t>borið</w:t>
            </w:r>
            <w:proofErr w:type="spellEnd"/>
            <w:r>
              <w:t xml:space="preserve"> saman </w:t>
            </w:r>
            <w:proofErr w:type="spellStart"/>
            <w:r>
              <w:t>við</w:t>
            </w:r>
            <w:proofErr w:type="spellEnd"/>
            <w:r>
              <w:t xml:space="preserve"> </w:t>
            </w:r>
            <w:proofErr w:type="spellStart"/>
            <w:r>
              <w:t>lyfleysu</w:t>
            </w:r>
            <w:proofErr w:type="spellEnd"/>
            <w:r w:rsidR="00815FA8" w:rsidRPr="00E30038">
              <w:t xml:space="preserve"> </w:t>
            </w:r>
          </w:p>
          <w:p w14:paraId="3DAD6803" w14:textId="63C78CE3" w:rsidR="00815FA8" w:rsidRPr="00E30038" w:rsidRDefault="00815FA8" w:rsidP="002040BE">
            <w:pPr>
              <w:spacing w:line="240" w:lineRule="auto"/>
            </w:pPr>
            <w:r w:rsidRPr="00E30038">
              <w:t xml:space="preserve">(95% </w:t>
            </w:r>
            <w:proofErr w:type="spellStart"/>
            <w:r w:rsidR="008872A8">
              <w:t>öryggisbil</w:t>
            </w:r>
            <w:proofErr w:type="spellEnd"/>
            <w:r w:rsidRPr="00E30038">
              <w:t xml:space="preserve">) </w:t>
            </w:r>
          </w:p>
        </w:tc>
        <w:tc>
          <w:tcPr>
            <w:tcW w:w="3395" w:type="dxa"/>
            <w:gridSpan w:val="2"/>
            <w:noWrap/>
            <w:hideMark/>
          </w:tcPr>
          <w:p w14:paraId="407C1AB3" w14:textId="77777777" w:rsidR="00815FA8" w:rsidRPr="00E30038" w:rsidRDefault="00815FA8" w:rsidP="00B64117">
            <w:pPr>
              <w:spacing w:line="240" w:lineRule="auto"/>
              <w:jc w:val="center"/>
            </w:pPr>
            <w:r w:rsidRPr="00E30038">
              <w:t>0</w:t>
            </w:r>
            <w:r w:rsidR="00E0001D">
              <w:t>,</w:t>
            </w:r>
            <w:r w:rsidRPr="00E30038">
              <w:t>69 (0</w:t>
            </w:r>
            <w:r w:rsidR="00E0001D">
              <w:t>,</w:t>
            </w:r>
            <w:r w:rsidRPr="00E30038">
              <w:t>56; 0</w:t>
            </w:r>
            <w:r w:rsidR="00E0001D">
              <w:t>,</w:t>
            </w:r>
            <w:r w:rsidRPr="00E30038">
              <w:t>84)</w:t>
            </w:r>
          </w:p>
        </w:tc>
        <w:tc>
          <w:tcPr>
            <w:tcW w:w="3694" w:type="dxa"/>
            <w:gridSpan w:val="3"/>
            <w:noWrap/>
            <w:hideMark/>
          </w:tcPr>
          <w:p w14:paraId="7419162C" w14:textId="77777777" w:rsidR="00815FA8" w:rsidRPr="00E30038" w:rsidRDefault="00815FA8" w:rsidP="00B64117">
            <w:pPr>
              <w:spacing w:line="240" w:lineRule="auto"/>
              <w:jc w:val="center"/>
            </w:pPr>
            <w:r w:rsidRPr="00E30038">
              <w:t>0</w:t>
            </w:r>
            <w:r w:rsidR="00E0001D">
              <w:t>,</w:t>
            </w:r>
            <w:r w:rsidRPr="00E30038">
              <w:t>68 (0</w:t>
            </w:r>
            <w:r w:rsidR="00E0001D">
              <w:t>,</w:t>
            </w:r>
            <w:r w:rsidRPr="00E30038">
              <w:t>54; 0</w:t>
            </w:r>
            <w:r w:rsidR="00E0001D">
              <w:t>,</w:t>
            </w:r>
            <w:r w:rsidRPr="00E30038">
              <w:t>86)</w:t>
            </w:r>
          </w:p>
        </w:tc>
      </w:tr>
      <w:tr w:rsidR="00815FA8" w:rsidRPr="00E30038" w14:paraId="5E298BDE" w14:textId="77777777" w:rsidTr="00781331">
        <w:trPr>
          <w:trHeight w:val="300"/>
        </w:trPr>
        <w:tc>
          <w:tcPr>
            <w:tcW w:w="2140" w:type="dxa"/>
            <w:noWrap/>
            <w:vAlign w:val="bottom"/>
            <w:hideMark/>
          </w:tcPr>
          <w:p w14:paraId="6F11B402" w14:textId="77777777" w:rsidR="00815FA8" w:rsidRPr="00E30038" w:rsidRDefault="00815FA8" w:rsidP="002040BE">
            <w:pPr>
              <w:spacing w:line="240" w:lineRule="auto"/>
            </w:pPr>
            <w:r>
              <w:t>p</w:t>
            </w:r>
            <w:r w:rsidRPr="00776E4B">
              <w:rPr>
                <w:rFonts w:eastAsia="Calibri"/>
              </w:rPr>
              <w:t>-</w:t>
            </w:r>
            <w:proofErr w:type="spellStart"/>
            <w:r w:rsidR="00E0001D">
              <w:rPr>
                <w:rFonts w:eastAsia="Calibri"/>
              </w:rPr>
              <w:t>gildi</w:t>
            </w:r>
            <w:proofErr w:type="spellEnd"/>
            <w:r w:rsidRPr="00E30038">
              <w:t xml:space="preserve"> </w:t>
            </w:r>
          </w:p>
        </w:tc>
        <w:tc>
          <w:tcPr>
            <w:tcW w:w="3395" w:type="dxa"/>
            <w:gridSpan w:val="2"/>
            <w:noWrap/>
            <w:vAlign w:val="bottom"/>
            <w:hideMark/>
          </w:tcPr>
          <w:p w14:paraId="1533AE29" w14:textId="77777777" w:rsidR="00815FA8" w:rsidRPr="00E30038" w:rsidRDefault="00815FA8" w:rsidP="00B64117">
            <w:pPr>
              <w:spacing w:line="240" w:lineRule="auto"/>
              <w:jc w:val="center"/>
            </w:pPr>
            <w:r w:rsidRPr="00E30038">
              <w:t>0</w:t>
            </w:r>
            <w:r w:rsidR="00E0001D">
              <w:t>,</w:t>
            </w:r>
            <w:r w:rsidRPr="00E30038">
              <w:t>0002</w:t>
            </w:r>
          </w:p>
        </w:tc>
        <w:tc>
          <w:tcPr>
            <w:tcW w:w="3694" w:type="dxa"/>
            <w:gridSpan w:val="3"/>
            <w:noWrap/>
            <w:vAlign w:val="bottom"/>
            <w:hideMark/>
          </w:tcPr>
          <w:p w14:paraId="7AAD1C74" w14:textId="77777777" w:rsidR="00815FA8" w:rsidRPr="00E30038" w:rsidRDefault="00815FA8" w:rsidP="00B64117">
            <w:pPr>
              <w:spacing w:line="240" w:lineRule="auto"/>
              <w:jc w:val="center"/>
            </w:pPr>
            <w:r w:rsidRPr="00E30038">
              <w:t>0</w:t>
            </w:r>
            <w:r w:rsidR="00E0001D">
              <w:t>,</w:t>
            </w:r>
            <w:r w:rsidRPr="00E30038">
              <w:t>0011</w:t>
            </w:r>
          </w:p>
        </w:tc>
      </w:tr>
      <w:tr w:rsidR="00815FA8" w:rsidRPr="00E30038" w14:paraId="27266152" w14:textId="77777777" w:rsidTr="00781331">
        <w:trPr>
          <w:trHeight w:val="300"/>
        </w:trPr>
        <w:tc>
          <w:tcPr>
            <w:tcW w:w="9229" w:type="dxa"/>
            <w:gridSpan w:val="6"/>
            <w:noWrap/>
            <w:vAlign w:val="bottom"/>
            <w:hideMark/>
          </w:tcPr>
          <w:p w14:paraId="7AE7BC0E" w14:textId="77777777" w:rsidR="00815FA8" w:rsidRPr="00E30038" w:rsidRDefault="00E0001D" w:rsidP="002040BE">
            <w:pPr>
              <w:spacing w:line="240" w:lineRule="auto"/>
            </w:pPr>
            <w:proofErr w:type="spellStart"/>
            <w:r>
              <w:t>Tíðni</w:t>
            </w:r>
            <w:proofErr w:type="spellEnd"/>
            <w:r>
              <w:t xml:space="preserve"> </w:t>
            </w:r>
            <w:proofErr w:type="spellStart"/>
            <w:r>
              <w:t>svörunar</w:t>
            </w:r>
            <w:proofErr w:type="spellEnd"/>
            <w:r>
              <w:t xml:space="preserve"> </w:t>
            </w:r>
            <w:proofErr w:type="spellStart"/>
            <w:r>
              <w:t>við</w:t>
            </w:r>
            <w:proofErr w:type="spellEnd"/>
            <w:r>
              <w:t xml:space="preserve"> </w:t>
            </w:r>
            <w:proofErr w:type="spellStart"/>
            <w:r>
              <w:t>meðferð</w:t>
            </w:r>
            <w:proofErr w:type="spellEnd"/>
            <w:r>
              <w:t xml:space="preserve"> </w:t>
            </w:r>
            <w:r w:rsidR="00815FA8" w:rsidRPr="00E30038">
              <w:t>(</w:t>
            </w:r>
            <w:proofErr w:type="spellStart"/>
            <w:r>
              <w:t>fyrir</w:t>
            </w:r>
            <w:proofErr w:type="spellEnd"/>
            <w:r>
              <w:t xml:space="preserve"> </w:t>
            </w:r>
            <w:proofErr w:type="spellStart"/>
            <w:r>
              <w:t>sjúklinga</w:t>
            </w:r>
            <w:proofErr w:type="spellEnd"/>
            <w:r>
              <w:t xml:space="preserve"> </w:t>
            </w:r>
            <w:proofErr w:type="spellStart"/>
            <w:r>
              <w:t>með</w:t>
            </w:r>
            <w:proofErr w:type="spellEnd"/>
            <w:r>
              <w:t xml:space="preserve"> </w:t>
            </w:r>
            <w:proofErr w:type="spellStart"/>
            <w:r>
              <w:t>mælanlegan</w:t>
            </w:r>
            <w:proofErr w:type="spellEnd"/>
            <w:r>
              <w:t xml:space="preserve"> </w:t>
            </w:r>
            <w:proofErr w:type="spellStart"/>
            <w:proofErr w:type="gramStart"/>
            <w:r>
              <w:t>sjúkdóm</w:t>
            </w:r>
            <w:proofErr w:type="spellEnd"/>
            <w:r w:rsidR="00815FA8" w:rsidRPr="00E30038">
              <w:t>)</w:t>
            </w:r>
            <w:r w:rsidR="00815FA8" w:rsidRPr="00E30038">
              <w:rPr>
                <w:vertAlign w:val="superscript"/>
              </w:rPr>
              <w:t>b</w:t>
            </w:r>
            <w:proofErr w:type="gramEnd"/>
            <w:r w:rsidR="00815FA8" w:rsidRPr="00E30038">
              <w:t xml:space="preserve"> </w:t>
            </w:r>
          </w:p>
        </w:tc>
      </w:tr>
      <w:tr w:rsidR="00815FA8" w:rsidRPr="00E30038" w14:paraId="6EF9CFF5" w14:textId="77777777" w:rsidTr="00781331">
        <w:trPr>
          <w:trHeight w:val="300"/>
        </w:trPr>
        <w:tc>
          <w:tcPr>
            <w:tcW w:w="2140" w:type="dxa"/>
            <w:noWrap/>
            <w:vAlign w:val="bottom"/>
            <w:hideMark/>
          </w:tcPr>
          <w:p w14:paraId="06704090" w14:textId="77777777" w:rsidR="00815FA8" w:rsidRPr="00E30038" w:rsidRDefault="00815FA8" w:rsidP="00781331">
            <w:pPr>
              <w:spacing w:line="240" w:lineRule="auto"/>
            </w:pPr>
          </w:p>
        </w:tc>
        <w:tc>
          <w:tcPr>
            <w:tcW w:w="3402" w:type="dxa"/>
            <w:gridSpan w:val="3"/>
            <w:noWrap/>
            <w:vAlign w:val="bottom"/>
            <w:hideMark/>
          </w:tcPr>
          <w:p w14:paraId="1B698984" w14:textId="77777777" w:rsidR="00815FA8" w:rsidRPr="00E30038" w:rsidRDefault="00815FA8" w:rsidP="00781331">
            <w:pPr>
              <w:spacing w:line="240" w:lineRule="auto"/>
              <w:jc w:val="center"/>
            </w:pPr>
            <w:r w:rsidRPr="00E30038">
              <w:t>Cap + Pl (n = 161)</w:t>
            </w:r>
          </w:p>
        </w:tc>
        <w:tc>
          <w:tcPr>
            <w:tcW w:w="3687" w:type="dxa"/>
            <w:gridSpan w:val="2"/>
            <w:noWrap/>
            <w:vAlign w:val="bottom"/>
            <w:hideMark/>
          </w:tcPr>
          <w:p w14:paraId="3ACD3F15" w14:textId="77777777" w:rsidR="00815FA8" w:rsidRPr="00E30038" w:rsidRDefault="00815FA8" w:rsidP="002040BE">
            <w:pPr>
              <w:spacing w:line="240" w:lineRule="auto"/>
              <w:jc w:val="center"/>
            </w:pPr>
            <w:r w:rsidRPr="00E30038">
              <w:t xml:space="preserve">Cap + </w:t>
            </w:r>
            <w:proofErr w:type="spellStart"/>
            <w:r w:rsidRPr="00E30038">
              <w:t>bevac</w:t>
            </w:r>
            <w:r w:rsidR="00E0001D">
              <w:t>í</w:t>
            </w:r>
            <w:r w:rsidRPr="00E30038">
              <w:t>z</w:t>
            </w:r>
            <w:r w:rsidR="00E0001D">
              <w:t>ú</w:t>
            </w:r>
            <w:r w:rsidRPr="00E30038">
              <w:t>mab</w:t>
            </w:r>
            <w:proofErr w:type="spellEnd"/>
            <w:r w:rsidRPr="00E30038">
              <w:t xml:space="preserve"> (n = 325)</w:t>
            </w:r>
          </w:p>
        </w:tc>
      </w:tr>
      <w:tr w:rsidR="00815FA8" w:rsidRPr="00E30038" w14:paraId="188B23E2" w14:textId="77777777" w:rsidTr="00781331">
        <w:trPr>
          <w:trHeight w:val="300"/>
        </w:trPr>
        <w:tc>
          <w:tcPr>
            <w:tcW w:w="2140" w:type="dxa"/>
            <w:noWrap/>
            <w:vAlign w:val="bottom"/>
            <w:hideMark/>
          </w:tcPr>
          <w:p w14:paraId="00ABE737" w14:textId="77777777" w:rsidR="00815FA8" w:rsidRPr="00E30038" w:rsidRDefault="00815FA8" w:rsidP="002040BE">
            <w:pPr>
              <w:spacing w:line="240" w:lineRule="auto"/>
            </w:pPr>
            <w:r w:rsidRPr="00E30038">
              <w:t xml:space="preserve">% </w:t>
            </w:r>
            <w:proofErr w:type="spellStart"/>
            <w:r w:rsidR="00E0001D">
              <w:t>sjúklinga</w:t>
            </w:r>
            <w:proofErr w:type="spellEnd"/>
            <w:r w:rsidR="00E0001D">
              <w:t xml:space="preserve"> </w:t>
            </w:r>
            <w:proofErr w:type="spellStart"/>
            <w:r w:rsidR="00E0001D">
              <w:t>með</w:t>
            </w:r>
            <w:proofErr w:type="spellEnd"/>
            <w:r w:rsidR="00E0001D">
              <w:t xml:space="preserve"> </w:t>
            </w:r>
            <w:proofErr w:type="spellStart"/>
            <w:r w:rsidR="00E0001D">
              <w:t>hlutlæga</w:t>
            </w:r>
            <w:proofErr w:type="spellEnd"/>
            <w:r w:rsidR="00E0001D">
              <w:t xml:space="preserve"> </w:t>
            </w:r>
            <w:proofErr w:type="spellStart"/>
            <w:r w:rsidR="00E0001D">
              <w:t>svörun</w:t>
            </w:r>
            <w:proofErr w:type="spellEnd"/>
            <w:r w:rsidRPr="00E30038">
              <w:t xml:space="preserve"> </w:t>
            </w:r>
          </w:p>
        </w:tc>
        <w:tc>
          <w:tcPr>
            <w:tcW w:w="3402" w:type="dxa"/>
            <w:gridSpan w:val="3"/>
            <w:noWrap/>
            <w:hideMark/>
          </w:tcPr>
          <w:p w14:paraId="5DD1CA2C" w14:textId="77777777" w:rsidR="00815FA8" w:rsidRPr="00E30038" w:rsidRDefault="00815FA8" w:rsidP="00B64117">
            <w:pPr>
              <w:spacing w:line="240" w:lineRule="auto"/>
              <w:jc w:val="center"/>
            </w:pPr>
            <w:r w:rsidRPr="00E30038">
              <w:t>23</w:t>
            </w:r>
            <w:r w:rsidR="00E0001D">
              <w:t>,</w:t>
            </w:r>
            <w:r w:rsidRPr="00E30038">
              <w:t>6</w:t>
            </w:r>
          </w:p>
        </w:tc>
        <w:tc>
          <w:tcPr>
            <w:tcW w:w="3687" w:type="dxa"/>
            <w:gridSpan w:val="2"/>
            <w:noWrap/>
            <w:hideMark/>
          </w:tcPr>
          <w:p w14:paraId="5445E5BB" w14:textId="77777777" w:rsidR="00815FA8" w:rsidRPr="00E30038" w:rsidRDefault="00815FA8" w:rsidP="00B64117">
            <w:pPr>
              <w:spacing w:line="240" w:lineRule="auto"/>
              <w:jc w:val="center"/>
            </w:pPr>
            <w:r w:rsidRPr="00E30038">
              <w:t>35</w:t>
            </w:r>
            <w:r w:rsidR="00E0001D">
              <w:t>,</w:t>
            </w:r>
            <w:r w:rsidRPr="00E30038">
              <w:t>4</w:t>
            </w:r>
          </w:p>
        </w:tc>
      </w:tr>
      <w:tr w:rsidR="00815FA8" w:rsidRPr="00E30038" w14:paraId="5A35232C" w14:textId="77777777" w:rsidTr="00781331">
        <w:trPr>
          <w:trHeight w:val="300"/>
        </w:trPr>
        <w:tc>
          <w:tcPr>
            <w:tcW w:w="2140" w:type="dxa"/>
            <w:noWrap/>
            <w:vAlign w:val="bottom"/>
            <w:hideMark/>
          </w:tcPr>
          <w:p w14:paraId="2CEC4CA0" w14:textId="77777777" w:rsidR="00815FA8" w:rsidRPr="00E30038" w:rsidRDefault="00815FA8" w:rsidP="00781331">
            <w:pPr>
              <w:spacing w:line="240" w:lineRule="auto"/>
            </w:pPr>
            <w:r>
              <w:t>p</w:t>
            </w:r>
            <w:r w:rsidRPr="00776E4B">
              <w:rPr>
                <w:rFonts w:eastAsia="Calibri"/>
              </w:rPr>
              <w:t>-</w:t>
            </w:r>
            <w:r w:rsidRPr="00E30038">
              <w:t xml:space="preserve">value </w:t>
            </w:r>
          </w:p>
        </w:tc>
        <w:tc>
          <w:tcPr>
            <w:tcW w:w="7089" w:type="dxa"/>
            <w:gridSpan w:val="5"/>
            <w:noWrap/>
            <w:vAlign w:val="bottom"/>
            <w:hideMark/>
          </w:tcPr>
          <w:p w14:paraId="00446075" w14:textId="77777777" w:rsidR="00815FA8" w:rsidRPr="00E30038" w:rsidRDefault="00815FA8" w:rsidP="002040BE">
            <w:pPr>
              <w:spacing w:line="240" w:lineRule="auto"/>
              <w:jc w:val="center"/>
            </w:pPr>
            <w:r w:rsidRPr="00E30038">
              <w:t>0</w:t>
            </w:r>
            <w:r w:rsidR="00E0001D">
              <w:t>,</w:t>
            </w:r>
            <w:r w:rsidRPr="00E30038">
              <w:t>0097</w:t>
            </w:r>
          </w:p>
        </w:tc>
      </w:tr>
      <w:tr w:rsidR="00815FA8" w:rsidRPr="00E30038" w14:paraId="00DC97D8" w14:textId="77777777" w:rsidTr="00781331">
        <w:trPr>
          <w:trHeight w:val="300"/>
        </w:trPr>
        <w:tc>
          <w:tcPr>
            <w:tcW w:w="9229" w:type="dxa"/>
            <w:gridSpan w:val="6"/>
            <w:noWrap/>
            <w:vAlign w:val="bottom"/>
            <w:hideMark/>
          </w:tcPr>
          <w:p w14:paraId="43933171" w14:textId="77777777" w:rsidR="00815FA8" w:rsidRPr="00E30038" w:rsidRDefault="00E0001D" w:rsidP="002040BE">
            <w:pPr>
              <w:spacing w:line="240" w:lineRule="auto"/>
            </w:pPr>
            <w:proofErr w:type="spellStart"/>
            <w:r>
              <w:t>Heildarlifun</w:t>
            </w:r>
            <w:r w:rsidR="002040BE" w:rsidRPr="00B64117">
              <w:rPr>
                <w:vertAlign w:val="superscript"/>
              </w:rPr>
              <w:t>b</w:t>
            </w:r>
            <w:proofErr w:type="spellEnd"/>
            <w:r w:rsidR="00815FA8" w:rsidRPr="00E30038">
              <w:t xml:space="preserve"> </w:t>
            </w:r>
          </w:p>
        </w:tc>
      </w:tr>
      <w:tr w:rsidR="00815FA8" w:rsidRPr="00E30038" w14:paraId="404279D4" w14:textId="77777777" w:rsidTr="00781331">
        <w:trPr>
          <w:trHeight w:val="300"/>
        </w:trPr>
        <w:tc>
          <w:tcPr>
            <w:tcW w:w="2140" w:type="dxa"/>
            <w:noWrap/>
            <w:vAlign w:val="bottom"/>
            <w:hideMark/>
          </w:tcPr>
          <w:p w14:paraId="29B9DA24" w14:textId="7974C072" w:rsidR="00815FA8" w:rsidRPr="00E30038" w:rsidRDefault="002040BE" w:rsidP="002040BE">
            <w:pPr>
              <w:spacing w:line="240" w:lineRule="auto"/>
            </w:pPr>
            <w:proofErr w:type="spellStart"/>
            <w:r>
              <w:t>Áhættuhlutfall</w:t>
            </w:r>
            <w:proofErr w:type="spellEnd"/>
            <w:r>
              <w:t xml:space="preserve"> (95% </w:t>
            </w:r>
            <w:proofErr w:type="spellStart"/>
            <w:r w:rsidR="008872A8">
              <w:t>öryggisbil</w:t>
            </w:r>
            <w:proofErr w:type="spellEnd"/>
            <w:r>
              <w:t>)</w:t>
            </w:r>
          </w:p>
        </w:tc>
        <w:tc>
          <w:tcPr>
            <w:tcW w:w="7089" w:type="dxa"/>
            <w:gridSpan w:val="5"/>
            <w:noWrap/>
            <w:vAlign w:val="bottom"/>
            <w:hideMark/>
          </w:tcPr>
          <w:p w14:paraId="59F2520C" w14:textId="77777777" w:rsidR="00815FA8" w:rsidRPr="00E30038" w:rsidRDefault="00815FA8" w:rsidP="002040BE">
            <w:pPr>
              <w:spacing w:line="240" w:lineRule="auto"/>
              <w:jc w:val="center"/>
            </w:pPr>
            <w:r w:rsidRPr="00E30038">
              <w:t>0</w:t>
            </w:r>
            <w:r w:rsidR="00E0001D">
              <w:t>,</w:t>
            </w:r>
            <w:r w:rsidRPr="00E30038">
              <w:t>88 (0</w:t>
            </w:r>
            <w:r w:rsidR="00E0001D">
              <w:t>,</w:t>
            </w:r>
            <w:r w:rsidRPr="00E30038">
              <w:t>69; 1</w:t>
            </w:r>
            <w:r w:rsidR="00E0001D">
              <w:t>,</w:t>
            </w:r>
            <w:r w:rsidRPr="00E30038">
              <w:t>13)</w:t>
            </w:r>
          </w:p>
        </w:tc>
      </w:tr>
      <w:tr w:rsidR="00815FA8" w:rsidRPr="00E30038" w14:paraId="4BAC6026" w14:textId="77777777" w:rsidTr="00781331">
        <w:trPr>
          <w:trHeight w:val="351"/>
        </w:trPr>
        <w:tc>
          <w:tcPr>
            <w:tcW w:w="2140" w:type="dxa"/>
            <w:noWrap/>
            <w:hideMark/>
          </w:tcPr>
          <w:p w14:paraId="5148858B" w14:textId="77777777" w:rsidR="00815FA8" w:rsidRPr="00E30038" w:rsidRDefault="00815FA8" w:rsidP="002040BE">
            <w:pPr>
              <w:spacing w:line="240" w:lineRule="auto"/>
            </w:pPr>
            <w:r>
              <w:t>p</w:t>
            </w:r>
            <w:r w:rsidRPr="00776E4B">
              <w:rPr>
                <w:rFonts w:eastAsia="Calibri"/>
              </w:rPr>
              <w:t>-</w:t>
            </w:r>
            <w:proofErr w:type="spellStart"/>
            <w:r w:rsidR="00E0001D">
              <w:rPr>
                <w:rFonts w:eastAsia="Calibri"/>
              </w:rPr>
              <w:t>gildi</w:t>
            </w:r>
            <w:proofErr w:type="spellEnd"/>
            <w:r w:rsidR="00E0001D">
              <w:rPr>
                <w:rFonts w:eastAsia="Calibri"/>
              </w:rPr>
              <w:t xml:space="preserve"> </w:t>
            </w:r>
            <w:r w:rsidRPr="00E30038">
              <w:t>(</w:t>
            </w:r>
            <w:proofErr w:type="spellStart"/>
            <w:r w:rsidR="00E0001D">
              <w:t>könnunar</w:t>
            </w:r>
            <w:proofErr w:type="spellEnd"/>
            <w:r w:rsidRPr="00E30038">
              <w:t xml:space="preserve">) </w:t>
            </w:r>
          </w:p>
        </w:tc>
        <w:tc>
          <w:tcPr>
            <w:tcW w:w="7089" w:type="dxa"/>
            <w:gridSpan w:val="5"/>
            <w:noWrap/>
            <w:hideMark/>
          </w:tcPr>
          <w:p w14:paraId="663802EE" w14:textId="77777777" w:rsidR="00815FA8" w:rsidRPr="00E30038" w:rsidRDefault="00815FA8" w:rsidP="00781331">
            <w:pPr>
              <w:spacing w:line="240" w:lineRule="auto"/>
              <w:jc w:val="center"/>
            </w:pPr>
            <w:r w:rsidRPr="00E30038">
              <w:t>0</w:t>
            </w:r>
            <w:r w:rsidR="00E0001D">
              <w:t>,</w:t>
            </w:r>
            <w:r w:rsidRPr="00E30038">
              <w:t>33</w:t>
            </w:r>
          </w:p>
          <w:p w14:paraId="0DD551B6" w14:textId="77777777" w:rsidR="00815FA8" w:rsidRPr="00E30038" w:rsidRDefault="00815FA8" w:rsidP="00781331">
            <w:pPr>
              <w:spacing w:line="240" w:lineRule="auto"/>
            </w:pPr>
          </w:p>
        </w:tc>
      </w:tr>
    </w:tbl>
    <w:p w14:paraId="2EF17204" w14:textId="66A64454" w:rsidR="00815FA8" w:rsidRPr="00EC3052" w:rsidRDefault="00815FA8" w:rsidP="00815FA8">
      <w:pPr>
        <w:pStyle w:val="CM53"/>
        <w:keepNext/>
        <w:ind w:left="567" w:hanging="567"/>
        <w:rPr>
          <w:position w:val="9"/>
          <w:sz w:val="20"/>
          <w:szCs w:val="20"/>
          <w:lang w:val="sv-SE"/>
        </w:rPr>
      </w:pPr>
      <w:r w:rsidRPr="00215918">
        <w:rPr>
          <w:sz w:val="20"/>
          <w:szCs w:val="20"/>
          <w:vertAlign w:val="superscript"/>
          <w:lang w:val="sv-SE" w:eastAsia="en-US"/>
        </w:rPr>
        <w:t xml:space="preserve">a </w:t>
      </w:r>
      <w:r w:rsidRPr="00215918">
        <w:rPr>
          <w:sz w:val="20"/>
          <w:szCs w:val="20"/>
          <w:lang w:val="sv-SE" w:eastAsia="en-US"/>
        </w:rPr>
        <w:tab/>
      </w:r>
      <w:r w:rsidRPr="00EC3052">
        <w:rPr>
          <w:sz w:val="20"/>
          <w:szCs w:val="20"/>
          <w:lang w:val="sv-SE"/>
        </w:rPr>
        <w:t>1,000 </w:t>
      </w:r>
      <w:r w:rsidR="00E0001D" w:rsidRPr="00EC3052">
        <w:rPr>
          <w:sz w:val="20"/>
          <w:szCs w:val="20"/>
          <w:lang w:val="sv-SE"/>
        </w:rPr>
        <w:t>mg/m</w:t>
      </w:r>
      <w:r w:rsidR="00E0001D" w:rsidRPr="00EC3052">
        <w:rPr>
          <w:sz w:val="20"/>
          <w:szCs w:val="20"/>
          <w:vertAlign w:val="superscript"/>
          <w:lang w:val="sv-SE"/>
        </w:rPr>
        <w:t>2</w:t>
      </w:r>
      <w:r w:rsidR="00E0001D" w:rsidRPr="00EC3052">
        <w:rPr>
          <w:sz w:val="20"/>
          <w:szCs w:val="20"/>
          <w:lang w:val="sv-SE"/>
        </w:rPr>
        <w:t xml:space="preserve"> til inntöku tvisvar á dag í 14</w:t>
      </w:r>
      <w:r w:rsidR="0058789B" w:rsidRPr="00EC3052">
        <w:rPr>
          <w:sz w:val="20"/>
          <w:szCs w:val="20"/>
          <w:lang w:val="sv-SE"/>
        </w:rPr>
        <w:t> </w:t>
      </w:r>
      <w:r w:rsidR="00E0001D" w:rsidRPr="00EC3052">
        <w:rPr>
          <w:sz w:val="20"/>
          <w:szCs w:val="20"/>
          <w:lang w:val="sv-SE"/>
        </w:rPr>
        <w:t>daga á 3</w:t>
      </w:r>
      <w:r w:rsidR="0058789B" w:rsidRPr="00EC3052">
        <w:rPr>
          <w:sz w:val="20"/>
          <w:szCs w:val="20"/>
          <w:lang w:val="sv-SE"/>
        </w:rPr>
        <w:t> </w:t>
      </w:r>
      <w:r w:rsidR="00E0001D" w:rsidRPr="00EC3052">
        <w:rPr>
          <w:sz w:val="20"/>
          <w:szCs w:val="20"/>
          <w:lang w:val="sv-SE"/>
        </w:rPr>
        <w:t>vikna fresti</w:t>
      </w:r>
      <w:r w:rsidRPr="00EC3052">
        <w:rPr>
          <w:sz w:val="20"/>
          <w:szCs w:val="20"/>
          <w:lang w:val="sv-SE"/>
        </w:rPr>
        <w:t xml:space="preserve">. </w:t>
      </w:r>
    </w:p>
    <w:p w14:paraId="7FAFBF9E" w14:textId="77777777" w:rsidR="00815FA8" w:rsidRPr="00B0370E" w:rsidRDefault="00815FA8" w:rsidP="00815FA8">
      <w:pPr>
        <w:pStyle w:val="CM53"/>
        <w:keepNext/>
        <w:ind w:left="567" w:hanging="567"/>
        <w:rPr>
          <w:sz w:val="20"/>
          <w:szCs w:val="20"/>
          <w:lang w:val="sv-SE"/>
        </w:rPr>
      </w:pPr>
      <w:r w:rsidRPr="00B0370E">
        <w:rPr>
          <w:sz w:val="20"/>
          <w:szCs w:val="20"/>
          <w:vertAlign w:val="superscript"/>
          <w:lang w:val="sv-SE"/>
        </w:rPr>
        <w:t>b</w:t>
      </w:r>
      <w:r w:rsidRPr="00B0370E">
        <w:rPr>
          <w:sz w:val="20"/>
          <w:szCs w:val="20"/>
          <w:lang w:val="sv-SE"/>
        </w:rPr>
        <w:t xml:space="preserve"> </w:t>
      </w:r>
      <w:r w:rsidRPr="00B0370E">
        <w:rPr>
          <w:sz w:val="20"/>
          <w:szCs w:val="20"/>
          <w:lang w:val="sv-SE"/>
        </w:rPr>
        <w:tab/>
      </w:r>
      <w:r w:rsidR="00E0001D" w:rsidRPr="00B0370E">
        <w:rPr>
          <w:sz w:val="20"/>
          <w:szCs w:val="20"/>
          <w:lang w:val="sv-SE"/>
        </w:rPr>
        <w:t>Lagskipt greining sem náði til allra tilvika um versnun og dauða nema þar sem búið var að koma á meðferð utan aðferðarlýsingar (NPT, non-protocol therapy) áður en versnun var staðfest; þeir sjúklingar voru ekki teknir með þegar æxli voru metin í síðasta skipti áður en NPT hófst.</w:t>
      </w:r>
    </w:p>
    <w:p w14:paraId="14570B22" w14:textId="77777777" w:rsidR="00815FA8" w:rsidRPr="00B0370E" w:rsidRDefault="00815FA8" w:rsidP="00815FA8">
      <w:pPr>
        <w:pStyle w:val="Default"/>
        <w:keepNext/>
        <w:rPr>
          <w:sz w:val="22"/>
          <w:szCs w:val="22"/>
          <w:lang w:val="sv-SE"/>
        </w:rPr>
      </w:pPr>
    </w:p>
    <w:p w14:paraId="6A52DF35" w14:textId="77777777" w:rsidR="00815FA8" w:rsidRPr="00B0370E" w:rsidRDefault="00E0001D" w:rsidP="00815FA8">
      <w:pPr>
        <w:pStyle w:val="CM53"/>
        <w:keepNext/>
        <w:rPr>
          <w:sz w:val="22"/>
          <w:szCs w:val="22"/>
          <w:lang w:val="sv-SE"/>
        </w:rPr>
      </w:pPr>
      <w:r w:rsidRPr="00B0370E">
        <w:rPr>
          <w:sz w:val="22"/>
          <w:szCs w:val="22"/>
          <w:lang w:val="sv-SE"/>
        </w:rPr>
        <w:t>Ólagskipt greining var gerð á lifun án versnunar sjúkdóms (samkvæmt mati rannsakanda), þar sem sjúklingar sem fengu meðferð utan aðferðarlýsingar (NPT, non-protocol therapy) áður en versnun var staðfest voru ekki útilokaðir. Niðurstöður þeirrar greiningar voru mjög svipaðar niðurstöðum úr frumgreiningu á lifun án versnunar sjúkdóms.</w:t>
      </w:r>
    </w:p>
    <w:p w14:paraId="0849D584" w14:textId="77777777" w:rsidR="005F36F3" w:rsidRPr="009F7642" w:rsidRDefault="005F36F3" w:rsidP="0073217C">
      <w:pPr>
        <w:suppressAutoHyphens/>
        <w:spacing w:after="0" w:line="240" w:lineRule="auto"/>
        <w:ind w:left="0" w:firstLine="0"/>
        <w:rPr>
          <w:color w:val="auto"/>
          <w:lang w:val="is-IS"/>
        </w:rPr>
      </w:pPr>
    </w:p>
    <w:p w14:paraId="1390D397"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u w:val="single" w:color="000000"/>
          <w:lang w:val="is-IS"/>
        </w:rPr>
        <w:t>Lungnakrabbamein sem er ekki af smáfrumugerð</w:t>
      </w:r>
    </w:p>
    <w:p w14:paraId="361208E5" w14:textId="77777777" w:rsidR="005F36F3" w:rsidRPr="009F7642" w:rsidRDefault="005F36F3" w:rsidP="0073217C">
      <w:pPr>
        <w:keepNext/>
        <w:suppressAutoHyphens/>
        <w:spacing w:after="0" w:line="240" w:lineRule="auto"/>
        <w:ind w:left="0" w:firstLine="0"/>
        <w:rPr>
          <w:color w:val="auto"/>
          <w:lang w:val="is-IS"/>
        </w:rPr>
      </w:pPr>
    </w:p>
    <w:p w14:paraId="6CEC0624"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u w:color="000000"/>
          <w:lang w:val="is-IS"/>
        </w:rPr>
        <w:t>Fyrsta meðferð við lungnakrabbameini sem ekki er af smáfrumugerð eða flöguþekjugerð, ásamt</w:t>
      </w:r>
      <w:r w:rsidRPr="009F7642">
        <w:rPr>
          <w:i/>
          <w:color w:val="auto"/>
          <w:lang w:val="is-IS"/>
        </w:rPr>
        <w:t xml:space="preserve"> </w:t>
      </w:r>
      <w:r w:rsidRPr="009F7642">
        <w:rPr>
          <w:i/>
          <w:color w:val="auto"/>
          <w:u w:color="000000"/>
          <w:lang w:val="is-IS"/>
        </w:rPr>
        <w:t>krabbameinslyfjum sem innihalda platínusambönd</w:t>
      </w:r>
    </w:p>
    <w:p w14:paraId="35B481D3" w14:textId="77777777" w:rsidR="005F36F3" w:rsidRPr="009F7642" w:rsidRDefault="005F36F3" w:rsidP="0073217C">
      <w:pPr>
        <w:keepNext/>
        <w:suppressAutoHyphens/>
        <w:spacing w:after="0" w:line="240" w:lineRule="auto"/>
        <w:ind w:left="0" w:firstLine="0"/>
        <w:rPr>
          <w:color w:val="auto"/>
          <w:lang w:val="is-IS"/>
        </w:rPr>
      </w:pPr>
    </w:p>
    <w:p w14:paraId="68E5411C"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Öryggi og verkun </w:t>
      </w:r>
      <w:r w:rsidR="00690564" w:rsidRPr="00F2274F">
        <w:rPr>
          <w:lang w:val="is-IS"/>
        </w:rPr>
        <w:t>bevacízúmab</w:t>
      </w:r>
      <w:r w:rsidR="00687A18" w:rsidRPr="00F2274F">
        <w:rPr>
          <w:lang w:val="is-IS"/>
        </w:rPr>
        <w:t>s</w:t>
      </w:r>
      <w:r w:rsidRPr="009F7642">
        <w:rPr>
          <w:color w:val="auto"/>
          <w:lang w:val="is-IS"/>
        </w:rPr>
        <w:t xml:space="preserve"> sem viðbót við krabbameinslyfjameðferð með platínusamböndum sem fyrsta val við meðferð hjá sjúklingum með lungnakrabbamein sem hvorki er af flöguþekju- né smáfrumugerð var rannsakað í rannsóknum E4599 og BO17704. Í rannsókn E4599 var ávinningur heildarlifunar</w:t>
      </w:r>
      <w:r w:rsidRPr="009F7642">
        <w:rPr>
          <w:b/>
          <w:color w:val="auto"/>
          <w:lang w:val="is-IS"/>
        </w:rPr>
        <w:t xml:space="preserve"> </w:t>
      </w:r>
      <w:r w:rsidRPr="009F7642">
        <w:rPr>
          <w:color w:val="auto"/>
          <w:lang w:val="is-IS"/>
        </w:rPr>
        <w:t>skoðaður</w:t>
      </w:r>
      <w:r w:rsidRPr="009F7642">
        <w:rPr>
          <w:b/>
          <w:color w:val="auto"/>
          <w:lang w:val="is-IS"/>
        </w:rPr>
        <w:t xml:space="preserve"> </w:t>
      </w:r>
      <w:r w:rsidR="009C428B" w:rsidRPr="009F7642">
        <w:rPr>
          <w:color w:val="auto"/>
          <w:lang w:val="is-IS"/>
        </w:rPr>
        <w:t>þegar gefið var 15 </w:t>
      </w:r>
      <w:r w:rsidRPr="009F7642">
        <w:rPr>
          <w:color w:val="auto"/>
          <w:lang w:val="is-IS"/>
        </w:rPr>
        <w:t xml:space="preserve">mg/kg af </w:t>
      </w:r>
      <w:r w:rsidR="00690564">
        <w:rPr>
          <w:color w:val="auto"/>
          <w:lang w:val="is-IS"/>
        </w:rPr>
        <w:t>bevacízúmab</w:t>
      </w:r>
      <w:r w:rsidRPr="009F7642">
        <w:rPr>
          <w:color w:val="auto"/>
          <w:lang w:val="is-IS"/>
        </w:rPr>
        <w:t>i á þriggja vikna fresti. Rannsókn BO</w:t>
      </w:r>
      <w:r w:rsidR="009C428B" w:rsidRPr="009F7642">
        <w:rPr>
          <w:color w:val="auto"/>
          <w:lang w:val="is-IS"/>
        </w:rPr>
        <w:t>17704 leiddi í ljós að bæði 7,5 mg/kg og 15 </w:t>
      </w:r>
      <w:r w:rsidRPr="009F7642">
        <w:rPr>
          <w:color w:val="auto"/>
          <w:lang w:val="is-IS"/>
        </w:rPr>
        <w:t>mg/kg gefið einu sinni á 3 vikna fresti jók lifun án versnunar sjúkdóms og svörunarhlutfall.</w:t>
      </w:r>
    </w:p>
    <w:p w14:paraId="3DFFB79F" w14:textId="77777777" w:rsidR="005F36F3" w:rsidRPr="009F7642" w:rsidRDefault="005F36F3" w:rsidP="0073217C">
      <w:pPr>
        <w:suppressAutoHyphens/>
        <w:spacing w:after="0" w:line="240" w:lineRule="auto"/>
        <w:ind w:left="0" w:firstLine="0"/>
        <w:rPr>
          <w:color w:val="auto"/>
          <w:lang w:val="is-IS"/>
        </w:rPr>
      </w:pPr>
    </w:p>
    <w:p w14:paraId="1634308C"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lastRenderedPageBreak/>
        <w:t>E4599</w:t>
      </w:r>
    </w:p>
    <w:p w14:paraId="6B371FE8"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E4599 var opin, slembiröðuð, fjölsetra, klínísk, virk samanburðarrannsókn þar sem </w:t>
      </w:r>
      <w:r w:rsidR="00690564" w:rsidRPr="00F2274F">
        <w:rPr>
          <w:lang w:val="is-IS"/>
        </w:rPr>
        <w:t>bevacízúmab</w:t>
      </w:r>
      <w:r w:rsidRPr="009F7642">
        <w:rPr>
          <w:color w:val="auto"/>
          <w:lang w:val="is-IS"/>
        </w:rPr>
        <w:t xml:space="preserve"> var metið sem fyrsta val við meðferð á sjúklingum með langt gengið lungnakrabbamein sem er staðbundið (stig IIIb með illkynja fleiðruvökva) með meinvörpum eða endurtekið og er ekki af smáfrumugerð, að undanskildum þeim með ríkjandi flöguþekjugerð.</w:t>
      </w:r>
    </w:p>
    <w:p w14:paraId="3CCFF833" w14:textId="77777777" w:rsidR="005F36F3" w:rsidRPr="009F7642" w:rsidRDefault="005F36F3" w:rsidP="0073217C">
      <w:pPr>
        <w:suppressAutoHyphens/>
        <w:spacing w:after="0" w:line="240" w:lineRule="auto"/>
        <w:ind w:left="0" w:firstLine="0"/>
        <w:rPr>
          <w:color w:val="auto"/>
          <w:lang w:val="is-IS"/>
        </w:rPr>
      </w:pPr>
    </w:p>
    <w:p w14:paraId="11718C2E"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Sjúklingum var slembiraðað á krabbameinslyfjameðferð með p</w:t>
      </w:r>
      <w:r w:rsidR="009C428B" w:rsidRPr="009F7642">
        <w:rPr>
          <w:color w:val="auto"/>
          <w:lang w:val="is-IS"/>
        </w:rPr>
        <w:t>latínusamböndum (paklítaxel 200 </w:t>
      </w:r>
      <w:r w:rsidRPr="009F7642">
        <w:rPr>
          <w:color w:val="auto"/>
          <w:lang w:val="is-IS"/>
        </w:rPr>
        <w:t>mg/m</w:t>
      </w:r>
      <w:r w:rsidRPr="009F7642">
        <w:rPr>
          <w:color w:val="auto"/>
          <w:vertAlign w:val="superscript"/>
          <w:lang w:val="is-IS"/>
        </w:rPr>
        <w:t>2</w:t>
      </w:r>
      <w:r w:rsidRPr="009F7642">
        <w:rPr>
          <w:color w:val="auto"/>
          <w:lang w:val="is-IS"/>
        </w:rPr>
        <w:t>) og karbóplatín AUC</w:t>
      </w:r>
      <w:r w:rsidR="001347B7">
        <w:rPr>
          <w:color w:val="auto"/>
          <w:lang w:val="is-IS"/>
        </w:rPr>
        <w:t> </w:t>
      </w:r>
      <w:r w:rsidR="00700BDC">
        <w:rPr>
          <w:color w:val="auto"/>
          <w:lang w:val="is-IS"/>
        </w:rPr>
        <w:t>=</w:t>
      </w:r>
      <w:r w:rsidR="001347B7">
        <w:rPr>
          <w:color w:val="auto"/>
          <w:lang w:val="is-IS"/>
        </w:rPr>
        <w:t> </w:t>
      </w:r>
      <w:r w:rsidRPr="009F7642">
        <w:rPr>
          <w:color w:val="auto"/>
          <w:lang w:val="is-IS"/>
        </w:rPr>
        <w:t>6,0, hvort tveggja með innrennsli í bláæð á 1. degi hverrar 3 vikna lotu í allt að 6 lotur eða paklítaxel og karbóplatín í samsetningu m</w:t>
      </w:r>
      <w:r w:rsidR="009C428B" w:rsidRPr="009F7642">
        <w:rPr>
          <w:color w:val="auto"/>
          <w:lang w:val="is-IS"/>
        </w:rPr>
        <w:t xml:space="preserve">eð </w:t>
      </w:r>
      <w:r w:rsidR="00690564" w:rsidRPr="00F2274F">
        <w:rPr>
          <w:lang w:val="is-IS"/>
        </w:rPr>
        <w:t>bevacízúmab</w:t>
      </w:r>
      <w:r w:rsidR="00B97249" w:rsidRPr="00F2274F">
        <w:rPr>
          <w:lang w:val="is-IS"/>
        </w:rPr>
        <w:t>i</w:t>
      </w:r>
      <w:r w:rsidR="009C428B" w:rsidRPr="009F7642">
        <w:rPr>
          <w:color w:val="auto"/>
          <w:lang w:val="is-IS"/>
        </w:rPr>
        <w:t xml:space="preserve"> í skammti sem nam 15 </w:t>
      </w:r>
      <w:r w:rsidRPr="009F7642">
        <w:rPr>
          <w:color w:val="auto"/>
          <w:lang w:val="is-IS"/>
        </w:rPr>
        <w:t xml:space="preserve">mg/kg sem innrennsli í bláæð á 1. degi hverrar 3 vikna lotu. Eftir að sex lotum var lokið af karbóplatín-paklítaxel krabbameinslyfjameðferð eða ef krabbameinslyfjameðferð var hætt fyrir tímann, héldu sjúklingar í hópnum sem fékk </w:t>
      </w:r>
      <w:r w:rsidR="00690564" w:rsidRPr="00F2274F">
        <w:rPr>
          <w:lang w:val="is-IS"/>
        </w:rPr>
        <w:t>bevacízúmab</w:t>
      </w:r>
      <w:r w:rsidRPr="009F7642">
        <w:rPr>
          <w:color w:val="auto"/>
          <w:lang w:val="is-IS"/>
        </w:rPr>
        <w:t xml:space="preserve"> + karbóplatín-paklítaxel áfram að fá </w:t>
      </w:r>
      <w:r w:rsidR="00690564" w:rsidRPr="00F2274F">
        <w:rPr>
          <w:lang w:val="is-IS"/>
        </w:rPr>
        <w:t>bevacízúmab</w:t>
      </w:r>
      <w:r w:rsidRPr="009F7642">
        <w:rPr>
          <w:color w:val="auto"/>
          <w:lang w:val="is-IS"/>
        </w:rPr>
        <w:t xml:space="preserve"> sem einlyfja meðferð á 3 vikna fresti fram að versnun sjúkdóms. 878 sjúklingum var slembiraðað í hópana tvo.</w:t>
      </w:r>
    </w:p>
    <w:p w14:paraId="4C1B7768" w14:textId="77777777" w:rsidR="005F36F3" w:rsidRPr="009F7642" w:rsidRDefault="005F36F3" w:rsidP="0073217C">
      <w:pPr>
        <w:suppressAutoHyphens/>
        <w:spacing w:after="0" w:line="240" w:lineRule="auto"/>
        <w:ind w:left="0" w:firstLine="0"/>
        <w:rPr>
          <w:color w:val="auto"/>
          <w:lang w:val="is-IS"/>
        </w:rPr>
      </w:pPr>
    </w:p>
    <w:p w14:paraId="54C0C18C"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Meðan á rannsókninni stóð fengu 32,2% (136/422) sjúklinga á rannsóknarmeðferð 7-12 gjafir af </w:t>
      </w:r>
      <w:r w:rsidR="00690564" w:rsidRPr="00F2274F">
        <w:rPr>
          <w:lang w:val="is-IS"/>
        </w:rPr>
        <w:t>bevacízúmab</w:t>
      </w:r>
      <w:r w:rsidR="00551729" w:rsidRPr="00F2274F">
        <w:rPr>
          <w:lang w:val="is-IS"/>
        </w:rPr>
        <w:t>i</w:t>
      </w:r>
      <w:r w:rsidRPr="009F7642">
        <w:rPr>
          <w:color w:val="auto"/>
          <w:lang w:val="is-IS"/>
        </w:rPr>
        <w:t xml:space="preserve"> og 21,1% (89/422) sjúklinga fengu </w:t>
      </w:r>
      <w:r w:rsidR="00690564" w:rsidRPr="00F2274F">
        <w:rPr>
          <w:lang w:val="is-IS"/>
        </w:rPr>
        <w:t>bevacízúmab</w:t>
      </w:r>
      <w:r w:rsidRPr="009F7642">
        <w:rPr>
          <w:color w:val="auto"/>
          <w:lang w:val="is-IS"/>
        </w:rPr>
        <w:t xml:space="preserve"> 13 sinnum eða oftar.</w:t>
      </w:r>
    </w:p>
    <w:p w14:paraId="01CDFFDD" w14:textId="77777777" w:rsidR="005F36F3" w:rsidRPr="009F7642" w:rsidRDefault="005F36F3" w:rsidP="0073217C">
      <w:pPr>
        <w:suppressAutoHyphens/>
        <w:spacing w:after="0" w:line="240" w:lineRule="auto"/>
        <w:ind w:left="0" w:firstLine="0"/>
        <w:rPr>
          <w:color w:val="auto"/>
          <w:lang w:val="is-IS"/>
        </w:rPr>
      </w:pPr>
    </w:p>
    <w:p w14:paraId="56DD7941"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Aðalendapunkturinn var tímalengd lifunar. Niðurstöður eru kynntar í </w:t>
      </w:r>
      <w:r w:rsidR="00985D66" w:rsidRPr="00363B58">
        <w:rPr>
          <w:color w:val="auto"/>
          <w:lang w:val="is-IS"/>
        </w:rPr>
        <w:t>töflu</w:t>
      </w:r>
      <w:r w:rsidR="001347B7">
        <w:rPr>
          <w:color w:val="auto"/>
          <w:lang w:val="is-IS"/>
        </w:rPr>
        <w:t> </w:t>
      </w:r>
      <w:r w:rsidR="00E0001D">
        <w:rPr>
          <w:color w:val="auto"/>
          <w:lang w:val="is-IS"/>
        </w:rPr>
        <w:t>12</w:t>
      </w:r>
      <w:r w:rsidRPr="00363B58">
        <w:rPr>
          <w:color w:val="auto"/>
          <w:lang w:val="is-IS"/>
        </w:rPr>
        <w:t>.</w:t>
      </w:r>
    </w:p>
    <w:p w14:paraId="0981A6C2" w14:textId="77777777" w:rsidR="005F36F3" w:rsidRPr="009F7642" w:rsidRDefault="005F36F3" w:rsidP="0073217C">
      <w:pPr>
        <w:suppressAutoHyphens/>
        <w:spacing w:after="0" w:line="240" w:lineRule="auto"/>
        <w:ind w:left="0" w:firstLine="0"/>
        <w:rPr>
          <w:color w:val="auto"/>
          <w:lang w:val="is-IS"/>
        </w:rPr>
      </w:pPr>
    </w:p>
    <w:p w14:paraId="4DE7196C" w14:textId="77777777" w:rsidR="005F36F3" w:rsidRPr="000977DB" w:rsidRDefault="00BF4F58" w:rsidP="0073217C">
      <w:pPr>
        <w:keepNext/>
        <w:keepLines/>
        <w:suppressAutoHyphens/>
        <w:spacing w:after="0" w:line="240" w:lineRule="auto"/>
        <w:ind w:left="0" w:firstLine="0"/>
        <w:rPr>
          <w:b/>
          <w:color w:val="auto"/>
          <w:lang w:val="is-IS"/>
        </w:rPr>
      </w:pPr>
      <w:r w:rsidRPr="00363B58">
        <w:rPr>
          <w:b/>
          <w:color w:val="auto"/>
          <w:lang w:val="is-IS"/>
        </w:rPr>
        <w:t xml:space="preserve">Tafla </w:t>
      </w:r>
      <w:r w:rsidR="00E0001D">
        <w:rPr>
          <w:b/>
          <w:color w:val="auto"/>
          <w:lang w:val="is-IS"/>
        </w:rPr>
        <w:t>12</w:t>
      </w:r>
      <w:r w:rsidR="00816D79" w:rsidRPr="000977DB">
        <w:rPr>
          <w:b/>
          <w:color w:val="auto"/>
          <w:lang w:val="is-IS"/>
        </w:rPr>
        <w:t>.</w:t>
      </w:r>
      <w:r w:rsidR="00ED782B" w:rsidRPr="000977DB">
        <w:rPr>
          <w:b/>
          <w:color w:val="auto"/>
          <w:lang w:val="is-IS"/>
        </w:rPr>
        <w:t xml:space="preserve"> </w:t>
      </w:r>
      <w:r w:rsidR="00564614" w:rsidRPr="000977DB">
        <w:rPr>
          <w:b/>
          <w:color w:val="auto"/>
          <w:lang w:val="is-IS"/>
        </w:rPr>
        <w:t>Niðurstöð</w:t>
      </w:r>
      <w:r w:rsidR="003C161D" w:rsidRPr="000977DB">
        <w:rPr>
          <w:b/>
          <w:color w:val="auto"/>
          <w:lang w:val="is-IS"/>
        </w:rPr>
        <w:t>ur um verkun úr rannsókn E4599</w:t>
      </w:r>
    </w:p>
    <w:p w14:paraId="35C71FDF" w14:textId="77777777" w:rsidR="005F36F3" w:rsidRPr="009F7642" w:rsidRDefault="005F36F3" w:rsidP="0073217C">
      <w:pPr>
        <w:keepNext/>
        <w:keepLines/>
        <w:suppressAutoHyphens/>
        <w:spacing w:after="0" w:line="240" w:lineRule="auto"/>
        <w:ind w:left="0" w:firstLine="0"/>
        <w:rPr>
          <w:color w:val="auto"/>
          <w:lang w:val="is-IS"/>
        </w:rPr>
      </w:pPr>
    </w:p>
    <w:tbl>
      <w:tblPr>
        <w:tblW w:w="89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882"/>
        <w:gridCol w:w="3511"/>
      </w:tblGrid>
      <w:tr w:rsidR="00EF1187" w:rsidRPr="00AD2908" w14:paraId="5C645D62" w14:textId="77777777" w:rsidTr="000254A9">
        <w:trPr>
          <w:trHeight w:val="1304"/>
          <w:tblHeader/>
        </w:trPr>
        <w:tc>
          <w:tcPr>
            <w:tcW w:w="2520" w:type="dxa"/>
            <w:tcBorders>
              <w:top w:val="single" w:sz="4" w:space="0" w:color="auto"/>
              <w:left w:val="single" w:sz="4" w:space="0" w:color="auto"/>
              <w:bottom w:val="single" w:sz="4" w:space="0" w:color="auto"/>
              <w:right w:val="single" w:sz="4" w:space="0" w:color="auto"/>
            </w:tcBorders>
            <w:noWrap/>
            <w:vAlign w:val="bottom"/>
            <w:hideMark/>
          </w:tcPr>
          <w:p w14:paraId="331E8D79" w14:textId="77777777" w:rsidR="00FD348E" w:rsidRPr="009F7642" w:rsidRDefault="00FD348E" w:rsidP="0073217C">
            <w:pPr>
              <w:keepNext/>
              <w:keepLines/>
              <w:suppressAutoHyphens/>
              <w:spacing w:line="240" w:lineRule="auto"/>
              <w:rPr>
                <w:color w:val="auto"/>
                <w:lang w:val="is-IS"/>
              </w:rPr>
            </w:pPr>
          </w:p>
        </w:tc>
        <w:tc>
          <w:tcPr>
            <w:tcW w:w="2882" w:type="dxa"/>
            <w:tcBorders>
              <w:top w:val="single" w:sz="4" w:space="0" w:color="auto"/>
              <w:left w:val="single" w:sz="4" w:space="0" w:color="auto"/>
              <w:bottom w:val="single" w:sz="4" w:space="0" w:color="auto"/>
              <w:right w:val="single" w:sz="4" w:space="0" w:color="auto"/>
            </w:tcBorders>
            <w:noWrap/>
          </w:tcPr>
          <w:p w14:paraId="36261E2B" w14:textId="77777777" w:rsidR="006C06D6" w:rsidRPr="009F7642" w:rsidRDefault="00FD348E" w:rsidP="0073217C">
            <w:pPr>
              <w:keepNext/>
              <w:keepLines/>
              <w:suppressAutoHyphens/>
              <w:spacing w:line="259" w:lineRule="auto"/>
              <w:ind w:right="51"/>
              <w:jc w:val="center"/>
              <w:rPr>
                <w:b/>
                <w:color w:val="auto"/>
                <w:lang w:val="is-IS"/>
              </w:rPr>
            </w:pPr>
            <w:r w:rsidRPr="009F7642">
              <w:rPr>
                <w:b/>
                <w:color w:val="auto"/>
                <w:lang w:val="is-IS"/>
              </w:rPr>
              <w:t>Hópur 1</w:t>
            </w:r>
          </w:p>
          <w:p w14:paraId="6F602ED6" w14:textId="77777777" w:rsidR="00FD348E" w:rsidRPr="009F7642" w:rsidRDefault="00FD348E" w:rsidP="0073217C">
            <w:pPr>
              <w:keepNext/>
              <w:keepLines/>
              <w:suppressAutoHyphens/>
              <w:spacing w:line="259" w:lineRule="auto"/>
              <w:ind w:right="1"/>
              <w:jc w:val="center"/>
              <w:rPr>
                <w:b/>
                <w:color w:val="auto"/>
                <w:lang w:val="is-IS"/>
              </w:rPr>
            </w:pPr>
          </w:p>
          <w:p w14:paraId="57F1B210" w14:textId="77777777" w:rsidR="006C06D6" w:rsidRPr="009F7642" w:rsidRDefault="00FD348E" w:rsidP="0073217C">
            <w:pPr>
              <w:keepNext/>
              <w:keepLines/>
              <w:suppressAutoHyphens/>
              <w:spacing w:line="259" w:lineRule="auto"/>
              <w:ind w:right="52"/>
              <w:jc w:val="center"/>
              <w:rPr>
                <w:b/>
                <w:color w:val="auto"/>
                <w:lang w:val="is-IS"/>
              </w:rPr>
            </w:pPr>
            <w:r w:rsidRPr="009F7642">
              <w:rPr>
                <w:b/>
                <w:color w:val="auto"/>
                <w:lang w:val="is-IS"/>
              </w:rPr>
              <w:t>Karbóplatín/</w:t>
            </w:r>
          </w:p>
          <w:p w14:paraId="6E49066C" w14:textId="77777777" w:rsidR="00FD348E" w:rsidRPr="009F7642" w:rsidRDefault="00FD348E" w:rsidP="0073217C">
            <w:pPr>
              <w:keepNext/>
              <w:keepLines/>
              <w:suppressAutoHyphens/>
              <w:spacing w:line="259" w:lineRule="auto"/>
              <w:ind w:right="52"/>
              <w:jc w:val="center"/>
              <w:rPr>
                <w:b/>
                <w:color w:val="auto"/>
                <w:lang w:val="is-IS"/>
              </w:rPr>
            </w:pPr>
            <w:r w:rsidRPr="009F7642">
              <w:rPr>
                <w:b/>
                <w:color w:val="auto"/>
                <w:lang w:val="is-IS"/>
              </w:rPr>
              <w:t xml:space="preserve">Paklítaxel </w:t>
            </w:r>
          </w:p>
        </w:tc>
        <w:tc>
          <w:tcPr>
            <w:tcW w:w="3511" w:type="dxa"/>
            <w:tcBorders>
              <w:top w:val="single" w:sz="4" w:space="0" w:color="auto"/>
              <w:left w:val="single" w:sz="4" w:space="0" w:color="auto"/>
              <w:bottom w:val="single" w:sz="4" w:space="0" w:color="auto"/>
              <w:right w:val="single" w:sz="4" w:space="0" w:color="auto"/>
            </w:tcBorders>
            <w:noWrap/>
          </w:tcPr>
          <w:p w14:paraId="02884BAF" w14:textId="77777777" w:rsidR="00FD348E" w:rsidRPr="009F7642" w:rsidRDefault="00FD348E" w:rsidP="0073217C">
            <w:pPr>
              <w:keepNext/>
              <w:keepLines/>
              <w:suppressAutoHyphens/>
              <w:spacing w:line="259" w:lineRule="auto"/>
              <w:ind w:right="51"/>
              <w:jc w:val="center"/>
              <w:rPr>
                <w:b/>
                <w:color w:val="auto"/>
                <w:lang w:val="is-IS"/>
              </w:rPr>
            </w:pPr>
            <w:r w:rsidRPr="009F7642">
              <w:rPr>
                <w:b/>
                <w:color w:val="auto"/>
                <w:lang w:val="is-IS"/>
              </w:rPr>
              <w:t>Hópur 2</w:t>
            </w:r>
          </w:p>
          <w:p w14:paraId="41CC2229" w14:textId="77777777" w:rsidR="00FD348E" w:rsidRPr="009F7642" w:rsidRDefault="00FD348E" w:rsidP="0073217C">
            <w:pPr>
              <w:keepNext/>
              <w:keepLines/>
              <w:suppressAutoHyphens/>
              <w:spacing w:line="259" w:lineRule="auto"/>
              <w:ind w:right="1"/>
              <w:jc w:val="center"/>
              <w:rPr>
                <w:b/>
                <w:color w:val="auto"/>
                <w:lang w:val="is-IS"/>
              </w:rPr>
            </w:pPr>
          </w:p>
          <w:p w14:paraId="4F475178" w14:textId="77777777" w:rsidR="00FD348E" w:rsidRPr="009F7642" w:rsidRDefault="00FD348E" w:rsidP="0073217C">
            <w:pPr>
              <w:keepNext/>
              <w:keepLines/>
              <w:suppressAutoHyphens/>
              <w:spacing w:line="239" w:lineRule="auto"/>
              <w:jc w:val="center"/>
              <w:rPr>
                <w:b/>
                <w:color w:val="auto"/>
                <w:lang w:val="is-IS"/>
              </w:rPr>
            </w:pPr>
            <w:r w:rsidRPr="009F7642">
              <w:rPr>
                <w:b/>
                <w:color w:val="auto"/>
                <w:lang w:val="is-IS"/>
              </w:rPr>
              <w:t xml:space="preserve">Karbóplatín/ Paklítaxel + </w:t>
            </w:r>
            <w:r w:rsidR="00703AFF" w:rsidRPr="00F2274F">
              <w:rPr>
                <w:b/>
                <w:lang w:val="is-IS"/>
              </w:rPr>
              <w:t>b</w:t>
            </w:r>
            <w:r w:rsidR="00B35E36" w:rsidRPr="00F2274F">
              <w:rPr>
                <w:b/>
                <w:lang w:val="is-IS"/>
              </w:rPr>
              <w:t>evacízúmab</w:t>
            </w:r>
          </w:p>
          <w:p w14:paraId="7E0D3983" w14:textId="77777777" w:rsidR="00FD348E" w:rsidRPr="009F7642" w:rsidRDefault="00FA7D85" w:rsidP="0073217C">
            <w:pPr>
              <w:keepNext/>
              <w:keepLines/>
              <w:suppressAutoHyphens/>
              <w:spacing w:line="259" w:lineRule="auto"/>
              <w:ind w:left="12"/>
              <w:jc w:val="center"/>
              <w:rPr>
                <w:b/>
                <w:color w:val="auto"/>
                <w:lang w:val="is-IS"/>
              </w:rPr>
            </w:pPr>
            <w:r w:rsidRPr="009F7642">
              <w:rPr>
                <w:b/>
                <w:color w:val="auto"/>
                <w:lang w:val="is-IS"/>
              </w:rPr>
              <w:t>15 </w:t>
            </w:r>
            <w:r w:rsidR="00FD348E" w:rsidRPr="009F7642">
              <w:rPr>
                <w:b/>
                <w:color w:val="auto"/>
                <w:lang w:val="is-IS"/>
              </w:rPr>
              <w:t>mg/kg á 3 vikna fresti</w:t>
            </w:r>
          </w:p>
        </w:tc>
      </w:tr>
      <w:tr w:rsidR="00EF1187" w:rsidRPr="009F7642" w14:paraId="7EA13019" w14:textId="77777777" w:rsidTr="000254A9">
        <w:trPr>
          <w:trHeight w:val="300"/>
        </w:trPr>
        <w:tc>
          <w:tcPr>
            <w:tcW w:w="2520" w:type="dxa"/>
            <w:tcBorders>
              <w:top w:val="single" w:sz="4" w:space="0" w:color="auto"/>
              <w:left w:val="single" w:sz="4" w:space="0" w:color="auto"/>
              <w:bottom w:val="single" w:sz="4" w:space="0" w:color="auto"/>
              <w:right w:val="single" w:sz="4" w:space="0" w:color="auto"/>
            </w:tcBorders>
            <w:noWrap/>
            <w:hideMark/>
          </w:tcPr>
          <w:p w14:paraId="115F701E" w14:textId="77777777" w:rsidR="00FD348E" w:rsidRPr="009F7642" w:rsidRDefault="00FD348E" w:rsidP="0073217C">
            <w:pPr>
              <w:keepNext/>
              <w:keepLines/>
              <w:suppressAutoHyphens/>
              <w:spacing w:after="0" w:line="240" w:lineRule="auto"/>
              <w:ind w:left="0" w:firstLine="0"/>
              <w:rPr>
                <w:color w:val="auto"/>
                <w:lang w:val="is-IS"/>
              </w:rPr>
            </w:pPr>
            <w:r w:rsidRPr="009F7642">
              <w:rPr>
                <w:color w:val="auto"/>
                <w:lang w:val="is-IS"/>
              </w:rPr>
              <w:t xml:space="preserve">Fjöldi sjúklinga </w:t>
            </w:r>
          </w:p>
        </w:tc>
        <w:tc>
          <w:tcPr>
            <w:tcW w:w="2882" w:type="dxa"/>
            <w:tcBorders>
              <w:top w:val="single" w:sz="4" w:space="0" w:color="auto"/>
              <w:left w:val="single" w:sz="4" w:space="0" w:color="auto"/>
              <w:bottom w:val="single" w:sz="4" w:space="0" w:color="auto"/>
              <w:right w:val="single" w:sz="4" w:space="0" w:color="auto"/>
            </w:tcBorders>
            <w:noWrap/>
            <w:hideMark/>
          </w:tcPr>
          <w:p w14:paraId="155CD783" w14:textId="77777777" w:rsidR="00FD348E" w:rsidRPr="009F7642" w:rsidRDefault="00FD348E" w:rsidP="0073217C">
            <w:pPr>
              <w:keepNext/>
              <w:keepLines/>
              <w:suppressAutoHyphens/>
              <w:spacing w:line="259" w:lineRule="auto"/>
              <w:ind w:left="184"/>
              <w:jc w:val="center"/>
              <w:rPr>
                <w:color w:val="auto"/>
                <w:lang w:val="is-IS"/>
              </w:rPr>
            </w:pPr>
            <w:r w:rsidRPr="009F7642">
              <w:rPr>
                <w:color w:val="auto"/>
                <w:lang w:val="is-IS"/>
              </w:rPr>
              <w:t xml:space="preserve">444 </w:t>
            </w:r>
          </w:p>
        </w:tc>
        <w:tc>
          <w:tcPr>
            <w:tcW w:w="3511" w:type="dxa"/>
            <w:tcBorders>
              <w:top w:val="single" w:sz="4" w:space="0" w:color="auto"/>
              <w:left w:val="single" w:sz="4" w:space="0" w:color="auto"/>
              <w:bottom w:val="single" w:sz="4" w:space="0" w:color="auto"/>
              <w:right w:val="single" w:sz="4" w:space="0" w:color="auto"/>
            </w:tcBorders>
            <w:noWrap/>
            <w:hideMark/>
          </w:tcPr>
          <w:p w14:paraId="25C4814D" w14:textId="77777777" w:rsidR="00FD348E" w:rsidRPr="009F7642" w:rsidRDefault="00FD348E" w:rsidP="0073217C">
            <w:pPr>
              <w:keepNext/>
              <w:keepLines/>
              <w:suppressAutoHyphens/>
              <w:spacing w:line="259" w:lineRule="auto"/>
              <w:ind w:left="184"/>
              <w:jc w:val="center"/>
              <w:rPr>
                <w:color w:val="auto"/>
                <w:lang w:val="is-IS"/>
              </w:rPr>
            </w:pPr>
            <w:r w:rsidRPr="009F7642">
              <w:rPr>
                <w:color w:val="auto"/>
                <w:lang w:val="is-IS"/>
              </w:rPr>
              <w:t xml:space="preserve">434 </w:t>
            </w:r>
          </w:p>
        </w:tc>
      </w:tr>
      <w:tr w:rsidR="00EF1187" w:rsidRPr="009F7642" w14:paraId="2B23C2A5" w14:textId="77777777" w:rsidTr="000254A9">
        <w:trPr>
          <w:trHeight w:val="300"/>
        </w:trPr>
        <w:tc>
          <w:tcPr>
            <w:tcW w:w="8913" w:type="dxa"/>
            <w:gridSpan w:val="3"/>
            <w:tcBorders>
              <w:top w:val="single" w:sz="4" w:space="0" w:color="auto"/>
              <w:left w:val="single" w:sz="4" w:space="0" w:color="auto"/>
              <w:bottom w:val="single" w:sz="4" w:space="0" w:color="auto"/>
              <w:right w:val="single" w:sz="4" w:space="0" w:color="auto"/>
            </w:tcBorders>
            <w:noWrap/>
            <w:vAlign w:val="bottom"/>
            <w:hideMark/>
          </w:tcPr>
          <w:p w14:paraId="08BF3A14" w14:textId="77777777" w:rsidR="00FD348E" w:rsidRPr="009F7642" w:rsidRDefault="00FD348E" w:rsidP="0073217C">
            <w:pPr>
              <w:suppressAutoHyphens/>
              <w:spacing w:after="0" w:line="240" w:lineRule="auto"/>
              <w:ind w:left="567" w:firstLine="0"/>
              <w:rPr>
                <w:color w:val="auto"/>
                <w:lang w:val="is-IS"/>
              </w:rPr>
            </w:pPr>
            <w:r w:rsidRPr="009F7642">
              <w:rPr>
                <w:color w:val="auto"/>
                <w:lang w:val="is-IS"/>
              </w:rPr>
              <w:t>Heildarlifun</w:t>
            </w:r>
          </w:p>
        </w:tc>
      </w:tr>
      <w:tr w:rsidR="00EF1187" w:rsidRPr="009F7642" w14:paraId="49D8D17C" w14:textId="77777777" w:rsidTr="000254A9">
        <w:trPr>
          <w:trHeight w:val="300"/>
        </w:trPr>
        <w:tc>
          <w:tcPr>
            <w:tcW w:w="2520" w:type="dxa"/>
            <w:tcBorders>
              <w:top w:val="single" w:sz="4" w:space="0" w:color="auto"/>
              <w:left w:val="single" w:sz="4" w:space="0" w:color="auto"/>
              <w:bottom w:val="single" w:sz="4" w:space="0" w:color="auto"/>
              <w:right w:val="single" w:sz="4" w:space="0" w:color="auto"/>
            </w:tcBorders>
            <w:noWrap/>
            <w:hideMark/>
          </w:tcPr>
          <w:p w14:paraId="15EF0252" w14:textId="77777777" w:rsidR="00FD348E" w:rsidRPr="009F7642" w:rsidRDefault="00FD348E" w:rsidP="0073217C">
            <w:pPr>
              <w:suppressAutoHyphens/>
              <w:spacing w:after="0" w:line="240" w:lineRule="auto"/>
              <w:ind w:left="567" w:firstLine="0"/>
              <w:rPr>
                <w:color w:val="auto"/>
                <w:lang w:val="is-IS"/>
              </w:rPr>
            </w:pPr>
            <w:r w:rsidRPr="009F7642">
              <w:rPr>
                <w:color w:val="auto"/>
                <w:lang w:val="is-IS"/>
              </w:rPr>
              <w:t xml:space="preserve">Miðgildi (mánuðir) </w:t>
            </w:r>
          </w:p>
        </w:tc>
        <w:tc>
          <w:tcPr>
            <w:tcW w:w="2882" w:type="dxa"/>
            <w:tcBorders>
              <w:top w:val="single" w:sz="4" w:space="0" w:color="auto"/>
              <w:left w:val="single" w:sz="4" w:space="0" w:color="auto"/>
              <w:bottom w:val="single" w:sz="4" w:space="0" w:color="auto"/>
              <w:right w:val="single" w:sz="4" w:space="0" w:color="auto"/>
            </w:tcBorders>
            <w:noWrap/>
            <w:hideMark/>
          </w:tcPr>
          <w:p w14:paraId="0D38B71E" w14:textId="77777777" w:rsidR="00FD348E" w:rsidRPr="009F7642" w:rsidRDefault="00FD348E" w:rsidP="0073217C">
            <w:pPr>
              <w:suppressAutoHyphens/>
              <w:spacing w:line="259" w:lineRule="auto"/>
              <w:ind w:left="187"/>
              <w:jc w:val="center"/>
              <w:rPr>
                <w:color w:val="auto"/>
                <w:lang w:val="is-IS"/>
              </w:rPr>
            </w:pPr>
            <w:r w:rsidRPr="009F7642">
              <w:rPr>
                <w:color w:val="auto"/>
                <w:lang w:val="is-IS"/>
              </w:rPr>
              <w:t xml:space="preserve">10,3 </w:t>
            </w:r>
          </w:p>
        </w:tc>
        <w:tc>
          <w:tcPr>
            <w:tcW w:w="3511" w:type="dxa"/>
            <w:tcBorders>
              <w:top w:val="single" w:sz="4" w:space="0" w:color="auto"/>
              <w:left w:val="single" w:sz="4" w:space="0" w:color="auto"/>
              <w:bottom w:val="single" w:sz="4" w:space="0" w:color="auto"/>
              <w:right w:val="single" w:sz="4" w:space="0" w:color="auto"/>
            </w:tcBorders>
            <w:noWrap/>
            <w:hideMark/>
          </w:tcPr>
          <w:p w14:paraId="53D5BDA2" w14:textId="77777777" w:rsidR="00FD348E" w:rsidRPr="009F7642" w:rsidRDefault="00FD348E" w:rsidP="0073217C">
            <w:pPr>
              <w:suppressAutoHyphens/>
              <w:spacing w:line="259" w:lineRule="auto"/>
              <w:ind w:left="187"/>
              <w:jc w:val="center"/>
              <w:rPr>
                <w:color w:val="auto"/>
                <w:lang w:val="is-IS"/>
              </w:rPr>
            </w:pPr>
            <w:r w:rsidRPr="009F7642">
              <w:rPr>
                <w:color w:val="auto"/>
                <w:lang w:val="is-IS"/>
              </w:rPr>
              <w:t xml:space="preserve">12,3 </w:t>
            </w:r>
          </w:p>
        </w:tc>
      </w:tr>
      <w:tr w:rsidR="00EF1187" w:rsidRPr="009F7642" w14:paraId="7B6EAD93" w14:textId="77777777" w:rsidTr="000254A9">
        <w:trPr>
          <w:trHeight w:val="547"/>
        </w:trPr>
        <w:tc>
          <w:tcPr>
            <w:tcW w:w="2520" w:type="dxa"/>
            <w:tcBorders>
              <w:top w:val="single" w:sz="4" w:space="0" w:color="auto"/>
              <w:left w:val="single" w:sz="4" w:space="0" w:color="auto"/>
              <w:bottom w:val="single" w:sz="4" w:space="0" w:color="auto"/>
              <w:right w:val="single" w:sz="4" w:space="0" w:color="auto"/>
            </w:tcBorders>
            <w:noWrap/>
            <w:hideMark/>
          </w:tcPr>
          <w:p w14:paraId="1DE94F86" w14:textId="77777777" w:rsidR="00FD348E" w:rsidRPr="009F7642" w:rsidRDefault="00FD348E" w:rsidP="0073217C">
            <w:pPr>
              <w:suppressAutoHyphens/>
              <w:spacing w:after="0" w:line="240" w:lineRule="auto"/>
              <w:ind w:left="567" w:firstLine="0"/>
              <w:rPr>
                <w:color w:val="auto"/>
                <w:lang w:val="is-IS"/>
              </w:rPr>
            </w:pPr>
            <w:r w:rsidRPr="009F7642">
              <w:rPr>
                <w:color w:val="auto"/>
                <w:lang w:val="is-IS"/>
              </w:rPr>
              <w:t xml:space="preserve">Áhættuhlutfall </w:t>
            </w:r>
          </w:p>
        </w:tc>
        <w:tc>
          <w:tcPr>
            <w:tcW w:w="6393" w:type="dxa"/>
            <w:gridSpan w:val="2"/>
            <w:tcBorders>
              <w:top w:val="single" w:sz="4" w:space="0" w:color="auto"/>
              <w:left w:val="single" w:sz="4" w:space="0" w:color="auto"/>
              <w:bottom w:val="single" w:sz="4" w:space="0" w:color="auto"/>
              <w:right w:val="single" w:sz="4" w:space="0" w:color="auto"/>
            </w:tcBorders>
            <w:noWrap/>
            <w:hideMark/>
          </w:tcPr>
          <w:p w14:paraId="1A9C9A7A" w14:textId="77777777" w:rsidR="006C06D6" w:rsidRPr="009F7642" w:rsidRDefault="00FD348E" w:rsidP="0073217C">
            <w:pPr>
              <w:suppressAutoHyphens/>
              <w:spacing w:line="259" w:lineRule="auto"/>
              <w:ind w:left="186"/>
              <w:jc w:val="center"/>
              <w:rPr>
                <w:color w:val="auto"/>
                <w:lang w:val="is-IS"/>
              </w:rPr>
            </w:pPr>
            <w:r w:rsidRPr="009F7642">
              <w:rPr>
                <w:color w:val="auto"/>
                <w:lang w:val="is-IS"/>
              </w:rPr>
              <w:t>0,80 (p</w:t>
            </w:r>
            <w:r w:rsidR="001347B7">
              <w:rPr>
                <w:color w:val="auto"/>
                <w:lang w:val="is-IS"/>
              </w:rPr>
              <w:t> </w:t>
            </w:r>
            <w:r w:rsidR="00700BDC">
              <w:rPr>
                <w:color w:val="auto"/>
                <w:lang w:val="is-IS"/>
              </w:rPr>
              <w:t>=</w:t>
            </w:r>
            <w:r w:rsidR="001347B7">
              <w:rPr>
                <w:color w:val="auto"/>
                <w:lang w:val="is-IS"/>
              </w:rPr>
              <w:t> </w:t>
            </w:r>
            <w:r w:rsidRPr="009F7642">
              <w:rPr>
                <w:color w:val="auto"/>
                <w:lang w:val="is-IS"/>
              </w:rPr>
              <w:t>0,003)</w:t>
            </w:r>
          </w:p>
          <w:p w14:paraId="04DF0926" w14:textId="77777777" w:rsidR="00FD348E" w:rsidRPr="009F7642" w:rsidRDefault="00FD348E" w:rsidP="0073217C">
            <w:pPr>
              <w:suppressAutoHyphens/>
              <w:spacing w:line="259" w:lineRule="auto"/>
              <w:ind w:left="186"/>
              <w:jc w:val="center"/>
              <w:rPr>
                <w:color w:val="auto"/>
                <w:lang w:val="is-IS"/>
              </w:rPr>
            </w:pPr>
            <w:r w:rsidRPr="009F7642">
              <w:rPr>
                <w:color w:val="auto"/>
                <w:lang w:val="is-IS"/>
              </w:rPr>
              <w:t xml:space="preserve">95% CI (0,69; 0,93) </w:t>
            </w:r>
          </w:p>
        </w:tc>
      </w:tr>
      <w:tr w:rsidR="00EF1187" w:rsidRPr="009F7642" w14:paraId="5B419ABE" w14:textId="77777777" w:rsidTr="000254A9">
        <w:trPr>
          <w:trHeight w:val="300"/>
        </w:trPr>
        <w:tc>
          <w:tcPr>
            <w:tcW w:w="8913" w:type="dxa"/>
            <w:gridSpan w:val="3"/>
            <w:tcBorders>
              <w:top w:val="single" w:sz="4" w:space="0" w:color="auto"/>
              <w:left w:val="single" w:sz="4" w:space="0" w:color="auto"/>
              <w:bottom w:val="single" w:sz="4" w:space="0" w:color="auto"/>
              <w:right w:val="single" w:sz="4" w:space="0" w:color="auto"/>
            </w:tcBorders>
            <w:noWrap/>
            <w:vAlign w:val="center"/>
            <w:hideMark/>
          </w:tcPr>
          <w:p w14:paraId="6005D823" w14:textId="77777777" w:rsidR="00FD348E" w:rsidRPr="009F7642" w:rsidRDefault="00FD348E" w:rsidP="0073217C">
            <w:pPr>
              <w:suppressAutoHyphens/>
              <w:spacing w:after="0" w:line="240" w:lineRule="auto"/>
              <w:ind w:left="0" w:firstLine="0"/>
              <w:rPr>
                <w:color w:val="auto"/>
                <w:lang w:val="is-IS"/>
              </w:rPr>
            </w:pPr>
            <w:r w:rsidRPr="009F7642">
              <w:rPr>
                <w:color w:val="auto"/>
                <w:lang w:val="is-IS"/>
              </w:rPr>
              <w:t>Lifun án versnunar sjúkdóms</w:t>
            </w:r>
          </w:p>
        </w:tc>
      </w:tr>
      <w:tr w:rsidR="00EF1187" w:rsidRPr="009F7642" w14:paraId="3039BEAF" w14:textId="77777777" w:rsidTr="000254A9">
        <w:trPr>
          <w:trHeight w:val="300"/>
        </w:trPr>
        <w:tc>
          <w:tcPr>
            <w:tcW w:w="2520" w:type="dxa"/>
            <w:tcBorders>
              <w:top w:val="single" w:sz="4" w:space="0" w:color="auto"/>
              <w:left w:val="single" w:sz="4" w:space="0" w:color="auto"/>
              <w:bottom w:val="single" w:sz="4" w:space="0" w:color="auto"/>
              <w:right w:val="single" w:sz="4" w:space="0" w:color="auto"/>
            </w:tcBorders>
            <w:noWrap/>
            <w:hideMark/>
          </w:tcPr>
          <w:p w14:paraId="7EDA57AA" w14:textId="77777777" w:rsidR="00FD348E" w:rsidRPr="009F7642" w:rsidRDefault="00FD348E" w:rsidP="0073217C">
            <w:pPr>
              <w:suppressAutoHyphens/>
              <w:spacing w:after="0" w:line="240" w:lineRule="auto"/>
              <w:ind w:left="567" w:firstLine="0"/>
              <w:rPr>
                <w:color w:val="auto"/>
                <w:lang w:val="is-IS"/>
              </w:rPr>
            </w:pPr>
            <w:r w:rsidRPr="009F7642">
              <w:rPr>
                <w:color w:val="auto"/>
                <w:lang w:val="is-IS"/>
              </w:rPr>
              <w:t xml:space="preserve">Miðgildi (mánuðir) </w:t>
            </w:r>
          </w:p>
        </w:tc>
        <w:tc>
          <w:tcPr>
            <w:tcW w:w="2882" w:type="dxa"/>
            <w:tcBorders>
              <w:top w:val="single" w:sz="4" w:space="0" w:color="auto"/>
              <w:left w:val="single" w:sz="4" w:space="0" w:color="auto"/>
              <w:bottom w:val="single" w:sz="4" w:space="0" w:color="auto"/>
              <w:right w:val="single" w:sz="4" w:space="0" w:color="auto"/>
            </w:tcBorders>
            <w:noWrap/>
            <w:hideMark/>
          </w:tcPr>
          <w:p w14:paraId="19622380" w14:textId="77777777" w:rsidR="00FD348E" w:rsidRPr="009F7642" w:rsidRDefault="00FD348E" w:rsidP="0073217C">
            <w:pPr>
              <w:suppressAutoHyphens/>
              <w:spacing w:line="259" w:lineRule="auto"/>
              <w:ind w:left="187"/>
              <w:jc w:val="center"/>
              <w:rPr>
                <w:color w:val="auto"/>
                <w:lang w:val="is-IS"/>
              </w:rPr>
            </w:pPr>
            <w:r w:rsidRPr="009F7642">
              <w:rPr>
                <w:color w:val="auto"/>
                <w:lang w:val="is-IS"/>
              </w:rPr>
              <w:t xml:space="preserve">4,8 </w:t>
            </w:r>
          </w:p>
        </w:tc>
        <w:tc>
          <w:tcPr>
            <w:tcW w:w="3511" w:type="dxa"/>
            <w:tcBorders>
              <w:top w:val="single" w:sz="4" w:space="0" w:color="auto"/>
              <w:left w:val="single" w:sz="4" w:space="0" w:color="auto"/>
              <w:bottom w:val="single" w:sz="4" w:space="0" w:color="auto"/>
              <w:right w:val="single" w:sz="4" w:space="0" w:color="auto"/>
            </w:tcBorders>
            <w:noWrap/>
            <w:hideMark/>
          </w:tcPr>
          <w:p w14:paraId="64F89A06" w14:textId="77777777" w:rsidR="00FD348E" w:rsidRPr="009F7642" w:rsidRDefault="00FD348E" w:rsidP="0073217C">
            <w:pPr>
              <w:suppressAutoHyphens/>
              <w:spacing w:line="259" w:lineRule="auto"/>
              <w:ind w:left="187"/>
              <w:jc w:val="center"/>
              <w:rPr>
                <w:color w:val="auto"/>
                <w:lang w:val="is-IS"/>
              </w:rPr>
            </w:pPr>
            <w:r w:rsidRPr="009F7642">
              <w:rPr>
                <w:color w:val="auto"/>
                <w:lang w:val="is-IS"/>
              </w:rPr>
              <w:t xml:space="preserve">6,4 </w:t>
            </w:r>
          </w:p>
        </w:tc>
      </w:tr>
      <w:tr w:rsidR="00EF1187" w:rsidRPr="009F7642" w14:paraId="515CD524" w14:textId="77777777" w:rsidTr="000254A9">
        <w:trPr>
          <w:trHeight w:val="600"/>
        </w:trPr>
        <w:tc>
          <w:tcPr>
            <w:tcW w:w="2520" w:type="dxa"/>
            <w:tcBorders>
              <w:top w:val="single" w:sz="4" w:space="0" w:color="auto"/>
              <w:left w:val="single" w:sz="4" w:space="0" w:color="auto"/>
              <w:bottom w:val="single" w:sz="4" w:space="0" w:color="auto"/>
              <w:right w:val="single" w:sz="4" w:space="0" w:color="auto"/>
            </w:tcBorders>
            <w:noWrap/>
            <w:hideMark/>
          </w:tcPr>
          <w:p w14:paraId="325505A2" w14:textId="77777777" w:rsidR="00FD348E" w:rsidRPr="009F7642" w:rsidRDefault="00FD348E" w:rsidP="0073217C">
            <w:pPr>
              <w:suppressAutoHyphens/>
              <w:spacing w:after="0" w:line="240" w:lineRule="auto"/>
              <w:ind w:left="567" w:firstLine="0"/>
              <w:rPr>
                <w:color w:val="auto"/>
                <w:lang w:val="is-IS"/>
              </w:rPr>
            </w:pPr>
            <w:r w:rsidRPr="009F7642">
              <w:rPr>
                <w:color w:val="auto"/>
                <w:lang w:val="is-IS"/>
              </w:rPr>
              <w:t xml:space="preserve">Áhættuhlutfall </w:t>
            </w:r>
          </w:p>
        </w:tc>
        <w:tc>
          <w:tcPr>
            <w:tcW w:w="6393" w:type="dxa"/>
            <w:gridSpan w:val="2"/>
            <w:tcBorders>
              <w:top w:val="single" w:sz="4" w:space="0" w:color="auto"/>
              <w:left w:val="single" w:sz="4" w:space="0" w:color="auto"/>
              <w:bottom w:val="single" w:sz="4" w:space="0" w:color="auto"/>
              <w:right w:val="single" w:sz="4" w:space="0" w:color="auto"/>
            </w:tcBorders>
            <w:noWrap/>
            <w:hideMark/>
          </w:tcPr>
          <w:p w14:paraId="02C5EB53" w14:textId="77777777" w:rsidR="006C06D6" w:rsidRPr="009F7642" w:rsidRDefault="00FD348E" w:rsidP="0073217C">
            <w:pPr>
              <w:suppressAutoHyphens/>
              <w:spacing w:line="259" w:lineRule="auto"/>
              <w:ind w:left="188"/>
              <w:jc w:val="center"/>
              <w:rPr>
                <w:color w:val="auto"/>
                <w:lang w:val="is-IS"/>
              </w:rPr>
            </w:pPr>
            <w:r w:rsidRPr="009F7642">
              <w:rPr>
                <w:color w:val="auto"/>
                <w:lang w:val="is-IS"/>
              </w:rPr>
              <w:t>0,65 (p</w:t>
            </w:r>
            <w:r w:rsidR="001347B7">
              <w:rPr>
                <w:color w:val="auto"/>
                <w:lang w:val="is-IS"/>
              </w:rPr>
              <w:t> </w:t>
            </w:r>
            <w:r w:rsidRPr="009F7642">
              <w:rPr>
                <w:color w:val="auto"/>
                <w:lang w:val="is-IS"/>
              </w:rPr>
              <w:t>&lt;</w:t>
            </w:r>
            <w:r w:rsidR="001347B7">
              <w:rPr>
                <w:color w:val="auto"/>
                <w:lang w:val="is-IS"/>
              </w:rPr>
              <w:t> </w:t>
            </w:r>
            <w:r w:rsidRPr="009F7642">
              <w:rPr>
                <w:color w:val="auto"/>
                <w:lang w:val="is-IS"/>
              </w:rPr>
              <w:t>0,0001)</w:t>
            </w:r>
          </w:p>
          <w:p w14:paraId="7DE18FF6" w14:textId="77777777" w:rsidR="00FD348E" w:rsidRPr="009F7642" w:rsidRDefault="00FD348E" w:rsidP="0073217C">
            <w:pPr>
              <w:suppressAutoHyphens/>
              <w:spacing w:line="259" w:lineRule="auto"/>
              <w:ind w:left="188"/>
              <w:jc w:val="center"/>
              <w:rPr>
                <w:color w:val="auto"/>
                <w:lang w:val="is-IS"/>
              </w:rPr>
            </w:pPr>
            <w:r w:rsidRPr="009F7642">
              <w:rPr>
                <w:color w:val="auto"/>
                <w:lang w:val="is-IS"/>
              </w:rPr>
              <w:t xml:space="preserve">95% CI (0,56, 0,76) </w:t>
            </w:r>
          </w:p>
        </w:tc>
      </w:tr>
      <w:tr w:rsidR="00EF1187" w:rsidRPr="009F7642" w14:paraId="7EDAAD00" w14:textId="77777777" w:rsidTr="000254A9">
        <w:trPr>
          <w:trHeight w:val="310"/>
        </w:trPr>
        <w:tc>
          <w:tcPr>
            <w:tcW w:w="8913" w:type="dxa"/>
            <w:gridSpan w:val="3"/>
            <w:tcBorders>
              <w:top w:val="single" w:sz="4" w:space="0" w:color="auto"/>
              <w:left w:val="single" w:sz="4" w:space="0" w:color="auto"/>
              <w:bottom w:val="single" w:sz="4" w:space="0" w:color="auto"/>
              <w:right w:val="single" w:sz="4" w:space="0" w:color="auto"/>
            </w:tcBorders>
            <w:noWrap/>
            <w:hideMark/>
          </w:tcPr>
          <w:p w14:paraId="7169B1E6" w14:textId="77777777" w:rsidR="00FD348E" w:rsidRPr="009F7642" w:rsidRDefault="00FD348E" w:rsidP="0073217C">
            <w:pPr>
              <w:suppressAutoHyphens/>
              <w:spacing w:after="0" w:line="240" w:lineRule="auto"/>
              <w:ind w:left="0" w:firstLine="0"/>
              <w:rPr>
                <w:color w:val="auto"/>
                <w:lang w:val="is-IS"/>
              </w:rPr>
            </w:pPr>
            <w:r w:rsidRPr="009F7642">
              <w:rPr>
                <w:color w:val="auto"/>
                <w:lang w:val="is-IS"/>
              </w:rPr>
              <w:t>Heildarsvörunarhlutfall</w:t>
            </w:r>
          </w:p>
        </w:tc>
      </w:tr>
      <w:tr w:rsidR="00EF1187" w:rsidRPr="009F7642" w14:paraId="1F0D598F" w14:textId="77777777" w:rsidTr="000254A9">
        <w:trPr>
          <w:trHeight w:val="413"/>
        </w:trPr>
        <w:tc>
          <w:tcPr>
            <w:tcW w:w="2520" w:type="dxa"/>
            <w:tcBorders>
              <w:top w:val="single" w:sz="4" w:space="0" w:color="auto"/>
              <w:left w:val="single" w:sz="4" w:space="0" w:color="auto"/>
              <w:bottom w:val="single" w:sz="4" w:space="0" w:color="auto"/>
              <w:right w:val="single" w:sz="4" w:space="0" w:color="auto"/>
            </w:tcBorders>
            <w:noWrap/>
            <w:hideMark/>
          </w:tcPr>
          <w:p w14:paraId="262BE14C" w14:textId="77777777" w:rsidR="00FD348E" w:rsidRPr="009F7642" w:rsidRDefault="00FD348E" w:rsidP="0073217C">
            <w:pPr>
              <w:suppressAutoHyphens/>
              <w:spacing w:after="0" w:line="240" w:lineRule="auto"/>
              <w:ind w:left="567" w:firstLine="0"/>
              <w:rPr>
                <w:color w:val="auto"/>
                <w:lang w:val="is-IS"/>
              </w:rPr>
            </w:pPr>
            <w:r w:rsidRPr="009F7642">
              <w:rPr>
                <w:color w:val="auto"/>
                <w:lang w:val="is-IS"/>
              </w:rPr>
              <w:t xml:space="preserve">Hlutfall (prósent) </w:t>
            </w:r>
          </w:p>
        </w:tc>
        <w:tc>
          <w:tcPr>
            <w:tcW w:w="2882" w:type="dxa"/>
            <w:tcBorders>
              <w:top w:val="single" w:sz="4" w:space="0" w:color="auto"/>
              <w:left w:val="single" w:sz="4" w:space="0" w:color="auto"/>
              <w:bottom w:val="single" w:sz="4" w:space="0" w:color="auto"/>
              <w:right w:val="single" w:sz="4" w:space="0" w:color="auto"/>
            </w:tcBorders>
            <w:noWrap/>
            <w:hideMark/>
          </w:tcPr>
          <w:p w14:paraId="7C6EE3AB" w14:textId="77777777" w:rsidR="00FD348E" w:rsidRPr="009F7642" w:rsidRDefault="00FD348E" w:rsidP="0073217C">
            <w:pPr>
              <w:suppressAutoHyphens/>
              <w:spacing w:line="259" w:lineRule="auto"/>
              <w:ind w:left="187"/>
              <w:jc w:val="center"/>
              <w:rPr>
                <w:color w:val="auto"/>
                <w:lang w:val="is-IS"/>
              </w:rPr>
            </w:pPr>
            <w:r w:rsidRPr="009F7642">
              <w:rPr>
                <w:color w:val="auto"/>
                <w:lang w:val="is-IS"/>
              </w:rPr>
              <w:t xml:space="preserve">12,9 </w:t>
            </w:r>
          </w:p>
        </w:tc>
        <w:tc>
          <w:tcPr>
            <w:tcW w:w="3511" w:type="dxa"/>
            <w:tcBorders>
              <w:top w:val="single" w:sz="4" w:space="0" w:color="auto"/>
              <w:left w:val="single" w:sz="4" w:space="0" w:color="auto"/>
              <w:bottom w:val="single" w:sz="4" w:space="0" w:color="auto"/>
              <w:right w:val="single" w:sz="4" w:space="0" w:color="auto"/>
            </w:tcBorders>
            <w:noWrap/>
            <w:hideMark/>
          </w:tcPr>
          <w:p w14:paraId="452106C4" w14:textId="77777777" w:rsidR="00FD348E" w:rsidRPr="009F7642" w:rsidRDefault="00FD348E" w:rsidP="0073217C">
            <w:pPr>
              <w:suppressAutoHyphens/>
              <w:spacing w:line="259" w:lineRule="auto"/>
              <w:ind w:left="494"/>
              <w:rPr>
                <w:color w:val="auto"/>
                <w:lang w:val="is-IS"/>
              </w:rPr>
            </w:pPr>
            <w:r w:rsidRPr="009F7642">
              <w:rPr>
                <w:color w:val="auto"/>
                <w:lang w:val="is-IS"/>
              </w:rPr>
              <w:t>29,0 (p</w:t>
            </w:r>
            <w:r w:rsidR="001347B7">
              <w:rPr>
                <w:color w:val="auto"/>
                <w:lang w:val="is-IS"/>
              </w:rPr>
              <w:t> </w:t>
            </w:r>
            <w:r w:rsidRPr="009F7642">
              <w:rPr>
                <w:color w:val="auto"/>
                <w:lang w:val="is-IS"/>
              </w:rPr>
              <w:t>&lt;</w:t>
            </w:r>
            <w:r w:rsidR="001347B7">
              <w:rPr>
                <w:color w:val="auto"/>
                <w:lang w:val="is-IS"/>
              </w:rPr>
              <w:t> </w:t>
            </w:r>
            <w:r w:rsidRPr="009F7642">
              <w:rPr>
                <w:color w:val="auto"/>
                <w:lang w:val="is-IS"/>
              </w:rPr>
              <w:t xml:space="preserve">0,0001) </w:t>
            </w:r>
          </w:p>
        </w:tc>
      </w:tr>
    </w:tbl>
    <w:p w14:paraId="5E3179F2" w14:textId="77777777" w:rsidR="005F36F3" w:rsidRPr="009F7642" w:rsidRDefault="005F36F3" w:rsidP="0073217C">
      <w:pPr>
        <w:suppressAutoHyphens/>
        <w:spacing w:after="0" w:line="240" w:lineRule="auto"/>
        <w:ind w:left="0" w:firstLine="0"/>
        <w:rPr>
          <w:color w:val="auto"/>
          <w:lang w:val="is-IS"/>
        </w:rPr>
      </w:pPr>
    </w:p>
    <w:p w14:paraId="2B201F31"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Í rannsóknargreiningu, var ávinningur </w:t>
      </w:r>
      <w:r w:rsidR="00690564" w:rsidRPr="00F2274F">
        <w:rPr>
          <w:lang w:val="is-IS"/>
        </w:rPr>
        <w:t>bevacízúmab</w:t>
      </w:r>
      <w:r w:rsidR="00551729" w:rsidRPr="00F2274F">
        <w:rPr>
          <w:lang w:val="is-IS"/>
        </w:rPr>
        <w:t>s</w:t>
      </w:r>
      <w:r w:rsidRPr="009F7642">
        <w:rPr>
          <w:color w:val="auto"/>
          <w:lang w:val="is-IS"/>
        </w:rPr>
        <w:t xml:space="preserve"> fyrir heildarlifun minna greinilegur í undirhópi sjúklinga sem ekki voru með kirtilkrabbamein.</w:t>
      </w:r>
    </w:p>
    <w:p w14:paraId="0A597252" w14:textId="77777777" w:rsidR="005F36F3" w:rsidRPr="009F7642" w:rsidRDefault="005F36F3" w:rsidP="0073217C">
      <w:pPr>
        <w:suppressAutoHyphens/>
        <w:spacing w:after="0" w:line="240" w:lineRule="auto"/>
        <w:ind w:left="0" w:firstLine="0"/>
        <w:rPr>
          <w:color w:val="auto"/>
          <w:lang w:val="is-IS"/>
        </w:rPr>
      </w:pPr>
    </w:p>
    <w:p w14:paraId="24836D43"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t>BO17704</w:t>
      </w:r>
    </w:p>
    <w:p w14:paraId="61036307"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Rannsókn BO17704 var slembiröðuð, tvíblind, III. stigs rannsókn á </w:t>
      </w:r>
      <w:r w:rsidR="00690564" w:rsidRPr="00F2274F">
        <w:rPr>
          <w:lang w:val="is-IS"/>
        </w:rPr>
        <w:t>bevacízúmab</w:t>
      </w:r>
      <w:r w:rsidR="00551729" w:rsidRPr="00F2274F">
        <w:rPr>
          <w:lang w:val="is-IS"/>
        </w:rPr>
        <w:t>i</w:t>
      </w:r>
      <w:r w:rsidRPr="009F7642">
        <w:rPr>
          <w:color w:val="auto"/>
          <w:lang w:val="is-IS"/>
        </w:rPr>
        <w:t xml:space="preserve"> ásamt císplatíni og gemcítabíni á móti lyfleysu, císplatíni og gemcítabíni hjá sjúklingum með langt gengið lungnakrabbamein sem er staðbundið (stig IIIb með meinvörpum í eitlum ofan viðbeins eða illkynja fleiðru- eða gollurshússvökva) með meinvörpum eða endurtekið og er ekki af smáfrumugerð, sem hafa ekki fengið krabbameinslyfjameðferð áður. Aðalendapunktur rannsóknarinnar var lifun án versnunar sjúkdóms, en lengd heildarlifunar var einn af au</w:t>
      </w:r>
      <w:r w:rsidR="003C161D" w:rsidRPr="009F7642">
        <w:rPr>
          <w:color w:val="auto"/>
          <w:lang w:val="is-IS"/>
        </w:rPr>
        <w:t>kaendapunktum rannsóknarinnar.</w:t>
      </w:r>
    </w:p>
    <w:p w14:paraId="59FAEC84" w14:textId="77777777" w:rsidR="005F36F3" w:rsidRPr="009F7642" w:rsidRDefault="005F36F3" w:rsidP="0073217C">
      <w:pPr>
        <w:suppressAutoHyphens/>
        <w:spacing w:after="0" w:line="240" w:lineRule="auto"/>
        <w:ind w:left="0" w:firstLine="0"/>
        <w:rPr>
          <w:color w:val="auto"/>
          <w:lang w:val="is-IS"/>
        </w:rPr>
      </w:pPr>
    </w:p>
    <w:p w14:paraId="0A507027" w14:textId="39C58834" w:rsidR="006C06D6" w:rsidRPr="009F7642" w:rsidRDefault="00564614" w:rsidP="0073217C">
      <w:pPr>
        <w:suppressAutoHyphens/>
        <w:spacing w:after="0" w:line="240" w:lineRule="auto"/>
        <w:ind w:left="0" w:firstLine="0"/>
        <w:rPr>
          <w:color w:val="auto"/>
          <w:lang w:val="is-IS"/>
        </w:rPr>
      </w:pPr>
      <w:r w:rsidRPr="009F7642">
        <w:rPr>
          <w:color w:val="auto"/>
          <w:lang w:val="is-IS"/>
        </w:rPr>
        <w:t>Sjúklingum var slembiraðað á krabbameinslyfjameðferð með platínusamböndum, císplatí</w:t>
      </w:r>
      <w:r w:rsidR="009C428B" w:rsidRPr="009F7642">
        <w:rPr>
          <w:color w:val="auto"/>
          <w:lang w:val="is-IS"/>
        </w:rPr>
        <w:t>n 80 </w:t>
      </w:r>
      <w:r w:rsidRPr="009F7642">
        <w:rPr>
          <w:color w:val="auto"/>
          <w:lang w:val="is-IS"/>
        </w:rPr>
        <w:t>mg/m</w:t>
      </w:r>
      <w:r w:rsidRPr="009F7642">
        <w:rPr>
          <w:color w:val="auto"/>
          <w:vertAlign w:val="superscript"/>
          <w:lang w:val="is-IS"/>
        </w:rPr>
        <w:t>2</w:t>
      </w:r>
      <w:r w:rsidRPr="009F7642">
        <w:rPr>
          <w:color w:val="auto"/>
          <w:lang w:val="is-IS"/>
        </w:rPr>
        <w:t xml:space="preserve"> innrennsli í bláæ</w:t>
      </w:r>
      <w:r w:rsidR="009C428B" w:rsidRPr="009F7642">
        <w:rPr>
          <w:color w:val="auto"/>
          <w:lang w:val="is-IS"/>
        </w:rPr>
        <w:t>ð á 1. degi og gemcítabíni 1</w:t>
      </w:r>
      <w:r w:rsidR="006B3207">
        <w:rPr>
          <w:color w:val="auto"/>
          <w:lang w:val="is-IS"/>
        </w:rPr>
        <w:t>.</w:t>
      </w:r>
      <w:r w:rsidR="009C428B" w:rsidRPr="009F7642">
        <w:rPr>
          <w:color w:val="auto"/>
          <w:lang w:val="is-IS"/>
        </w:rPr>
        <w:t>250 </w:t>
      </w:r>
      <w:r w:rsidRPr="009F7642">
        <w:rPr>
          <w:color w:val="auto"/>
          <w:lang w:val="is-IS"/>
        </w:rPr>
        <w:t>mg/m</w:t>
      </w:r>
      <w:r w:rsidRPr="009F7642">
        <w:rPr>
          <w:color w:val="auto"/>
          <w:vertAlign w:val="superscript"/>
          <w:lang w:val="is-IS"/>
        </w:rPr>
        <w:t>2</w:t>
      </w:r>
      <w:r w:rsidRPr="009F7642">
        <w:rPr>
          <w:color w:val="auto"/>
          <w:lang w:val="is-IS"/>
        </w:rPr>
        <w:t xml:space="preserve"> innrennsli í bláæð á 1. og 8. degi hverrar 3 vikna lotu í allt að 6 lotur ásamt lyfleysu eða císplatín og gemcítabín ásamt </w:t>
      </w:r>
      <w:r w:rsidR="00690564" w:rsidRPr="00F2274F">
        <w:rPr>
          <w:lang w:val="is-IS"/>
        </w:rPr>
        <w:t>bevacízúmab</w:t>
      </w:r>
      <w:r w:rsidR="00551729" w:rsidRPr="00F2274F">
        <w:rPr>
          <w:lang w:val="is-IS"/>
        </w:rPr>
        <w:t>i</w:t>
      </w:r>
      <w:r w:rsidR="009C428B" w:rsidRPr="009F7642">
        <w:rPr>
          <w:color w:val="auto"/>
          <w:lang w:val="is-IS"/>
        </w:rPr>
        <w:t xml:space="preserve"> í skammti sem nam 7,5 eða 15 </w:t>
      </w:r>
      <w:r w:rsidRPr="009F7642">
        <w:rPr>
          <w:color w:val="auto"/>
          <w:lang w:val="is-IS"/>
        </w:rPr>
        <w:t xml:space="preserve">mg/kg sem innrennsli í bláæð á 1. degi hverrar 3 vikna lotu. Í hópnum sem fékk </w:t>
      </w:r>
      <w:r w:rsidR="00690564" w:rsidRPr="00F2274F">
        <w:rPr>
          <w:lang w:val="is-IS"/>
        </w:rPr>
        <w:lastRenderedPageBreak/>
        <w:t>bevacízúmab</w:t>
      </w:r>
      <w:r w:rsidRPr="009F7642">
        <w:rPr>
          <w:color w:val="auto"/>
          <w:lang w:val="is-IS"/>
        </w:rPr>
        <w:t xml:space="preserve"> gátu sjúklingar fengið </w:t>
      </w:r>
      <w:r w:rsidR="00690564" w:rsidRPr="00F2274F">
        <w:rPr>
          <w:lang w:val="is-IS"/>
        </w:rPr>
        <w:t>bevacízúmab</w:t>
      </w:r>
      <w:r w:rsidRPr="009F7642">
        <w:rPr>
          <w:color w:val="auto"/>
          <w:lang w:val="is-IS"/>
        </w:rPr>
        <w:t xml:space="preserve"> sem einlyfja meðferð á 3 vikna fresti fram að versnun sjúkdóms eða óásættanlegum eituráhrifum. Niðurstöður rannsóknarinnar sýndu að 94% (277</w:t>
      </w:r>
      <w:r w:rsidR="001347B7">
        <w:rPr>
          <w:color w:val="auto"/>
          <w:lang w:val="is-IS"/>
        </w:rPr>
        <w:t> </w:t>
      </w:r>
      <w:r w:rsidRPr="009F7642">
        <w:rPr>
          <w:color w:val="auto"/>
          <w:lang w:val="is-IS"/>
        </w:rPr>
        <w:t>/</w:t>
      </w:r>
      <w:r w:rsidR="001347B7">
        <w:rPr>
          <w:color w:val="auto"/>
          <w:lang w:val="is-IS"/>
        </w:rPr>
        <w:t> </w:t>
      </w:r>
      <w:r w:rsidRPr="009F7642">
        <w:rPr>
          <w:color w:val="auto"/>
          <w:lang w:val="is-IS"/>
        </w:rPr>
        <w:t xml:space="preserve">296) sjúklinga fóru á einlyfja meðferð með bevacízúmabi í 7. lotu. Stór hluti sjúklinga (um 62%) fór á ýmiskonar krabbameinsmeðferðir utan rannsóknaráætlunar sem </w:t>
      </w:r>
      <w:r w:rsidR="00EF6528">
        <w:rPr>
          <w:color w:val="auto"/>
          <w:lang w:val="is-IS"/>
        </w:rPr>
        <w:t>kann</w:t>
      </w:r>
      <w:r w:rsidR="00EF6528" w:rsidRPr="009F7642">
        <w:rPr>
          <w:color w:val="auto"/>
          <w:lang w:val="is-IS"/>
        </w:rPr>
        <w:t xml:space="preserve"> </w:t>
      </w:r>
      <w:r w:rsidRPr="009F7642">
        <w:rPr>
          <w:color w:val="auto"/>
          <w:lang w:val="is-IS"/>
        </w:rPr>
        <w:t>að hafa haft áhrif á greiningu heildarlifunar.</w:t>
      </w:r>
    </w:p>
    <w:p w14:paraId="4AEB46BC" w14:textId="77777777" w:rsidR="005F36F3" w:rsidRPr="009F7642" w:rsidRDefault="005F36F3" w:rsidP="0073217C">
      <w:pPr>
        <w:suppressAutoHyphens/>
        <w:spacing w:after="0" w:line="240" w:lineRule="auto"/>
        <w:ind w:left="0" w:firstLine="0"/>
        <w:rPr>
          <w:color w:val="auto"/>
          <w:lang w:val="is-IS"/>
        </w:rPr>
      </w:pPr>
    </w:p>
    <w:p w14:paraId="3F056779"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Niðurstöður um verkun eru kynntar í </w:t>
      </w:r>
      <w:r w:rsidRPr="00363B58">
        <w:rPr>
          <w:color w:val="auto"/>
          <w:lang w:val="is-IS"/>
        </w:rPr>
        <w:t xml:space="preserve">töflu </w:t>
      </w:r>
      <w:r w:rsidR="00985D66" w:rsidRPr="00363B58">
        <w:rPr>
          <w:color w:val="auto"/>
          <w:lang w:val="is-IS"/>
        </w:rPr>
        <w:t>1</w:t>
      </w:r>
      <w:r w:rsidR="00E0001D">
        <w:rPr>
          <w:color w:val="auto"/>
          <w:lang w:val="is-IS"/>
        </w:rPr>
        <w:t>3</w:t>
      </w:r>
      <w:r w:rsidRPr="00363B58">
        <w:rPr>
          <w:color w:val="auto"/>
          <w:lang w:val="is-IS"/>
        </w:rPr>
        <w:t>.</w:t>
      </w:r>
    </w:p>
    <w:p w14:paraId="4D5F6A3E" w14:textId="77777777" w:rsidR="005F36F3" w:rsidRPr="009F7642" w:rsidRDefault="005F36F3" w:rsidP="0073217C">
      <w:pPr>
        <w:suppressAutoHyphens/>
        <w:spacing w:after="0" w:line="240" w:lineRule="auto"/>
        <w:ind w:left="0" w:firstLine="0"/>
        <w:rPr>
          <w:color w:val="auto"/>
          <w:lang w:val="is-IS"/>
        </w:rPr>
      </w:pPr>
    </w:p>
    <w:p w14:paraId="607BABD5" w14:textId="77777777" w:rsidR="005F36F3" w:rsidRPr="00EF1187" w:rsidRDefault="00BF4F58" w:rsidP="0073217C">
      <w:pPr>
        <w:keepNext/>
        <w:keepLines/>
        <w:suppressAutoHyphens/>
        <w:spacing w:after="0" w:line="240" w:lineRule="auto"/>
        <w:ind w:left="0" w:firstLine="0"/>
        <w:rPr>
          <w:b/>
          <w:color w:val="auto"/>
          <w:lang w:val="is-IS"/>
        </w:rPr>
      </w:pPr>
      <w:r w:rsidRPr="00EF1187">
        <w:rPr>
          <w:b/>
          <w:color w:val="auto"/>
          <w:lang w:val="is-IS"/>
        </w:rPr>
        <w:t xml:space="preserve">Tafla </w:t>
      </w:r>
      <w:r w:rsidR="00985D66" w:rsidRPr="00EF1187">
        <w:rPr>
          <w:b/>
          <w:color w:val="auto"/>
          <w:lang w:val="is-IS"/>
        </w:rPr>
        <w:t>1</w:t>
      </w:r>
      <w:r w:rsidR="00E0001D">
        <w:rPr>
          <w:b/>
          <w:color w:val="auto"/>
          <w:lang w:val="is-IS"/>
        </w:rPr>
        <w:t>3</w:t>
      </w:r>
      <w:r w:rsidR="00816D79" w:rsidRPr="00EF1187">
        <w:rPr>
          <w:b/>
          <w:color w:val="auto"/>
          <w:lang w:val="is-IS"/>
        </w:rPr>
        <w:t>.</w:t>
      </w:r>
      <w:r w:rsidR="00CE16F8" w:rsidRPr="00EF1187">
        <w:rPr>
          <w:b/>
          <w:color w:val="auto"/>
          <w:lang w:val="is-IS"/>
        </w:rPr>
        <w:t xml:space="preserve"> </w:t>
      </w:r>
      <w:r w:rsidR="00564614" w:rsidRPr="00EF1187">
        <w:rPr>
          <w:b/>
          <w:color w:val="auto"/>
          <w:lang w:val="is-IS"/>
        </w:rPr>
        <w:t>Niðurstöðu</w:t>
      </w:r>
      <w:r w:rsidRPr="00EF1187">
        <w:rPr>
          <w:b/>
          <w:color w:val="auto"/>
          <w:lang w:val="is-IS"/>
        </w:rPr>
        <w:t>r um verkun úr rannsókn BO17704</w:t>
      </w:r>
    </w:p>
    <w:p w14:paraId="037BE605" w14:textId="77777777" w:rsidR="005F36F3" w:rsidRPr="009F7642" w:rsidRDefault="005F36F3" w:rsidP="0073217C">
      <w:pPr>
        <w:keepNext/>
        <w:keepLines/>
        <w:suppressAutoHyphens/>
        <w:spacing w:after="0" w:line="240" w:lineRule="auto"/>
        <w:ind w:left="0" w:firstLine="0"/>
        <w:rPr>
          <w:color w:val="auto"/>
          <w:lang w:val="is-I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126"/>
        <w:gridCol w:w="2126"/>
        <w:gridCol w:w="2127"/>
      </w:tblGrid>
      <w:tr w:rsidR="008D72D1" w:rsidRPr="00AD2908" w14:paraId="3E212F81" w14:textId="77777777" w:rsidTr="008D72D1">
        <w:trPr>
          <w:trHeight w:val="300"/>
          <w:tblHeader/>
        </w:trPr>
        <w:tc>
          <w:tcPr>
            <w:tcW w:w="2567" w:type="dxa"/>
            <w:tcBorders>
              <w:top w:val="single" w:sz="4" w:space="0" w:color="auto"/>
              <w:left w:val="single" w:sz="4" w:space="0" w:color="auto"/>
              <w:bottom w:val="single" w:sz="4" w:space="0" w:color="auto"/>
              <w:right w:val="single" w:sz="4" w:space="0" w:color="auto"/>
            </w:tcBorders>
            <w:noWrap/>
            <w:vAlign w:val="bottom"/>
            <w:hideMark/>
          </w:tcPr>
          <w:p w14:paraId="433406E9" w14:textId="77777777" w:rsidR="00FA7D85" w:rsidRPr="009F7642" w:rsidRDefault="00FA7D85" w:rsidP="0073217C">
            <w:pPr>
              <w:keepNext/>
              <w:keepLines/>
              <w:suppressAutoHyphens/>
              <w:spacing w:line="240" w:lineRule="auto"/>
              <w:jc w:val="center"/>
              <w:rPr>
                <w:color w:val="auto"/>
                <w:lang w:val="is-IS"/>
              </w:rPr>
            </w:pPr>
          </w:p>
        </w:tc>
        <w:tc>
          <w:tcPr>
            <w:tcW w:w="2126" w:type="dxa"/>
            <w:tcBorders>
              <w:top w:val="single" w:sz="4" w:space="0" w:color="auto"/>
              <w:left w:val="single" w:sz="4" w:space="0" w:color="auto"/>
              <w:bottom w:val="single" w:sz="4" w:space="0" w:color="auto"/>
              <w:right w:val="single" w:sz="4" w:space="0" w:color="auto"/>
            </w:tcBorders>
            <w:noWrap/>
            <w:hideMark/>
          </w:tcPr>
          <w:p w14:paraId="3DFA0238" w14:textId="77777777" w:rsidR="006C06D6" w:rsidRPr="009F7642" w:rsidRDefault="00FA7D85" w:rsidP="0073217C">
            <w:pPr>
              <w:keepNext/>
              <w:keepLines/>
              <w:suppressAutoHyphens/>
              <w:spacing w:after="12" w:line="259" w:lineRule="auto"/>
              <w:jc w:val="center"/>
              <w:rPr>
                <w:b/>
                <w:color w:val="auto"/>
                <w:lang w:val="is-IS"/>
              </w:rPr>
            </w:pPr>
            <w:r w:rsidRPr="009F7642">
              <w:rPr>
                <w:b/>
                <w:color w:val="auto"/>
                <w:lang w:val="is-IS"/>
              </w:rPr>
              <w:t>Císplatín/</w:t>
            </w:r>
          </w:p>
          <w:p w14:paraId="3B33F590" w14:textId="77777777" w:rsidR="00FA7D85" w:rsidRPr="009F7642" w:rsidRDefault="00FA7D85" w:rsidP="0073217C">
            <w:pPr>
              <w:keepNext/>
              <w:keepLines/>
              <w:suppressAutoHyphens/>
              <w:spacing w:line="259" w:lineRule="auto"/>
              <w:jc w:val="center"/>
              <w:rPr>
                <w:b/>
                <w:color w:val="auto"/>
                <w:lang w:val="is-IS"/>
              </w:rPr>
            </w:pPr>
            <w:r w:rsidRPr="009F7642">
              <w:rPr>
                <w:b/>
                <w:color w:val="auto"/>
                <w:lang w:val="is-IS"/>
              </w:rPr>
              <w:t>Gemcítabín + lyfleysa</w:t>
            </w:r>
          </w:p>
        </w:tc>
        <w:tc>
          <w:tcPr>
            <w:tcW w:w="2126" w:type="dxa"/>
            <w:tcBorders>
              <w:top w:val="single" w:sz="4" w:space="0" w:color="auto"/>
              <w:left w:val="single" w:sz="4" w:space="0" w:color="auto"/>
              <w:bottom w:val="single" w:sz="4" w:space="0" w:color="auto"/>
              <w:right w:val="single" w:sz="4" w:space="0" w:color="auto"/>
            </w:tcBorders>
            <w:noWrap/>
            <w:hideMark/>
          </w:tcPr>
          <w:p w14:paraId="53605946" w14:textId="77777777" w:rsidR="006C06D6" w:rsidRPr="009F7642" w:rsidRDefault="00FA7D85" w:rsidP="0073217C">
            <w:pPr>
              <w:keepNext/>
              <w:keepLines/>
              <w:suppressAutoHyphens/>
              <w:spacing w:after="12" w:line="259" w:lineRule="auto"/>
              <w:jc w:val="center"/>
              <w:rPr>
                <w:b/>
                <w:color w:val="auto"/>
                <w:lang w:val="is-IS"/>
              </w:rPr>
            </w:pPr>
            <w:r w:rsidRPr="009F7642">
              <w:rPr>
                <w:b/>
                <w:color w:val="auto"/>
                <w:lang w:val="is-IS"/>
              </w:rPr>
              <w:t>Císplatín/</w:t>
            </w:r>
          </w:p>
          <w:p w14:paraId="324DA29B" w14:textId="77777777" w:rsidR="00FA7D85" w:rsidRPr="009F7642" w:rsidRDefault="00FA7D85" w:rsidP="00703AFF">
            <w:pPr>
              <w:keepNext/>
              <w:keepLines/>
              <w:suppressAutoHyphens/>
              <w:spacing w:line="259" w:lineRule="auto"/>
              <w:jc w:val="center"/>
              <w:rPr>
                <w:b/>
                <w:color w:val="auto"/>
                <w:lang w:val="is-IS"/>
              </w:rPr>
            </w:pPr>
            <w:r w:rsidRPr="009F7642">
              <w:rPr>
                <w:b/>
                <w:color w:val="auto"/>
                <w:lang w:val="is-IS"/>
              </w:rPr>
              <w:t xml:space="preserve">Gemcítabín + </w:t>
            </w:r>
            <w:r w:rsidR="00690564" w:rsidRPr="00F2274F">
              <w:rPr>
                <w:b/>
                <w:lang w:val="is-IS"/>
              </w:rPr>
              <w:t>bevacízúmab</w:t>
            </w:r>
            <w:r w:rsidR="00C9031A">
              <w:rPr>
                <w:b/>
                <w:color w:val="auto"/>
                <w:lang w:val="is-IS"/>
              </w:rPr>
              <w:t xml:space="preserve"> </w:t>
            </w:r>
            <w:r w:rsidRPr="009F7642">
              <w:rPr>
                <w:b/>
                <w:color w:val="auto"/>
                <w:lang w:val="is-IS"/>
              </w:rPr>
              <w:t>7,5 mg/kg á 3 vikna fresti</w:t>
            </w:r>
          </w:p>
        </w:tc>
        <w:tc>
          <w:tcPr>
            <w:tcW w:w="2127" w:type="dxa"/>
            <w:tcBorders>
              <w:top w:val="single" w:sz="4" w:space="0" w:color="auto"/>
              <w:left w:val="single" w:sz="4" w:space="0" w:color="auto"/>
              <w:bottom w:val="single" w:sz="4" w:space="0" w:color="auto"/>
              <w:right w:val="single" w:sz="4" w:space="0" w:color="auto"/>
            </w:tcBorders>
            <w:noWrap/>
            <w:hideMark/>
          </w:tcPr>
          <w:p w14:paraId="6763D56B" w14:textId="77777777" w:rsidR="006C06D6" w:rsidRPr="009F7642" w:rsidRDefault="00FA7D85" w:rsidP="0073217C">
            <w:pPr>
              <w:keepNext/>
              <w:keepLines/>
              <w:suppressAutoHyphens/>
              <w:spacing w:after="12" w:line="259" w:lineRule="auto"/>
              <w:jc w:val="center"/>
              <w:rPr>
                <w:b/>
                <w:color w:val="auto"/>
                <w:lang w:val="is-IS"/>
              </w:rPr>
            </w:pPr>
            <w:r w:rsidRPr="009F7642">
              <w:rPr>
                <w:b/>
                <w:color w:val="auto"/>
                <w:lang w:val="is-IS"/>
              </w:rPr>
              <w:t>Císplatín/</w:t>
            </w:r>
          </w:p>
          <w:p w14:paraId="7BFF6427" w14:textId="77777777" w:rsidR="008D72D1" w:rsidRDefault="00FA7D85" w:rsidP="0073217C">
            <w:pPr>
              <w:keepNext/>
              <w:keepLines/>
              <w:suppressAutoHyphens/>
              <w:spacing w:line="259" w:lineRule="auto"/>
              <w:jc w:val="center"/>
              <w:rPr>
                <w:b/>
                <w:color w:val="auto"/>
                <w:lang w:val="is-IS"/>
              </w:rPr>
            </w:pPr>
            <w:r w:rsidRPr="009F7642">
              <w:rPr>
                <w:b/>
                <w:color w:val="auto"/>
                <w:lang w:val="is-IS"/>
              </w:rPr>
              <w:t>Gemcítabín +</w:t>
            </w:r>
          </w:p>
          <w:p w14:paraId="0FB216CB" w14:textId="77777777" w:rsidR="00FA7D85" w:rsidRPr="009F7642" w:rsidRDefault="00690564" w:rsidP="00703AFF">
            <w:pPr>
              <w:keepNext/>
              <w:keepLines/>
              <w:suppressAutoHyphens/>
              <w:spacing w:line="259" w:lineRule="auto"/>
              <w:jc w:val="center"/>
              <w:rPr>
                <w:b/>
                <w:color w:val="auto"/>
                <w:lang w:val="is-IS"/>
              </w:rPr>
            </w:pPr>
            <w:r w:rsidRPr="00F2274F">
              <w:rPr>
                <w:b/>
                <w:lang w:val="is-IS"/>
              </w:rPr>
              <w:t>bevacízúmab</w:t>
            </w:r>
            <w:r w:rsidR="00C9031A">
              <w:rPr>
                <w:b/>
                <w:color w:val="auto"/>
                <w:lang w:val="is-IS"/>
              </w:rPr>
              <w:t xml:space="preserve"> </w:t>
            </w:r>
            <w:r w:rsidR="00FA7D85" w:rsidRPr="009F7642">
              <w:rPr>
                <w:b/>
                <w:color w:val="auto"/>
                <w:lang w:val="is-IS"/>
              </w:rPr>
              <w:t>15 mg/kg á 3 vikna fresti</w:t>
            </w:r>
          </w:p>
        </w:tc>
      </w:tr>
      <w:tr w:rsidR="008D72D1" w:rsidRPr="009F7642" w14:paraId="0AAFA3F3" w14:textId="77777777" w:rsidTr="008D72D1">
        <w:trPr>
          <w:trHeight w:val="300"/>
        </w:trPr>
        <w:tc>
          <w:tcPr>
            <w:tcW w:w="2567" w:type="dxa"/>
            <w:tcBorders>
              <w:top w:val="single" w:sz="4" w:space="0" w:color="auto"/>
              <w:left w:val="single" w:sz="4" w:space="0" w:color="auto"/>
              <w:bottom w:val="single" w:sz="4" w:space="0" w:color="auto"/>
              <w:right w:val="single" w:sz="4" w:space="0" w:color="auto"/>
            </w:tcBorders>
            <w:noWrap/>
            <w:hideMark/>
          </w:tcPr>
          <w:p w14:paraId="1A2845D3" w14:textId="77777777" w:rsidR="00FA7D85" w:rsidRPr="009F7642" w:rsidRDefault="00FA7D85" w:rsidP="0073217C">
            <w:pPr>
              <w:keepNext/>
              <w:keepLines/>
              <w:suppressAutoHyphens/>
              <w:spacing w:after="0" w:line="240" w:lineRule="auto"/>
              <w:ind w:left="0" w:firstLine="0"/>
              <w:rPr>
                <w:color w:val="auto"/>
                <w:lang w:val="is-IS"/>
              </w:rPr>
            </w:pPr>
            <w:r w:rsidRPr="009F7642">
              <w:rPr>
                <w:color w:val="auto"/>
                <w:lang w:val="is-IS"/>
              </w:rPr>
              <w:t xml:space="preserve">Fjöldi sjúklinga </w:t>
            </w:r>
          </w:p>
        </w:tc>
        <w:tc>
          <w:tcPr>
            <w:tcW w:w="2126" w:type="dxa"/>
            <w:tcBorders>
              <w:top w:val="single" w:sz="4" w:space="0" w:color="auto"/>
              <w:left w:val="single" w:sz="4" w:space="0" w:color="auto"/>
              <w:bottom w:val="single" w:sz="4" w:space="0" w:color="auto"/>
              <w:right w:val="single" w:sz="4" w:space="0" w:color="auto"/>
            </w:tcBorders>
            <w:noWrap/>
            <w:hideMark/>
          </w:tcPr>
          <w:p w14:paraId="160B80F4" w14:textId="77777777" w:rsidR="00FA7D85" w:rsidRPr="009F7642" w:rsidRDefault="00FA7D85" w:rsidP="0073217C">
            <w:pPr>
              <w:keepNext/>
              <w:keepLines/>
              <w:suppressAutoHyphens/>
              <w:spacing w:line="259" w:lineRule="auto"/>
              <w:ind w:right="48"/>
              <w:jc w:val="center"/>
              <w:rPr>
                <w:color w:val="auto"/>
                <w:lang w:val="is-IS"/>
              </w:rPr>
            </w:pPr>
            <w:r w:rsidRPr="009F7642">
              <w:rPr>
                <w:color w:val="auto"/>
                <w:lang w:val="is-IS"/>
              </w:rPr>
              <w:t xml:space="preserve">347 </w:t>
            </w:r>
          </w:p>
        </w:tc>
        <w:tc>
          <w:tcPr>
            <w:tcW w:w="2126" w:type="dxa"/>
            <w:tcBorders>
              <w:top w:val="single" w:sz="4" w:space="0" w:color="auto"/>
              <w:left w:val="single" w:sz="4" w:space="0" w:color="auto"/>
              <w:bottom w:val="single" w:sz="4" w:space="0" w:color="auto"/>
              <w:right w:val="single" w:sz="4" w:space="0" w:color="auto"/>
            </w:tcBorders>
            <w:noWrap/>
            <w:hideMark/>
          </w:tcPr>
          <w:p w14:paraId="525EC730" w14:textId="77777777" w:rsidR="00FA7D85" w:rsidRPr="009F7642" w:rsidRDefault="00FA7D85" w:rsidP="0073217C">
            <w:pPr>
              <w:keepNext/>
              <w:keepLines/>
              <w:suppressAutoHyphens/>
              <w:spacing w:line="259" w:lineRule="auto"/>
              <w:ind w:right="48"/>
              <w:jc w:val="center"/>
              <w:rPr>
                <w:color w:val="auto"/>
                <w:lang w:val="is-IS"/>
              </w:rPr>
            </w:pPr>
            <w:r w:rsidRPr="009F7642">
              <w:rPr>
                <w:color w:val="auto"/>
                <w:lang w:val="is-IS"/>
              </w:rPr>
              <w:t xml:space="preserve">345 </w:t>
            </w:r>
          </w:p>
        </w:tc>
        <w:tc>
          <w:tcPr>
            <w:tcW w:w="2127" w:type="dxa"/>
            <w:tcBorders>
              <w:top w:val="single" w:sz="4" w:space="0" w:color="auto"/>
              <w:left w:val="single" w:sz="4" w:space="0" w:color="auto"/>
              <w:bottom w:val="single" w:sz="4" w:space="0" w:color="auto"/>
              <w:right w:val="single" w:sz="4" w:space="0" w:color="auto"/>
            </w:tcBorders>
            <w:noWrap/>
            <w:hideMark/>
          </w:tcPr>
          <w:p w14:paraId="190C5F45" w14:textId="77777777" w:rsidR="00FA7D85" w:rsidRPr="009F7642" w:rsidRDefault="00FA7D85" w:rsidP="0073217C">
            <w:pPr>
              <w:keepNext/>
              <w:keepLines/>
              <w:suppressAutoHyphens/>
              <w:spacing w:line="259" w:lineRule="auto"/>
              <w:ind w:right="48"/>
              <w:jc w:val="center"/>
              <w:rPr>
                <w:color w:val="auto"/>
                <w:lang w:val="is-IS"/>
              </w:rPr>
            </w:pPr>
            <w:r w:rsidRPr="009F7642">
              <w:rPr>
                <w:color w:val="auto"/>
                <w:lang w:val="is-IS"/>
              </w:rPr>
              <w:t xml:space="preserve">351 </w:t>
            </w:r>
          </w:p>
        </w:tc>
      </w:tr>
      <w:tr w:rsidR="008D72D1" w:rsidRPr="009F7642" w14:paraId="3CC11796" w14:textId="77777777" w:rsidTr="008D72D1">
        <w:trPr>
          <w:trHeight w:val="399"/>
        </w:trPr>
        <w:tc>
          <w:tcPr>
            <w:tcW w:w="2567" w:type="dxa"/>
            <w:tcBorders>
              <w:top w:val="single" w:sz="4" w:space="0" w:color="auto"/>
              <w:left w:val="single" w:sz="4" w:space="0" w:color="auto"/>
              <w:bottom w:val="single" w:sz="4" w:space="0" w:color="auto"/>
              <w:right w:val="single" w:sz="4" w:space="0" w:color="auto"/>
            </w:tcBorders>
            <w:noWrap/>
            <w:hideMark/>
          </w:tcPr>
          <w:p w14:paraId="0F315881" w14:textId="77777777" w:rsidR="00FA7D85" w:rsidRPr="009F7642" w:rsidRDefault="00FA7D85" w:rsidP="0073217C">
            <w:pPr>
              <w:keepNext/>
              <w:keepLines/>
              <w:suppressAutoHyphens/>
              <w:spacing w:after="0" w:line="240" w:lineRule="auto"/>
              <w:ind w:left="0" w:firstLine="0"/>
              <w:rPr>
                <w:color w:val="auto"/>
                <w:lang w:val="is-IS"/>
              </w:rPr>
            </w:pPr>
            <w:r w:rsidRPr="009F7642">
              <w:rPr>
                <w:color w:val="auto"/>
                <w:lang w:val="is-IS"/>
              </w:rPr>
              <w:t xml:space="preserve">Lifun án versnunar sjúkdóms </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731CFB51" w14:textId="77777777" w:rsidR="00FA7D85" w:rsidRPr="009F7642" w:rsidRDefault="00FA7D85" w:rsidP="0073217C">
            <w:pPr>
              <w:keepNext/>
              <w:keepLines/>
              <w:suppressAutoHyphens/>
              <w:rPr>
                <w:color w:val="auto"/>
                <w:lang w:val="is-IS"/>
              </w:rPr>
            </w:pP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39E243F1" w14:textId="77777777" w:rsidR="00FA7D85" w:rsidRPr="009F7642" w:rsidRDefault="00FA7D85" w:rsidP="0073217C">
            <w:pPr>
              <w:keepNext/>
              <w:keepLines/>
              <w:suppressAutoHyphens/>
              <w:spacing w:line="240" w:lineRule="auto"/>
              <w:rPr>
                <w:rFonts w:eastAsia="SimSun"/>
                <w:color w:val="auto"/>
                <w:lang w:val="is-IS" w:eastAsia="en-IN"/>
              </w:rPr>
            </w:pPr>
          </w:p>
        </w:tc>
        <w:tc>
          <w:tcPr>
            <w:tcW w:w="2127" w:type="dxa"/>
            <w:tcBorders>
              <w:top w:val="single" w:sz="4" w:space="0" w:color="auto"/>
              <w:left w:val="single" w:sz="4" w:space="0" w:color="auto"/>
              <w:bottom w:val="single" w:sz="4" w:space="0" w:color="auto"/>
              <w:right w:val="single" w:sz="4" w:space="0" w:color="auto"/>
            </w:tcBorders>
            <w:noWrap/>
            <w:hideMark/>
          </w:tcPr>
          <w:p w14:paraId="38555595" w14:textId="77777777" w:rsidR="00FA7D85" w:rsidRPr="009F7642" w:rsidRDefault="00FA7D85" w:rsidP="0073217C">
            <w:pPr>
              <w:keepNext/>
              <w:keepLines/>
              <w:suppressAutoHyphens/>
              <w:spacing w:line="240" w:lineRule="auto"/>
              <w:rPr>
                <w:rFonts w:eastAsia="SimSun"/>
                <w:color w:val="auto"/>
                <w:lang w:val="is-IS" w:eastAsia="en-IN"/>
              </w:rPr>
            </w:pPr>
          </w:p>
        </w:tc>
      </w:tr>
      <w:tr w:rsidR="008D72D1" w:rsidRPr="009F7642" w14:paraId="55727DC7" w14:textId="77777777" w:rsidTr="008D72D1">
        <w:trPr>
          <w:trHeight w:val="451"/>
        </w:trPr>
        <w:tc>
          <w:tcPr>
            <w:tcW w:w="2567" w:type="dxa"/>
            <w:tcBorders>
              <w:top w:val="single" w:sz="4" w:space="0" w:color="auto"/>
              <w:left w:val="single" w:sz="4" w:space="0" w:color="auto"/>
              <w:bottom w:val="single" w:sz="4" w:space="0" w:color="auto"/>
              <w:right w:val="single" w:sz="4" w:space="0" w:color="auto"/>
            </w:tcBorders>
            <w:noWrap/>
            <w:vAlign w:val="center"/>
            <w:hideMark/>
          </w:tcPr>
          <w:p w14:paraId="56B2A2E4" w14:textId="77777777" w:rsidR="00FA7D85" w:rsidRPr="009F7642" w:rsidRDefault="00FA7D85" w:rsidP="0073217C">
            <w:pPr>
              <w:keepNext/>
              <w:keepLines/>
              <w:suppressAutoHyphens/>
              <w:spacing w:after="0" w:line="240" w:lineRule="auto"/>
              <w:ind w:left="567" w:firstLine="0"/>
              <w:rPr>
                <w:color w:val="auto"/>
                <w:lang w:val="is-IS"/>
              </w:rPr>
            </w:pPr>
            <w:r w:rsidRPr="009F7642">
              <w:rPr>
                <w:color w:val="auto"/>
                <w:lang w:val="is-IS"/>
              </w:rPr>
              <w:t>Miðgildi (mánuðir)</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E1FF705" w14:textId="77777777" w:rsidR="00FA7D85" w:rsidRPr="009F7642" w:rsidRDefault="00FA7D85" w:rsidP="0073217C">
            <w:pPr>
              <w:keepNext/>
              <w:keepLines/>
              <w:suppressAutoHyphens/>
              <w:spacing w:line="240" w:lineRule="auto"/>
              <w:jc w:val="center"/>
              <w:rPr>
                <w:color w:val="auto"/>
                <w:lang w:val="is-IS"/>
              </w:rPr>
            </w:pPr>
            <w:r w:rsidRPr="009F7642">
              <w:rPr>
                <w:color w:val="auto"/>
                <w:lang w:val="is-IS"/>
              </w:rPr>
              <w:t>6,1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4B544DC3" w14:textId="77777777" w:rsidR="00FA7D85" w:rsidRPr="009F7642" w:rsidRDefault="00FA7D85" w:rsidP="0073217C">
            <w:pPr>
              <w:keepNext/>
              <w:keepLines/>
              <w:suppressAutoHyphens/>
              <w:spacing w:line="240" w:lineRule="auto"/>
              <w:jc w:val="center"/>
              <w:rPr>
                <w:color w:val="auto"/>
                <w:lang w:val="is-IS"/>
              </w:rPr>
            </w:pPr>
            <w:r w:rsidRPr="009F7642">
              <w:rPr>
                <w:color w:val="auto"/>
                <w:lang w:val="is-IS"/>
              </w:rPr>
              <w:t>6,7</w:t>
            </w:r>
          </w:p>
          <w:p w14:paraId="7C380E99" w14:textId="77777777" w:rsidR="00FA7D85" w:rsidRPr="009F7642" w:rsidRDefault="00FA7D85" w:rsidP="0073217C">
            <w:pPr>
              <w:keepNext/>
              <w:keepLines/>
              <w:suppressAutoHyphens/>
              <w:spacing w:line="240" w:lineRule="auto"/>
              <w:jc w:val="center"/>
              <w:rPr>
                <w:color w:val="auto"/>
                <w:lang w:val="is-IS"/>
              </w:rPr>
            </w:pPr>
            <w:r w:rsidRPr="009F7642">
              <w:rPr>
                <w:color w:val="auto"/>
                <w:lang w:val="is-IS"/>
              </w:rPr>
              <w:t>(p</w:t>
            </w:r>
            <w:r w:rsidR="001347B7">
              <w:rPr>
                <w:color w:val="auto"/>
                <w:lang w:val="is-IS"/>
              </w:rPr>
              <w:t> </w:t>
            </w:r>
            <w:r w:rsidR="00700BDC">
              <w:rPr>
                <w:color w:val="auto"/>
                <w:lang w:val="is-IS"/>
              </w:rPr>
              <w:t>=</w:t>
            </w:r>
            <w:r w:rsidR="001347B7">
              <w:rPr>
                <w:color w:val="auto"/>
                <w:lang w:val="is-IS"/>
              </w:rPr>
              <w:t> </w:t>
            </w:r>
            <w:r w:rsidRPr="009F7642">
              <w:rPr>
                <w:color w:val="auto"/>
                <w:lang w:val="is-IS"/>
              </w:rPr>
              <w:t>0,0026)</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0D94FED8" w14:textId="77777777" w:rsidR="00FA7D85" w:rsidRPr="009F7642" w:rsidRDefault="00FA7D85" w:rsidP="0073217C">
            <w:pPr>
              <w:keepNext/>
              <w:keepLines/>
              <w:suppressAutoHyphens/>
              <w:spacing w:line="240" w:lineRule="auto"/>
              <w:jc w:val="center"/>
              <w:rPr>
                <w:color w:val="auto"/>
                <w:lang w:val="is-IS"/>
              </w:rPr>
            </w:pPr>
            <w:r w:rsidRPr="009F7642">
              <w:rPr>
                <w:color w:val="auto"/>
                <w:lang w:val="is-IS"/>
              </w:rPr>
              <w:t>6,5</w:t>
            </w:r>
          </w:p>
          <w:p w14:paraId="2801504E" w14:textId="77777777" w:rsidR="00FA7D85" w:rsidRPr="009F7642" w:rsidRDefault="00FA7D85" w:rsidP="0073217C">
            <w:pPr>
              <w:keepNext/>
              <w:keepLines/>
              <w:suppressAutoHyphens/>
              <w:spacing w:line="240" w:lineRule="auto"/>
              <w:jc w:val="center"/>
              <w:rPr>
                <w:color w:val="auto"/>
                <w:lang w:val="is-IS"/>
              </w:rPr>
            </w:pPr>
            <w:r w:rsidRPr="009F7642">
              <w:rPr>
                <w:color w:val="auto"/>
                <w:lang w:val="is-IS"/>
              </w:rPr>
              <w:t>(p</w:t>
            </w:r>
            <w:r w:rsidR="001347B7">
              <w:rPr>
                <w:color w:val="auto"/>
                <w:lang w:val="is-IS"/>
              </w:rPr>
              <w:t> </w:t>
            </w:r>
            <w:r w:rsidR="00700BDC">
              <w:rPr>
                <w:color w:val="auto"/>
                <w:lang w:val="is-IS"/>
              </w:rPr>
              <w:t>=</w:t>
            </w:r>
            <w:r w:rsidR="001347B7">
              <w:rPr>
                <w:color w:val="auto"/>
                <w:lang w:val="is-IS"/>
              </w:rPr>
              <w:t> </w:t>
            </w:r>
            <w:r w:rsidRPr="009F7642">
              <w:rPr>
                <w:color w:val="auto"/>
                <w:lang w:val="is-IS"/>
              </w:rPr>
              <w:t>0,0301)</w:t>
            </w:r>
          </w:p>
        </w:tc>
      </w:tr>
      <w:tr w:rsidR="008D72D1" w:rsidRPr="009F7642" w14:paraId="6535B43D" w14:textId="77777777" w:rsidTr="008D72D1">
        <w:trPr>
          <w:trHeight w:val="643"/>
        </w:trPr>
        <w:tc>
          <w:tcPr>
            <w:tcW w:w="2567" w:type="dxa"/>
            <w:tcBorders>
              <w:top w:val="single" w:sz="4" w:space="0" w:color="auto"/>
              <w:left w:val="single" w:sz="4" w:space="0" w:color="auto"/>
              <w:bottom w:val="single" w:sz="4" w:space="0" w:color="auto"/>
              <w:right w:val="single" w:sz="4" w:space="0" w:color="auto"/>
            </w:tcBorders>
            <w:noWrap/>
            <w:hideMark/>
          </w:tcPr>
          <w:p w14:paraId="24501309" w14:textId="77777777" w:rsidR="00FA7D85" w:rsidRPr="009F7642" w:rsidRDefault="00FA7D85" w:rsidP="0073217C">
            <w:pPr>
              <w:suppressAutoHyphens/>
              <w:spacing w:after="0" w:line="240" w:lineRule="auto"/>
              <w:ind w:left="567" w:firstLine="0"/>
              <w:rPr>
                <w:color w:val="auto"/>
                <w:lang w:val="is-IS"/>
              </w:rPr>
            </w:pPr>
            <w:r w:rsidRPr="009F7642">
              <w:rPr>
                <w:color w:val="auto"/>
                <w:lang w:val="is-IS"/>
              </w:rPr>
              <w:t xml:space="preserve">Áhættuhlutfall </w:t>
            </w:r>
          </w:p>
        </w:tc>
        <w:tc>
          <w:tcPr>
            <w:tcW w:w="2126" w:type="dxa"/>
            <w:tcBorders>
              <w:top w:val="single" w:sz="4" w:space="0" w:color="auto"/>
              <w:left w:val="single" w:sz="4" w:space="0" w:color="auto"/>
              <w:bottom w:val="single" w:sz="4" w:space="0" w:color="auto"/>
              <w:right w:val="single" w:sz="4" w:space="0" w:color="auto"/>
            </w:tcBorders>
            <w:noWrap/>
          </w:tcPr>
          <w:p w14:paraId="2EF70EA5" w14:textId="77777777" w:rsidR="00FA7D85" w:rsidRPr="009F7642" w:rsidRDefault="00FA7D85" w:rsidP="0073217C">
            <w:pPr>
              <w:suppressAutoHyphens/>
              <w:spacing w:line="259" w:lineRule="auto"/>
              <w:ind w:left="7"/>
              <w:jc w:val="center"/>
              <w:rPr>
                <w:color w:val="auto"/>
                <w:lang w:val="is-IS"/>
              </w:rPr>
            </w:pPr>
          </w:p>
        </w:tc>
        <w:tc>
          <w:tcPr>
            <w:tcW w:w="2126" w:type="dxa"/>
            <w:tcBorders>
              <w:top w:val="single" w:sz="4" w:space="0" w:color="auto"/>
              <w:left w:val="single" w:sz="4" w:space="0" w:color="auto"/>
              <w:bottom w:val="single" w:sz="4" w:space="0" w:color="auto"/>
              <w:right w:val="single" w:sz="4" w:space="0" w:color="auto"/>
            </w:tcBorders>
            <w:noWrap/>
            <w:hideMark/>
          </w:tcPr>
          <w:p w14:paraId="56F9A9A1" w14:textId="77777777" w:rsidR="006C06D6" w:rsidRPr="009F7642" w:rsidRDefault="00FA7D85" w:rsidP="0073217C">
            <w:pPr>
              <w:suppressAutoHyphens/>
              <w:spacing w:line="259" w:lineRule="auto"/>
              <w:ind w:right="46"/>
              <w:jc w:val="center"/>
              <w:rPr>
                <w:color w:val="auto"/>
                <w:lang w:val="is-IS"/>
              </w:rPr>
            </w:pPr>
            <w:r w:rsidRPr="009F7642">
              <w:rPr>
                <w:color w:val="auto"/>
                <w:lang w:val="is-IS"/>
              </w:rPr>
              <w:t>0,75</w:t>
            </w:r>
          </w:p>
          <w:p w14:paraId="42ED6F96" w14:textId="77777777" w:rsidR="00FA7D85" w:rsidRPr="009F7642" w:rsidRDefault="00FA7D85" w:rsidP="0073217C">
            <w:pPr>
              <w:suppressAutoHyphens/>
              <w:spacing w:line="259" w:lineRule="auto"/>
              <w:ind w:right="47"/>
              <w:jc w:val="center"/>
              <w:rPr>
                <w:color w:val="auto"/>
                <w:lang w:val="is-IS"/>
              </w:rPr>
            </w:pPr>
            <w:r w:rsidRPr="009F7642">
              <w:rPr>
                <w:color w:val="auto"/>
                <w:lang w:val="is-IS"/>
              </w:rPr>
              <w:t xml:space="preserve">[0,62; 0,91] </w:t>
            </w:r>
          </w:p>
        </w:tc>
        <w:tc>
          <w:tcPr>
            <w:tcW w:w="2127" w:type="dxa"/>
            <w:tcBorders>
              <w:top w:val="single" w:sz="4" w:space="0" w:color="auto"/>
              <w:left w:val="single" w:sz="4" w:space="0" w:color="auto"/>
              <w:bottom w:val="single" w:sz="4" w:space="0" w:color="auto"/>
              <w:right w:val="single" w:sz="4" w:space="0" w:color="auto"/>
            </w:tcBorders>
            <w:noWrap/>
            <w:hideMark/>
          </w:tcPr>
          <w:p w14:paraId="29DEAF20" w14:textId="77777777" w:rsidR="006C06D6" w:rsidRPr="009F7642" w:rsidRDefault="00FA7D85" w:rsidP="0073217C">
            <w:pPr>
              <w:suppressAutoHyphens/>
              <w:spacing w:line="259" w:lineRule="auto"/>
              <w:ind w:right="46"/>
              <w:jc w:val="center"/>
              <w:rPr>
                <w:color w:val="auto"/>
                <w:lang w:val="is-IS"/>
              </w:rPr>
            </w:pPr>
            <w:r w:rsidRPr="009F7642">
              <w:rPr>
                <w:color w:val="auto"/>
                <w:lang w:val="is-IS"/>
              </w:rPr>
              <w:t>0,82</w:t>
            </w:r>
          </w:p>
          <w:p w14:paraId="5EF12C19" w14:textId="77777777" w:rsidR="00FA7D85" w:rsidRPr="009F7642" w:rsidRDefault="00FA7D85" w:rsidP="0073217C">
            <w:pPr>
              <w:suppressAutoHyphens/>
              <w:spacing w:line="259" w:lineRule="auto"/>
              <w:ind w:right="47"/>
              <w:jc w:val="center"/>
              <w:rPr>
                <w:color w:val="auto"/>
                <w:lang w:val="is-IS"/>
              </w:rPr>
            </w:pPr>
            <w:r w:rsidRPr="009F7642">
              <w:rPr>
                <w:color w:val="auto"/>
                <w:lang w:val="is-IS"/>
              </w:rPr>
              <w:t xml:space="preserve">[0,68; 0,98] </w:t>
            </w:r>
          </w:p>
        </w:tc>
      </w:tr>
      <w:tr w:rsidR="008D72D1" w:rsidRPr="009F7642" w14:paraId="01E292A0" w14:textId="77777777" w:rsidTr="008E5AEA">
        <w:trPr>
          <w:trHeight w:val="855"/>
        </w:trPr>
        <w:tc>
          <w:tcPr>
            <w:tcW w:w="2567" w:type="dxa"/>
            <w:tcBorders>
              <w:top w:val="single" w:sz="4" w:space="0" w:color="auto"/>
              <w:left w:val="single" w:sz="4" w:space="0" w:color="auto"/>
              <w:bottom w:val="single" w:sz="4" w:space="0" w:color="auto"/>
              <w:right w:val="single" w:sz="4" w:space="0" w:color="auto"/>
            </w:tcBorders>
            <w:noWrap/>
            <w:hideMark/>
          </w:tcPr>
          <w:p w14:paraId="58507D59" w14:textId="77777777" w:rsidR="00FA7D85" w:rsidRPr="009F7642" w:rsidRDefault="00FA7D85" w:rsidP="0073217C">
            <w:pPr>
              <w:suppressAutoHyphens/>
              <w:spacing w:line="240" w:lineRule="auto"/>
              <w:rPr>
                <w:color w:val="auto"/>
                <w:lang w:val="is-IS"/>
              </w:rPr>
            </w:pPr>
            <w:r w:rsidRPr="009F7642">
              <w:rPr>
                <w:color w:val="auto"/>
                <w:lang w:val="is-IS"/>
              </w:rPr>
              <w:t xml:space="preserve">Heildarsvörunarhlutfall </w:t>
            </w:r>
            <w:r w:rsidRPr="009F7642">
              <w:rPr>
                <w:color w:val="auto"/>
                <w:vertAlign w:val="superscript"/>
                <w:lang w:val="is-IS"/>
              </w:rPr>
              <w:t>a</w:t>
            </w:r>
            <w:r w:rsidRPr="009F7642">
              <w:rPr>
                <w:color w:val="auto"/>
                <w:lang w:val="is-IS"/>
              </w:rPr>
              <w:t xml:space="preserve"> </w:t>
            </w:r>
          </w:p>
        </w:tc>
        <w:tc>
          <w:tcPr>
            <w:tcW w:w="2126" w:type="dxa"/>
            <w:tcBorders>
              <w:top w:val="single" w:sz="4" w:space="0" w:color="auto"/>
              <w:left w:val="single" w:sz="4" w:space="0" w:color="auto"/>
              <w:bottom w:val="single" w:sz="4" w:space="0" w:color="auto"/>
              <w:right w:val="single" w:sz="4" w:space="0" w:color="auto"/>
            </w:tcBorders>
            <w:noWrap/>
            <w:hideMark/>
          </w:tcPr>
          <w:p w14:paraId="22E59C78" w14:textId="77777777" w:rsidR="00FA7D85" w:rsidRPr="009F7642" w:rsidRDefault="00FA7D85" w:rsidP="0073217C">
            <w:pPr>
              <w:suppressAutoHyphens/>
              <w:spacing w:after="319" w:line="259" w:lineRule="auto"/>
              <w:ind w:right="44"/>
              <w:jc w:val="center"/>
              <w:rPr>
                <w:color w:val="auto"/>
                <w:lang w:val="is-IS"/>
              </w:rPr>
            </w:pPr>
            <w:r w:rsidRPr="009F7642">
              <w:rPr>
                <w:color w:val="auto"/>
                <w:lang w:val="is-IS"/>
              </w:rPr>
              <w:t xml:space="preserve">20,1% </w:t>
            </w:r>
          </w:p>
        </w:tc>
        <w:tc>
          <w:tcPr>
            <w:tcW w:w="2126" w:type="dxa"/>
            <w:tcBorders>
              <w:top w:val="single" w:sz="4" w:space="0" w:color="auto"/>
              <w:left w:val="single" w:sz="4" w:space="0" w:color="auto"/>
              <w:bottom w:val="single" w:sz="4" w:space="0" w:color="auto"/>
              <w:right w:val="single" w:sz="4" w:space="0" w:color="auto"/>
            </w:tcBorders>
            <w:noWrap/>
            <w:hideMark/>
          </w:tcPr>
          <w:p w14:paraId="5DB078F7" w14:textId="77777777" w:rsidR="006C06D6" w:rsidRPr="009F7642" w:rsidRDefault="00FA7D85" w:rsidP="0073217C">
            <w:pPr>
              <w:suppressAutoHyphens/>
              <w:spacing w:line="259" w:lineRule="auto"/>
              <w:ind w:right="44"/>
              <w:jc w:val="center"/>
              <w:rPr>
                <w:color w:val="auto"/>
                <w:lang w:val="is-IS"/>
              </w:rPr>
            </w:pPr>
            <w:r w:rsidRPr="009F7642">
              <w:rPr>
                <w:color w:val="auto"/>
                <w:lang w:val="is-IS"/>
              </w:rPr>
              <w:t>34,1%</w:t>
            </w:r>
          </w:p>
          <w:p w14:paraId="561D7F9C" w14:textId="77777777" w:rsidR="00FA7D85" w:rsidRPr="009F7642" w:rsidRDefault="00FA7D85" w:rsidP="008E5AEA">
            <w:pPr>
              <w:suppressAutoHyphens/>
              <w:spacing w:line="259" w:lineRule="auto"/>
              <w:ind w:left="1"/>
              <w:jc w:val="center"/>
              <w:rPr>
                <w:color w:val="auto"/>
                <w:lang w:val="is-IS"/>
              </w:rPr>
            </w:pPr>
            <w:r w:rsidRPr="009F7642">
              <w:rPr>
                <w:color w:val="auto"/>
                <w:lang w:val="is-IS"/>
              </w:rPr>
              <w:t>(p</w:t>
            </w:r>
            <w:r w:rsidR="001347B7">
              <w:rPr>
                <w:color w:val="auto"/>
                <w:lang w:val="is-IS"/>
              </w:rPr>
              <w:t> </w:t>
            </w:r>
            <w:r w:rsidRPr="009F7642">
              <w:rPr>
                <w:color w:val="auto"/>
                <w:lang w:val="is-IS"/>
              </w:rPr>
              <w:t>&lt;</w:t>
            </w:r>
            <w:r w:rsidR="001347B7">
              <w:rPr>
                <w:color w:val="auto"/>
                <w:lang w:val="is-IS"/>
              </w:rPr>
              <w:t> </w:t>
            </w:r>
            <w:r w:rsidRPr="009F7642">
              <w:rPr>
                <w:color w:val="auto"/>
                <w:lang w:val="is-IS"/>
              </w:rPr>
              <w:t>0,0001)</w:t>
            </w:r>
          </w:p>
        </w:tc>
        <w:tc>
          <w:tcPr>
            <w:tcW w:w="2127" w:type="dxa"/>
            <w:tcBorders>
              <w:top w:val="single" w:sz="4" w:space="0" w:color="auto"/>
              <w:left w:val="single" w:sz="4" w:space="0" w:color="auto"/>
              <w:bottom w:val="single" w:sz="4" w:space="0" w:color="auto"/>
              <w:right w:val="single" w:sz="4" w:space="0" w:color="auto"/>
            </w:tcBorders>
            <w:noWrap/>
            <w:hideMark/>
          </w:tcPr>
          <w:p w14:paraId="44B56262" w14:textId="77777777" w:rsidR="006C06D6" w:rsidRPr="009F7642" w:rsidRDefault="00FA7D85" w:rsidP="0073217C">
            <w:pPr>
              <w:suppressAutoHyphens/>
              <w:spacing w:line="259" w:lineRule="auto"/>
              <w:ind w:right="44"/>
              <w:jc w:val="center"/>
              <w:rPr>
                <w:color w:val="auto"/>
                <w:lang w:val="is-IS"/>
              </w:rPr>
            </w:pPr>
            <w:r w:rsidRPr="009F7642">
              <w:rPr>
                <w:color w:val="auto"/>
                <w:lang w:val="is-IS"/>
              </w:rPr>
              <w:t>30,4%</w:t>
            </w:r>
          </w:p>
          <w:p w14:paraId="7D8C13DA" w14:textId="77777777" w:rsidR="00FA7D85" w:rsidRPr="009F7642" w:rsidRDefault="00FA7D85" w:rsidP="008E5AEA">
            <w:pPr>
              <w:suppressAutoHyphens/>
              <w:spacing w:line="259" w:lineRule="auto"/>
              <w:ind w:left="2"/>
              <w:jc w:val="center"/>
              <w:rPr>
                <w:color w:val="auto"/>
                <w:lang w:val="is-IS"/>
              </w:rPr>
            </w:pPr>
            <w:r w:rsidRPr="009F7642">
              <w:rPr>
                <w:color w:val="auto"/>
                <w:lang w:val="is-IS"/>
              </w:rPr>
              <w:t>(p</w:t>
            </w:r>
            <w:r w:rsidR="001347B7">
              <w:rPr>
                <w:color w:val="auto"/>
                <w:lang w:val="is-IS"/>
              </w:rPr>
              <w:t> </w:t>
            </w:r>
            <w:r w:rsidR="00700BDC">
              <w:rPr>
                <w:color w:val="auto"/>
                <w:lang w:val="is-IS"/>
              </w:rPr>
              <w:t>=</w:t>
            </w:r>
            <w:r w:rsidR="001347B7">
              <w:rPr>
                <w:color w:val="auto"/>
                <w:lang w:val="is-IS"/>
              </w:rPr>
              <w:t> </w:t>
            </w:r>
            <w:r w:rsidRPr="009F7642">
              <w:rPr>
                <w:color w:val="auto"/>
                <w:lang w:val="is-IS"/>
              </w:rPr>
              <w:t>0,0023)</w:t>
            </w:r>
          </w:p>
        </w:tc>
      </w:tr>
    </w:tbl>
    <w:p w14:paraId="6C1FC47C" w14:textId="0F07C968" w:rsidR="006C06D6" w:rsidRPr="008D72D1" w:rsidRDefault="00564614" w:rsidP="0073217C">
      <w:pPr>
        <w:suppressAutoHyphens/>
        <w:spacing w:after="0" w:line="240" w:lineRule="auto"/>
        <w:ind w:left="567" w:hanging="567"/>
        <w:rPr>
          <w:color w:val="auto"/>
          <w:sz w:val="20"/>
          <w:szCs w:val="20"/>
          <w:lang w:val="is-IS"/>
        </w:rPr>
      </w:pPr>
      <w:r w:rsidRPr="008D72D1">
        <w:rPr>
          <w:color w:val="auto"/>
          <w:sz w:val="20"/>
          <w:szCs w:val="20"/>
          <w:vertAlign w:val="superscript"/>
          <w:lang w:val="is-IS"/>
        </w:rPr>
        <w:t>a</w:t>
      </w:r>
      <w:r w:rsidR="00ED782B" w:rsidRPr="008D72D1">
        <w:rPr>
          <w:color w:val="auto"/>
          <w:sz w:val="20"/>
          <w:szCs w:val="20"/>
          <w:lang w:val="is-IS"/>
        </w:rPr>
        <w:tab/>
      </w:r>
      <w:r w:rsidRPr="008D72D1">
        <w:rPr>
          <w:color w:val="auto"/>
          <w:sz w:val="20"/>
          <w:szCs w:val="20"/>
          <w:lang w:val="is-IS"/>
        </w:rPr>
        <w:t xml:space="preserve">sjúklingar með mælanlegan sjúkdóm við </w:t>
      </w:r>
      <w:r w:rsidR="008872A8" w:rsidRPr="008872A8">
        <w:rPr>
          <w:color w:val="auto"/>
          <w:sz w:val="20"/>
          <w:szCs w:val="20"/>
          <w:lang w:val="is-IS"/>
        </w:rPr>
        <w:t>upphaf rannsóknarinnar</w:t>
      </w:r>
      <w:r w:rsidR="0049609F" w:rsidRPr="008D72D1">
        <w:rPr>
          <w:color w:val="auto"/>
          <w:sz w:val="20"/>
          <w:szCs w:val="20"/>
          <w:lang w:val="is-IS"/>
        </w:rPr>
        <w:t>.</w:t>
      </w:r>
    </w:p>
    <w:p w14:paraId="19C1CA61" w14:textId="77777777" w:rsidR="005F36F3" w:rsidRPr="009F7642" w:rsidRDefault="005F36F3" w:rsidP="0073217C">
      <w:pPr>
        <w:suppressAutoHyphens/>
        <w:spacing w:after="0" w:line="240" w:lineRule="auto"/>
        <w:ind w:left="0" w:firstLine="0"/>
        <w:rPr>
          <w:color w:val="auto"/>
          <w:lang w:val="is-IS"/>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6"/>
        <w:gridCol w:w="2306"/>
        <w:gridCol w:w="2306"/>
        <w:gridCol w:w="2028"/>
      </w:tblGrid>
      <w:tr w:rsidR="008D72D1" w:rsidRPr="009F7642" w14:paraId="00E55CA8" w14:textId="77777777" w:rsidTr="008D72D1">
        <w:trPr>
          <w:trHeight w:val="300"/>
        </w:trPr>
        <w:tc>
          <w:tcPr>
            <w:tcW w:w="8946" w:type="dxa"/>
            <w:gridSpan w:val="4"/>
            <w:tcBorders>
              <w:top w:val="single" w:sz="4" w:space="0" w:color="auto"/>
              <w:left w:val="single" w:sz="4" w:space="0" w:color="auto"/>
              <w:bottom w:val="single" w:sz="4" w:space="0" w:color="auto"/>
              <w:right w:val="single" w:sz="4" w:space="0" w:color="auto"/>
            </w:tcBorders>
            <w:noWrap/>
            <w:vAlign w:val="bottom"/>
            <w:hideMark/>
          </w:tcPr>
          <w:p w14:paraId="3A7DA30F" w14:textId="77777777" w:rsidR="00FA7D85" w:rsidRPr="009F7642" w:rsidRDefault="00FA7D85" w:rsidP="0073217C">
            <w:pPr>
              <w:suppressAutoHyphens/>
              <w:spacing w:line="240" w:lineRule="auto"/>
              <w:rPr>
                <w:color w:val="auto"/>
                <w:lang w:val="is-IS"/>
              </w:rPr>
            </w:pPr>
            <w:r w:rsidRPr="009F7642">
              <w:rPr>
                <w:color w:val="auto"/>
                <w:lang w:val="is-IS"/>
              </w:rPr>
              <w:t>Heildarlifun</w:t>
            </w:r>
          </w:p>
        </w:tc>
      </w:tr>
      <w:tr w:rsidR="008D72D1" w:rsidRPr="009F7642" w14:paraId="0D629C9E" w14:textId="77777777" w:rsidTr="008D72D1">
        <w:trPr>
          <w:trHeight w:val="619"/>
        </w:trPr>
        <w:tc>
          <w:tcPr>
            <w:tcW w:w="2306" w:type="dxa"/>
            <w:tcBorders>
              <w:top w:val="single" w:sz="4" w:space="0" w:color="auto"/>
              <w:left w:val="single" w:sz="4" w:space="0" w:color="auto"/>
              <w:bottom w:val="single" w:sz="4" w:space="0" w:color="auto"/>
              <w:right w:val="single" w:sz="4" w:space="0" w:color="auto"/>
            </w:tcBorders>
            <w:noWrap/>
            <w:hideMark/>
          </w:tcPr>
          <w:p w14:paraId="7A204336" w14:textId="77777777" w:rsidR="00FA7D85" w:rsidRPr="009F7642" w:rsidRDefault="00FA7D85" w:rsidP="0073217C">
            <w:pPr>
              <w:suppressAutoHyphens/>
              <w:spacing w:after="100" w:afterAutospacing="1" w:line="240" w:lineRule="auto"/>
              <w:ind w:left="567" w:firstLine="0"/>
              <w:rPr>
                <w:color w:val="auto"/>
                <w:lang w:val="is-IS"/>
              </w:rPr>
            </w:pPr>
            <w:r w:rsidRPr="009F7642">
              <w:rPr>
                <w:color w:val="auto"/>
                <w:lang w:val="is-IS"/>
              </w:rPr>
              <w:t>Miðgildi (mánuðir)</w:t>
            </w:r>
            <w:r w:rsidRPr="009F7642">
              <w:rPr>
                <w:b/>
                <w:color w:val="auto"/>
                <w:lang w:val="is-IS"/>
              </w:rPr>
              <w:t xml:space="preserve"> </w:t>
            </w:r>
          </w:p>
        </w:tc>
        <w:tc>
          <w:tcPr>
            <w:tcW w:w="2306" w:type="dxa"/>
            <w:tcBorders>
              <w:top w:val="single" w:sz="4" w:space="0" w:color="auto"/>
              <w:left w:val="single" w:sz="4" w:space="0" w:color="auto"/>
              <w:bottom w:val="single" w:sz="4" w:space="0" w:color="auto"/>
              <w:right w:val="single" w:sz="4" w:space="0" w:color="auto"/>
            </w:tcBorders>
            <w:noWrap/>
            <w:hideMark/>
          </w:tcPr>
          <w:p w14:paraId="42BF78F0" w14:textId="77777777" w:rsidR="00FA7D85" w:rsidRPr="009F7642" w:rsidRDefault="00FA7D85" w:rsidP="0073217C">
            <w:pPr>
              <w:suppressAutoHyphens/>
              <w:spacing w:line="259" w:lineRule="auto"/>
              <w:ind w:right="17"/>
              <w:jc w:val="center"/>
              <w:rPr>
                <w:color w:val="auto"/>
                <w:lang w:val="is-IS"/>
              </w:rPr>
            </w:pPr>
            <w:r w:rsidRPr="009F7642">
              <w:rPr>
                <w:color w:val="auto"/>
                <w:lang w:val="is-IS"/>
              </w:rPr>
              <w:t xml:space="preserve">13,1 </w:t>
            </w: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468F5A0A" w14:textId="77777777" w:rsidR="006C06D6" w:rsidRPr="009F7642" w:rsidRDefault="00FA7D85" w:rsidP="0073217C">
            <w:pPr>
              <w:suppressAutoHyphens/>
              <w:spacing w:after="64" w:line="259" w:lineRule="auto"/>
              <w:ind w:right="17"/>
              <w:jc w:val="center"/>
              <w:rPr>
                <w:color w:val="auto"/>
                <w:lang w:val="is-IS"/>
              </w:rPr>
            </w:pPr>
            <w:r w:rsidRPr="009F7642">
              <w:rPr>
                <w:color w:val="auto"/>
                <w:lang w:val="is-IS"/>
              </w:rPr>
              <w:t>13,6</w:t>
            </w:r>
          </w:p>
          <w:p w14:paraId="047E1D15" w14:textId="77777777" w:rsidR="00FA7D85" w:rsidRPr="009F7642" w:rsidRDefault="00FA7D85" w:rsidP="0073217C">
            <w:pPr>
              <w:suppressAutoHyphens/>
              <w:spacing w:line="259" w:lineRule="auto"/>
              <w:ind w:right="15"/>
              <w:jc w:val="center"/>
              <w:rPr>
                <w:color w:val="auto"/>
                <w:lang w:val="is-IS"/>
              </w:rPr>
            </w:pPr>
            <w:r w:rsidRPr="009F7642">
              <w:rPr>
                <w:color w:val="auto"/>
                <w:lang w:val="is-IS"/>
              </w:rPr>
              <w:t>(p</w:t>
            </w:r>
            <w:r w:rsidR="001347B7">
              <w:rPr>
                <w:color w:val="auto"/>
                <w:lang w:val="is-IS"/>
              </w:rPr>
              <w:t> </w:t>
            </w:r>
            <w:r w:rsidR="00700BDC">
              <w:rPr>
                <w:color w:val="auto"/>
                <w:lang w:val="is-IS"/>
              </w:rPr>
              <w:t>=</w:t>
            </w:r>
            <w:r w:rsidR="001347B7">
              <w:rPr>
                <w:color w:val="auto"/>
                <w:lang w:val="is-IS"/>
              </w:rPr>
              <w:t> </w:t>
            </w:r>
            <w:r w:rsidRPr="009F7642">
              <w:rPr>
                <w:color w:val="auto"/>
                <w:lang w:val="is-IS"/>
              </w:rPr>
              <w:t xml:space="preserve">0,4203) </w:t>
            </w:r>
          </w:p>
        </w:tc>
        <w:tc>
          <w:tcPr>
            <w:tcW w:w="2028" w:type="dxa"/>
            <w:tcBorders>
              <w:top w:val="single" w:sz="4" w:space="0" w:color="auto"/>
              <w:left w:val="single" w:sz="4" w:space="0" w:color="auto"/>
              <w:bottom w:val="single" w:sz="4" w:space="0" w:color="auto"/>
              <w:right w:val="single" w:sz="4" w:space="0" w:color="auto"/>
            </w:tcBorders>
            <w:noWrap/>
            <w:vAlign w:val="center"/>
            <w:hideMark/>
          </w:tcPr>
          <w:p w14:paraId="752E743C" w14:textId="77777777" w:rsidR="006C06D6" w:rsidRPr="009F7642" w:rsidRDefault="00FA7D85" w:rsidP="0073217C">
            <w:pPr>
              <w:suppressAutoHyphens/>
              <w:spacing w:after="64" w:line="259" w:lineRule="auto"/>
              <w:ind w:right="19"/>
              <w:jc w:val="center"/>
              <w:rPr>
                <w:color w:val="auto"/>
                <w:lang w:val="is-IS"/>
              </w:rPr>
            </w:pPr>
            <w:r w:rsidRPr="009F7642">
              <w:rPr>
                <w:color w:val="auto"/>
                <w:lang w:val="is-IS"/>
              </w:rPr>
              <w:t>13,4</w:t>
            </w:r>
          </w:p>
          <w:p w14:paraId="122E1830" w14:textId="77777777" w:rsidR="00FA7D85" w:rsidRPr="009F7642" w:rsidRDefault="00FA7D85" w:rsidP="0073217C">
            <w:pPr>
              <w:tabs>
                <w:tab w:val="left" w:pos="2033"/>
              </w:tabs>
              <w:suppressAutoHyphens/>
              <w:spacing w:line="259" w:lineRule="auto"/>
              <w:ind w:right="18"/>
              <w:jc w:val="center"/>
              <w:rPr>
                <w:color w:val="auto"/>
                <w:lang w:val="is-IS"/>
              </w:rPr>
            </w:pPr>
            <w:r w:rsidRPr="009F7642">
              <w:rPr>
                <w:color w:val="auto"/>
                <w:lang w:val="is-IS"/>
              </w:rPr>
              <w:t>(p</w:t>
            </w:r>
            <w:r w:rsidR="001347B7">
              <w:rPr>
                <w:color w:val="auto"/>
                <w:lang w:val="is-IS"/>
              </w:rPr>
              <w:t> </w:t>
            </w:r>
            <w:r w:rsidR="00700BDC">
              <w:rPr>
                <w:color w:val="auto"/>
                <w:lang w:val="is-IS"/>
              </w:rPr>
              <w:t>=</w:t>
            </w:r>
            <w:r w:rsidR="001347B7">
              <w:rPr>
                <w:color w:val="auto"/>
                <w:lang w:val="is-IS"/>
              </w:rPr>
              <w:t> </w:t>
            </w:r>
            <w:r w:rsidRPr="009F7642">
              <w:rPr>
                <w:color w:val="auto"/>
                <w:lang w:val="is-IS"/>
              </w:rPr>
              <w:t xml:space="preserve">0,7613) </w:t>
            </w:r>
          </w:p>
        </w:tc>
      </w:tr>
      <w:tr w:rsidR="008D72D1" w:rsidRPr="009F7642" w14:paraId="24348EE9" w14:textId="77777777" w:rsidTr="008D72D1">
        <w:trPr>
          <w:trHeight w:val="581"/>
        </w:trPr>
        <w:tc>
          <w:tcPr>
            <w:tcW w:w="2306" w:type="dxa"/>
            <w:tcBorders>
              <w:top w:val="single" w:sz="4" w:space="0" w:color="auto"/>
              <w:left w:val="single" w:sz="4" w:space="0" w:color="auto"/>
              <w:bottom w:val="single" w:sz="4" w:space="0" w:color="auto"/>
              <w:right w:val="single" w:sz="4" w:space="0" w:color="auto"/>
            </w:tcBorders>
            <w:noWrap/>
            <w:hideMark/>
          </w:tcPr>
          <w:p w14:paraId="1B1F0F33" w14:textId="77777777" w:rsidR="00FA7D85" w:rsidRPr="009F7642" w:rsidRDefault="00FA7D85" w:rsidP="0073217C">
            <w:pPr>
              <w:suppressAutoHyphens/>
              <w:spacing w:after="0" w:line="240" w:lineRule="auto"/>
              <w:ind w:left="567" w:firstLine="0"/>
              <w:rPr>
                <w:color w:val="auto"/>
                <w:lang w:val="is-IS"/>
              </w:rPr>
            </w:pPr>
            <w:r w:rsidRPr="009F7642">
              <w:rPr>
                <w:color w:val="auto"/>
                <w:lang w:val="is-IS"/>
              </w:rPr>
              <w:t xml:space="preserve">Áhættuhlutfall </w:t>
            </w:r>
          </w:p>
        </w:tc>
        <w:tc>
          <w:tcPr>
            <w:tcW w:w="2306" w:type="dxa"/>
            <w:tcBorders>
              <w:top w:val="single" w:sz="4" w:space="0" w:color="auto"/>
              <w:left w:val="single" w:sz="4" w:space="0" w:color="auto"/>
              <w:bottom w:val="single" w:sz="4" w:space="0" w:color="auto"/>
              <w:right w:val="single" w:sz="4" w:space="0" w:color="auto"/>
            </w:tcBorders>
            <w:noWrap/>
          </w:tcPr>
          <w:p w14:paraId="1196DB0A" w14:textId="77777777" w:rsidR="00FA7D85" w:rsidRPr="009F7642" w:rsidRDefault="00FA7D85" w:rsidP="0073217C">
            <w:pPr>
              <w:suppressAutoHyphens/>
              <w:spacing w:line="259" w:lineRule="auto"/>
              <w:ind w:left="36"/>
              <w:jc w:val="center"/>
              <w:rPr>
                <w:color w:val="auto"/>
                <w:lang w:val="is-IS"/>
              </w:rPr>
            </w:pPr>
          </w:p>
        </w:tc>
        <w:tc>
          <w:tcPr>
            <w:tcW w:w="2306" w:type="dxa"/>
            <w:tcBorders>
              <w:top w:val="single" w:sz="4" w:space="0" w:color="auto"/>
              <w:left w:val="single" w:sz="4" w:space="0" w:color="auto"/>
              <w:bottom w:val="single" w:sz="4" w:space="0" w:color="auto"/>
              <w:right w:val="single" w:sz="4" w:space="0" w:color="auto"/>
            </w:tcBorders>
            <w:noWrap/>
            <w:vAlign w:val="center"/>
            <w:hideMark/>
          </w:tcPr>
          <w:p w14:paraId="635DDB5C" w14:textId="77777777" w:rsidR="006C06D6" w:rsidRPr="009F7642" w:rsidRDefault="00FA7D85" w:rsidP="0073217C">
            <w:pPr>
              <w:suppressAutoHyphens/>
              <w:spacing w:line="259" w:lineRule="auto"/>
              <w:ind w:right="17"/>
              <w:jc w:val="center"/>
              <w:rPr>
                <w:color w:val="auto"/>
                <w:lang w:val="is-IS"/>
              </w:rPr>
            </w:pPr>
            <w:r w:rsidRPr="009F7642">
              <w:rPr>
                <w:color w:val="auto"/>
                <w:lang w:val="is-IS"/>
              </w:rPr>
              <w:t>0,93</w:t>
            </w:r>
          </w:p>
          <w:p w14:paraId="22B53243" w14:textId="77777777" w:rsidR="00FA7D85" w:rsidRPr="009F7642" w:rsidRDefault="00FA7D85" w:rsidP="0073217C">
            <w:pPr>
              <w:suppressAutoHyphens/>
              <w:spacing w:line="259" w:lineRule="auto"/>
              <w:ind w:right="18"/>
              <w:jc w:val="center"/>
              <w:rPr>
                <w:color w:val="auto"/>
                <w:lang w:val="is-IS"/>
              </w:rPr>
            </w:pPr>
            <w:r w:rsidRPr="009F7642">
              <w:rPr>
                <w:color w:val="auto"/>
                <w:lang w:val="is-IS"/>
              </w:rPr>
              <w:t xml:space="preserve">[0,78; 1,11] </w:t>
            </w:r>
          </w:p>
        </w:tc>
        <w:tc>
          <w:tcPr>
            <w:tcW w:w="2028" w:type="dxa"/>
            <w:tcBorders>
              <w:top w:val="single" w:sz="4" w:space="0" w:color="auto"/>
              <w:left w:val="single" w:sz="4" w:space="0" w:color="auto"/>
              <w:bottom w:val="single" w:sz="4" w:space="0" w:color="auto"/>
              <w:right w:val="single" w:sz="4" w:space="0" w:color="auto"/>
            </w:tcBorders>
            <w:noWrap/>
            <w:vAlign w:val="center"/>
            <w:hideMark/>
          </w:tcPr>
          <w:p w14:paraId="1C560604" w14:textId="77777777" w:rsidR="006C06D6" w:rsidRPr="009F7642" w:rsidRDefault="00FA7D85" w:rsidP="0073217C">
            <w:pPr>
              <w:suppressAutoHyphens/>
              <w:spacing w:line="259" w:lineRule="auto"/>
              <w:ind w:right="19"/>
              <w:jc w:val="center"/>
              <w:rPr>
                <w:color w:val="auto"/>
                <w:lang w:val="is-IS"/>
              </w:rPr>
            </w:pPr>
            <w:r w:rsidRPr="009F7642">
              <w:rPr>
                <w:color w:val="auto"/>
                <w:lang w:val="is-IS"/>
              </w:rPr>
              <w:t>1,03</w:t>
            </w:r>
          </w:p>
          <w:p w14:paraId="2B317A7B" w14:textId="77777777" w:rsidR="00FA7D85" w:rsidRPr="009F7642" w:rsidRDefault="00FA7D85" w:rsidP="0073217C">
            <w:pPr>
              <w:suppressAutoHyphens/>
              <w:spacing w:line="259" w:lineRule="auto"/>
              <w:ind w:right="20"/>
              <w:jc w:val="center"/>
              <w:rPr>
                <w:color w:val="auto"/>
                <w:lang w:val="is-IS"/>
              </w:rPr>
            </w:pPr>
            <w:r w:rsidRPr="009F7642">
              <w:rPr>
                <w:color w:val="auto"/>
                <w:lang w:val="is-IS"/>
              </w:rPr>
              <w:t xml:space="preserve">[0,86, 1,23] </w:t>
            </w:r>
          </w:p>
        </w:tc>
      </w:tr>
    </w:tbl>
    <w:p w14:paraId="0F5B4C66" w14:textId="77777777" w:rsidR="00E0001D" w:rsidRDefault="00E0001D" w:rsidP="00E0001D">
      <w:pPr>
        <w:autoSpaceDE w:val="0"/>
        <w:autoSpaceDN w:val="0"/>
        <w:adjustRightInd w:val="0"/>
        <w:spacing w:line="240" w:lineRule="auto"/>
        <w:rPr>
          <w:rFonts w:eastAsia="Calibri"/>
          <w:i/>
          <w:iCs/>
        </w:rPr>
      </w:pPr>
    </w:p>
    <w:p w14:paraId="3C8EB108" w14:textId="77777777" w:rsidR="00E0001D" w:rsidRPr="001A3CEE" w:rsidRDefault="00E0001D" w:rsidP="00E0001D">
      <w:pPr>
        <w:autoSpaceDE w:val="0"/>
        <w:autoSpaceDN w:val="0"/>
        <w:adjustRightInd w:val="0"/>
        <w:spacing w:line="240" w:lineRule="auto"/>
        <w:rPr>
          <w:rFonts w:eastAsia="Calibri"/>
          <w:i/>
          <w:iCs/>
        </w:rPr>
      </w:pPr>
      <w:proofErr w:type="spellStart"/>
      <w:r>
        <w:rPr>
          <w:i/>
          <w:iCs/>
        </w:rPr>
        <w:t>Fyrsta</w:t>
      </w:r>
      <w:proofErr w:type="spellEnd"/>
      <w:r>
        <w:rPr>
          <w:i/>
          <w:iCs/>
        </w:rPr>
        <w:t xml:space="preserve"> </w:t>
      </w:r>
      <w:proofErr w:type="spellStart"/>
      <w:r>
        <w:rPr>
          <w:i/>
          <w:iCs/>
        </w:rPr>
        <w:t>meðferð</w:t>
      </w:r>
      <w:proofErr w:type="spellEnd"/>
      <w:r>
        <w:rPr>
          <w:i/>
          <w:iCs/>
        </w:rPr>
        <w:t xml:space="preserve"> </w:t>
      </w:r>
      <w:proofErr w:type="spellStart"/>
      <w:r>
        <w:rPr>
          <w:i/>
          <w:iCs/>
        </w:rPr>
        <w:t>við</w:t>
      </w:r>
      <w:proofErr w:type="spellEnd"/>
      <w:r>
        <w:rPr>
          <w:i/>
          <w:iCs/>
        </w:rPr>
        <w:t xml:space="preserve"> </w:t>
      </w:r>
      <w:proofErr w:type="spellStart"/>
      <w:r>
        <w:rPr>
          <w:i/>
          <w:iCs/>
        </w:rPr>
        <w:t>lungnakrabbameini</w:t>
      </w:r>
      <w:proofErr w:type="spellEnd"/>
      <w:r>
        <w:rPr>
          <w:i/>
          <w:iCs/>
        </w:rPr>
        <w:t xml:space="preserve"> </w:t>
      </w:r>
      <w:proofErr w:type="spellStart"/>
      <w:r>
        <w:rPr>
          <w:i/>
          <w:iCs/>
        </w:rPr>
        <w:t>sem</w:t>
      </w:r>
      <w:proofErr w:type="spellEnd"/>
      <w:r>
        <w:rPr>
          <w:i/>
          <w:iCs/>
        </w:rPr>
        <w:t xml:space="preserve"> ekki er </w:t>
      </w:r>
      <w:proofErr w:type="spellStart"/>
      <w:r>
        <w:rPr>
          <w:i/>
          <w:iCs/>
        </w:rPr>
        <w:t>af</w:t>
      </w:r>
      <w:proofErr w:type="spellEnd"/>
      <w:r>
        <w:rPr>
          <w:i/>
          <w:iCs/>
        </w:rPr>
        <w:t xml:space="preserve"> </w:t>
      </w:r>
      <w:proofErr w:type="spellStart"/>
      <w:r>
        <w:rPr>
          <w:i/>
          <w:iCs/>
        </w:rPr>
        <w:t>smáfrumugerð</w:t>
      </w:r>
      <w:proofErr w:type="spellEnd"/>
      <w:r>
        <w:rPr>
          <w:i/>
          <w:iCs/>
        </w:rPr>
        <w:t xml:space="preserve"> </w:t>
      </w:r>
      <w:proofErr w:type="spellStart"/>
      <w:r>
        <w:rPr>
          <w:i/>
          <w:iCs/>
        </w:rPr>
        <w:t>eða</w:t>
      </w:r>
      <w:proofErr w:type="spellEnd"/>
      <w:r>
        <w:rPr>
          <w:i/>
          <w:iCs/>
        </w:rPr>
        <w:t xml:space="preserve"> </w:t>
      </w:r>
      <w:proofErr w:type="spellStart"/>
      <w:r>
        <w:rPr>
          <w:i/>
          <w:iCs/>
        </w:rPr>
        <w:t>flöguþekjugerð</w:t>
      </w:r>
      <w:proofErr w:type="spellEnd"/>
      <w:r>
        <w:rPr>
          <w:i/>
          <w:iCs/>
        </w:rPr>
        <w:t xml:space="preserve"> </w:t>
      </w:r>
      <w:proofErr w:type="spellStart"/>
      <w:r>
        <w:rPr>
          <w:i/>
          <w:iCs/>
        </w:rPr>
        <w:t>og</w:t>
      </w:r>
      <w:proofErr w:type="spellEnd"/>
      <w:r>
        <w:rPr>
          <w:i/>
          <w:iCs/>
        </w:rPr>
        <w:t xml:space="preserve"> er </w:t>
      </w:r>
      <w:proofErr w:type="spellStart"/>
      <w:r>
        <w:rPr>
          <w:i/>
          <w:iCs/>
        </w:rPr>
        <w:t>með</w:t>
      </w:r>
      <w:proofErr w:type="spellEnd"/>
      <w:r>
        <w:rPr>
          <w:i/>
          <w:iCs/>
        </w:rPr>
        <w:t xml:space="preserve"> EGFR-</w:t>
      </w:r>
      <w:proofErr w:type="spellStart"/>
      <w:r>
        <w:rPr>
          <w:i/>
          <w:iCs/>
        </w:rPr>
        <w:t>virkjandi</w:t>
      </w:r>
      <w:proofErr w:type="spellEnd"/>
      <w:r>
        <w:rPr>
          <w:i/>
          <w:iCs/>
        </w:rPr>
        <w:t xml:space="preserve"> </w:t>
      </w:r>
      <w:proofErr w:type="spellStart"/>
      <w:r>
        <w:rPr>
          <w:i/>
          <w:iCs/>
        </w:rPr>
        <w:t>stökkbreytingar</w:t>
      </w:r>
      <w:proofErr w:type="spellEnd"/>
      <w:r>
        <w:rPr>
          <w:i/>
          <w:iCs/>
        </w:rPr>
        <w:t xml:space="preserve">, </w:t>
      </w:r>
      <w:proofErr w:type="spellStart"/>
      <w:r>
        <w:rPr>
          <w:i/>
          <w:iCs/>
        </w:rPr>
        <w:t>ásamt</w:t>
      </w:r>
      <w:proofErr w:type="spellEnd"/>
      <w:r>
        <w:rPr>
          <w:i/>
          <w:iCs/>
        </w:rPr>
        <w:t xml:space="preserve"> </w:t>
      </w:r>
      <w:proofErr w:type="spellStart"/>
      <w:r>
        <w:rPr>
          <w:i/>
          <w:iCs/>
        </w:rPr>
        <w:t>erlótiníbi</w:t>
      </w:r>
      <w:proofErr w:type="spellEnd"/>
    </w:p>
    <w:p w14:paraId="492A60CA" w14:textId="77777777" w:rsidR="00E0001D" w:rsidRPr="001A3CEE" w:rsidRDefault="00E0001D" w:rsidP="00E0001D">
      <w:pPr>
        <w:autoSpaceDE w:val="0"/>
        <w:autoSpaceDN w:val="0"/>
        <w:adjustRightInd w:val="0"/>
        <w:spacing w:line="240" w:lineRule="auto"/>
        <w:rPr>
          <w:rFonts w:eastAsia="Calibri"/>
          <w:i/>
          <w:iCs/>
        </w:rPr>
      </w:pPr>
    </w:p>
    <w:p w14:paraId="79CFF9E6" w14:textId="77777777" w:rsidR="00E0001D" w:rsidRPr="001A3CEE" w:rsidRDefault="00E0001D" w:rsidP="00E0001D">
      <w:pPr>
        <w:keepNext/>
        <w:autoSpaceDE w:val="0"/>
        <w:autoSpaceDN w:val="0"/>
        <w:adjustRightInd w:val="0"/>
        <w:spacing w:line="240" w:lineRule="auto"/>
        <w:rPr>
          <w:rFonts w:eastAsia="Calibri"/>
          <w:i/>
          <w:iCs/>
        </w:rPr>
      </w:pPr>
      <w:r w:rsidRPr="001A3CEE">
        <w:rPr>
          <w:rFonts w:eastAsia="Calibri"/>
          <w:i/>
          <w:iCs/>
        </w:rPr>
        <w:t>JO25567</w:t>
      </w:r>
    </w:p>
    <w:p w14:paraId="3AB2E890" w14:textId="77777777" w:rsidR="00E0001D" w:rsidRDefault="00E0001D" w:rsidP="00E0001D">
      <w:pPr>
        <w:autoSpaceDE w:val="0"/>
        <w:autoSpaceDN w:val="0"/>
        <w:adjustRightInd w:val="0"/>
        <w:spacing w:line="240" w:lineRule="auto"/>
      </w:pPr>
      <w:r>
        <w:t xml:space="preserve">JO25567-rannsóknin var </w:t>
      </w:r>
      <w:proofErr w:type="spellStart"/>
      <w:r>
        <w:t>slembiröðuð</w:t>
      </w:r>
      <w:proofErr w:type="spellEnd"/>
      <w:r>
        <w:t xml:space="preserve">, </w:t>
      </w:r>
      <w:proofErr w:type="spellStart"/>
      <w:r>
        <w:t>opin</w:t>
      </w:r>
      <w:proofErr w:type="spellEnd"/>
      <w:r>
        <w:t xml:space="preserve">, </w:t>
      </w:r>
      <w:proofErr w:type="spellStart"/>
      <w:r>
        <w:t>fjölsetra</w:t>
      </w:r>
      <w:proofErr w:type="spellEnd"/>
      <w:r>
        <w:t xml:space="preserve"> </w:t>
      </w:r>
      <w:proofErr w:type="spellStart"/>
      <w:r>
        <w:t>rannsókn</w:t>
      </w:r>
      <w:proofErr w:type="spellEnd"/>
      <w:r>
        <w:t xml:space="preserve"> á </w:t>
      </w:r>
      <w:proofErr w:type="spellStart"/>
      <w:r>
        <w:t>stigi</w:t>
      </w:r>
      <w:proofErr w:type="spellEnd"/>
      <w:r>
        <w:t xml:space="preserve"> II </w:t>
      </w:r>
      <w:proofErr w:type="spellStart"/>
      <w:r>
        <w:t>sem</w:t>
      </w:r>
      <w:proofErr w:type="spellEnd"/>
      <w:r>
        <w:t xml:space="preserve"> </w:t>
      </w:r>
      <w:proofErr w:type="spellStart"/>
      <w:r>
        <w:t>gerð</w:t>
      </w:r>
      <w:proofErr w:type="spellEnd"/>
      <w:r>
        <w:t xml:space="preserve"> var í Japan </w:t>
      </w:r>
      <w:proofErr w:type="spellStart"/>
      <w:r>
        <w:t>til</w:t>
      </w:r>
      <w:proofErr w:type="spellEnd"/>
      <w:r>
        <w:t xml:space="preserve"> </w:t>
      </w:r>
      <w:proofErr w:type="spellStart"/>
      <w:r>
        <w:t>að</w:t>
      </w:r>
      <w:proofErr w:type="spellEnd"/>
      <w:r>
        <w:t xml:space="preserve"> meta </w:t>
      </w:r>
      <w:proofErr w:type="spellStart"/>
      <w:r>
        <w:t>verkun</w:t>
      </w:r>
      <w:proofErr w:type="spellEnd"/>
      <w:r>
        <w:t xml:space="preserve"> </w:t>
      </w:r>
      <w:proofErr w:type="spellStart"/>
      <w:r>
        <w:t>og</w:t>
      </w:r>
      <w:proofErr w:type="spellEnd"/>
      <w:r>
        <w:t xml:space="preserve"> </w:t>
      </w:r>
      <w:proofErr w:type="spellStart"/>
      <w:r>
        <w:t>öryggi</w:t>
      </w:r>
      <w:proofErr w:type="spellEnd"/>
      <w:r>
        <w:t xml:space="preserve"> </w:t>
      </w:r>
      <w:proofErr w:type="spellStart"/>
      <w:r w:rsidRPr="001A3CEE">
        <w:rPr>
          <w:rFonts w:eastAsia="Calibri"/>
          <w:iCs/>
        </w:rPr>
        <w:t>bevac</w:t>
      </w:r>
      <w:r>
        <w:rPr>
          <w:rFonts w:eastAsia="Calibri"/>
          <w:iCs/>
        </w:rPr>
        <w:t>í</w:t>
      </w:r>
      <w:r w:rsidRPr="001A3CEE">
        <w:rPr>
          <w:rFonts w:eastAsia="Calibri"/>
          <w:iCs/>
        </w:rPr>
        <w:t>z</w:t>
      </w:r>
      <w:r>
        <w:rPr>
          <w:rFonts w:eastAsia="Calibri"/>
          <w:iCs/>
        </w:rPr>
        <w:t>ú</w:t>
      </w:r>
      <w:r w:rsidRPr="001A3CEE">
        <w:rPr>
          <w:rFonts w:eastAsia="Calibri"/>
          <w:iCs/>
        </w:rPr>
        <w:t>mab</w:t>
      </w:r>
      <w:r>
        <w:rPr>
          <w:rFonts w:eastAsia="Calibri"/>
          <w:iCs/>
        </w:rPr>
        <w:t>s</w:t>
      </w:r>
      <w:proofErr w:type="spellEnd"/>
      <w:r w:rsidRPr="001A3CEE">
        <w:rPr>
          <w:rFonts w:eastAsia="Calibri"/>
          <w:iCs/>
        </w:rPr>
        <w:t xml:space="preserve"> </w:t>
      </w:r>
      <w:proofErr w:type="spellStart"/>
      <w:r>
        <w:t>við</w:t>
      </w:r>
      <w:proofErr w:type="spellEnd"/>
      <w:r>
        <w:t xml:space="preserve"> </w:t>
      </w:r>
      <w:proofErr w:type="spellStart"/>
      <w:r>
        <w:t>notkun</w:t>
      </w:r>
      <w:proofErr w:type="spellEnd"/>
      <w:r>
        <w:t xml:space="preserve"> </w:t>
      </w:r>
      <w:proofErr w:type="spellStart"/>
      <w:r>
        <w:t>ásamt</w:t>
      </w:r>
      <w:proofErr w:type="spellEnd"/>
      <w:r>
        <w:t xml:space="preserve"> </w:t>
      </w:r>
      <w:proofErr w:type="spellStart"/>
      <w:r>
        <w:t>erlótíníbi</w:t>
      </w:r>
      <w:proofErr w:type="spellEnd"/>
      <w:r>
        <w:t xml:space="preserve"> </w:t>
      </w:r>
      <w:proofErr w:type="spellStart"/>
      <w:r>
        <w:t>til</w:t>
      </w:r>
      <w:proofErr w:type="spellEnd"/>
      <w:r>
        <w:t xml:space="preserve"> </w:t>
      </w:r>
      <w:proofErr w:type="spellStart"/>
      <w:r>
        <w:t>meðferðar</w:t>
      </w:r>
      <w:proofErr w:type="spellEnd"/>
      <w:r>
        <w:t xml:space="preserve"> </w:t>
      </w:r>
      <w:proofErr w:type="spellStart"/>
      <w:r>
        <w:t>sjúklinga</w:t>
      </w:r>
      <w:proofErr w:type="spellEnd"/>
      <w:r>
        <w:t xml:space="preserve"> </w:t>
      </w:r>
      <w:proofErr w:type="spellStart"/>
      <w:r>
        <w:t>með</w:t>
      </w:r>
      <w:proofErr w:type="spellEnd"/>
      <w:r>
        <w:t xml:space="preserve"> </w:t>
      </w:r>
      <w:proofErr w:type="spellStart"/>
      <w:r>
        <w:t>lungnakrabbamein</w:t>
      </w:r>
      <w:proofErr w:type="spellEnd"/>
      <w:r>
        <w:t xml:space="preserve"> </w:t>
      </w:r>
      <w:proofErr w:type="spellStart"/>
      <w:r>
        <w:t>sem</w:t>
      </w:r>
      <w:proofErr w:type="spellEnd"/>
      <w:r>
        <w:t xml:space="preserve"> ekki var </w:t>
      </w:r>
      <w:proofErr w:type="spellStart"/>
      <w:r>
        <w:t>af</w:t>
      </w:r>
      <w:proofErr w:type="spellEnd"/>
      <w:r>
        <w:t xml:space="preserve"> </w:t>
      </w:r>
      <w:proofErr w:type="spellStart"/>
      <w:r>
        <w:t>flöguþekjugerð</w:t>
      </w:r>
      <w:proofErr w:type="spellEnd"/>
      <w:r>
        <w:t xml:space="preserve"> </w:t>
      </w:r>
      <w:proofErr w:type="spellStart"/>
      <w:r>
        <w:t>eða</w:t>
      </w:r>
      <w:proofErr w:type="spellEnd"/>
      <w:r>
        <w:t xml:space="preserve"> </w:t>
      </w:r>
      <w:proofErr w:type="spellStart"/>
      <w:r>
        <w:t>smáfrumugerð</w:t>
      </w:r>
      <w:proofErr w:type="spellEnd"/>
      <w:r>
        <w:t xml:space="preserve"> </w:t>
      </w:r>
      <w:proofErr w:type="spellStart"/>
      <w:r>
        <w:t>og</w:t>
      </w:r>
      <w:proofErr w:type="spellEnd"/>
      <w:r>
        <w:t xml:space="preserve"> var </w:t>
      </w:r>
      <w:proofErr w:type="spellStart"/>
      <w:r>
        <w:t>með</w:t>
      </w:r>
      <w:proofErr w:type="spellEnd"/>
      <w:r>
        <w:t xml:space="preserve"> </w:t>
      </w:r>
      <w:proofErr w:type="spellStart"/>
      <w:r>
        <w:t>virkjandi</w:t>
      </w:r>
      <w:proofErr w:type="spellEnd"/>
      <w:r>
        <w:t xml:space="preserve"> </w:t>
      </w:r>
      <w:proofErr w:type="spellStart"/>
      <w:r>
        <w:t>stökkbreytingar</w:t>
      </w:r>
      <w:proofErr w:type="spellEnd"/>
      <w:r>
        <w:t xml:space="preserve"> í EGFR (</w:t>
      </w:r>
      <w:proofErr w:type="spellStart"/>
      <w:r>
        <w:t>úrfelling</w:t>
      </w:r>
      <w:proofErr w:type="spellEnd"/>
      <w:r>
        <w:t xml:space="preserve"> í </w:t>
      </w:r>
      <w:proofErr w:type="spellStart"/>
      <w:r>
        <w:t>útröð</w:t>
      </w:r>
      <w:proofErr w:type="spellEnd"/>
      <w:r>
        <w:t xml:space="preserve"> (exon) 19 </w:t>
      </w:r>
      <w:proofErr w:type="spellStart"/>
      <w:r>
        <w:t>eða</w:t>
      </w:r>
      <w:proofErr w:type="spellEnd"/>
      <w:r>
        <w:t xml:space="preserve"> </w:t>
      </w:r>
      <w:proofErr w:type="spellStart"/>
      <w:r>
        <w:t>stökkbreyting</w:t>
      </w:r>
      <w:proofErr w:type="spellEnd"/>
      <w:r>
        <w:t xml:space="preserve"> í </w:t>
      </w:r>
      <w:proofErr w:type="spellStart"/>
      <w:r>
        <w:t>útröð</w:t>
      </w:r>
      <w:proofErr w:type="spellEnd"/>
      <w:r>
        <w:t xml:space="preserve"> 21 L858R), </w:t>
      </w:r>
      <w:proofErr w:type="spellStart"/>
      <w:r>
        <w:t>sem</w:t>
      </w:r>
      <w:proofErr w:type="spellEnd"/>
      <w:r>
        <w:t xml:space="preserve"> ekki </w:t>
      </w:r>
      <w:proofErr w:type="spellStart"/>
      <w:r>
        <w:t>höfðu</w:t>
      </w:r>
      <w:proofErr w:type="spellEnd"/>
      <w:r>
        <w:t xml:space="preserve"> </w:t>
      </w:r>
      <w:proofErr w:type="spellStart"/>
      <w:r>
        <w:t>áður</w:t>
      </w:r>
      <w:proofErr w:type="spellEnd"/>
      <w:r>
        <w:t xml:space="preserve"> </w:t>
      </w:r>
      <w:proofErr w:type="spellStart"/>
      <w:r>
        <w:t>fengið</w:t>
      </w:r>
      <w:proofErr w:type="spellEnd"/>
      <w:r>
        <w:t xml:space="preserve"> </w:t>
      </w:r>
      <w:proofErr w:type="spellStart"/>
      <w:r>
        <w:t>altæka</w:t>
      </w:r>
      <w:proofErr w:type="spellEnd"/>
      <w:r>
        <w:t xml:space="preserve"> </w:t>
      </w:r>
      <w:proofErr w:type="spellStart"/>
      <w:r>
        <w:t>meðferð</w:t>
      </w:r>
      <w:proofErr w:type="spellEnd"/>
      <w:r>
        <w:t xml:space="preserve"> </w:t>
      </w:r>
      <w:proofErr w:type="spellStart"/>
      <w:r>
        <w:t>við</w:t>
      </w:r>
      <w:proofErr w:type="spellEnd"/>
      <w:r>
        <w:t xml:space="preserve"> </w:t>
      </w:r>
      <w:proofErr w:type="spellStart"/>
      <w:r>
        <w:t>sjúkdómi</w:t>
      </w:r>
      <w:proofErr w:type="spellEnd"/>
      <w:r>
        <w:t xml:space="preserve"> á </w:t>
      </w:r>
      <w:proofErr w:type="spellStart"/>
      <w:r>
        <w:t>stigi</w:t>
      </w:r>
      <w:proofErr w:type="spellEnd"/>
      <w:r>
        <w:t xml:space="preserve"> IIIB/IV </w:t>
      </w:r>
      <w:proofErr w:type="spellStart"/>
      <w:r>
        <w:t>eða</w:t>
      </w:r>
      <w:proofErr w:type="spellEnd"/>
      <w:r>
        <w:t xml:space="preserve"> </w:t>
      </w:r>
      <w:proofErr w:type="spellStart"/>
      <w:r>
        <w:t>endurkomnum</w:t>
      </w:r>
      <w:proofErr w:type="spellEnd"/>
      <w:r>
        <w:t xml:space="preserve"> </w:t>
      </w:r>
      <w:proofErr w:type="spellStart"/>
      <w:r>
        <w:t>sjúkdómi</w:t>
      </w:r>
      <w:proofErr w:type="spellEnd"/>
      <w:r>
        <w:t xml:space="preserve">. </w:t>
      </w:r>
    </w:p>
    <w:p w14:paraId="7C90A776" w14:textId="77777777" w:rsidR="00E0001D" w:rsidRPr="001A3CEE" w:rsidRDefault="00E0001D" w:rsidP="00E0001D">
      <w:pPr>
        <w:autoSpaceDE w:val="0"/>
        <w:autoSpaceDN w:val="0"/>
        <w:adjustRightInd w:val="0"/>
        <w:spacing w:line="240" w:lineRule="auto"/>
        <w:rPr>
          <w:rFonts w:eastAsia="Calibri"/>
          <w:iCs/>
        </w:rPr>
      </w:pPr>
    </w:p>
    <w:p w14:paraId="54756130" w14:textId="77777777" w:rsidR="00E0001D" w:rsidRPr="00B0370E" w:rsidRDefault="00E0001D" w:rsidP="00E0001D">
      <w:pPr>
        <w:autoSpaceDE w:val="0"/>
        <w:autoSpaceDN w:val="0"/>
        <w:adjustRightInd w:val="0"/>
        <w:spacing w:line="240" w:lineRule="auto"/>
        <w:rPr>
          <w:lang w:val="sv-SE"/>
        </w:rPr>
      </w:pPr>
      <w:r w:rsidRPr="00B0370E">
        <w:rPr>
          <w:lang w:val="sv-SE"/>
        </w:rPr>
        <w:t xml:space="preserve">Aðalendapunktur var lifun án versnunar sjúkdóms að mati óháðrar matsnefndar. Meðal aukaendapunkta voru heildarlifun, svörunarhlutfall, tíðni sjúkdómshömlunar (disease control rate), lengd svörunar og öryggi. </w:t>
      </w:r>
    </w:p>
    <w:p w14:paraId="361E4A13" w14:textId="77777777" w:rsidR="00E0001D" w:rsidRPr="00B0370E" w:rsidRDefault="00E0001D" w:rsidP="00E0001D">
      <w:pPr>
        <w:autoSpaceDE w:val="0"/>
        <w:autoSpaceDN w:val="0"/>
        <w:adjustRightInd w:val="0"/>
        <w:spacing w:line="240" w:lineRule="auto"/>
        <w:rPr>
          <w:rFonts w:eastAsia="Calibri"/>
          <w:iCs/>
          <w:lang w:val="sv-SE"/>
        </w:rPr>
      </w:pPr>
    </w:p>
    <w:p w14:paraId="430C9A5C" w14:textId="77777777" w:rsidR="00E0001D" w:rsidRPr="00B0370E" w:rsidRDefault="00E0001D" w:rsidP="00E0001D">
      <w:pPr>
        <w:autoSpaceDE w:val="0"/>
        <w:autoSpaceDN w:val="0"/>
        <w:adjustRightInd w:val="0"/>
        <w:spacing w:line="240" w:lineRule="auto"/>
        <w:rPr>
          <w:rFonts w:eastAsia="Calibri"/>
          <w:iCs/>
          <w:lang w:val="sv-SE"/>
        </w:rPr>
      </w:pPr>
      <w:r w:rsidRPr="00B0370E">
        <w:rPr>
          <w:lang w:val="sv-SE"/>
        </w:rPr>
        <w:t>Stökkbreytingar í EGFR voru kannaðar hjá öllum sjúklingum áður en metið var hvort þeir væru gjaldgengir í rannsóknina og 154</w:t>
      </w:r>
      <w:r w:rsidR="008E7E04" w:rsidRPr="00B0370E">
        <w:rPr>
          <w:lang w:val="sv-SE"/>
        </w:rPr>
        <w:t> </w:t>
      </w:r>
      <w:r w:rsidRPr="00B0370E">
        <w:rPr>
          <w:lang w:val="sv-SE"/>
        </w:rPr>
        <w:t xml:space="preserve">sjúklingum var síðan slembiraðað til að fá annaðhvort erlótíníb + </w:t>
      </w:r>
      <w:r w:rsidR="00506B95" w:rsidRPr="00B0370E">
        <w:rPr>
          <w:rFonts w:eastAsia="Calibri"/>
          <w:iCs/>
          <w:lang w:val="sv-SE"/>
        </w:rPr>
        <w:t xml:space="preserve">bevacízúmab </w:t>
      </w:r>
      <w:r w:rsidRPr="00B0370E">
        <w:rPr>
          <w:lang w:val="sv-SE"/>
        </w:rPr>
        <w:t>(erlótíníb 150</w:t>
      </w:r>
      <w:r w:rsidR="008E7E04" w:rsidRPr="00B0370E">
        <w:rPr>
          <w:lang w:val="sv-SE"/>
        </w:rPr>
        <w:t> </w:t>
      </w:r>
      <w:r w:rsidRPr="00B0370E">
        <w:rPr>
          <w:lang w:val="sv-SE"/>
        </w:rPr>
        <w:t xml:space="preserve">mg til inntöku á dag + </w:t>
      </w:r>
      <w:r w:rsidR="00506B95" w:rsidRPr="00B0370E">
        <w:rPr>
          <w:rFonts w:eastAsia="Calibri"/>
          <w:iCs/>
          <w:lang w:val="sv-SE"/>
        </w:rPr>
        <w:t xml:space="preserve">bevacízúmab </w:t>
      </w:r>
      <w:r w:rsidRPr="00B0370E">
        <w:rPr>
          <w:lang w:val="sv-SE"/>
        </w:rPr>
        <w:t>[15</w:t>
      </w:r>
      <w:r w:rsidR="008E7E04" w:rsidRPr="00B0370E">
        <w:rPr>
          <w:lang w:val="sv-SE"/>
        </w:rPr>
        <w:t> </w:t>
      </w:r>
      <w:r w:rsidRPr="00B0370E">
        <w:rPr>
          <w:lang w:val="sv-SE"/>
        </w:rPr>
        <w:t>mg/kg í æð á 3</w:t>
      </w:r>
      <w:r w:rsidR="008E7E04" w:rsidRPr="00B0370E">
        <w:rPr>
          <w:lang w:val="sv-SE"/>
        </w:rPr>
        <w:t> </w:t>
      </w:r>
      <w:r w:rsidRPr="00B0370E">
        <w:rPr>
          <w:lang w:val="sv-SE"/>
        </w:rPr>
        <w:t>vikna fresti]) eða erlótíníb einlyfjameðferð (150</w:t>
      </w:r>
      <w:r w:rsidR="008E7E04" w:rsidRPr="00B0370E">
        <w:rPr>
          <w:lang w:val="sv-SE"/>
        </w:rPr>
        <w:t> </w:t>
      </w:r>
      <w:r w:rsidRPr="00B0370E">
        <w:rPr>
          <w:lang w:val="sv-SE"/>
        </w:rPr>
        <w:t xml:space="preserve">mg til inntöku á dag) þar til sjúkdómurinn versnaði eða óásættanleg eituráhrif komu fram. Ef sjúkdómur versnaði ekki var hægt að hætta notkun annars hvors rannsóknarlyfsins hjá hópnum sem fékk erlótíníb + </w:t>
      </w:r>
      <w:r w:rsidR="00506B95" w:rsidRPr="00B0370E">
        <w:rPr>
          <w:rFonts w:eastAsia="Calibri"/>
          <w:iCs/>
          <w:lang w:val="sv-SE"/>
        </w:rPr>
        <w:t xml:space="preserve">bevacízúmab </w:t>
      </w:r>
      <w:r w:rsidRPr="00B0370E">
        <w:rPr>
          <w:lang w:val="sv-SE"/>
        </w:rPr>
        <w:t>án þess að einnig þyrfti að hætta notkun hins rannsóknarlyfsins samkvæmt rannsóknaráætluninni.</w:t>
      </w:r>
    </w:p>
    <w:p w14:paraId="558AA4FF" w14:textId="77777777" w:rsidR="00E0001D" w:rsidRPr="00B0370E" w:rsidRDefault="00E0001D" w:rsidP="00E0001D">
      <w:pPr>
        <w:autoSpaceDE w:val="0"/>
        <w:autoSpaceDN w:val="0"/>
        <w:adjustRightInd w:val="0"/>
        <w:spacing w:line="240" w:lineRule="auto"/>
        <w:rPr>
          <w:rFonts w:eastAsia="Calibri"/>
          <w:iCs/>
          <w:lang w:val="sv-SE"/>
        </w:rPr>
      </w:pPr>
    </w:p>
    <w:p w14:paraId="42E8A1DA" w14:textId="77777777" w:rsidR="00E0001D" w:rsidRPr="00B0370E" w:rsidRDefault="00CA63B1" w:rsidP="00E0001D">
      <w:pPr>
        <w:autoSpaceDE w:val="0"/>
        <w:autoSpaceDN w:val="0"/>
        <w:adjustRightInd w:val="0"/>
        <w:spacing w:line="240" w:lineRule="auto"/>
        <w:rPr>
          <w:rFonts w:eastAsia="Calibri"/>
          <w:iCs/>
          <w:lang w:val="sv-SE"/>
        </w:rPr>
      </w:pPr>
      <w:r w:rsidRPr="00B0370E">
        <w:rPr>
          <w:lang w:val="sv-SE"/>
        </w:rPr>
        <w:t>Niðurstöður varðandi verkun eru sýndar í töflu</w:t>
      </w:r>
      <w:r w:rsidR="00E0001D" w:rsidRPr="00B0370E">
        <w:rPr>
          <w:rFonts w:eastAsia="Calibri"/>
          <w:iCs/>
          <w:lang w:val="sv-SE"/>
        </w:rPr>
        <w:t> 14.</w:t>
      </w:r>
    </w:p>
    <w:p w14:paraId="71961284" w14:textId="77777777" w:rsidR="00E0001D" w:rsidRPr="00B0370E" w:rsidRDefault="00E0001D" w:rsidP="00E0001D">
      <w:pPr>
        <w:autoSpaceDE w:val="0"/>
        <w:autoSpaceDN w:val="0"/>
        <w:adjustRightInd w:val="0"/>
        <w:spacing w:line="240" w:lineRule="auto"/>
        <w:rPr>
          <w:rFonts w:eastAsia="Calibri"/>
          <w:iCs/>
          <w:lang w:val="sv-SE"/>
        </w:rPr>
      </w:pPr>
    </w:p>
    <w:p w14:paraId="2551487E" w14:textId="77777777" w:rsidR="00E0001D" w:rsidRPr="00B0370E" w:rsidRDefault="00E0001D" w:rsidP="00E0001D">
      <w:pPr>
        <w:pStyle w:val="Default"/>
        <w:keepNext/>
        <w:rPr>
          <w:rFonts w:eastAsia="Calibri"/>
          <w:b/>
          <w:bCs/>
          <w:sz w:val="22"/>
          <w:szCs w:val="22"/>
          <w:lang w:val="sv-SE" w:eastAsia="en-US"/>
        </w:rPr>
      </w:pPr>
      <w:r w:rsidRPr="00B0370E">
        <w:rPr>
          <w:rFonts w:eastAsia="Calibri"/>
          <w:b/>
          <w:bCs/>
          <w:sz w:val="22"/>
          <w:szCs w:val="22"/>
          <w:lang w:val="sv-SE" w:eastAsia="en-US"/>
        </w:rPr>
        <w:t>Ta</w:t>
      </w:r>
      <w:r w:rsidR="00CA63B1" w:rsidRPr="00B0370E">
        <w:rPr>
          <w:rFonts w:eastAsia="Calibri"/>
          <w:b/>
          <w:bCs/>
          <w:sz w:val="22"/>
          <w:szCs w:val="22"/>
          <w:lang w:val="sv-SE" w:eastAsia="en-US"/>
        </w:rPr>
        <w:t>f</w:t>
      </w:r>
      <w:r w:rsidRPr="00B0370E">
        <w:rPr>
          <w:rFonts w:eastAsia="Calibri"/>
          <w:b/>
          <w:bCs/>
          <w:sz w:val="22"/>
          <w:szCs w:val="22"/>
          <w:lang w:val="sv-SE" w:eastAsia="en-US"/>
        </w:rPr>
        <w:t>l</w:t>
      </w:r>
      <w:r w:rsidR="00CA63B1" w:rsidRPr="00B0370E">
        <w:rPr>
          <w:rFonts w:eastAsia="Calibri"/>
          <w:b/>
          <w:bCs/>
          <w:sz w:val="22"/>
          <w:szCs w:val="22"/>
          <w:lang w:val="sv-SE" w:eastAsia="en-US"/>
        </w:rPr>
        <w:t>a</w:t>
      </w:r>
      <w:r w:rsidRPr="00B0370E">
        <w:rPr>
          <w:rFonts w:eastAsia="Calibri"/>
          <w:b/>
          <w:bCs/>
          <w:sz w:val="22"/>
          <w:szCs w:val="22"/>
          <w:lang w:val="sv-SE" w:eastAsia="en-US"/>
        </w:rPr>
        <w:t xml:space="preserve"> 14. </w:t>
      </w:r>
      <w:r w:rsidR="00CA63B1" w:rsidRPr="00B0370E">
        <w:rPr>
          <w:rFonts w:eastAsia="Calibri"/>
          <w:b/>
          <w:bCs/>
          <w:sz w:val="22"/>
          <w:szCs w:val="22"/>
          <w:lang w:val="sv-SE" w:eastAsia="en-US"/>
        </w:rPr>
        <w:t xml:space="preserve">Niðurstöður varðandi verkun úr rannsókn </w:t>
      </w:r>
      <w:r w:rsidRPr="00B0370E">
        <w:rPr>
          <w:rFonts w:eastAsia="Calibri"/>
          <w:b/>
          <w:bCs/>
          <w:sz w:val="22"/>
          <w:szCs w:val="22"/>
          <w:lang w:val="sv-SE" w:eastAsia="en-US"/>
        </w:rPr>
        <w:t>JO25567</w:t>
      </w:r>
    </w:p>
    <w:p w14:paraId="3A56CB09" w14:textId="77777777" w:rsidR="00E0001D" w:rsidRPr="00B0370E" w:rsidRDefault="00E0001D" w:rsidP="00E0001D">
      <w:pPr>
        <w:pStyle w:val="Default"/>
        <w:keepNext/>
        <w:rPr>
          <w:rFonts w:eastAsia="Calibri"/>
          <w:b/>
          <w:bCs/>
          <w:sz w:val="22"/>
          <w:szCs w:val="22"/>
          <w:lang w:val="sv-SE"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E0001D" w:rsidRPr="00E53CAB" w14:paraId="21399FEB" w14:textId="77777777" w:rsidTr="00781331">
        <w:trPr>
          <w:tblHeader/>
        </w:trPr>
        <w:tc>
          <w:tcPr>
            <w:tcW w:w="3094" w:type="dxa"/>
          </w:tcPr>
          <w:p w14:paraId="2EB7FA21" w14:textId="77777777" w:rsidR="00E0001D" w:rsidRPr="00B0370E" w:rsidRDefault="00E0001D" w:rsidP="00781331">
            <w:pPr>
              <w:pStyle w:val="Default"/>
              <w:keepNext/>
              <w:rPr>
                <w:rFonts w:eastAsia="Calibri"/>
                <w:b/>
                <w:bCs/>
                <w:sz w:val="22"/>
                <w:szCs w:val="22"/>
                <w:lang w:val="sv-SE" w:eastAsia="en-US"/>
              </w:rPr>
            </w:pPr>
          </w:p>
        </w:tc>
        <w:tc>
          <w:tcPr>
            <w:tcW w:w="3095" w:type="dxa"/>
          </w:tcPr>
          <w:p w14:paraId="63038001" w14:textId="77777777" w:rsidR="00E0001D" w:rsidRPr="00321413" w:rsidRDefault="00E0001D" w:rsidP="00781331">
            <w:pPr>
              <w:keepNext/>
              <w:autoSpaceDE w:val="0"/>
              <w:autoSpaceDN w:val="0"/>
              <w:adjustRightInd w:val="0"/>
              <w:spacing w:line="240" w:lineRule="auto"/>
              <w:jc w:val="center"/>
              <w:rPr>
                <w:rFonts w:eastAsia="Calibri"/>
                <w:b/>
                <w:bCs/>
              </w:rPr>
            </w:pPr>
            <w:proofErr w:type="spellStart"/>
            <w:r w:rsidRPr="00321413">
              <w:rPr>
                <w:rFonts w:eastAsia="Calibri"/>
                <w:b/>
                <w:bCs/>
              </w:rPr>
              <w:t>Erl</w:t>
            </w:r>
            <w:r w:rsidR="00CA63B1">
              <w:rPr>
                <w:rFonts w:eastAsia="Calibri"/>
                <w:b/>
                <w:bCs/>
              </w:rPr>
              <w:t>ótíní</w:t>
            </w:r>
            <w:r w:rsidRPr="00321413">
              <w:rPr>
                <w:rFonts w:eastAsia="Calibri"/>
                <w:b/>
                <w:bCs/>
              </w:rPr>
              <w:t>b</w:t>
            </w:r>
            <w:proofErr w:type="spellEnd"/>
          </w:p>
          <w:p w14:paraId="18529329" w14:textId="77777777" w:rsidR="00E0001D" w:rsidRPr="00525FBB" w:rsidRDefault="00E0001D" w:rsidP="00781331">
            <w:pPr>
              <w:keepNext/>
              <w:autoSpaceDE w:val="0"/>
              <w:autoSpaceDN w:val="0"/>
              <w:adjustRightInd w:val="0"/>
              <w:jc w:val="center"/>
              <w:rPr>
                <w:rFonts w:eastAsia="Calibri"/>
                <w:b/>
                <w:bCs/>
                <w:sz w:val="13"/>
                <w:szCs w:val="13"/>
              </w:rPr>
            </w:pPr>
            <w:r w:rsidRPr="00321413">
              <w:rPr>
                <w:rFonts w:eastAsia="Calibri"/>
                <w:b/>
                <w:bCs/>
              </w:rPr>
              <w:t>N</w:t>
            </w:r>
            <w:r>
              <w:rPr>
                <w:rFonts w:eastAsia="Calibri"/>
                <w:b/>
                <w:bCs/>
              </w:rPr>
              <w:t> </w:t>
            </w:r>
            <w:r w:rsidRPr="00321413">
              <w:rPr>
                <w:rFonts w:eastAsia="Calibri"/>
                <w:b/>
                <w:bCs/>
              </w:rPr>
              <w:t>=</w:t>
            </w:r>
            <w:r>
              <w:rPr>
                <w:rFonts w:eastAsia="Calibri"/>
                <w:b/>
                <w:bCs/>
              </w:rPr>
              <w:t> </w:t>
            </w:r>
            <w:r w:rsidRPr="00321413">
              <w:rPr>
                <w:rFonts w:eastAsia="Calibri"/>
                <w:b/>
                <w:bCs/>
              </w:rPr>
              <w:t>77</w:t>
            </w:r>
            <w:r w:rsidRPr="00321413">
              <w:rPr>
                <w:rFonts w:eastAsia="Calibri"/>
                <w:b/>
                <w:bCs/>
                <w:vertAlign w:val="superscript"/>
              </w:rPr>
              <w:t>#</w:t>
            </w:r>
          </w:p>
        </w:tc>
        <w:tc>
          <w:tcPr>
            <w:tcW w:w="3095" w:type="dxa"/>
          </w:tcPr>
          <w:p w14:paraId="32E45BD8" w14:textId="77777777" w:rsidR="00E0001D" w:rsidRPr="00321413" w:rsidRDefault="00E0001D" w:rsidP="00781331">
            <w:pPr>
              <w:keepNext/>
              <w:autoSpaceDE w:val="0"/>
              <w:autoSpaceDN w:val="0"/>
              <w:adjustRightInd w:val="0"/>
              <w:spacing w:line="240" w:lineRule="auto"/>
              <w:jc w:val="center"/>
              <w:rPr>
                <w:rFonts w:eastAsia="Calibri"/>
                <w:b/>
                <w:bCs/>
              </w:rPr>
            </w:pPr>
            <w:proofErr w:type="spellStart"/>
            <w:r w:rsidRPr="00321413">
              <w:rPr>
                <w:rFonts w:eastAsia="Calibri"/>
                <w:b/>
                <w:bCs/>
              </w:rPr>
              <w:t>Erl</w:t>
            </w:r>
            <w:r w:rsidR="00CA63B1">
              <w:rPr>
                <w:rFonts w:eastAsia="Calibri"/>
                <w:b/>
                <w:bCs/>
              </w:rPr>
              <w:t>ótíní</w:t>
            </w:r>
            <w:r w:rsidRPr="00321413">
              <w:rPr>
                <w:rFonts w:eastAsia="Calibri"/>
                <w:b/>
                <w:bCs/>
              </w:rPr>
              <w:t>b</w:t>
            </w:r>
            <w:proofErr w:type="spellEnd"/>
            <w:r w:rsidRPr="00321413">
              <w:rPr>
                <w:rFonts w:eastAsia="Calibri"/>
                <w:b/>
                <w:bCs/>
              </w:rPr>
              <w:t xml:space="preserve"> + </w:t>
            </w:r>
            <w:proofErr w:type="spellStart"/>
            <w:r w:rsidRPr="00321413">
              <w:rPr>
                <w:rFonts w:eastAsia="Calibri"/>
                <w:b/>
                <w:bCs/>
              </w:rPr>
              <w:t>bevac</w:t>
            </w:r>
            <w:r w:rsidR="00CA63B1">
              <w:rPr>
                <w:rFonts w:eastAsia="Calibri"/>
                <w:b/>
                <w:bCs/>
              </w:rPr>
              <w:t>ízú</w:t>
            </w:r>
            <w:r w:rsidRPr="00321413">
              <w:rPr>
                <w:rFonts w:eastAsia="Calibri"/>
                <w:b/>
                <w:bCs/>
              </w:rPr>
              <w:t>mab</w:t>
            </w:r>
            <w:proofErr w:type="spellEnd"/>
          </w:p>
          <w:p w14:paraId="7DA44009" w14:textId="77777777" w:rsidR="00E0001D" w:rsidRPr="00525FBB" w:rsidRDefault="00E0001D" w:rsidP="00781331">
            <w:pPr>
              <w:pStyle w:val="Default"/>
              <w:keepNext/>
              <w:jc w:val="center"/>
              <w:rPr>
                <w:rFonts w:eastAsia="Calibri"/>
                <w:b/>
                <w:bCs/>
                <w:sz w:val="22"/>
                <w:szCs w:val="22"/>
                <w:lang w:eastAsia="en-US"/>
              </w:rPr>
            </w:pPr>
            <w:r w:rsidRPr="00321413">
              <w:rPr>
                <w:rFonts w:eastAsia="Calibri"/>
                <w:b/>
                <w:bCs/>
                <w:sz w:val="22"/>
                <w:szCs w:val="22"/>
                <w:lang w:eastAsia="en-US"/>
              </w:rPr>
              <w:t>N</w:t>
            </w:r>
            <w:r>
              <w:rPr>
                <w:rFonts w:eastAsia="Calibri"/>
                <w:b/>
                <w:bCs/>
                <w:sz w:val="22"/>
                <w:szCs w:val="22"/>
                <w:lang w:eastAsia="en-US"/>
              </w:rPr>
              <w:t> </w:t>
            </w:r>
            <w:r w:rsidRPr="00321413">
              <w:rPr>
                <w:rFonts w:eastAsia="Calibri"/>
                <w:b/>
                <w:bCs/>
                <w:sz w:val="22"/>
                <w:szCs w:val="22"/>
                <w:lang w:eastAsia="en-US"/>
              </w:rPr>
              <w:t>=</w:t>
            </w:r>
            <w:r>
              <w:rPr>
                <w:rFonts w:eastAsia="Calibri"/>
                <w:b/>
                <w:bCs/>
                <w:sz w:val="22"/>
                <w:szCs w:val="22"/>
                <w:lang w:eastAsia="en-US"/>
              </w:rPr>
              <w:t> </w:t>
            </w:r>
            <w:r w:rsidRPr="00321413">
              <w:rPr>
                <w:rFonts w:eastAsia="Calibri"/>
                <w:b/>
                <w:bCs/>
                <w:sz w:val="22"/>
                <w:szCs w:val="22"/>
                <w:lang w:eastAsia="en-US"/>
              </w:rPr>
              <w:t>75</w:t>
            </w:r>
            <w:r w:rsidRPr="00321413">
              <w:rPr>
                <w:rFonts w:eastAsia="Calibri"/>
                <w:b/>
                <w:bCs/>
                <w:sz w:val="22"/>
                <w:szCs w:val="22"/>
                <w:vertAlign w:val="superscript"/>
                <w:lang w:eastAsia="en-US"/>
              </w:rPr>
              <w:t>#</w:t>
            </w:r>
          </w:p>
        </w:tc>
      </w:tr>
      <w:tr w:rsidR="00E0001D" w:rsidRPr="002F522D" w14:paraId="6E0EF36B" w14:textId="77777777" w:rsidTr="00781331">
        <w:tc>
          <w:tcPr>
            <w:tcW w:w="3094" w:type="dxa"/>
          </w:tcPr>
          <w:p w14:paraId="3AB8BD95" w14:textId="77777777" w:rsidR="00E0001D" w:rsidRPr="002F522D" w:rsidRDefault="00CA63B1" w:rsidP="002040BE">
            <w:pPr>
              <w:pStyle w:val="Default"/>
              <w:rPr>
                <w:rFonts w:eastAsia="Calibri"/>
                <w:bCs/>
                <w:sz w:val="22"/>
                <w:szCs w:val="22"/>
                <w:lang w:eastAsia="en-US"/>
              </w:rPr>
            </w:pPr>
            <w:proofErr w:type="spellStart"/>
            <w:r w:rsidRPr="002F522D">
              <w:rPr>
                <w:rFonts w:eastAsia="Calibri"/>
                <w:bCs/>
                <w:sz w:val="22"/>
                <w:szCs w:val="22"/>
                <w:lang w:eastAsia="en-US"/>
              </w:rPr>
              <w:t>Lifun</w:t>
            </w:r>
            <w:proofErr w:type="spellEnd"/>
            <w:r w:rsidRPr="002F522D">
              <w:rPr>
                <w:rFonts w:eastAsia="Calibri"/>
                <w:bCs/>
                <w:sz w:val="22"/>
                <w:szCs w:val="22"/>
                <w:lang w:eastAsia="en-US"/>
              </w:rPr>
              <w:t xml:space="preserve"> á </w:t>
            </w:r>
            <w:proofErr w:type="spellStart"/>
            <w:r w:rsidRPr="002F522D">
              <w:rPr>
                <w:rFonts w:eastAsia="Calibri"/>
                <w:bCs/>
                <w:sz w:val="22"/>
                <w:szCs w:val="22"/>
                <w:lang w:eastAsia="en-US"/>
              </w:rPr>
              <w:t>versnunar</w:t>
            </w:r>
            <w:proofErr w:type="spellEnd"/>
            <w:r w:rsidRPr="002F522D">
              <w:rPr>
                <w:rFonts w:eastAsia="Calibri"/>
                <w:bCs/>
                <w:sz w:val="22"/>
                <w:szCs w:val="22"/>
                <w:lang w:eastAsia="en-US"/>
              </w:rPr>
              <w:t xml:space="preserve"> </w:t>
            </w:r>
            <w:proofErr w:type="spellStart"/>
            <w:r w:rsidRPr="002F522D">
              <w:rPr>
                <w:rFonts w:eastAsia="Calibri"/>
                <w:bCs/>
                <w:sz w:val="22"/>
                <w:szCs w:val="22"/>
                <w:lang w:eastAsia="en-US"/>
              </w:rPr>
              <w:t>sjúkdóms</w:t>
            </w:r>
            <w:proofErr w:type="spellEnd"/>
            <w:r w:rsidR="00E0001D" w:rsidRPr="002F522D">
              <w:rPr>
                <w:rFonts w:eastAsia="Calibri"/>
                <w:bCs/>
                <w:sz w:val="22"/>
                <w:szCs w:val="22"/>
                <w:lang w:eastAsia="en-US"/>
              </w:rPr>
              <w:t>^ (</w:t>
            </w:r>
            <w:proofErr w:type="spellStart"/>
            <w:r w:rsidR="00E0001D" w:rsidRPr="002F522D">
              <w:rPr>
                <w:rFonts w:eastAsia="Calibri"/>
                <w:bCs/>
                <w:sz w:val="22"/>
                <w:szCs w:val="22"/>
                <w:lang w:eastAsia="en-US"/>
              </w:rPr>
              <w:t>m</w:t>
            </w:r>
            <w:r w:rsidRPr="002F522D">
              <w:rPr>
                <w:rFonts w:eastAsia="Calibri"/>
                <w:bCs/>
                <w:sz w:val="22"/>
                <w:szCs w:val="22"/>
                <w:lang w:eastAsia="en-US"/>
              </w:rPr>
              <w:t>ánuðir</w:t>
            </w:r>
            <w:proofErr w:type="spellEnd"/>
            <w:r w:rsidR="00E0001D" w:rsidRPr="002F522D">
              <w:rPr>
                <w:rFonts w:eastAsia="Calibri"/>
                <w:bCs/>
                <w:sz w:val="22"/>
                <w:szCs w:val="22"/>
                <w:lang w:eastAsia="en-US"/>
              </w:rPr>
              <w:t>)</w:t>
            </w:r>
          </w:p>
        </w:tc>
        <w:tc>
          <w:tcPr>
            <w:tcW w:w="3095" w:type="dxa"/>
          </w:tcPr>
          <w:p w14:paraId="5C4DD458" w14:textId="77777777" w:rsidR="00E0001D" w:rsidRPr="002F522D" w:rsidRDefault="00E0001D" w:rsidP="00781331">
            <w:pPr>
              <w:pStyle w:val="Default"/>
              <w:keepNext/>
              <w:jc w:val="center"/>
              <w:rPr>
                <w:rFonts w:eastAsia="Calibri"/>
                <w:b/>
                <w:bCs/>
                <w:sz w:val="22"/>
                <w:szCs w:val="22"/>
                <w:lang w:eastAsia="en-US"/>
              </w:rPr>
            </w:pPr>
          </w:p>
        </w:tc>
        <w:tc>
          <w:tcPr>
            <w:tcW w:w="3095" w:type="dxa"/>
          </w:tcPr>
          <w:p w14:paraId="30D81E4B" w14:textId="77777777" w:rsidR="00E0001D" w:rsidRPr="002F522D" w:rsidRDefault="00E0001D" w:rsidP="00781331">
            <w:pPr>
              <w:pStyle w:val="Default"/>
              <w:keepNext/>
              <w:jc w:val="center"/>
              <w:rPr>
                <w:rFonts w:eastAsia="Calibri"/>
                <w:b/>
                <w:bCs/>
                <w:sz w:val="22"/>
                <w:szCs w:val="22"/>
                <w:lang w:eastAsia="en-US"/>
              </w:rPr>
            </w:pPr>
          </w:p>
        </w:tc>
      </w:tr>
      <w:tr w:rsidR="00E0001D" w:rsidRPr="00E53CAB" w14:paraId="575EAAF3" w14:textId="77777777" w:rsidTr="00781331">
        <w:tc>
          <w:tcPr>
            <w:tcW w:w="3094" w:type="dxa"/>
          </w:tcPr>
          <w:p w14:paraId="4E9D3759" w14:textId="77777777" w:rsidR="00E0001D" w:rsidRPr="00AC3F05" w:rsidRDefault="00E0001D" w:rsidP="002040BE">
            <w:pPr>
              <w:pStyle w:val="Default"/>
              <w:ind w:left="567"/>
              <w:rPr>
                <w:rFonts w:eastAsia="Calibri"/>
                <w:bCs/>
                <w:sz w:val="22"/>
                <w:szCs w:val="22"/>
                <w:lang w:eastAsia="en-US"/>
              </w:rPr>
            </w:pPr>
            <w:proofErr w:type="spellStart"/>
            <w:r w:rsidRPr="00AC3F05">
              <w:rPr>
                <w:rFonts w:eastAsia="Calibri"/>
                <w:bCs/>
                <w:sz w:val="22"/>
                <w:szCs w:val="22"/>
                <w:lang w:eastAsia="en-US"/>
              </w:rPr>
              <w:t>M</w:t>
            </w:r>
            <w:r w:rsidR="00CA63B1">
              <w:rPr>
                <w:rFonts w:eastAsia="Calibri"/>
                <w:bCs/>
                <w:sz w:val="22"/>
                <w:szCs w:val="22"/>
                <w:lang w:eastAsia="en-US"/>
              </w:rPr>
              <w:t>iðgildi</w:t>
            </w:r>
            <w:proofErr w:type="spellEnd"/>
          </w:p>
        </w:tc>
        <w:tc>
          <w:tcPr>
            <w:tcW w:w="3095" w:type="dxa"/>
          </w:tcPr>
          <w:p w14:paraId="00612555" w14:textId="77777777" w:rsidR="00E0001D" w:rsidRPr="00FD2F24" w:rsidRDefault="00E0001D" w:rsidP="00B64117">
            <w:pPr>
              <w:pStyle w:val="Default"/>
              <w:keepNext/>
              <w:jc w:val="center"/>
              <w:rPr>
                <w:rFonts w:eastAsia="Calibri"/>
                <w:bCs/>
                <w:sz w:val="22"/>
                <w:szCs w:val="22"/>
                <w:lang w:eastAsia="en-US"/>
              </w:rPr>
            </w:pPr>
            <w:r w:rsidRPr="00FD2F24">
              <w:rPr>
                <w:rFonts w:eastAsia="Calibri"/>
                <w:bCs/>
                <w:sz w:val="22"/>
                <w:szCs w:val="22"/>
                <w:lang w:eastAsia="en-US"/>
              </w:rPr>
              <w:t>9</w:t>
            </w:r>
            <w:r w:rsidR="00CA63B1">
              <w:rPr>
                <w:rFonts w:eastAsia="Calibri"/>
                <w:bCs/>
                <w:sz w:val="22"/>
                <w:szCs w:val="22"/>
                <w:lang w:eastAsia="en-US"/>
              </w:rPr>
              <w:t>,</w:t>
            </w:r>
            <w:r w:rsidRPr="00FD2F24">
              <w:rPr>
                <w:rFonts w:eastAsia="Calibri"/>
                <w:bCs/>
                <w:sz w:val="22"/>
                <w:szCs w:val="22"/>
                <w:lang w:eastAsia="en-US"/>
              </w:rPr>
              <w:t>7</w:t>
            </w:r>
          </w:p>
        </w:tc>
        <w:tc>
          <w:tcPr>
            <w:tcW w:w="3095" w:type="dxa"/>
          </w:tcPr>
          <w:p w14:paraId="29E1D2BF" w14:textId="77777777" w:rsidR="00E0001D" w:rsidRPr="00FD2F24" w:rsidRDefault="00E0001D" w:rsidP="00B64117">
            <w:pPr>
              <w:pStyle w:val="Default"/>
              <w:keepNext/>
              <w:jc w:val="center"/>
              <w:rPr>
                <w:rFonts w:eastAsia="Calibri"/>
                <w:bCs/>
                <w:sz w:val="22"/>
                <w:szCs w:val="22"/>
                <w:lang w:eastAsia="en-US"/>
              </w:rPr>
            </w:pPr>
            <w:r w:rsidRPr="00FD2F24">
              <w:rPr>
                <w:rFonts w:eastAsia="Calibri"/>
                <w:bCs/>
                <w:sz w:val="22"/>
                <w:szCs w:val="22"/>
                <w:lang w:eastAsia="en-US"/>
              </w:rPr>
              <w:t>16</w:t>
            </w:r>
            <w:r w:rsidR="00CA63B1">
              <w:rPr>
                <w:rFonts w:eastAsia="Calibri"/>
                <w:bCs/>
                <w:sz w:val="22"/>
                <w:szCs w:val="22"/>
                <w:lang w:eastAsia="en-US"/>
              </w:rPr>
              <w:t>,</w:t>
            </w:r>
            <w:r w:rsidRPr="00FD2F24">
              <w:rPr>
                <w:rFonts w:eastAsia="Calibri"/>
                <w:bCs/>
                <w:sz w:val="22"/>
                <w:szCs w:val="22"/>
                <w:lang w:eastAsia="en-US"/>
              </w:rPr>
              <w:t>0</w:t>
            </w:r>
          </w:p>
        </w:tc>
      </w:tr>
      <w:tr w:rsidR="00E0001D" w:rsidRPr="00E53CAB" w14:paraId="3C94450B" w14:textId="77777777" w:rsidTr="00781331">
        <w:tc>
          <w:tcPr>
            <w:tcW w:w="3094" w:type="dxa"/>
          </w:tcPr>
          <w:p w14:paraId="65D11207" w14:textId="38C65527" w:rsidR="00E0001D" w:rsidRPr="00AC3F05" w:rsidRDefault="00CA63B1" w:rsidP="002040BE">
            <w:pPr>
              <w:pStyle w:val="Default"/>
              <w:ind w:left="567"/>
              <w:rPr>
                <w:rFonts w:eastAsia="Calibri"/>
                <w:bCs/>
                <w:sz w:val="22"/>
                <w:szCs w:val="22"/>
                <w:lang w:eastAsia="en-US"/>
              </w:rPr>
            </w:pPr>
            <w:proofErr w:type="spellStart"/>
            <w:r>
              <w:rPr>
                <w:rFonts w:eastAsia="Calibri"/>
                <w:bCs/>
                <w:sz w:val="22"/>
                <w:szCs w:val="22"/>
                <w:lang w:eastAsia="en-US"/>
              </w:rPr>
              <w:t>Áhættuhlutfall</w:t>
            </w:r>
            <w:proofErr w:type="spellEnd"/>
            <w:r>
              <w:rPr>
                <w:rFonts w:eastAsia="Calibri"/>
                <w:bCs/>
                <w:sz w:val="22"/>
                <w:szCs w:val="22"/>
                <w:lang w:eastAsia="en-US"/>
              </w:rPr>
              <w:t xml:space="preserve"> </w:t>
            </w:r>
            <w:r w:rsidR="00E0001D" w:rsidRPr="00AC3F05">
              <w:rPr>
                <w:rFonts w:eastAsia="Calibri"/>
                <w:bCs/>
                <w:sz w:val="22"/>
                <w:szCs w:val="22"/>
                <w:lang w:eastAsia="en-US"/>
              </w:rPr>
              <w:t xml:space="preserve">(95% </w:t>
            </w:r>
            <w:proofErr w:type="spellStart"/>
            <w:r w:rsidR="00FE5EE2">
              <w:rPr>
                <w:rFonts w:eastAsia="Calibri"/>
                <w:bCs/>
                <w:sz w:val="22"/>
                <w:szCs w:val="22"/>
                <w:lang w:eastAsia="en-US"/>
              </w:rPr>
              <w:t>öryggisbil</w:t>
            </w:r>
            <w:proofErr w:type="spellEnd"/>
            <w:r w:rsidR="00E0001D" w:rsidRPr="00AC3F05">
              <w:rPr>
                <w:rFonts w:eastAsia="Calibri"/>
                <w:bCs/>
                <w:sz w:val="22"/>
                <w:szCs w:val="22"/>
                <w:lang w:eastAsia="en-US"/>
              </w:rPr>
              <w:t>)</w:t>
            </w:r>
          </w:p>
        </w:tc>
        <w:tc>
          <w:tcPr>
            <w:tcW w:w="6190" w:type="dxa"/>
            <w:gridSpan w:val="2"/>
          </w:tcPr>
          <w:p w14:paraId="20AD8A02" w14:textId="77777777" w:rsidR="00E0001D" w:rsidRPr="00FD2F24" w:rsidRDefault="00E0001D" w:rsidP="002040BE">
            <w:pPr>
              <w:pStyle w:val="Default"/>
              <w:keepNext/>
              <w:jc w:val="center"/>
              <w:rPr>
                <w:rFonts w:eastAsia="Calibri"/>
                <w:bCs/>
                <w:sz w:val="22"/>
                <w:szCs w:val="22"/>
                <w:lang w:eastAsia="en-US"/>
              </w:rPr>
            </w:pPr>
            <w:r w:rsidRPr="00FD2F24">
              <w:rPr>
                <w:rFonts w:eastAsia="Calibri"/>
                <w:bCs/>
                <w:sz w:val="22"/>
                <w:szCs w:val="22"/>
                <w:lang w:eastAsia="en-US"/>
              </w:rPr>
              <w:t>0</w:t>
            </w:r>
            <w:r w:rsidR="002040BE">
              <w:rPr>
                <w:rFonts w:eastAsia="Calibri"/>
                <w:bCs/>
                <w:sz w:val="22"/>
                <w:szCs w:val="22"/>
                <w:lang w:eastAsia="en-US"/>
              </w:rPr>
              <w:t>,</w:t>
            </w:r>
            <w:r w:rsidRPr="00FD2F24">
              <w:rPr>
                <w:rFonts w:eastAsia="Calibri"/>
                <w:bCs/>
                <w:sz w:val="22"/>
                <w:szCs w:val="22"/>
                <w:lang w:eastAsia="en-US"/>
              </w:rPr>
              <w:t>54 (0</w:t>
            </w:r>
            <w:r w:rsidR="00CA63B1">
              <w:rPr>
                <w:rFonts w:eastAsia="Calibri"/>
                <w:bCs/>
                <w:sz w:val="22"/>
                <w:szCs w:val="22"/>
                <w:lang w:eastAsia="en-US"/>
              </w:rPr>
              <w:t>,</w:t>
            </w:r>
            <w:r w:rsidRPr="00FD2F24">
              <w:rPr>
                <w:rFonts w:eastAsia="Calibri"/>
                <w:bCs/>
                <w:sz w:val="22"/>
                <w:szCs w:val="22"/>
                <w:lang w:eastAsia="en-US"/>
              </w:rPr>
              <w:t>36; 0</w:t>
            </w:r>
            <w:r w:rsidR="00CA63B1">
              <w:rPr>
                <w:rFonts w:eastAsia="Calibri"/>
                <w:bCs/>
                <w:sz w:val="22"/>
                <w:szCs w:val="22"/>
                <w:lang w:eastAsia="en-US"/>
              </w:rPr>
              <w:t>,</w:t>
            </w:r>
            <w:r w:rsidRPr="00FD2F24">
              <w:rPr>
                <w:rFonts w:eastAsia="Calibri"/>
                <w:bCs/>
                <w:sz w:val="22"/>
                <w:szCs w:val="22"/>
                <w:lang w:eastAsia="en-US"/>
              </w:rPr>
              <w:t>79)</w:t>
            </w:r>
          </w:p>
        </w:tc>
      </w:tr>
      <w:tr w:rsidR="00E0001D" w:rsidRPr="00E53CAB" w14:paraId="5E4434E7" w14:textId="77777777" w:rsidTr="00781331">
        <w:tc>
          <w:tcPr>
            <w:tcW w:w="3094" w:type="dxa"/>
          </w:tcPr>
          <w:p w14:paraId="1F299A6E" w14:textId="77777777" w:rsidR="00E0001D" w:rsidRPr="00AC3F05" w:rsidRDefault="00E0001D" w:rsidP="002040BE">
            <w:pPr>
              <w:pStyle w:val="Default"/>
              <w:ind w:left="567"/>
              <w:rPr>
                <w:rFonts w:eastAsia="Calibri"/>
                <w:bCs/>
                <w:sz w:val="22"/>
                <w:szCs w:val="22"/>
                <w:lang w:eastAsia="en-US"/>
              </w:rPr>
            </w:pPr>
            <w:r w:rsidRPr="00AC3F05">
              <w:rPr>
                <w:rFonts w:eastAsia="Calibri"/>
                <w:bCs/>
                <w:sz w:val="22"/>
                <w:szCs w:val="22"/>
                <w:lang w:eastAsia="en-US"/>
              </w:rPr>
              <w:t>p-</w:t>
            </w:r>
            <w:proofErr w:type="spellStart"/>
            <w:r w:rsidR="00CA63B1">
              <w:rPr>
                <w:rFonts w:eastAsia="Calibri"/>
                <w:bCs/>
                <w:sz w:val="22"/>
                <w:szCs w:val="22"/>
                <w:lang w:eastAsia="en-US"/>
              </w:rPr>
              <w:t>gildi</w:t>
            </w:r>
            <w:proofErr w:type="spellEnd"/>
          </w:p>
        </w:tc>
        <w:tc>
          <w:tcPr>
            <w:tcW w:w="6190" w:type="dxa"/>
            <w:gridSpan w:val="2"/>
          </w:tcPr>
          <w:p w14:paraId="1A1622DD" w14:textId="77777777" w:rsidR="00E0001D" w:rsidRPr="00FD2F24" w:rsidRDefault="00E0001D" w:rsidP="00B64117">
            <w:pPr>
              <w:pStyle w:val="Default"/>
              <w:keepNext/>
              <w:jc w:val="center"/>
              <w:rPr>
                <w:rFonts w:eastAsia="Calibri"/>
                <w:bCs/>
                <w:sz w:val="22"/>
                <w:szCs w:val="22"/>
                <w:lang w:eastAsia="en-US"/>
              </w:rPr>
            </w:pPr>
            <w:r w:rsidRPr="00FD2F24">
              <w:rPr>
                <w:rFonts w:eastAsia="Calibri"/>
                <w:bCs/>
                <w:sz w:val="22"/>
                <w:szCs w:val="22"/>
                <w:lang w:eastAsia="en-US"/>
              </w:rPr>
              <w:t>0</w:t>
            </w:r>
            <w:r w:rsidR="00CA63B1">
              <w:rPr>
                <w:rFonts w:eastAsia="Calibri"/>
                <w:bCs/>
                <w:sz w:val="22"/>
                <w:szCs w:val="22"/>
                <w:lang w:eastAsia="en-US"/>
              </w:rPr>
              <w:t>,</w:t>
            </w:r>
            <w:r w:rsidRPr="00FD2F24">
              <w:rPr>
                <w:rFonts w:eastAsia="Calibri"/>
                <w:bCs/>
                <w:sz w:val="22"/>
                <w:szCs w:val="22"/>
                <w:lang w:eastAsia="en-US"/>
              </w:rPr>
              <w:t>0015</w:t>
            </w:r>
          </w:p>
        </w:tc>
      </w:tr>
      <w:tr w:rsidR="00E0001D" w:rsidRPr="00E53CAB" w14:paraId="4E2100C9" w14:textId="77777777" w:rsidTr="00781331">
        <w:tc>
          <w:tcPr>
            <w:tcW w:w="3094" w:type="dxa"/>
          </w:tcPr>
          <w:p w14:paraId="79AE59BB" w14:textId="77777777" w:rsidR="00E0001D" w:rsidRPr="00321413" w:rsidRDefault="00CA63B1" w:rsidP="002040BE">
            <w:pPr>
              <w:pStyle w:val="Default"/>
              <w:keepNext/>
              <w:rPr>
                <w:rFonts w:eastAsia="Calibri"/>
                <w:bCs/>
                <w:sz w:val="22"/>
                <w:szCs w:val="22"/>
                <w:lang w:eastAsia="en-US"/>
              </w:rPr>
            </w:pPr>
            <w:proofErr w:type="spellStart"/>
            <w:r>
              <w:rPr>
                <w:rFonts w:eastAsia="Calibri"/>
                <w:bCs/>
                <w:sz w:val="22"/>
                <w:szCs w:val="22"/>
                <w:lang w:eastAsia="en-US"/>
              </w:rPr>
              <w:t>Heildarsvörunartíðni</w:t>
            </w:r>
            <w:proofErr w:type="spellEnd"/>
          </w:p>
        </w:tc>
        <w:tc>
          <w:tcPr>
            <w:tcW w:w="3095" w:type="dxa"/>
          </w:tcPr>
          <w:p w14:paraId="30B556A4" w14:textId="77777777" w:rsidR="00E0001D" w:rsidRPr="00FD2F24" w:rsidRDefault="00E0001D" w:rsidP="00781331">
            <w:pPr>
              <w:pStyle w:val="Default"/>
              <w:keepNext/>
              <w:jc w:val="center"/>
              <w:rPr>
                <w:rFonts w:eastAsia="Calibri"/>
                <w:b/>
                <w:bCs/>
                <w:sz w:val="22"/>
                <w:szCs w:val="22"/>
                <w:lang w:eastAsia="en-US"/>
              </w:rPr>
            </w:pPr>
          </w:p>
        </w:tc>
        <w:tc>
          <w:tcPr>
            <w:tcW w:w="3095" w:type="dxa"/>
          </w:tcPr>
          <w:p w14:paraId="37C9A739" w14:textId="77777777" w:rsidR="00E0001D" w:rsidRPr="00FD2F24" w:rsidRDefault="00E0001D" w:rsidP="00781331">
            <w:pPr>
              <w:pStyle w:val="Default"/>
              <w:keepNext/>
              <w:jc w:val="center"/>
              <w:rPr>
                <w:rFonts w:eastAsia="Calibri"/>
                <w:b/>
                <w:bCs/>
                <w:sz w:val="22"/>
                <w:szCs w:val="22"/>
                <w:lang w:eastAsia="en-US"/>
              </w:rPr>
            </w:pPr>
          </w:p>
        </w:tc>
      </w:tr>
      <w:tr w:rsidR="00E0001D" w:rsidRPr="00E53CAB" w14:paraId="744D984D" w14:textId="77777777" w:rsidTr="00781331">
        <w:tc>
          <w:tcPr>
            <w:tcW w:w="3094" w:type="dxa"/>
          </w:tcPr>
          <w:p w14:paraId="6327F902" w14:textId="77777777" w:rsidR="00E0001D" w:rsidRPr="00AC3F05" w:rsidRDefault="00CA63B1" w:rsidP="002040BE">
            <w:pPr>
              <w:pStyle w:val="Default"/>
              <w:keepNext/>
              <w:ind w:left="567"/>
              <w:rPr>
                <w:rFonts w:eastAsia="Calibri"/>
                <w:bCs/>
                <w:sz w:val="22"/>
                <w:szCs w:val="22"/>
                <w:lang w:eastAsia="en-US"/>
              </w:rPr>
            </w:pPr>
            <w:proofErr w:type="spellStart"/>
            <w:r>
              <w:rPr>
                <w:rFonts w:eastAsia="Calibri"/>
                <w:bCs/>
                <w:sz w:val="22"/>
                <w:szCs w:val="22"/>
                <w:lang w:eastAsia="en-US"/>
              </w:rPr>
              <w:t>Tíðni</w:t>
            </w:r>
            <w:proofErr w:type="spellEnd"/>
            <w:r>
              <w:rPr>
                <w:rFonts w:eastAsia="Calibri"/>
                <w:bCs/>
                <w:sz w:val="22"/>
                <w:szCs w:val="22"/>
                <w:lang w:eastAsia="en-US"/>
              </w:rPr>
              <w:t xml:space="preserve"> </w:t>
            </w:r>
            <w:r w:rsidR="00E0001D" w:rsidRPr="00AC3F05">
              <w:rPr>
                <w:rFonts w:eastAsia="Calibri"/>
                <w:bCs/>
                <w:sz w:val="22"/>
                <w:szCs w:val="22"/>
                <w:lang w:eastAsia="en-US"/>
              </w:rPr>
              <w:t>(n)</w:t>
            </w:r>
          </w:p>
        </w:tc>
        <w:tc>
          <w:tcPr>
            <w:tcW w:w="3095" w:type="dxa"/>
          </w:tcPr>
          <w:p w14:paraId="0F88A157" w14:textId="77777777" w:rsidR="00E0001D" w:rsidRPr="00FD2F24" w:rsidRDefault="00E0001D" w:rsidP="00B64117">
            <w:pPr>
              <w:pStyle w:val="Default"/>
              <w:keepNext/>
              <w:jc w:val="center"/>
              <w:rPr>
                <w:rFonts w:eastAsia="Calibri"/>
                <w:bCs/>
                <w:sz w:val="22"/>
                <w:szCs w:val="22"/>
                <w:lang w:eastAsia="en-US"/>
              </w:rPr>
            </w:pPr>
            <w:r w:rsidRPr="00FD2F24">
              <w:rPr>
                <w:rFonts w:eastAsia="Calibri"/>
                <w:bCs/>
                <w:sz w:val="22"/>
                <w:szCs w:val="22"/>
                <w:lang w:eastAsia="en-US"/>
              </w:rPr>
              <w:t>63</w:t>
            </w:r>
            <w:r w:rsidR="00CA63B1">
              <w:rPr>
                <w:rFonts w:eastAsia="Calibri"/>
                <w:bCs/>
                <w:sz w:val="22"/>
                <w:szCs w:val="22"/>
                <w:lang w:eastAsia="en-US"/>
              </w:rPr>
              <w:t>,</w:t>
            </w:r>
            <w:r w:rsidRPr="00FD2F24">
              <w:rPr>
                <w:rFonts w:eastAsia="Calibri"/>
                <w:bCs/>
                <w:sz w:val="22"/>
                <w:szCs w:val="22"/>
                <w:lang w:eastAsia="en-US"/>
              </w:rPr>
              <w:t>6% (49)</w:t>
            </w:r>
          </w:p>
        </w:tc>
        <w:tc>
          <w:tcPr>
            <w:tcW w:w="3095" w:type="dxa"/>
          </w:tcPr>
          <w:p w14:paraId="07A23165" w14:textId="77777777" w:rsidR="00E0001D" w:rsidRPr="00FD2F24" w:rsidRDefault="00E0001D" w:rsidP="00B64117">
            <w:pPr>
              <w:pStyle w:val="Default"/>
              <w:keepNext/>
              <w:jc w:val="center"/>
              <w:rPr>
                <w:rFonts w:eastAsia="Calibri"/>
                <w:bCs/>
                <w:sz w:val="22"/>
                <w:szCs w:val="22"/>
                <w:lang w:eastAsia="en-US"/>
              </w:rPr>
            </w:pPr>
            <w:r w:rsidRPr="00FD2F24">
              <w:rPr>
                <w:rFonts w:eastAsia="Calibri"/>
                <w:bCs/>
                <w:sz w:val="22"/>
                <w:szCs w:val="22"/>
                <w:lang w:eastAsia="en-US"/>
              </w:rPr>
              <w:t>69</w:t>
            </w:r>
            <w:r w:rsidR="00CA63B1">
              <w:rPr>
                <w:rFonts w:eastAsia="Calibri"/>
                <w:bCs/>
                <w:sz w:val="22"/>
                <w:szCs w:val="22"/>
                <w:lang w:eastAsia="en-US"/>
              </w:rPr>
              <w:t>,</w:t>
            </w:r>
            <w:r w:rsidRPr="00FD2F24">
              <w:rPr>
                <w:rFonts w:eastAsia="Calibri"/>
                <w:bCs/>
                <w:sz w:val="22"/>
                <w:szCs w:val="22"/>
                <w:lang w:eastAsia="en-US"/>
              </w:rPr>
              <w:t>3% (52)</w:t>
            </w:r>
          </w:p>
        </w:tc>
      </w:tr>
      <w:tr w:rsidR="00E0001D" w:rsidRPr="00E53CAB" w14:paraId="656575E8" w14:textId="77777777" w:rsidTr="00781331">
        <w:tc>
          <w:tcPr>
            <w:tcW w:w="3094" w:type="dxa"/>
          </w:tcPr>
          <w:p w14:paraId="5FD8AD0B" w14:textId="77777777" w:rsidR="00E0001D" w:rsidRPr="00AC3F05" w:rsidRDefault="00E0001D" w:rsidP="002040BE">
            <w:pPr>
              <w:pStyle w:val="Default"/>
              <w:keepNext/>
              <w:ind w:left="567"/>
              <w:rPr>
                <w:rFonts w:eastAsia="Calibri"/>
                <w:bCs/>
                <w:sz w:val="22"/>
                <w:szCs w:val="22"/>
                <w:lang w:eastAsia="en-US"/>
              </w:rPr>
            </w:pPr>
            <w:r w:rsidRPr="00AC3F05">
              <w:rPr>
                <w:rFonts w:eastAsia="Calibri"/>
                <w:bCs/>
                <w:sz w:val="22"/>
                <w:szCs w:val="22"/>
                <w:lang w:eastAsia="en-US"/>
              </w:rPr>
              <w:t>p-</w:t>
            </w:r>
            <w:proofErr w:type="spellStart"/>
            <w:r w:rsidR="00CA63B1">
              <w:rPr>
                <w:rFonts w:eastAsia="Calibri"/>
                <w:bCs/>
                <w:sz w:val="22"/>
                <w:szCs w:val="22"/>
                <w:lang w:eastAsia="en-US"/>
              </w:rPr>
              <w:t>gildi</w:t>
            </w:r>
            <w:proofErr w:type="spellEnd"/>
          </w:p>
        </w:tc>
        <w:tc>
          <w:tcPr>
            <w:tcW w:w="6190" w:type="dxa"/>
            <w:gridSpan w:val="2"/>
          </w:tcPr>
          <w:p w14:paraId="16736E91" w14:textId="77777777" w:rsidR="00E0001D" w:rsidRPr="00FD2F24" w:rsidRDefault="00E0001D" w:rsidP="00B64117">
            <w:pPr>
              <w:pStyle w:val="Default"/>
              <w:keepNext/>
              <w:jc w:val="center"/>
              <w:rPr>
                <w:rFonts w:eastAsia="Calibri"/>
                <w:bCs/>
                <w:sz w:val="22"/>
                <w:szCs w:val="22"/>
                <w:lang w:eastAsia="en-US"/>
              </w:rPr>
            </w:pPr>
            <w:r w:rsidRPr="00FD2F24">
              <w:rPr>
                <w:rFonts w:eastAsia="Calibri"/>
                <w:bCs/>
                <w:sz w:val="22"/>
                <w:szCs w:val="22"/>
                <w:lang w:eastAsia="en-US"/>
              </w:rPr>
              <w:t>0</w:t>
            </w:r>
            <w:r w:rsidR="00CA63B1">
              <w:rPr>
                <w:rFonts w:eastAsia="Calibri"/>
                <w:bCs/>
                <w:sz w:val="22"/>
                <w:szCs w:val="22"/>
                <w:lang w:eastAsia="en-US"/>
              </w:rPr>
              <w:t>,</w:t>
            </w:r>
            <w:r w:rsidRPr="00FD2F24">
              <w:rPr>
                <w:rFonts w:eastAsia="Calibri"/>
                <w:bCs/>
                <w:sz w:val="22"/>
                <w:szCs w:val="22"/>
                <w:lang w:eastAsia="en-US"/>
              </w:rPr>
              <w:t>4951</w:t>
            </w:r>
          </w:p>
        </w:tc>
      </w:tr>
      <w:tr w:rsidR="00E0001D" w:rsidRPr="00E53CAB" w14:paraId="16AE3461" w14:textId="77777777" w:rsidTr="00781331">
        <w:tc>
          <w:tcPr>
            <w:tcW w:w="3094" w:type="dxa"/>
          </w:tcPr>
          <w:p w14:paraId="00693F32" w14:textId="77777777" w:rsidR="00E0001D" w:rsidRPr="00321413" w:rsidRDefault="00CA63B1" w:rsidP="002040BE">
            <w:pPr>
              <w:pStyle w:val="Default"/>
              <w:rPr>
                <w:rFonts w:eastAsia="Calibri"/>
                <w:bCs/>
                <w:sz w:val="22"/>
                <w:szCs w:val="22"/>
                <w:lang w:eastAsia="en-US"/>
              </w:rPr>
            </w:pPr>
            <w:proofErr w:type="spellStart"/>
            <w:r>
              <w:rPr>
                <w:rFonts w:eastAsia="Calibri"/>
                <w:bCs/>
                <w:sz w:val="22"/>
                <w:szCs w:val="22"/>
                <w:lang w:eastAsia="en-US"/>
              </w:rPr>
              <w:t>Heildarlifun</w:t>
            </w:r>
            <w:proofErr w:type="spellEnd"/>
            <w:r w:rsidR="00E0001D" w:rsidRPr="00321413">
              <w:rPr>
                <w:rFonts w:eastAsia="Calibri"/>
                <w:bCs/>
                <w:sz w:val="22"/>
                <w:szCs w:val="22"/>
                <w:lang w:eastAsia="en-US"/>
              </w:rPr>
              <w:t>* (</w:t>
            </w:r>
            <w:proofErr w:type="spellStart"/>
            <w:r w:rsidR="00E0001D" w:rsidRPr="00321413">
              <w:rPr>
                <w:rFonts w:eastAsia="Calibri"/>
                <w:bCs/>
                <w:sz w:val="22"/>
                <w:szCs w:val="22"/>
                <w:lang w:eastAsia="en-US"/>
              </w:rPr>
              <w:t>m</w:t>
            </w:r>
            <w:r>
              <w:rPr>
                <w:rFonts w:eastAsia="Calibri"/>
                <w:bCs/>
                <w:sz w:val="22"/>
                <w:szCs w:val="22"/>
                <w:lang w:eastAsia="en-US"/>
              </w:rPr>
              <w:t>ánuðir</w:t>
            </w:r>
            <w:proofErr w:type="spellEnd"/>
            <w:r w:rsidR="00E0001D" w:rsidRPr="00321413">
              <w:rPr>
                <w:rFonts w:eastAsia="Calibri"/>
                <w:bCs/>
                <w:sz w:val="22"/>
                <w:szCs w:val="22"/>
                <w:lang w:eastAsia="en-US"/>
              </w:rPr>
              <w:t>)</w:t>
            </w:r>
          </w:p>
        </w:tc>
        <w:tc>
          <w:tcPr>
            <w:tcW w:w="3095" w:type="dxa"/>
          </w:tcPr>
          <w:p w14:paraId="60AA0295" w14:textId="77777777" w:rsidR="00E0001D" w:rsidRPr="00FD2F24" w:rsidRDefault="00E0001D" w:rsidP="00781331">
            <w:pPr>
              <w:pStyle w:val="Default"/>
              <w:jc w:val="center"/>
              <w:rPr>
                <w:rFonts w:eastAsia="Calibri"/>
                <w:b/>
                <w:bCs/>
                <w:sz w:val="22"/>
                <w:szCs w:val="22"/>
                <w:lang w:eastAsia="en-US"/>
              </w:rPr>
            </w:pPr>
          </w:p>
        </w:tc>
        <w:tc>
          <w:tcPr>
            <w:tcW w:w="3095" w:type="dxa"/>
          </w:tcPr>
          <w:p w14:paraId="7531E86B" w14:textId="77777777" w:rsidR="00E0001D" w:rsidRPr="00FD2F24" w:rsidRDefault="00E0001D" w:rsidP="00781331">
            <w:pPr>
              <w:pStyle w:val="Default"/>
              <w:jc w:val="center"/>
              <w:rPr>
                <w:rFonts w:eastAsia="Calibri"/>
                <w:b/>
                <w:bCs/>
                <w:sz w:val="22"/>
                <w:szCs w:val="22"/>
                <w:lang w:eastAsia="en-US"/>
              </w:rPr>
            </w:pPr>
          </w:p>
        </w:tc>
      </w:tr>
      <w:tr w:rsidR="00E0001D" w:rsidRPr="00E53CAB" w14:paraId="5080EDE2" w14:textId="77777777" w:rsidTr="00781331">
        <w:tc>
          <w:tcPr>
            <w:tcW w:w="3094" w:type="dxa"/>
          </w:tcPr>
          <w:p w14:paraId="341C291B" w14:textId="77777777" w:rsidR="00E0001D" w:rsidRPr="00AC3F05" w:rsidRDefault="00CA63B1" w:rsidP="002040BE">
            <w:pPr>
              <w:pStyle w:val="Default"/>
              <w:ind w:left="567"/>
              <w:rPr>
                <w:rFonts w:eastAsia="Calibri"/>
                <w:bCs/>
                <w:sz w:val="22"/>
                <w:szCs w:val="22"/>
                <w:lang w:eastAsia="en-US"/>
              </w:rPr>
            </w:pPr>
            <w:proofErr w:type="spellStart"/>
            <w:r>
              <w:rPr>
                <w:rFonts w:eastAsia="Calibri"/>
                <w:bCs/>
                <w:sz w:val="22"/>
                <w:szCs w:val="22"/>
                <w:lang w:eastAsia="en-US"/>
              </w:rPr>
              <w:t>Miðgildi</w:t>
            </w:r>
            <w:proofErr w:type="spellEnd"/>
          </w:p>
        </w:tc>
        <w:tc>
          <w:tcPr>
            <w:tcW w:w="3095" w:type="dxa"/>
          </w:tcPr>
          <w:p w14:paraId="3761CFAB" w14:textId="77777777" w:rsidR="00E0001D" w:rsidRPr="00955FE7" w:rsidRDefault="00E0001D" w:rsidP="00B64117">
            <w:pPr>
              <w:pStyle w:val="Default"/>
              <w:jc w:val="center"/>
              <w:rPr>
                <w:rFonts w:eastAsia="Calibri"/>
                <w:bCs/>
                <w:sz w:val="22"/>
                <w:szCs w:val="22"/>
                <w:lang w:eastAsia="en-US"/>
              </w:rPr>
            </w:pPr>
            <w:r w:rsidRPr="00955FE7">
              <w:rPr>
                <w:rFonts w:eastAsia="Calibri"/>
                <w:bCs/>
                <w:sz w:val="22"/>
                <w:szCs w:val="22"/>
                <w:lang w:eastAsia="en-US"/>
              </w:rPr>
              <w:t>47</w:t>
            </w:r>
            <w:r w:rsidR="00CA63B1">
              <w:rPr>
                <w:rFonts w:eastAsia="Calibri"/>
                <w:bCs/>
                <w:sz w:val="22"/>
                <w:szCs w:val="22"/>
                <w:lang w:eastAsia="en-US"/>
              </w:rPr>
              <w:t>,</w:t>
            </w:r>
            <w:r w:rsidRPr="00955FE7">
              <w:rPr>
                <w:rFonts w:eastAsia="Calibri"/>
                <w:bCs/>
                <w:sz w:val="22"/>
                <w:szCs w:val="22"/>
                <w:lang w:eastAsia="en-US"/>
              </w:rPr>
              <w:t>4</w:t>
            </w:r>
          </w:p>
        </w:tc>
        <w:tc>
          <w:tcPr>
            <w:tcW w:w="3095" w:type="dxa"/>
          </w:tcPr>
          <w:p w14:paraId="3E68AB50" w14:textId="77777777" w:rsidR="00E0001D" w:rsidRPr="00955FE7" w:rsidRDefault="00E0001D" w:rsidP="00B64117">
            <w:pPr>
              <w:pStyle w:val="Default"/>
              <w:jc w:val="center"/>
              <w:rPr>
                <w:rFonts w:eastAsia="Calibri"/>
                <w:bCs/>
                <w:sz w:val="22"/>
                <w:szCs w:val="22"/>
                <w:lang w:eastAsia="en-US"/>
              </w:rPr>
            </w:pPr>
            <w:r w:rsidRPr="00955FE7">
              <w:rPr>
                <w:rFonts w:eastAsia="Calibri"/>
                <w:bCs/>
                <w:sz w:val="22"/>
                <w:szCs w:val="22"/>
                <w:lang w:eastAsia="en-US"/>
              </w:rPr>
              <w:t>47</w:t>
            </w:r>
            <w:r w:rsidR="00CA63B1">
              <w:rPr>
                <w:rFonts w:eastAsia="Calibri"/>
                <w:bCs/>
                <w:sz w:val="22"/>
                <w:szCs w:val="22"/>
                <w:lang w:eastAsia="en-US"/>
              </w:rPr>
              <w:t>,</w:t>
            </w:r>
            <w:r w:rsidRPr="00955FE7">
              <w:rPr>
                <w:rFonts w:eastAsia="Calibri"/>
                <w:bCs/>
                <w:sz w:val="22"/>
                <w:szCs w:val="22"/>
                <w:lang w:eastAsia="en-US"/>
              </w:rPr>
              <w:t>0</w:t>
            </w:r>
          </w:p>
        </w:tc>
      </w:tr>
      <w:tr w:rsidR="00E0001D" w:rsidRPr="00E53CAB" w14:paraId="494DFB91" w14:textId="77777777" w:rsidTr="00781331">
        <w:tc>
          <w:tcPr>
            <w:tcW w:w="3094" w:type="dxa"/>
          </w:tcPr>
          <w:p w14:paraId="7D32DE6D" w14:textId="2BBD7FC1" w:rsidR="00E0001D" w:rsidRPr="00AC3F05" w:rsidRDefault="00CA63B1" w:rsidP="002040BE">
            <w:pPr>
              <w:pStyle w:val="Default"/>
              <w:ind w:left="567"/>
              <w:rPr>
                <w:rFonts w:eastAsia="Calibri"/>
                <w:bCs/>
                <w:sz w:val="22"/>
                <w:szCs w:val="22"/>
                <w:lang w:eastAsia="en-US"/>
              </w:rPr>
            </w:pPr>
            <w:proofErr w:type="spellStart"/>
            <w:r>
              <w:rPr>
                <w:rFonts w:eastAsia="Calibri"/>
                <w:bCs/>
                <w:sz w:val="22"/>
                <w:szCs w:val="22"/>
                <w:lang w:eastAsia="en-US"/>
              </w:rPr>
              <w:t>Áhættuhlutfall</w:t>
            </w:r>
            <w:proofErr w:type="spellEnd"/>
            <w:r>
              <w:rPr>
                <w:rFonts w:eastAsia="Calibri"/>
                <w:bCs/>
                <w:sz w:val="22"/>
                <w:szCs w:val="22"/>
                <w:lang w:eastAsia="en-US"/>
              </w:rPr>
              <w:t xml:space="preserve"> </w:t>
            </w:r>
            <w:r w:rsidR="00E0001D" w:rsidRPr="00AC3F05">
              <w:rPr>
                <w:rFonts w:eastAsia="Calibri"/>
                <w:bCs/>
                <w:sz w:val="22"/>
                <w:szCs w:val="22"/>
                <w:lang w:eastAsia="en-US"/>
              </w:rPr>
              <w:t xml:space="preserve">(95% </w:t>
            </w:r>
            <w:proofErr w:type="spellStart"/>
            <w:r w:rsidR="00FE5EE2">
              <w:rPr>
                <w:rFonts w:eastAsia="Calibri"/>
                <w:bCs/>
                <w:sz w:val="22"/>
                <w:szCs w:val="22"/>
                <w:lang w:eastAsia="en-US"/>
              </w:rPr>
              <w:t>öryggisbil</w:t>
            </w:r>
            <w:proofErr w:type="spellEnd"/>
            <w:r w:rsidR="00E0001D" w:rsidRPr="00AC3F05">
              <w:rPr>
                <w:rFonts w:eastAsia="Calibri"/>
                <w:bCs/>
                <w:sz w:val="22"/>
                <w:szCs w:val="22"/>
                <w:lang w:eastAsia="en-US"/>
              </w:rPr>
              <w:t>)</w:t>
            </w:r>
          </w:p>
        </w:tc>
        <w:tc>
          <w:tcPr>
            <w:tcW w:w="6190" w:type="dxa"/>
            <w:gridSpan w:val="2"/>
          </w:tcPr>
          <w:p w14:paraId="238BE7F2" w14:textId="77777777" w:rsidR="00E0001D" w:rsidRPr="00955FE7" w:rsidRDefault="00E0001D" w:rsidP="002040BE">
            <w:pPr>
              <w:pStyle w:val="Default"/>
              <w:jc w:val="center"/>
              <w:rPr>
                <w:rFonts w:eastAsia="Calibri"/>
                <w:bCs/>
                <w:sz w:val="22"/>
                <w:szCs w:val="22"/>
                <w:lang w:eastAsia="en-US"/>
              </w:rPr>
            </w:pPr>
            <w:r w:rsidRPr="00955FE7">
              <w:rPr>
                <w:rFonts w:eastAsia="Calibri"/>
                <w:bCs/>
                <w:sz w:val="22"/>
                <w:szCs w:val="22"/>
                <w:lang w:eastAsia="en-US"/>
              </w:rPr>
              <w:t>0</w:t>
            </w:r>
            <w:r w:rsidR="00CA63B1">
              <w:rPr>
                <w:rFonts w:eastAsia="Calibri"/>
                <w:bCs/>
                <w:sz w:val="22"/>
                <w:szCs w:val="22"/>
                <w:lang w:eastAsia="en-US"/>
              </w:rPr>
              <w:t>,</w:t>
            </w:r>
            <w:r w:rsidRPr="00955FE7">
              <w:rPr>
                <w:rFonts w:eastAsia="Calibri"/>
                <w:bCs/>
                <w:sz w:val="22"/>
                <w:szCs w:val="22"/>
                <w:lang w:eastAsia="en-US"/>
              </w:rPr>
              <w:t>81 (0</w:t>
            </w:r>
            <w:r w:rsidR="00CA63B1">
              <w:rPr>
                <w:rFonts w:eastAsia="Calibri"/>
                <w:bCs/>
                <w:sz w:val="22"/>
                <w:szCs w:val="22"/>
                <w:lang w:eastAsia="en-US"/>
              </w:rPr>
              <w:t>,</w:t>
            </w:r>
            <w:r w:rsidRPr="00955FE7">
              <w:rPr>
                <w:rFonts w:eastAsia="Calibri"/>
                <w:bCs/>
                <w:sz w:val="22"/>
                <w:szCs w:val="22"/>
                <w:lang w:eastAsia="en-US"/>
              </w:rPr>
              <w:t>53; 1</w:t>
            </w:r>
            <w:r w:rsidR="00CA63B1">
              <w:rPr>
                <w:rFonts w:eastAsia="Calibri"/>
                <w:bCs/>
                <w:sz w:val="22"/>
                <w:szCs w:val="22"/>
                <w:lang w:eastAsia="en-US"/>
              </w:rPr>
              <w:t>,</w:t>
            </w:r>
            <w:r w:rsidRPr="00955FE7">
              <w:rPr>
                <w:rFonts w:eastAsia="Calibri"/>
                <w:bCs/>
                <w:sz w:val="22"/>
                <w:szCs w:val="22"/>
                <w:lang w:eastAsia="en-US"/>
              </w:rPr>
              <w:t>23)</w:t>
            </w:r>
          </w:p>
        </w:tc>
      </w:tr>
      <w:tr w:rsidR="00E0001D" w:rsidRPr="00E53CAB" w14:paraId="3A260BAF" w14:textId="77777777" w:rsidTr="00781331">
        <w:tc>
          <w:tcPr>
            <w:tcW w:w="3094" w:type="dxa"/>
          </w:tcPr>
          <w:p w14:paraId="4FB8BC8C" w14:textId="77777777" w:rsidR="00E0001D" w:rsidRPr="00AC3F05" w:rsidRDefault="00E0001D" w:rsidP="002040BE">
            <w:pPr>
              <w:pStyle w:val="Default"/>
              <w:ind w:left="567"/>
              <w:rPr>
                <w:rFonts w:eastAsia="Calibri"/>
                <w:bCs/>
                <w:sz w:val="22"/>
                <w:szCs w:val="22"/>
                <w:lang w:eastAsia="en-US"/>
              </w:rPr>
            </w:pPr>
            <w:r w:rsidRPr="00AC3F05">
              <w:rPr>
                <w:rFonts w:eastAsia="Calibri"/>
                <w:bCs/>
                <w:sz w:val="22"/>
                <w:szCs w:val="22"/>
                <w:lang w:eastAsia="en-US"/>
              </w:rPr>
              <w:t>p-</w:t>
            </w:r>
            <w:proofErr w:type="spellStart"/>
            <w:r w:rsidR="00CA63B1">
              <w:rPr>
                <w:rFonts w:eastAsia="Calibri"/>
                <w:bCs/>
                <w:sz w:val="22"/>
                <w:szCs w:val="22"/>
                <w:lang w:eastAsia="en-US"/>
              </w:rPr>
              <w:t>gildi</w:t>
            </w:r>
            <w:proofErr w:type="spellEnd"/>
          </w:p>
        </w:tc>
        <w:tc>
          <w:tcPr>
            <w:tcW w:w="6190" w:type="dxa"/>
            <w:gridSpan w:val="2"/>
          </w:tcPr>
          <w:p w14:paraId="7D261CA6" w14:textId="77777777" w:rsidR="00E0001D" w:rsidRPr="00955FE7" w:rsidRDefault="00E0001D" w:rsidP="00B64117">
            <w:pPr>
              <w:pStyle w:val="Default"/>
              <w:jc w:val="center"/>
              <w:rPr>
                <w:rFonts w:eastAsia="Calibri"/>
                <w:bCs/>
                <w:sz w:val="22"/>
                <w:szCs w:val="22"/>
                <w:lang w:eastAsia="en-US"/>
              </w:rPr>
            </w:pPr>
            <w:r w:rsidRPr="00955FE7">
              <w:rPr>
                <w:rFonts w:eastAsia="Calibri"/>
                <w:bCs/>
                <w:sz w:val="22"/>
                <w:szCs w:val="22"/>
                <w:lang w:eastAsia="en-US"/>
              </w:rPr>
              <w:t>0</w:t>
            </w:r>
            <w:r w:rsidR="00CA63B1">
              <w:rPr>
                <w:rFonts w:eastAsia="Calibri"/>
                <w:bCs/>
                <w:sz w:val="22"/>
                <w:szCs w:val="22"/>
                <w:lang w:eastAsia="en-US"/>
              </w:rPr>
              <w:t>,</w:t>
            </w:r>
            <w:r w:rsidRPr="00955FE7">
              <w:rPr>
                <w:rFonts w:eastAsia="Calibri"/>
                <w:bCs/>
                <w:sz w:val="22"/>
                <w:szCs w:val="22"/>
                <w:lang w:eastAsia="en-US"/>
              </w:rPr>
              <w:t>3267</w:t>
            </w:r>
          </w:p>
        </w:tc>
      </w:tr>
    </w:tbl>
    <w:p w14:paraId="609B0A52" w14:textId="77777777" w:rsidR="00E0001D" w:rsidRPr="001A3CEE" w:rsidRDefault="00E0001D" w:rsidP="00E0001D">
      <w:pPr>
        <w:pStyle w:val="Default"/>
        <w:ind w:left="567" w:hanging="567"/>
        <w:rPr>
          <w:rFonts w:eastAsia="Calibri"/>
          <w:bCs/>
          <w:sz w:val="20"/>
          <w:szCs w:val="22"/>
          <w:lang w:eastAsia="en-US"/>
        </w:rPr>
      </w:pPr>
      <w:r w:rsidRPr="00321413">
        <w:rPr>
          <w:rFonts w:eastAsia="Calibri"/>
          <w:bCs/>
          <w:sz w:val="20"/>
          <w:szCs w:val="22"/>
          <w:vertAlign w:val="superscript"/>
          <w:lang w:eastAsia="en-US"/>
        </w:rPr>
        <w:t>#</w:t>
      </w:r>
      <w:r w:rsidRPr="001A3CEE">
        <w:rPr>
          <w:rFonts w:eastAsia="Calibri"/>
          <w:bCs/>
          <w:sz w:val="20"/>
          <w:szCs w:val="22"/>
          <w:lang w:eastAsia="en-US"/>
        </w:rPr>
        <w:t xml:space="preserve"> </w:t>
      </w:r>
      <w:r w:rsidRPr="001A3CEE">
        <w:rPr>
          <w:rFonts w:eastAsia="Calibri"/>
          <w:bCs/>
          <w:sz w:val="20"/>
          <w:szCs w:val="22"/>
          <w:lang w:eastAsia="en-US"/>
        </w:rPr>
        <w:tab/>
      </w:r>
      <w:r w:rsidR="00CA63B1">
        <w:rPr>
          <w:sz w:val="20"/>
          <w:szCs w:val="20"/>
        </w:rPr>
        <w:t>Alls var 154</w:t>
      </w:r>
      <w:r w:rsidR="008E7E04">
        <w:rPr>
          <w:sz w:val="20"/>
          <w:szCs w:val="20"/>
        </w:rPr>
        <w:t> </w:t>
      </w:r>
      <w:proofErr w:type="spellStart"/>
      <w:r w:rsidR="00CA63B1">
        <w:rPr>
          <w:sz w:val="20"/>
          <w:szCs w:val="20"/>
        </w:rPr>
        <w:t>sjúklingum</w:t>
      </w:r>
      <w:proofErr w:type="spellEnd"/>
      <w:r w:rsidR="00CA63B1">
        <w:rPr>
          <w:sz w:val="20"/>
          <w:szCs w:val="20"/>
        </w:rPr>
        <w:t xml:space="preserve"> (ECOG </w:t>
      </w:r>
      <w:proofErr w:type="spellStart"/>
      <w:r w:rsidR="00CA63B1">
        <w:rPr>
          <w:sz w:val="20"/>
          <w:szCs w:val="20"/>
        </w:rPr>
        <w:t>færnistuðull</w:t>
      </w:r>
      <w:proofErr w:type="spellEnd"/>
      <w:r w:rsidR="00CA63B1">
        <w:rPr>
          <w:sz w:val="20"/>
          <w:szCs w:val="20"/>
        </w:rPr>
        <w:t xml:space="preserve"> 0 </w:t>
      </w:r>
      <w:proofErr w:type="spellStart"/>
      <w:r w:rsidR="00CA63B1">
        <w:rPr>
          <w:sz w:val="20"/>
          <w:szCs w:val="20"/>
        </w:rPr>
        <w:t>eða</w:t>
      </w:r>
      <w:proofErr w:type="spellEnd"/>
      <w:r w:rsidR="00CA63B1">
        <w:rPr>
          <w:sz w:val="20"/>
          <w:szCs w:val="20"/>
        </w:rPr>
        <w:t xml:space="preserve"> 1) </w:t>
      </w:r>
      <w:proofErr w:type="spellStart"/>
      <w:r w:rsidR="00CA63B1">
        <w:rPr>
          <w:sz w:val="20"/>
          <w:szCs w:val="20"/>
        </w:rPr>
        <w:t>slembiraðað</w:t>
      </w:r>
      <w:proofErr w:type="spellEnd"/>
      <w:r w:rsidR="00CA63B1">
        <w:rPr>
          <w:sz w:val="20"/>
          <w:szCs w:val="20"/>
        </w:rPr>
        <w:t xml:space="preserve">. </w:t>
      </w:r>
      <w:proofErr w:type="spellStart"/>
      <w:r w:rsidR="00CA63B1">
        <w:rPr>
          <w:sz w:val="20"/>
          <w:szCs w:val="20"/>
        </w:rPr>
        <w:t>Tveir</w:t>
      </w:r>
      <w:proofErr w:type="spellEnd"/>
      <w:r w:rsidR="00CA63B1">
        <w:rPr>
          <w:sz w:val="20"/>
          <w:szCs w:val="20"/>
        </w:rPr>
        <w:t xml:space="preserve"> </w:t>
      </w:r>
      <w:proofErr w:type="spellStart"/>
      <w:r w:rsidR="00CA63B1">
        <w:rPr>
          <w:sz w:val="20"/>
          <w:szCs w:val="20"/>
        </w:rPr>
        <w:t>sjúklingar</w:t>
      </w:r>
      <w:proofErr w:type="spellEnd"/>
      <w:r w:rsidR="00CA63B1">
        <w:rPr>
          <w:sz w:val="20"/>
          <w:szCs w:val="20"/>
        </w:rPr>
        <w:t xml:space="preserve"> </w:t>
      </w:r>
      <w:proofErr w:type="spellStart"/>
      <w:r w:rsidR="00CA63B1">
        <w:rPr>
          <w:sz w:val="20"/>
          <w:szCs w:val="20"/>
        </w:rPr>
        <w:t>sem</w:t>
      </w:r>
      <w:proofErr w:type="spellEnd"/>
      <w:r w:rsidR="00CA63B1">
        <w:rPr>
          <w:sz w:val="20"/>
          <w:szCs w:val="20"/>
        </w:rPr>
        <w:t xml:space="preserve"> </w:t>
      </w:r>
      <w:proofErr w:type="spellStart"/>
      <w:r w:rsidR="00CA63B1">
        <w:rPr>
          <w:sz w:val="20"/>
          <w:szCs w:val="20"/>
        </w:rPr>
        <w:t>hafði</w:t>
      </w:r>
      <w:proofErr w:type="spellEnd"/>
      <w:r w:rsidR="00CA63B1">
        <w:rPr>
          <w:sz w:val="20"/>
          <w:szCs w:val="20"/>
        </w:rPr>
        <w:t xml:space="preserve"> </w:t>
      </w:r>
      <w:proofErr w:type="spellStart"/>
      <w:r w:rsidR="00CA63B1">
        <w:rPr>
          <w:sz w:val="20"/>
          <w:szCs w:val="20"/>
        </w:rPr>
        <w:t>verið</w:t>
      </w:r>
      <w:proofErr w:type="spellEnd"/>
      <w:r w:rsidR="00CA63B1">
        <w:rPr>
          <w:sz w:val="20"/>
          <w:szCs w:val="20"/>
        </w:rPr>
        <w:t xml:space="preserve"> </w:t>
      </w:r>
      <w:proofErr w:type="spellStart"/>
      <w:r w:rsidR="00CA63B1">
        <w:rPr>
          <w:sz w:val="20"/>
          <w:szCs w:val="20"/>
        </w:rPr>
        <w:t>slembiraðað</w:t>
      </w:r>
      <w:proofErr w:type="spellEnd"/>
      <w:r w:rsidR="00CA63B1">
        <w:rPr>
          <w:sz w:val="20"/>
          <w:szCs w:val="20"/>
        </w:rPr>
        <w:t xml:space="preserve"> </w:t>
      </w:r>
      <w:proofErr w:type="spellStart"/>
      <w:r w:rsidR="00CA63B1">
        <w:rPr>
          <w:sz w:val="20"/>
          <w:szCs w:val="20"/>
        </w:rPr>
        <w:t>hættu</w:t>
      </w:r>
      <w:proofErr w:type="spellEnd"/>
      <w:r w:rsidR="00CA63B1">
        <w:rPr>
          <w:sz w:val="20"/>
          <w:szCs w:val="20"/>
        </w:rPr>
        <w:t xml:space="preserve"> </w:t>
      </w:r>
      <w:proofErr w:type="spellStart"/>
      <w:r w:rsidR="00CA63B1">
        <w:rPr>
          <w:sz w:val="20"/>
          <w:szCs w:val="20"/>
        </w:rPr>
        <w:t>þó</w:t>
      </w:r>
      <w:proofErr w:type="spellEnd"/>
      <w:r w:rsidR="00CA63B1">
        <w:rPr>
          <w:sz w:val="20"/>
          <w:szCs w:val="20"/>
        </w:rPr>
        <w:t xml:space="preserve"> </w:t>
      </w:r>
      <w:proofErr w:type="spellStart"/>
      <w:r w:rsidR="00CA63B1">
        <w:rPr>
          <w:sz w:val="20"/>
          <w:szCs w:val="20"/>
        </w:rPr>
        <w:t>þátttöku</w:t>
      </w:r>
      <w:proofErr w:type="spellEnd"/>
      <w:r w:rsidR="00CA63B1">
        <w:rPr>
          <w:sz w:val="20"/>
          <w:szCs w:val="20"/>
        </w:rPr>
        <w:t xml:space="preserve"> í </w:t>
      </w:r>
      <w:proofErr w:type="spellStart"/>
      <w:r w:rsidR="00CA63B1">
        <w:rPr>
          <w:sz w:val="20"/>
          <w:szCs w:val="20"/>
        </w:rPr>
        <w:t>rannsókninni</w:t>
      </w:r>
      <w:proofErr w:type="spellEnd"/>
      <w:r w:rsidR="00CA63B1">
        <w:rPr>
          <w:sz w:val="20"/>
          <w:szCs w:val="20"/>
        </w:rPr>
        <w:t xml:space="preserve"> </w:t>
      </w:r>
      <w:proofErr w:type="spellStart"/>
      <w:r w:rsidR="00CA63B1">
        <w:rPr>
          <w:sz w:val="20"/>
          <w:szCs w:val="20"/>
        </w:rPr>
        <w:t>áður</w:t>
      </w:r>
      <w:proofErr w:type="spellEnd"/>
      <w:r w:rsidR="00CA63B1">
        <w:rPr>
          <w:sz w:val="20"/>
          <w:szCs w:val="20"/>
        </w:rPr>
        <w:t xml:space="preserve"> </w:t>
      </w:r>
      <w:proofErr w:type="spellStart"/>
      <w:r w:rsidR="00CA63B1">
        <w:rPr>
          <w:sz w:val="20"/>
          <w:szCs w:val="20"/>
        </w:rPr>
        <w:t>en</w:t>
      </w:r>
      <w:proofErr w:type="spellEnd"/>
      <w:r w:rsidR="00CA63B1">
        <w:rPr>
          <w:sz w:val="20"/>
          <w:szCs w:val="20"/>
        </w:rPr>
        <w:t xml:space="preserve"> </w:t>
      </w:r>
      <w:proofErr w:type="spellStart"/>
      <w:r w:rsidR="00CA63B1">
        <w:rPr>
          <w:sz w:val="20"/>
          <w:szCs w:val="20"/>
        </w:rPr>
        <w:t>þeir</w:t>
      </w:r>
      <w:proofErr w:type="spellEnd"/>
      <w:r w:rsidR="00CA63B1">
        <w:rPr>
          <w:sz w:val="20"/>
          <w:szCs w:val="20"/>
        </w:rPr>
        <w:t xml:space="preserve"> </w:t>
      </w:r>
      <w:proofErr w:type="spellStart"/>
      <w:r w:rsidR="00CA63B1">
        <w:rPr>
          <w:sz w:val="20"/>
          <w:szCs w:val="20"/>
        </w:rPr>
        <w:t>fengu</w:t>
      </w:r>
      <w:proofErr w:type="spellEnd"/>
      <w:r w:rsidR="00CA63B1">
        <w:rPr>
          <w:sz w:val="20"/>
          <w:szCs w:val="20"/>
        </w:rPr>
        <w:t xml:space="preserve"> </w:t>
      </w:r>
      <w:proofErr w:type="spellStart"/>
      <w:r w:rsidR="00CA63B1">
        <w:rPr>
          <w:sz w:val="20"/>
          <w:szCs w:val="20"/>
        </w:rPr>
        <w:t>rannsóknarlyf</w:t>
      </w:r>
      <w:proofErr w:type="spellEnd"/>
    </w:p>
    <w:p w14:paraId="36E7CC26" w14:textId="77777777" w:rsidR="00E0001D" w:rsidRPr="00AD2908" w:rsidRDefault="00E0001D" w:rsidP="00E0001D">
      <w:pPr>
        <w:pStyle w:val="Default"/>
        <w:ind w:left="567" w:hanging="567"/>
        <w:rPr>
          <w:rFonts w:eastAsia="Calibri"/>
          <w:bCs/>
          <w:sz w:val="20"/>
          <w:szCs w:val="22"/>
          <w:lang w:val="nb-NO" w:eastAsia="en-US"/>
        </w:rPr>
      </w:pPr>
      <w:r w:rsidRPr="00AD2908">
        <w:rPr>
          <w:rFonts w:eastAsia="Calibri"/>
          <w:bCs/>
          <w:sz w:val="20"/>
          <w:szCs w:val="22"/>
          <w:lang w:val="nb-NO" w:eastAsia="en-US"/>
        </w:rPr>
        <w:t xml:space="preserve">^ </w:t>
      </w:r>
      <w:r w:rsidRPr="00AD2908">
        <w:rPr>
          <w:rFonts w:eastAsia="Calibri"/>
          <w:bCs/>
          <w:sz w:val="20"/>
          <w:szCs w:val="22"/>
          <w:lang w:val="nb-NO" w:eastAsia="en-US"/>
        </w:rPr>
        <w:tab/>
      </w:r>
      <w:r w:rsidR="00CA63B1" w:rsidRPr="00AD2908">
        <w:rPr>
          <w:sz w:val="20"/>
          <w:szCs w:val="20"/>
          <w:lang w:val="nb-NO"/>
        </w:rPr>
        <w:t>Blindað og óháð mat (frumgreining samkvæmt rannsóknaráætlun)</w:t>
      </w:r>
      <w:r w:rsidRPr="00AD2908">
        <w:rPr>
          <w:rFonts w:eastAsia="Calibri"/>
          <w:bCs/>
          <w:sz w:val="20"/>
          <w:szCs w:val="22"/>
          <w:lang w:val="nb-NO" w:eastAsia="en-US"/>
        </w:rPr>
        <w:t>.</w:t>
      </w:r>
    </w:p>
    <w:p w14:paraId="758F97E8" w14:textId="6A070D07" w:rsidR="00E0001D" w:rsidRPr="00AD2908" w:rsidRDefault="00E0001D" w:rsidP="00E0001D">
      <w:pPr>
        <w:pStyle w:val="Default"/>
        <w:ind w:left="567" w:hanging="567"/>
        <w:rPr>
          <w:rFonts w:eastAsia="Calibri"/>
          <w:bCs/>
          <w:sz w:val="20"/>
          <w:szCs w:val="22"/>
          <w:lang w:val="nb-NO" w:eastAsia="en-US"/>
        </w:rPr>
      </w:pPr>
      <w:r w:rsidRPr="00AD2908">
        <w:rPr>
          <w:rFonts w:eastAsia="Calibri"/>
          <w:bCs/>
          <w:sz w:val="20"/>
          <w:szCs w:val="22"/>
          <w:lang w:val="nb-NO" w:eastAsia="en-US"/>
        </w:rPr>
        <w:t xml:space="preserve">* </w:t>
      </w:r>
      <w:r w:rsidRPr="00AD2908">
        <w:rPr>
          <w:rFonts w:eastAsia="Calibri"/>
          <w:bCs/>
          <w:sz w:val="20"/>
          <w:szCs w:val="22"/>
          <w:lang w:val="nb-NO" w:eastAsia="en-US"/>
        </w:rPr>
        <w:tab/>
      </w:r>
      <w:r w:rsidR="00CA63B1" w:rsidRPr="00AD2908">
        <w:rPr>
          <w:sz w:val="20"/>
          <w:szCs w:val="20"/>
          <w:lang w:val="nb-NO"/>
        </w:rPr>
        <w:t>Könnunargreining</w:t>
      </w:r>
      <w:r w:rsidR="00032D57" w:rsidRPr="00AD2908">
        <w:rPr>
          <w:sz w:val="20"/>
          <w:szCs w:val="20"/>
          <w:lang w:val="nb-NO"/>
        </w:rPr>
        <w:t>:</w:t>
      </w:r>
      <w:r w:rsidR="00CA63B1" w:rsidRPr="00AD2908">
        <w:rPr>
          <w:sz w:val="20"/>
          <w:szCs w:val="20"/>
          <w:lang w:val="nb-NO"/>
        </w:rPr>
        <w:t xml:space="preserve"> lokagreining á heildarlifun miðuð við </w:t>
      </w:r>
      <w:r w:rsidR="00EF6528">
        <w:rPr>
          <w:sz w:val="20"/>
          <w:lang w:val="is-IS"/>
        </w:rPr>
        <w:t xml:space="preserve">lokadag gagnasöfnunar </w:t>
      </w:r>
      <w:r w:rsidR="00CA63B1" w:rsidRPr="00AD2908">
        <w:rPr>
          <w:sz w:val="20"/>
          <w:szCs w:val="20"/>
          <w:lang w:val="nb-NO"/>
        </w:rPr>
        <w:t>31.</w:t>
      </w:r>
      <w:r w:rsidR="008E7E04" w:rsidRPr="00AD2908">
        <w:rPr>
          <w:sz w:val="20"/>
          <w:szCs w:val="20"/>
          <w:lang w:val="nb-NO"/>
        </w:rPr>
        <w:t> </w:t>
      </w:r>
      <w:r w:rsidR="00CA63B1" w:rsidRPr="00AD2908">
        <w:rPr>
          <w:sz w:val="20"/>
          <w:szCs w:val="20"/>
          <w:lang w:val="nb-NO"/>
        </w:rPr>
        <w:t>október 2017, þá höfðu u.þ.b. 59% sjúklinganna látist</w:t>
      </w:r>
      <w:r w:rsidRPr="00AD2908">
        <w:rPr>
          <w:rFonts w:eastAsia="Calibri"/>
          <w:bCs/>
          <w:sz w:val="20"/>
          <w:szCs w:val="22"/>
          <w:lang w:val="nb-NO" w:eastAsia="en-US"/>
        </w:rPr>
        <w:t>.</w:t>
      </w:r>
    </w:p>
    <w:p w14:paraId="20C391C6" w14:textId="77777777" w:rsidR="00E0001D" w:rsidRPr="00AD2908" w:rsidRDefault="00E0001D" w:rsidP="00E0001D">
      <w:pPr>
        <w:pStyle w:val="Default"/>
        <w:ind w:left="720" w:hanging="720"/>
        <w:rPr>
          <w:rFonts w:eastAsia="Calibri"/>
          <w:bCs/>
          <w:sz w:val="20"/>
          <w:szCs w:val="22"/>
          <w:lang w:val="nb-NO" w:eastAsia="en-US"/>
        </w:rPr>
      </w:pPr>
    </w:p>
    <w:p w14:paraId="09BC2164" w14:textId="77777777" w:rsidR="00E0001D" w:rsidRPr="00AD2908" w:rsidRDefault="00CA63B1" w:rsidP="00E0001D">
      <w:pPr>
        <w:pStyle w:val="Default"/>
        <w:rPr>
          <w:rFonts w:eastAsia="Calibri"/>
          <w:bCs/>
          <w:sz w:val="20"/>
          <w:szCs w:val="22"/>
          <w:lang w:val="nb-NO" w:eastAsia="en-US"/>
        </w:rPr>
      </w:pPr>
      <w:r w:rsidRPr="00AD2908">
        <w:rPr>
          <w:sz w:val="20"/>
          <w:szCs w:val="20"/>
          <w:lang w:val="nb-NO"/>
        </w:rPr>
        <w:t>Áhættuhlutfall er reiknað með ólagskiptri Cox aðhvarfsgreiningu</w:t>
      </w:r>
      <w:r w:rsidRPr="00AD2908">
        <w:rPr>
          <w:rFonts w:eastAsia="Calibri"/>
          <w:bCs/>
          <w:sz w:val="20"/>
          <w:szCs w:val="22"/>
          <w:lang w:val="nb-NO" w:eastAsia="en-US"/>
        </w:rPr>
        <w:t>.</w:t>
      </w:r>
    </w:p>
    <w:p w14:paraId="11599F3F" w14:textId="77777777" w:rsidR="00E0001D" w:rsidRPr="009F7642" w:rsidRDefault="00E0001D" w:rsidP="0073217C">
      <w:pPr>
        <w:suppressAutoHyphens/>
        <w:spacing w:after="0" w:line="240" w:lineRule="auto"/>
        <w:ind w:left="0" w:firstLine="0"/>
        <w:rPr>
          <w:color w:val="auto"/>
          <w:lang w:val="is-IS"/>
        </w:rPr>
      </w:pPr>
    </w:p>
    <w:p w14:paraId="363EE3EB"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u w:val="single" w:color="000000"/>
          <w:lang w:val="is-IS"/>
        </w:rPr>
        <w:t>Nýrnafrumukrabbamein sem er langt gengið og/eða með meinvörpum</w:t>
      </w:r>
    </w:p>
    <w:p w14:paraId="25BA7268" w14:textId="77777777" w:rsidR="005F36F3" w:rsidRPr="009F7642" w:rsidRDefault="005F36F3" w:rsidP="0073217C">
      <w:pPr>
        <w:keepNext/>
        <w:suppressAutoHyphens/>
        <w:spacing w:after="0" w:line="240" w:lineRule="auto"/>
        <w:ind w:left="0" w:firstLine="0"/>
        <w:rPr>
          <w:color w:val="auto"/>
          <w:lang w:val="is-IS"/>
        </w:rPr>
      </w:pPr>
    </w:p>
    <w:p w14:paraId="7CC3D6EB" w14:textId="77777777" w:rsidR="006C06D6" w:rsidRPr="000E4D2A" w:rsidRDefault="00690564" w:rsidP="0073217C">
      <w:pPr>
        <w:keepNext/>
        <w:suppressAutoHyphens/>
        <w:spacing w:after="0" w:line="240" w:lineRule="auto"/>
        <w:ind w:left="0" w:firstLine="0"/>
        <w:rPr>
          <w:color w:val="auto"/>
          <w:lang w:val="is-IS"/>
        </w:rPr>
      </w:pPr>
      <w:r w:rsidRPr="00F2274F">
        <w:rPr>
          <w:rFonts w:eastAsia="Calibri"/>
          <w:i/>
          <w:iCs/>
          <w:lang w:val="is-IS"/>
        </w:rPr>
        <w:t>Bevacízúmab</w:t>
      </w:r>
      <w:r w:rsidR="00564614" w:rsidRPr="009F7642">
        <w:rPr>
          <w:i/>
          <w:color w:val="auto"/>
          <w:lang w:val="is-IS"/>
        </w:rPr>
        <w:t xml:space="preserve"> ásamt interferón alfa-2a sem fyrsta val við meðferð hjá sjúklingum með nýrnafrumukrabbamein sem er langt gengið og/eða með meinvörpum (BO17705</w:t>
      </w:r>
      <w:r w:rsidR="00564614" w:rsidRPr="000E4D2A">
        <w:rPr>
          <w:color w:val="auto"/>
          <w:lang w:val="is-IS"/>
        </w:rPr>
        <w:t>)</w:t>
      </w:r>
    </w:p>
    <w:p w14:paraId="0018FF18" w14:textId="77777777" w:rsidR="005F36F3" w:rsidRPr="009F7642" w:rsidRDefault="005F36F3" w:rsidP="0073217C">
      <w:pPr>
        <w:keepNext/>
        <w:suppressAutoHyphens/>
        <w:spacing w:after="0" w:line="240" w:lineRule="auto"/>
        <w:ind w:left="0" w:firstLine="0"/>
        <w:rPr>
          <w:color w:val="auto"/>
          <w:lang w:val="is-IS"/>
        </w:rPr>
      </w:pPr>
    </w:p>
    <w:p w14:paraId="59FEE9CC"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Þetta var III. stigs slembiröðuð, tvíblind rannsókn sem gerð var til að meta verkun og öryggi </w:t>
      </w:r>
      <w:r w:rsidR="00690564" w:rsidRPr="00F2274F">
        <w:rPr>
          <w:rFonts w:eastAsia="Calibri"/>
          <w:lang w:val="is-IS"/>
        </w:rPr>
        <w:t>bevacízúmab</w:t>
      </w:r>
      <w:r w:rsidR="00551729" w:rsidRPr="00F2274F">
        <w:rPr>
          <w:rFonts w:eastAsia="Calibri"/>
          <w:lang w:val="is-IS"/>
        </w:rPr>
        <w:t>s</w:t>
      </w:r>
      <w:r w:rsidRPr="009F7642">
        <w:rPr>
          <w:color w:val="auto"/>
          <w:lang w:val="is-IS"/>
        </w:rPr>
        <w:t xml:space="preserve"> ásamt interferón alfa-2a á móti interferón alfa-2a einu sér sem fyrsta val við meðferð á nýrnafrumukrabbameini sem var langt gengið og/eða með meinvörpum. Af 649 (641 meðhöndlaðir) slembiröðuðum sjúklingum höfðu </w:t>
      </w:r>
      <w:r w:rsidR="00540AC4">
        <w:rPr>
          <w:color w:val="auto"/>
          <w:lang w:val="is-IS"/>
        </w:rPr>
        <w:t>≥ </w:t>
      </w:r>
      <w:r w:rsidRPr="009F7642">
        <w:rPr>
          <w:color w:val="auto"/>
          <w:lang w:val="is-IS"/>
        </w:rPr>
        <w:t>70% Karnofsky hæfnisstöðu (KPS, Karnofsky Performance Status), engin meinvörp í miðtaugakerfi og líffærastarfsemi var fullnægjandi. Sjúklingar gengust undir nýrnanám vegna frumkomins ný</w:t>
      </w:r>
      <w:r w:rsidR="009C428B" w:rsidRPr="009F7642">
        <w:rPr>
          <w:color w:val="auto"/>
          <w:lang w:val="is-IS"/>
        </w:rPr>
        <w:t xml:space="preserve">rnafrumukrabbameins. </w:t>
      </w:r>
      <w:r w:rsidR="00690564" w:rsidRPr="00F2274F">
        <w:rPr>
          <w:rFonts w:eastAsia="Calibri"/>
          <w:lang w:val="is-IS"/>
        </w:rPr>
        <w:t>Bevacízúmab</w:t>
      </w:r>
      <w:r w:rsidR="009C428B" w:rsidRPr="009F7642">
        <w:rPr>
          <w:color w:val="auto"/>
          <w:lang w:val="is-IS"/>
        </w:rPr>
        <w:t xml:space="preserve"> 10 </w:t>
      </w:r>
      <w:r w:rsidRPr="009F7642">
        <w:rPr>
          <w:color w:val="auto"/>
          <w:lang w:val="is-IS"/>
        </w:rPr>
        <w:t>mg/kg var gefið á 2 vikna fresti þar til sjúkdómurinn ágerðist. Interferón alfa-2a var gefið í allt að 52 vikur eða þar til sjúkdómurinn ágerðist í ráðlögðum upphafsskammti sem nam 9</w:t>
      </w:r>
      <w:r w:rsidR="00B42D0A">
        <w:rPr>
          <w:color w:val="auto"/>
          <w:lang w:val="is-IS"/>
        </w:rPr>
        <w:t> </w:t>
      </w:r>
      <w:r w:rsidRPr="009F7642">
        <w:rPr>
          <w:color w:val="auto"/>
          <w:lang w:val="is-IS"/>
        </w:rPr>
        <w:t>milljónum a.e. þrisvar sinnum í viku þar sem hægt var að minnka skammt í 3</w:t>
      </w:r>
      <w:r w:rsidR="00B42D0A">
        <w:rPr>
          <w:color w:val="auto"/>
          <w:lang w:val="is-IS"/>
        </w:rPr>
        <w:t> </w:t>
      </w:r>
      <w:r w:rsidRPr="009F7642">
        <w:rPr>
          <w:color w:val="auto"/>
          <w:lang w:val="is-IS"/>
        </w:rPr>
        <w:t>milljónir a.e. þrisvar í viku í 2 áföngum. Sjúklingum var lagskipt eftir þjóðerni og Motzer stigum og gott jafnvægi reyndist vera milli meðferðarhópa varðandi þá þætti</w:t>
      </w:r>
      <w:r w:rsidR="003C161D" w:rsidRPr="009F7642">
        <w:rPr>
          <w:color w:val="auto"/>
          <w:lang w:val="is-IS"/>
        </w:rPr>
        <w:t xml:space="preserve"> sem höfðu áhrif á batahorfur.</w:t>
      </w:r>
    </w:p>
    <w:p w14:paraId="235C2C27" w14:textId="77777777" w:rsidR="005F36F3" w:rsidRPr="009F7642" w:rsidRDefault="005F36F3" w:rsidP="0073217C">
      <w:pPr>
        <w:suppressAutoHyphens/>
        <w:spacing w:after="0" w:line="240" w:lineRule="auto"/>
        <w:ind w:left="0" w:firstLine="0"/>
        <w:rPr>
          <w:color w:val="auto"/>
          <w:lang w:val="is-IS"/>
        </w:rPr>
      </w:pPr>
    </w:p>
    <w:p w14:paraId="22168AA5"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Aðalendapunktur rannsóknarinnar var heildarlifun og aukaendapunktar voru m.a. lifun án versnunar sjúkdóms. Með því að bæta </w:t>
      </w:r>
      <w:r w:rsidR="00690564" w:rsidRPr="00F2274F">
        <w:rPr>
          <w:rFonts w:eastAsia="Calibri"/>
          <w:lang w:val="is-IS"/>
        </w:rPr>
        <w:t>bevacízúmab</w:t>
      </w:r>
      <w:r w:rsidR="00551729" w:rsidRPr="00F2274F">
        <w:rPr>
          <w:rFonts w:eastAsia="Calibri"/>
          <w:lang w:val="is-IS"/>
        </w:rPr>
        <w:t>i</w:t>
      </w:r>
      <w:r w:rsidRPr="009F7642">
        <w:rPr>
          <w:color w:val="auto"/>
          <w:lang w:val="is-IS"/>
        </w:rPr>
        <w:t xml:space="preserve"> við interferón alfa-2a jókst lifun án versnunar sjúkdóms marktækt og hlutlægt æxlissvörunarhlutfall. Þessar niðurstöður hafa verið staðfestar í óháðri skoðun á myndgreiningu. Aukningin í heildarlifun, aðalendapunktinum, um 2 mánuði var þó ekki marktæk (áhættuhlutfall</w:t>
      </w:r>
      <w:r w:rsidR="006B3207">
        <w:rPr>
          <w:color w:val="auto"/>
          <w:lang w:val="is-IS"/>
        </w:rPr>
        <w:t> </w:t>
      </w:r>
      <w:r w:rsidR="00700BDC">
        <w:rPr>
          <w:color w:val="auto"/>
          <w:lang w:val="is-IS"/>
        </w:rPr>
        <w:t>=</w:t>
      </w:r>
      <w:r w:rsidR="006B3207">
        <w:rPr>
          <w:color w:val="auto"/>
          <w:lang w:val="is-IS"/>
        </w:rPr>
        <w:t> </w:t>
      </w:r>
      <w:r w:rsidRPr="009F7642">
        <w:rPr>
          <w:color w:val="auto"/>
          <w:lang w:val="is-IS"/>
        </w:rPr>
        <w:t xml:space="preserve">0,91). Hátt hlutfall sjúklinga (um 63% interferón/lyfleysa; 55% </w:t>
      </w:r>
      <w:r w:rsidR="00690564" w:rsidRPr="00F2274F">
        <w:rPr>
          <w:rFonts w:eastAsia="Calibri"/>
          <w:lang w:val="is-IS"/>
        </w:rPr>
        <w:t>bevacízúmab</w:t>
      </w:r>
      <w:r w:rsidRPr="009F7642">
        <w:rPr>
          <w:color w:val="auto"/>
          <w:lang w:val="is-IS"/>
        </w:rPr>
        <w:t>/interferón) fengu ýmsar ótilgreindar krabbameinsmeðferðir eftir rannsóknina, að meðtöldum æxlishemjandi lyfjum, en það getur hafa haft áhrif á greiningu heildarlifunar.</w:t>
      </w:r>
    </w:p>
    <w:p w14:paraId="55D19170" w14:textId="77777777" w:rsidR="005F36F3" w:rsidRPr="009F7642" w:rsidRDefault="005F36F3" w:rsidP="0073217C">
      <w:pPr>
        <w:suppressAutoHyphens/>
        <w:spacing w:after="0" w:line="240" w:lineRule="auto"/>
        <w:ind w:left="0" w:firstLine="0"/>
        <w:rPr>
          <w:color w:val="auto"/>
          <w:lang w:val="is-IS"/>
        </w:rPr>
      </w:pPr>
    </w:p>
    <w:p w14:paraId="63C56A0D" w14:textId="77777777" w:rsidR="005F36F3" w:rsidRPr="009F7642" w:rsidRDefault="00564614" w:rsidP="004B17FA">
      <w:pPr>
        <w:suppressAutoHyphens/>
        <w:spacing w:after="0" w:line="240" w:lineRule="auto"/>
        <w:ind w:left="0" w:firstLine="0"/>
        <w:rPr>
          <w:color w:val="auto"/>
          <w:lang w:val="is-IS"/>
        </w:rPr>
      </w:pPr>
      <w:r w:rsidRPr="009F7642">
        <w:rPr>
          <w:color w:val="auto"/>
          <w:lang w:val="is-IS"/>
        </w:rPr>
        <w:t xml:space="preserve">Niðurstöður um </w:t>
      </w:r>
      <w:r w:rsidR="003C161D" w:rsidRPr="009F7642">
        <w:rPr>
          <w:color w:val="auto"/>
          <w:lang w:val="is-IS"/>
        </w:rPr>
        <w:t xml:space="preserve">verkun eru kynntar í </w:t>
      </w:r>
      <w:r w:rsidR="003C161D" w:rsidRPr="00363B58">
        <w:rPr>
          <w:color w:val="auto"/>
          <w:lang w:val="is-IS"/>
        </w:rPr>
        <w:t>töflu</w:t>
      </w:r>
      <w:r w:rsidR="006B3207">
        <w:rPr>
          <w:color w:val="auto"/>
          <w:lang w:val="is-IS"/>
        </w:rPr>
        <w:t> </w:t>
      </w:r>
      <w:r w:rsidR="00160676" w:rsidRPr="00363B58">
        <w:rPr>
          <w:color w:val="auto"/>
          <w:lang w:val="is-IS"/>
        </w:rPr>
        <w:t>1</w:t>
      </w:r>
      <w:r w:rsidR="00781331">
        <w:rPr>
          <w:color w:val="auto"/>
          <w:lang w:val="is-IS"/>
        </w:rPr>
        <w:t>5</w:t>
      </w:r>
      <w:r w:rsidR="003C161D" w:rsidRPr="00363B58">
        <w:rPr>
          <w:color w:val="auto"/>
          <w:lang w:val="is-IS"/>
        </w:rPr>
        <w:t>.</w:t>
      </w:r>
    </w:p>
    <w:p w14:paraId="278251EF" w14:textId="77777777" w:rsidR="005F36F3" w:rsidRPr="009F7642" w:rsidRDefault="005F36F3" w:rsidP="004B17FA">
      <w:pPr>
        <w:suppressAutoHyphens/>
        <w:spacing w:after="0" w:line="240" w:lineRule="auto"/>
        <w:ind w:left="0" w:firstLine="0"/>
        <w:rPr>
          <w:color w:val="auto"/>
          <w:lang w:val="is-IS"/>
        </w:rPr>
      </w:pPr>
    </w:p>
    <w:p w14:paraId="4D8E162A" w14:textId="77777777" w:rsidR="006C06D6" w:rsidRPr="003C76C6" w:rsidRDefault="00E3317D" w:rsidP="0068323D">
      <w:pPr>
        <w:keepNext/>
        <w:keepLines/>
        <w:suppressAutoHyphens/>
        <w:spacing w:after="0" w:line="240" w:lineRule="auto"/>
        <w:ind w:left="0" w:firstLine="0"/>
        <w:rPr>
          <w:b/>
          <w:color w:val="auto"/>
          <w:lang w:val="is-IS"/>
        </w:rPr>
      </w:pPr>
      <w:r w:rsidRPr="00363B58">
        <w:rPr>
          <w:b/>
          <w:color w:val="auto"/>
          <w:lang w:val="is-IS"/>
        </w:rPr>
        <w:lastRenderedPageBreak/>
        <w:t xml:space="preserve">Tafla </w:t>
      </w:r>
      <w:r w:rsidR="00160676" w:rsidRPr="00363B58">
        <w:rPr>
          <w:b/>
          <w:color w:val="auto"/>
          <w:lang w:val="is-IS"/>
        </w:rPr>
        <w:t>1</w:t>
      </w:r>
      <w:r w:rsidR="00781331">
        <w:rPr>
          <w:b/>
          <w:color w:val="auto"/>
          <w:lang w:val="is-IS"/>
        </w:rPr>
        <w:t>5</w:t>
      </w:r>
      <w:r w:rsidR="00FE7644" w:rsidRPr="00363B58">
        <w:rPr>
          <w:b/>
          <w:color w:val="auto"/>
          <w:lang w:val="is-IS"/>
        </w:rPr>
        <w:t>.</w:t>
      </w:r>
      <w:r w:rsidRPr="003C76C6">
        <w:rPr>
          <w:b/>
          <w:color w:val="auto"/>
          <w:lang w:val="is-IS"/>
        </w:rPr>
        <w:t xml:space="preserve"> </w:t>
      </w:r>
      <w:r w:rsidR="00564614" w:rsidRPr="003C76C6">
        <w:rPr>
          <w:b/>
          <w:color w:val="auto"/>
          <w:lang w:val="is-IS"/>
        </w:rPr>
        <w:t>Verkunarniðurstöður úr rannsókn BO17705</w:t>
      </w:r>
    </w:p>
    <w:p w14:paraId="5EF52904" w14:textId="77777777" w:rsidR="005F36F3" w:rsidRPr="009F7642" w:rsidRDefault="005F36F3" w:rsidP="0073217C">
      <w:pPr>
        <w:keepNext/>
        <w:suppressAutoHyphens/>
        <w:spacing w:after="0" w:line="240" w:lineRule="auto"/>
        <w:ind w:left="0" w:firstLine="0"/>
        <w:rPr>
          <w:color w:val="auto"/>
          <w:lang w:val="is-IS"/>
        </w:rPr>
      </w:pPr>
    </w:p>
    <w:tbl>
      <w:tblPr>
        <w:tblW w:w="0" w:type="auto"/>
        <w:tblInd w:w="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0"/>
        <w:gridCol w:w="1843"/>
        <w:gridCol w:w="1843"/>
      </w:tblGrid>
      <w:tr w:rsidR="008D57E9" w:rsidRPr="009F7642" w14:paraId="528A331B" w14:textId="77777777" w:rsidTr="008D57E9">
        <w:trPr>
          <w:trHeight w:val="300"/>
          <w:tblHeader/>
        </w:trPr>
        <w:tc>
          <w:tcPr>
            <w:tcW w:w="5260" w:type="dxa"/>
            <w:vMerge w:val="restart"/>
            <w:tcBorders>
              <w:top w:val="single" w:sz="4" w:space="0" w:color="auto"/>
              <w:left w:val="single" w:sz="4" w:space="0" w:color="auto"/>
              <w:bottom w:val="single" w:sz="4" w:space="0" w:color="auto"/>
              <w:right w:val="single" w:sz="4" w:space="0" w:color="auto"/>
            </w:tcBorders>
            <w:noWrap/>
            <w:vAlign w:val="bottom"/>
            <w:hideMark/>
          </w:tcPr>
          <w:p w14:paraId="7E335D89" w14:textId="77777777" w:rsidR="000D6A81" w:rsidRPr="009F7642" w:rsidRDefault="000D6A81" w:rsidP="0073217C">
            <w:pPr>
              <w:keepNext/>
              <w:suppressAutoHyphens/>
              <w:spacing w:line="240" w:lineRule="auto"/>
              <w:rPr>
                <w:b/>
                <w:color w:val="auto"/>
                <w:lang w:val="is-IS"/>
              </w:rPr>
            </w:pPr>
          </w:p>
        </w:tc>
        <w:tc>
          <w:tcPr>
            <w:tcW w:w="3686" w:type="dxa"/>
            <w:gridSpan w:val="2"/>
            <w:tcBorders>
              <w:top w:val="single" w:sz="4" w:space="0" w:color="auto"/>
              <w:left w:val="single" w:sz="4" w:space="0" w:color="auto"/>
              <w:bottom w:val="single" w:sz="4" w:space="0" w:color="auto"/>
              <w:right w:val="single" w:sz="4" w:space="0" w:color="auto"/>
            </w:tcBorders>
            <w:noWrap/>
            <w:hideMark/>
          </w:tcPr>
          <w:p w14:paraId="13983DDE" w14:textId="77777777" w:rsidR="000D6A81" w:rsidRPr="009F7642" w:rsidRDefault="000D6A81" w:rsidP="0073217C">
            <w:pPr>
              <w:keepNext/>
              <w:suppressAutoHyphens/>
              <w:spacing w:line="240" w:lineRule="auto"/>
              <w:jc w:val="center"/>
              <w:rPr>
                <w:b/>
                <w:color w:val="auto"/>
                <w:lang w:val="is-IS"/>
              </w:rPr>
            </w:pPr>
            <w:r w:rsidRPr="009F7642">
              <w:rPr>
                <w:b/>
                <w:color w:val="auto"/>
                <w:lang w:val="is-IS"/>
              </w:rPr>
              <w:t>BO17705</w:t>
            </w:r>
          </w:p>
        </w:tc>
      </w:tr>
      <w:tr w:rsidR="008D57E9" w:rsidRPr="009F7642" w14:paraId="01372263" w14:textId="77777777" w:rsidTr="008D57E9">
        <w:trPr>
          <w:trHeight w:val="300"/>
          <w:tblHeader/>
        </w:trPr>
        <w:tc>
          <w:tcPr>
            <w:tcW w:w="5260" w:type="dxa"/>
            <w:vMerge/>
            <w:tcBorders>
              <w:top w:val="single" w:sz="4" w:space="0" w:color="auto"/>
              <w:left w:val="single" w:sz="4" w:space="0" w:color="auto"/>
              <w:bottom w:val="single" w:sz="4" w:space="0" w:color="auto"/>
              <w:right w:val="single" w:sz="4" w:space="0" w:color="auto"/>
            </w:tcBorders>
            <w:vAlign w:val="center"/>
            <w:hideMark/>
          </w:tcPr>
          <w:p w14:paraId="1AD77B43" w14:textId="77777777" w:rsidR="000D6A81" w:rsidRPr="009F7642" w:rsidRDefault="000D6A81" w:rsidP="0073217C">
            <w:pPr>
              <w:suppressAutoHyphens/>
              <w:spacing w:line="240" w:lineRule="auto"/>
              <w:rPr>
                <w:b/>
                <w:color w:val="auto"/>
                <w:lang w:val="is-IS"/>
              </w:rPr>
            </w:pPr>
          </w:p>
        </w:tc>
        <w:tc>
          <w:tcPr>
            <w:tcW w:w="1843" w:type="dxa"/>
            <w:tcBorders>
              <w:top w:val="single" w:sz="4" w:space="0" w:color="auto"/>
              <w:left w:val="single" w:sz="4" w:space="0" w:color="auto"/>
              <w:bottom w:val="single" w:sz="4" w:space="0" w:color="auto"/>
              <w:right w:val="single" w:sz="4" w:space="0" w:color="auto"/>
            </w:tcBorders>
            <w:noWrap/>
            <w:hideMark/>
          </w:tcPr>
          <w:p w14:paraId="57A074C2" w14:textId="77777777" w:rsidR="000D6A81" w:rsidRPr="009F7642" w:rsidRDefault="000D6A81" w:rsidP="0073217C">
            <w:pPr>
              <w:keepNext/>
              <w:suppressAutoHyphens/>
              <w:spacing w:line="240" w:lineRule="auto"/>
              <w:jc w:val="center"/>
              <w:rPr>
                <w:b/>
                <w:color w:val="auto"/>
                <w:lang w:val="is-IS"/>
              </w:rPr>
            </w:pPr>
            <w:r w:rsidRPr="009F7642">
              <w:rPr>
                <w:b/>
                <w:color w:val="auto"/>
                <w:lang w:val="is-IS"/>
              </w:rPr>
              <w:t>Lyfleysa + Interferón</w:t>
            </w:r>
            <w:r w:rsidRPr="009F7642">
              <w:rPr>
                <w:b/>
                <w:color w:val="auto"/>
                <w:vertAlign w:val="superscript"/>
                <w:lang w:val="is-IS"/>
              </w:rPr>
              <w:t>a</w:t>
            </w:r>
          </w:p>
        </w:tc>
        <w:tc>
          <w:tcPr>
            <w:tcW w:w="1843" w:type="dxa"/>
            <w:tcBorders>
              <w:top w:val="single" w:sz="4" w:space="0" w:color="auto"/>
              <w:left w:val="single" w:sz="4" w:space="0" w:color="auto"/>
              <w:bottom w:val="single" w:sz="4" w:space="0" w:color="auto"/>
              <w:right w:val="single" w:sz="4" w:space="0" w:color="auto"/>
            </w:tcBorders>
            <w:noWrap/>
            <w:hideMark/>
          </w:tcPr>
          <w:p w14:paraId="41AC11E4" w14:textId="77777777" w:rsidR="000D6A81" w:rsidRPr="009F7642" w:rsidRDefault="000D6A81" w:rsidP="0073217C">
            <w:pPr>
              <w:keepNext/>
              <w:suppressAutoHyphens/>
              <w:spacing w:line="240" w:lineRule="auto"/>
              <w:jc w:val="center"/>
              <w:rPr>
                <w:b/>
                <w:color w:val="auto"/>
                <w:lang w:val="is-IS"/>
              </w:rPr>
            </w:pPr>
            <w:r w:rsidRPr="009F7642">
              <w:rPr>
                <w:b/>
                <w:color w:val="auto"/>
                <w:lang w:val="is-IS"/>
              </w:rPr>
              <w:t>Bv</w:t>
            </w:r>
            <w:r w:rsidRPr="009F7642">
              <w:rPr>
                <w:b/>
                <w:color w:val="auto"/>
                <w:vertAlign w:val="superscript"/>
                <w:lang w:val="is-IS"/>
              </w:rPr>
              <w:t>b</w:t>
            </w:r>
            <w:r w:rsidRPr="009F7642">
              <w:rPr>
                <w:b/>
                <w:color w:val="auto"/>
                <w:lang w:val="is-IS"/>
              </w:rPr>
              <w:t xml:space="preserve"> + Interferón</w:t>
            </w:r>
            <w:r w:rsidRPr="009F7642">
              <w:rPr>
                <w:b/>
                <w:color w:val="auto"/>
                <w:vertAlign w:val="superscript"/>
                <w:lang w:val="is-IS"/>
              </w:rPr>
              <w:t>a</w:t>
            </w:r>
          </w:p>
        </w:tc>
      </w:tr>
      <w:tr w:rsidR="008D57E9" w:rsidRPr="009F7642" w14:paraId="1FCBD53E" w14:textId="77777777" w:rsidTr="008D57E9">
        <w:trPr>
          <w:trHeight w:val="430"/>
        </w:trPr>
        <w:tc>
          <w:tcPr>
            <w:tcW w:w="5260" w:type="dxa"/>
            <w:tcBorders>
              <w:top w:val="single" w:sz="4" w:space="0" w:color="auto"/>
              <w:left w:val="single" w:sz="4" w:space="0" w:color="auto"/>
              <w:bottom w:val="single" w:sz="4" w:space="0" w:color="auto"/>
              <w:right w:val="single" w:sz="4" w:space="0" w:color="auto"/>
            </w:tcBorders>
            <w:noWrap/>
            <w:vAlign w:val="center"/>
            <w:hideMark/>
          </w:tcPr>
          <w:p w14:paraId="3B2ED92D" w14:textId="77777777" w:rsidR="000D6A81" w:rsidRPr="009F7642" w:rsidRDefault="000D6A81" w:rsidP="0073217C">
            <w:pPr>
              <w:suppressAutoHyphens/>
              <w:spacing w:after="0" w:line="240" w:lineRule="auto"/>
              <w:ind w:left="0" w:firstLine="0"/>
              <w:rPr>
                <w:color w:val="auto"/>
                <w:lang w:val="is-IS"/>
              </w:rPr>
            </w:pPr>
            <w:r w:rsidRPr="009F7642">
              <w:rPr>
                <w:color w:val="auto"/>
                <w:lang w:val="is-IS"/>
              </w:rPr>
              <w:t>Fjöldi sjúklinga</w:t>
            </w:r>
          </w:p>
        </w:tc>
        <w:tc>
          <w:tcPr>
            <w:tcW w:w="1843" w:type="dxa"/>
            <w:tcBorders>
              <w:top w:val="single" w:sz="4" w:space="0" w:color="auto"/>
              <w:left w:val="single" w:sz="4" w:space="0" w:color="auto"/>
              <w:bottom w:val="single" w:sz="4" w:space="0" w:color="auto"/>
              <w:right w:val="single" w:sz="4" w:space="0" w:color="auto"/>
            </w:tcBorders>
            <w:noWrap/>
            <w:hideMark/>
          </w:tcPr>
          <w:p w14:paraId="0F4E6972" w14:textId="77777777" w:rsidR="000D6A81" w:rsidRPr="009F7642" w:rsidRDefault="000D6A81" w:rsidP="0073217C">
            <w:pPr>
              <w:keepNext/>
              <w:suppressAutoHyphens/>
              <w:spacing w:line="240" w:lineRule="auto"/>
              <w:jc w:val="center"/>
              <w:rPr>
                <w:color w:val="auto"/>
                <w:lang w:val="is-IS"/>
              </w:rPr>
            </w:pPr>
            <w:r w:rsidRPr="009F7642">
              <w:rPr>
                <w:color w:val="auto"/>
                <w:lang w:val="is-IS"/>
              </w:rPr>
              <w:t>322</w:t>
            </w:r>
          </w:p>
        </w:tc>
        <w:tc>
          <w:tcPr>
            <w:tcW w:w="1843" w:type="dxa"/>
            <w:tcBorders>
              <w:top w:val="single" w:sz="4" w:space="0" w:color="auto"/>
              <w:left w:val="single" w:sz="4" w:space="0" w:color="auto"/>
              <w:bottom w:val="single" w:sz="4" w:space="0" w:color="auto"/>
              <w:right w:val="single" w:sz="4" w:space="0" w:color="auto"/>
            </w:tcBorders>
            <w:noWrap/>
            <w:hideMark/>
          </w:tcPr>
          <w:p w14:paraId="4E2FEE0A" w14:textId="77777777" w:rsidR="000D6A81" w:rsidRPr="009F7642" w:rsidRDefault="000D6A81" w:rsidP="0073217C">
            <w:pPr>
              <w:keepNext/>
              <w:suppressAutoHyphens/>
              <w:spacing w:line="240" w:lineRule="auto"/>
              <w:jc w:val="center"/>
              <w:rPr>
                <w:color w:val="auto"/>
                <w:lang w:val="is-IS"/>
              </w:rPr>
            </w:pPr>
            <w:r w:rsidRPr="009F7642">
              <w:rPr>
                <w:color w:val="auto"/>
                <w:lang w:val="is-IS"/>
              </w:rPr>
              <w:t>327</w:t>
            </w:r>
          </w:p>
        </w:tc>
      </w:tr>
      <w:tr w:rsidR="008D57E9" w:rsidRPr="009F7642" w14:paraId="183326E6" w14:textId="77777777" w:rsidTr="008D57E9">
        <w:trPr>
          <w:trHeight w:val="69"/>
        </w:trPr>
        <w:tc>
          <w:tcPr>
            <w:tcW w:w="5260" w:type="dxa"/>
            <w:tcBorders>
              <w:top w:val="single" w:sz="4" w:space="0" w:color="auto"/>
              <w:left w:val="single" w:sz="4" w:space="0" w:color="auto"/>
              <w:bottom w:val="single" w:sz="4" w:space="0" w:color="auto"/>
              <w:right w:val="single" w:sz="4" w:space="0" w:color="auto"/>
            </w:tcBorders>
            <w:noWrap/>
            <w:hideMark/>
          </w:tcPr>
          <w:p w14:paraId="69C07CAB" w14:textId="77777777" w:rsidR="000D6A81" w:rsidRPr="009F7642" w:rsidRDefault="000D6A81" w:rsidP="0073217C">
            <w:pPr>
              <w:suppressAutoHyphens/>
              <w:spacing w:after="0" w:line="240" w:lineRule="auto"/>
              <w:ind w:left="0" w:firstLine="0"/>
              <w:rPr>
                <w:color w:val="auto"/>
                <w:lang w:val="is-IS"/>
              </w:rPr>
            </w:pPr>
            <w:r w:rsidRPr="009F7642">
              <w:rPr>
                <w:color w:val="auto"/>
                <w:lang w:val="is-IS"/>
              </w:rPr>
              <w:t>Lifun án versnunar sjúkdóms</w:t>
            </w:r>
          </w:p>
        </w:tc>
        <w:tc>
          <w:tcPr>
            <w:tcW w:w="1843" w:type="dxa"/>
            <w:tcBorders>
              <w:top w:val="single" w:sz="4" w:space="0" w:color="auto"/>
              <w:left w:val="single" w:sz="4" w:space="0" w:color="auto"/>
              <w:bottom w:val="single" w:sz="4" w:space="0" w:color="auto"/>
              <w:right w:val="single" w:sz="4" w:space="0" w:color="auto"/>
            </w:tcBorders>
            <w:noWrap/>
            <w:hideMark/>
          </w:tcPr>
          <w:p w14:paraId="187BA176" w14:textId="77777777" w:rsidR="000D6A81" w:rsidRPr="009F7642" w:rsidRDefault="000D6A81" w:rsidP="0073217C">
            <w:pPr>
              <w:suppressAutoHyphens/>
              <w:rPr>
                <w:color w:val="auto"/>
                <w:lang w:val="is-IS"/>
              </w:rPr>
            </w:pPr>
          </w:p>
        </w:tc>
        <w:tc>
          <w:tcPr>
            <w:tcW w:w="1843" w:type="dxa"/>
            <w:tcBorders>
              <w:top w:val="single" w:sz="4" w:space="0" w:color="auto"/>
              <w:left w:val="single" w:sz="4" w:space="0" w:color="auto"/>
              <w:bottom w:val="single" w:sz="4" w:space="0" w:color="auto"/>
              <w:right w:val="single" w:sz="4" w:space="0" w:color="auto"/>
            </w:tcBorders>
            <w:noWrap/>
            <w:hideMark/>
          </w:tcPr>
          <w:p w14:paraId="59EDF093" w14:textId="77777777" w:rsidR="000D6A81" w:rsidRPr="009F7642" w:rsidRDefault="000D6A81" w:rsidP="0073217C">
            <w:pPr>
              <w:suppressAutoHyphens/>
              <w:spacing w:line="240" w:lineRule="auto"/>
              <w:rPr>
                <w:rFonts w:eastAsia="SimSun"/>
                <w:color w:val="auto"/>
                <w:lang w:val="is-IS" w:eastAsia="en-IN"/>
              </w:rPr>
            </w:pPr>
          </w:p>
        </w:tc>
      </w:tr>
      <w:tr w:rsidR="008D57E9" w:rsidRPr="009F7642" w14:paraId="004E35B3" w14:textId="77777777" w:rsidTr="008D57E9">
        <w:trPr>
          <w:trHeight w:val="426"/>
        </w:trPr>
        <w:tc>
          <w:tcPr>
            <w:tcW w:w="5260" w:type="dxa"/>
            <w:tcBorders>
              <w:top w:val="single" w:sz="4" w:space="0" w:color="auto"/>
              <w:left w:val="single" w:sz="4" w:space="0" w:color="auto"/>
              <w:bottom w:val="single" w:sz="4" w:space="0" w:color="auto"/>
              <w:right w:val="single" w:sz="4" w:space="0" w:color="auto"/>
            </w:tcBorders>
            <w:noWrap/>
            <w:hideMark/>
          </w:tcPr>
          <w:p w14:paraId="7D6803D1" w14:textId="77777777" w:rsidR="000D6A81" w:rsidRPr="009F7642" w:rsidRDefault="000D6A81" w:rsidP="0073217C">
            <w:pPr>
              <w:suppressAutoHyphens/>
              <w:spacing w:after="0" w:line="240" w:lineRule="auto"/>
              <w:ind w:left="567" w:firstLine="0"/>
              <w:rPr>
                <w:color w:val="auto"/>
                <w:lang w:val="is-IS"/>
              </w:rPr>
            </w:pPr>
            <w:r w:rsidRPr="009F7642">
              <w:rPr>
                <w:color w:val="auto"/>
                <w:lang w:val="is-IS"/>
              </w:rPr>
              <w:t>Miðgildi (mánuðir)</w:t>
            </w:r>
          </w:p>
        </w:tc>
        <w:tc>
          <w:tcPr>
            <w:tcW w:w="1843" w:type="dxa"/>
            <w:tcBorders>
              <w:top w:val="single" w:sz="4" w:space="0" w:color="auto"/>
              <w:left w:val="single" w:sz="4" w:space="0" w:color="auto"/>
              <w:bottom w:val="single" w:sz="4" w:space="0" w:color="auto"/>
              <w:right w:val="single" w:sz="4" w:space="0" w:color="auto"/>
            </w:tcBorders>
            <w:noWrap/>
            <w:hideMark/>
          </w:tcPr>
          <w:p w14:paraId="1A6766F5" w14:textId="77777777" w:rsidR="000D6A81" w:rsidRPr="009F7642" w:rsidRDefault="00DE6002" w:rsidP="0073217C">
            <w:pPr>
              <w:keepNext/>
              <w:suppressAutoHyphens/>
              <w:spacing w:line="240" w:lineRule="auto"/>
              <w:jc w:val="center"/>
              <w:rPr>
                <w:color w:val="auto"/>
                <w:lang w:val="is-IS"/>
              </w:rPr>
            </w:pPr>
            <w:r w:rsidRPr="009F7642">
              <w:rPr>
                <w:color w:val="auto"/>
                <w:lang w:val="is-IS"/>
              </w:rPr>
              <w:t>5,</w:t>
            </w:r>
            <w:r w:rsidR="000D6A81" w:rsidRPr="009F7642">
              <w:rPr>
                <w:color w:val="auto"/>
                <w:lang w:val="is-IS"/>
              </w:rPr>
              <w:t>4</w:t>
            </w:r>
          </w:p>
        </w:tc>
        <w:tc>
          <w:tcPr>
            <w:tcW w:w="1843" w:type="dxa"/>
            <w:tcBorders>
              <w:top w:val="single" w:sz="4" w:space="0" w:color="auto"/>
              <w:left w:val="single" w:sz="4" w:space="0" w:color="auto"/>
              <w:bottom w:val="single" w:sz="4" w:space="0" w:color="auto"/>
              <w:right w:val="single" w:sz="4" w:space="0" w:color="auto"/>
            </w:tcBorders>
            <w:noWrap/>
            <w:hideMark/>
          </w:tcPr>
          <w:p w14:paraId="0BE58C90" w14:textId="77777777" w:rsidR="000D6A81" w:rsidRPr="009F7642" w:rsidRDefault="00DE6002" w:rsidP="0073217C">
            <w:pPr>
              <w:keepNext/>
              <w:suppressAutoHyphens/>
              <w:spacing w:line="240" w:lineRule="auto"/>
              <w:jc w:val="center"/>
              <w:rPr>
                <w:color w:val="auto"/>
                <w:lang w:val="is-IS"/>
              </w:rPr>
            </w:pPr>
            <w:r w:rsidRPr="009F7642">
              <w:rPr>
                <w:color w:val="auto"/>
                <w:lang w:val="is-IS"/>
              </w:rPr>
              <w:t>10,</w:t>
            </w:r>
            <w:r w:rsidR="000D6A81" w:rsidRPr="009F7642">
              <w:rPr>
                <w:color w:val="auto"/>
                <w:lang w:val="is-IS"/>
              </w:rPr>
              <w:t>2</w:t>
            </w:r>
          </w:p>
        </w:tc>
      </w:tr>
      <w:tr w:rsidR="008D57E9" w:rsidRPr="009F7642" w14:paraId="221BF290" w14:textId="77777777" w:rsidTr="008D57E9">
        <w:trPr>
          <w:trHeight w:val="840"/>
        </w:trPr>
        <w:tc>
          <w:tcPr>
            <w:tcW w:w="5260" w:type="dxa"/>
            <w:tcBorders>
              <w:top w:val="single" w:sz="4" w:space="0" w:color="auto"/>
              <w:left w:val="single" w:sz="4" w:space="0" w:color="auto"/>
              <w:bottom w:val="single" w:sz="4" w:space="0" w:color="auto"/>
              <w:right w:val="single" w:sz="4" w:space="0" w:color="auto"/>
            </w:tcBorders>
            <w:noWrap/>
            <w:hideMark/>
          </w:tcPr>
          <w:p w14:paraId="536ECF25" w14:textId="77777777" w:rsidR="006C06D6" w:rsidRPr="009F7642" w:rsidRDefault="000D6A81" w:rsidP="0073217C">
            <w:pPr>
              <w:suppressAutoHyphens/>
              <w:spacing w:after="0" w:line="240" w:lineRule="auto"/>
              <w:ind w:left="567" w:firstLine="0"/>
              <w:rPr>
                <w:color w:val="auto"/>
                <w:lang w:val="is-IS"/>
              </w:rPr>
            </w:pPr>
            <w:r w:rsidRPr="009F7642">
              <w:rPr>
                <w:color w:val="auto"/>
                <w:lang w:val="is-IS"/>
              </w:rPr>
              <w:t>Áhættuhlutfall</w:t>
            </w:r>
          </w:p>
          <w:p w14:paraId="5D0DA458" w14:textId="77777777" w:rsidR="000D6A81" w:rsidRPr="009F7642" w:rsidRDefault="000D6A81" w:rsidP="0073217C">
            <w:pPr>
              <w:suppressAutoHyphens/>
              <w:spacing w:line="240" w:lineRule="auto"/>
              <w:ind w:left="567"/>
              <w:rPr>
                <w:color w:val="auto"/>
                <w:lang w:val="is-IS"/>
              </w:rPr>
            </w:pPr>
            <w:r w:rsidRPr="009F7642">
              <w:rPr>
                <w:color w:val="auto"/>
                <w:lang w:val="is-IS"/>
              </w:rPr>
              <w:t>95% CI</w:t>
            </w:r>
          </w:p>
        </w:tc>
        <w:tc>
          <w:tcPr>
            <w:tcW w:w="3686" w:type="dxa"/>
            <w:gridSpan w:val="2"/>
            <w:tcBorders>
              <w:top w:val="single" w:sz="4" w:space="0" w:color="auto"/>
              <w:left w:val="single" w:sz="4" w:space="0" w:color="auto"/>
              <w:bottom w:val="single" w:sz="4" w:space="0" w:color="auto"/>
              <w:right w:val="single" w:sz="4" w:space="0" w:color="auto"/>
            </w:tcBorders>
            <w:noWrap/>
            <w:hideMark/>
          </w:tcPr>
          <w:p w14:paraId="6F66AD64" w14:textId="77777777" w:rsidR="000D6A81" w:rsidRPr="009F7642" w:rsidRDefault="000D6A81" w:rsidP="0073217C">
            <w:pPr>
              <w:keepNext/>
              <w:suppressAutoHyphens/>
              <w:spacing w:line="240" w:lineRule="auto"/>
              <w:jc w:val="center"/>
              <w:rPr>
                <w:color w:val="auto"/>
                <w:lang w:val="is-IS"/>
              </w:rPr>
            </w:pPr>
            <w:r w:rsidRPr="009F7642">
              <w:rPr>
                <w:color w:val="auto"/>
                <w:lang w:val="is-IS"/>
              </w:rPr>
              <w:t>0,63</w:t>
            </w:r>
          </w:p>
          <w:p w14:paraId="5116C4F8" w14:textId="77777777" w:rsidR="000D6A81" w:rsidRPr="009F7642" w:rsidRDefault="000D6A81" w:rsidP="0073217C">
            <w:pPr>
              <w:keepNext/>
              <w:suppressAutoHyphens/>
              <w:spacing w:line="240" w:lineRule="auto"/>
              <w:jc w:val="center"/>
              <w:rPr>
                <w:color w:val="auto"/>
                <w:lang w:val="is-IS"/>
              </w:rPr>
            </w:pPr>
            <w:r w:rsidRPr="009F7642">
              <w:rPr>
                <w:color w:val="auto"/>
                <w:lang w:val="is-IS"/>
              </w:rPr>
              <w:t>0,52, 0,75</w:t>
            </w:r>
          </w:p>
          <w:p w14:paraId="718F50CE" w14:textId="77777777" w:rsidR="000D6A81" w:rsidRPr="009F7642" w:rsidRDefault="000D6A81" w:rsidP="009E7197">
            <w:pPr>
              <w:suppressAutoHyphens/>
              <w:spacing w:line="240" w:lineRule="auto"/>
              <w:jc w:val="center"/>
              <w:rPr>
                <w:color w:val="auto"/>
                <w:lang w:val="is-IS"/>
              </w:rPr>
            </w:pPr>
            <w:r w:rsidRPr="009F7642">
              <w:rPr>
                <w:color w:val="auto"/>
                <w:lang w:val="is-IS"/>
              </w:rPr>
              <w:t>(</w:t>
            </w:r>
            <w:r w:rsidRPr="00363B58">
              <w:rPr>
                <w:color w:val="auto"/>
                <w:lang w:val="is-IS"/>
              </w:rPr>
              <w:t>p</w:t>
            </w:r>
            <w:r w:rsidRPr="00363B58">
              <w:rPr>
                <w:rFonts w:eastAsia="Calibri"/>
                <w:color w:val="auto"/>
                <w:lang w:val="is-IS"/>
              </w:rPr>
              <w:t>-</w:t>
            </w:r>
            <w:r w:rsidR="004E7388" w:rsidRPr="00363B58">
              <w:rPr>
                <w:color w:val="auto"/>
                <w:lang w:val="is-IS"/>
              </w:rPr>
              <w:t>gildi</w:t>
            </w:r>
            <w:r w:rsidR="00B42D0A">
              <w:rPr>
                <w:color w:val="auto"/>
                <w:lang w:val="is-IS"/>
              </w:rPr>
              <w:t> </w:t>
            </w:r>
            <w:r w:rsidRPr="009F7642">
              <w:rPr>
                <w:color w:val="auto"/>
                <w:lang w:val="is-IS"/>
              </w:rPr>
              <w:t>&lt;</w:t>
            </w:r>
            <w:r w:rsidR="00B42D0A">
              <w:rPr>
                <w:color w:val="auto"/>
                <w:lang w:val="is-IS"/>
              </w:rPr>
              <w:t> </w:t>
            </w:r>
            <w:r w:rsidRPr="009F7642">
              <w:rPr>
                <w:color w:val="auto"/>
                <w:lang w:val="is-IS"/>
              </w:rPr>
              <w:t>0,0001)</w:t>
            </w:r>
          </w:p>
        </w:tc>
      </w:tr>
      <w:tr w:rsidR="008D57E9" w:rsidRPr="009F7642" w14:paraId="4AAFA69C" w14:textId="77777777" w:rsidTr="008D57E9">
        <w:trPr>
          <w:trHeight w:val="656"/>
        </w:trPr>
        <w:tc>
          <w:tcPr>
            <w:tcW w:w="5260" w:type="dxa"/>
            <w:tcBorders>
              <w:top w:val="single" w:sz="4" w:space="0" w:color="auto"/>
              <w:left w:val="single" w:sz="4" w:space="0" w:color="auto"/>
              <w:bottom w:val="single" w:sz="4" w:space="0" w:color="auto"/>
              <w:right w:val="single" w:sz="4" w:space="0" w:color="auto"/>
            </w:tcBorders>
            <w:noWrap/>
            <w:hideMark/>
          </w:tcPr>
          <w:p w14:paraId="25353E61" w14:textId="77777777" w:rsidR="000D6A81" w:rsidRPr="009F7642" w:rsidRDefault="000D6A81" w:rsidP="0073217C">
            <w:pPr>
              <w:suppressAutoHyphens/>
              <w:spacing w:after="0" w:line="240" w:lineRule="auto"/>
              <w:ind w:left="0" w:firstLine="0"/>
              <w:rPr>
                <w:color w:val="auto"/>
                <w:lang w:val="is-IS"/>
              </w:rPr>
            </w:pPr>
            <w:r w:rsidRPr="009F7642">
              <w:rPr>
                <w:color w:val="auto"/>
                <w:lang w:val="is-IS"/>
              </w:rPr>
              <w:t xml:space="preserve">Hlutlægt svörunarhlutfall (%) hjá sjúklingum með mælanlegan sjúkdóm </w:t>
            </w:r>
          </w:p>
        </w:tc>
        <w:tc>
          <w:tcPr>
            <w:tcW w:w="1843" w:type="dxa"/>
            <w:tcBorders>
              <w:top w:val="single" w:sz="4" w:space="0" w:color="auto"/>
              <w:left w:val="single" w:sz="4" w:space="0" w:color="auto"/>
              <w:bottom w:val="single" w:sz="4" w:space="0" w:color="auto"/>
              <w:right w:val="single" w:sz="4" w:space="0" w:color="auto"/>
            </w:tcBorders>
            <w:noWrap/>
          </w:tcPr>
          <w:p w14:paraId="06A6CE55" w14:textId="77777777" w:rsidR="000D6A81" w:rsidRPr="009F7642" w:rsidRDefault="000D6A81" w:rsidP="0073217C">
            <w:pPr>
              <w:suppressAutoHyphens/>
              <w:spacing w:line="240" w:lineRule="auto"/>
              <w:jc w:val="center"/>
              <w:rPr>
                <w:color w:val="auto"/>
                <w:lang w:val="is-IS"/>
              </w:rPr>
            </w:pPr>
          </w:p>
        </w:tc>
        <w:tc>
          <w:tcPr>
            <w:tcW w:w="1843" w:type="dxa"/>
            <w:tcBorders>
              <w:top w:val="single" w:sz="4" w:space="0" w:color="auto"/>
              <w:left w:val="single" w:sz="4" w:space="0" w:color="auto"/>
              <w:bottom w:val="single" w:sz="4" w:space="0" w:color="auto"/>
              <w:right w:val="single" w:sz="4" w:space="0" w:color="auto"/>
            </w:tcBorders>
            <w:noWrap/>
          </w:tcPr>
          <w:p w14:paraId="4846441B" w14:textId="77777777" w:rsidR="000D6A81" w:rsidRPr="009F7642" w:rsidRDefault="000D6A81" w:rsidP="0073217C">
            <w:pPr>
              <w:suppressAutoHyphens/>
              <w:spacing w:line="240" w:lineRule="auto"/>
              <w:jc w:val="center"/>
              <w:rPr>
                <w:color w:val="auto"/>
                <w:lang w:val="is-IS"/>
              </w:rPr>
            </w:pPr>
          </w:p>
        </w:tc>
      </w:tr>
      <w:tr w:rsidR="008D57E9" w:rsidRPr="009F7642" w14:paraId="52F4140F" w14:textId="77777777" w:rsidTr="008D57E9">
        <w:trPr>
          <w:trHeight w:val="369"/>
        </w:trPr>
        <w:tc>
          <w:tcPr>
            <w:tcW w:w="5260" w:type="dxa"/>
            <w:tcBorders>
              <w:top w:val="single" w:sz="4" w:space="0" w:color="auto"/>
              <w:left w:val="single" w:sz="4" w:space="0" w:color="auto"/>
              <w:bottom w:val="single" w:sz="4" w:space="0" w:color="auto"/>
              <w:right w:val="single" w:sz="4" w:space="0" w:color="auto"/>
            </w:tcBorders>
            <w:noWrap/>
            <w:hideMark/>
          </w:tcPr>
          <w:p w14:paraId="4F97909A" w14:textId="77777777" w:rsidR="000D6A81" w:rsidRPr="009F7642" w:rsidRDefault="000D6A81" w:rsidP="0073217C">
            <w:pPr>
              <w:suppressAutoHyphens/>
              <w:spacing w:after="0" w:line="240" w:lineRule="auto"/>
              <w:ind w:left="567" w:firstLine="0"/>
              <w:rPr>
                <w:color w:val="auto"/>
                <w:lang w:val="is-IS"/>
              </w:rPr>
            </w:pPr>
            <w:r w:rsidRPr="009F7642">
              <w:rPr>
                <w:color w:val="auto"/>
                <w:lang w:val="is-IS"/>
              </w:rPr>
              <w:t>N</w:t>
            </w:r>
          </w:p>
        </w:tc>
        <w:tc>
          <w:tcPr>
            <w:tcW w:w="1843" w:type="dxa"/>
            <w:tcBorders>
              <w:top w:val="single" w:sz="4" w:space="0" w:color="auto"/>
              <w:left w:val="single" w:sz="4" w:space="0" w:color="auto"/>
              <w:bottom w:val="single" w:sz="4" w:space="0" w:color="auto"/>
              <w:right w:val="single" w:sz="4" w:space="0" w:color="auto"/>
            </w:tcBorders>
            <w:noWrap/>
            <w:hideMark/>
          </w:tcPr>
          <w:p w14:paraId="04934D4C" w14:textId="77777777" w:rsidR="000D6A81" w:rsidRPr="009F7642" w:rsidRDefault="000D6A81" w:rsidP="0073217C">
            <w:pPr>
              <w:suppressAutoHyphens/>
              <w:spacing w:line="240" w:lineRule="auto"/>
              <w:jc w:val="center"/>
              <w:rPr>
                <w:color w:val="auto"/>
                <w:lang w:val="is-IS"/>
              </w:rPr>
            </w:pPr>
            <w:r w:rsidRPr="009F7642">
              <w:rPr>
                <w:color w:val="auto"/>
                <w:lang w:val="is-IS"/>
              </w:rPr>
              <w:t>289</w:t>
            </w:r>
          </w:p>
        </w:tc>
        <w:tc>
          <w:tcPr>
            <w:tcW w:w="1843" w:type="dxa"/>
            <w:tcBorders>
              <w:top w:val="single" w:sz="4" w:space="0" w:color="auto"/>
              <w:left w:val="single" w:sz="4" w:space="0" w:color="auto"/>
              <w:bottom w:val="single" w:sz="4" w:space="0" w:color="auto"/>
              <w:right w:val="single" w:sz="4" w:space="0" w:color="auto"/>
            </w:tcBorders>
            <w:noWrap/>
            <w:hideMark/>
          </w:tcPr>
          <w:p w14:paraId="22091EEC" w14:textId="77777777" w:rsidR="000D6A81" w:rsidRPr="009F7642" w:rsidRDefault="000D6A81" w:rsidP="0073217C">
            <w:pPr>
              <w:suppressAutoHyphens/>
              <w:spacing w:line="240" w:lineRule="auto"/>
              <w:jc w:val="center"/>
              <w:rPr>
                <w:color w:val="auto"/>
                <w:lang w:val="is-IS"/>
              </w:rPr>
            </w:pPr>
            <w:r w:rsidRPr="009F7642">
              <w:rPr>
                <w:color w:val="auto"/>
                <w:lang w:val="is-IS"/>
              </w:rPr>
              <w:t>306</w:t>
            </w:r>
          </w:p>
        </w:tc>
      </w:tr>
      <w:tr w:rsidR="008D57E9" w:rsidRPr="009F7642" w14:paraId="0BA180AB" w14:textId="77777777" w:rsidTr="008D57E9">
        <w:trPr>
          <w:trHeight w:val="346"/>
        </w:trPr>
        <w:tc>
          <w:tcPr>
            <w:tcW w:w="5260" w:type="dxa"/>
            <w:tcBorders>
              <w:top w:val="single" w:sz="4" w:space="0" w:color="auto"/>
              <w:left w:val="single" w:sz="4" w:space="0" w:color="auto"/>
              <w:bottom w:val="single" w:sz="4" w:space="0" w:color="auto"/>
              <w:right w:val="single" w:sz="4" w:space="0" w:color="auto"/>
            </w:tcBorders>
            <w:noWrap/>
            <w:vAlign w:val="center"/>
            <w:hideMark/>
          </w:tcPr>
          <w:p w14:paraId="78B2527F" w14:textId="77777777" w:rsidR="000D6A81" w:rsidRPr="009F7642" w:rsidRDefault="000D6A81" w:rsidP="0073217C">
            <w:pPr>
              <w:suppressAutoHyphens/>
              <w:spacing w:after="0" w:line="240" w:lineRule="auto"/>
              <w:ind w:left="567" w:firstLine="0"/>
              <w:rPr>
                <w:color w:val="auto"/>
                <w:lang w:val="is-IS"/>
              </w:rPr>
            </w:pPr>
            <w:r w:rsidRPr="009F7642">
              <w:rPr>
                <w:color w:val="auto"/>
                <w:lang w:val="is-IS"/>
              </w:rPr>
              <w:t xml:space="preserve">Svörunarhlutfall </w:t>
            </w:r>
          </w:p>
        </w:tc>
        <w:tc>
          <w:tcPr>
            <w:tcW w:w="1843" w:type="dxa"/>
            <w:tcBorders>
              <w:top w:val="single" w:sz="4" w:space="0" w:color="auto"/>
              <w:left w:val="single" w:sz="4" w:space="0" w:color="auto"/>
              <w:bottom w:val="single" w:sz="4" w:space="0" w:color="auto"/>
              <w:right w:val="single" w:sz="4" w:space="0" w:color="auto"/>
            </w:tcBorders>
            <w:noWrap/>
            <w:hideMark/>
          </w:tcPr>
          <w:p w14:paraId="6C13C42D" w14:textId="77777777" w:rsidR="000D6A81" w:rsidRPr="009F7642" w:rsidRDefault="000D6A81" w:rsidP="0073217C">
            <w:pPr>
              <w:suppressAutoHyphens/>
              <w:spacing w:line="240" w:lineRule="auto"/>
              <w:jc w:val="center"/>
              <w:rPr>
                <w:color w:val="auto"/>
                <w:lang w:val="is-IS"/>
              </w:rPr>
            </w:pPr>
            <w:r w:rsidRPr="009F7642">
              <w:rPr>
                <w:color w:val="auto"/>
                <w:lang w:val="is-IS"/>
              </w:rPr>
              <w:t>12</w:t>
            </w:r>
            <w:r w:rsidR="00DE6002" w:rsidRPr="009F7642">
              <w:rPr>
                <w:color w:val="auto"/>
                <w:lang w:val="is-IS"/>
              </w:rPr>
              <w:t>,</w:t>
            </w:r>
            <w:r w:rsidRPr="009F7642">
              <w:rPr>
                <w:color w:val="auto"/>
                <w:lang w:val="is-IS"/>
              </w:rPr>
              <w:t>8%</w:t>
            </w:r>
          </w:p>
        </w:tc>
        <w:tc>
          <w:tcPr>
            <w:tcW w:w="1843" w:type="dxa"/>
            <w:tcBorders>
              <w:top w:val="single" w:sz="4" w:space="0" w:color="auto"/>
              <w:left w:val="single" w:sz="4" w:space="0" w:color="auto"/>
              <w:bottom w:val="single" w:sz="4" w:space="0" w:color="auto"/>
              <w:right w:val="single" w:sz="4" w:space="0" w:color="auto"/>
            </w:tcBorders>
            <w:noWrap/>
            <w:hideMark/>
          </w:tcPr>
          <w:p w14:paraId="4D59DDDF" w14:textId="77777777" w:rsidR="000D6A81" w:rsidRPr="009F7642" w:rsidRDefault="00DE6002" w:rsidP="0073217C">
            <w:pPr>
              <w:suppressAutoHyphens/>
              <w:spacing w:line="240" w:lineRule="auto"/>
              <w:jc w:val="center"/>
              <w:rPr>
                <w:color w:val="auto"/>
                <w:lang w:val="is-IS"/>
              </w:rPr>
            </w:pPr>
            <w:r w:rsidRPr="009F7642">
              <w:rPr>
                <w:color w:val="auto"/>
                <w:lang w:val="is-IS"/>
              </w:rPr>
              <w:t>31,</w:t>
            </w:r>
            <w:r w:rsidR="000D6A81" w:rsidRPr="009F7642">
              <w:rPr>
                <w:color w:val="auto"/>
                <w:lang w:val="is-IS"/>
              </w:rPr>
              <w:t>4%</w:t>
            </w:r>
          </w:p>
        </w:tc>
      </w:tr>
      <w:tr w:rsidR="008D57E9" w:rsidRPr="009F7642" w14:paraId="255E2D2C" w14:textId="77777777" w:rsidTr="008D57E9">
        <w:trPr>
          <w:trHeight w:val="300"/>
        </w:trPr>
        <w:tc>
          <w:tcPr>
            <w:tcW w:w="5260" w:type="dxa"/>
            <w:tcBorders>
              <w:top w:val="single" w:sz="4" w:space="0" w:color="auto"/>
              <w:left w:val="single" w:sz="4" w:space="0" w:color="auto"/>
              <w:bottom w:val="single" w:sz="4" w:space="0" w:color="auto"/>
              <w:right w:val="single" w:sz="4" w:space="0" w:color="auto"/>
            </w:tcBorders>
            <w:noWrap/>
          </w:tcPr>
          <w:p w14:paraId="4DD1CCA1" w14:textId="77777777" w:rsidR="000D6A81" w:rsidRPr="009F7642" w:rsidRDefault="000D6A81" w:rsidP="0073217C">
            <w:pPr>
              <w:suppressAutoHyphens/>
              <w:spacing w:line="240" w:lineRule="auto"/>
              <w:rPr>
                <w:color w:val="auto"/>
                <w:lang w:val="is-IS"/>
              </w:rPr>
            </w:pPr>
          </w:p>
        </w:tc>
        <w:tc>
          <w:tcPr>
            <w:tcW w:w="3686" w:type="dxa"/>
            <w:gridSpan w:val="2"/>
            <w:tcBorders>
              <w:top w:val="single" w:sz="4" w:space="0" w:color="auto"/>
              <w:left w:val="single" w:sz="4" w:space="0" w:color="auto"/>
              <w:bottom w:val="single" w:sz="4" w:space="0" w:color="auto"/>
              <w:right w:val="single" w:sz="4" w:space="0" w:color="auto"/>
            </w:tcBorders>
            <w:noWrap/>
            <w:hideMark/>
          </w:tcPr>
          <w:p w14:paraId="04A41249" w14:textId="77777777" w:rsidR="000D6A81" w:rsidRPr="009F7642" w:rsidRDefault="000D6A81" w:rsidP="0073217C">
            <w:pPr>
              <w:suppressAutoHyphens/>
              <w:spacing w:line="240" w:lineRule="auto"/>
              <w:jc w:val="center"/>
              <w:rPr>
                <w:color w:val="auto"/>
                <w:lang w:val="is-IS"/>
              </w:rPr>
            </w:pPr>
            <w:r w:rsidRPr="009F7642">
              <w:rPr>
                <w:color w:val="auto"/>
                <w:lang w:val="is-IS"/>
              </w:rPr>
              <w:t>(p-gildi</w:t>
            </w:r>
            <w:r w:rsidR="00B42D0A">
              <w:rPr>
                <w:color w:val="auto"/>
                <w:lang w:val="is-IS"/>
              </w:rPr>
              <w:t> </w:t>
            </w:r>
            <w:r w:rsidRPr="009F7642">
              <w:rPr>
                <w:rFonts w:eastAsia="Segoe UI Symbol"/>
                <w:color w:val="auto"/>
                <w:lang w:val="is-IS"/>
              </w:rPr>
              <w:t>&lt;</w:t>
            </w:r>
            <w:r w:rsidR="00B42D0A">
              <w:rPr>
                <w:rFonts w:eastAsia="Segoe UI Symbol"/>
                <w:color w:val="auto"/>
                <w:lang w:val="is-IS"/>
              </w:rPr>
              <w:t> </w:t>
            </w:r>
            <w:r w:rsidRPr="009F7642">
              <w:rPr>
                <w:rFonts w:eastAsia="Segoe UI Symbol"/>
                <w:color w:val="auto"/>
                <w:lang w:val="is-IS"/>
              </w:rPr>
              <w:t>0,0001</w:t>
            </w:r>
            <w:r w:rsidRPr="009F7642">
              <w:rPr>
                <w:color w:val="auto"/>
                <w:lang w:val="is-IS"/>
              </w:rPr>
              <w:t>)</w:t>
            </w:r>
          </w:p>
        </w:tc>
      </w:tr>
    </w:tbl>
    <w:p w14:paraId="28F7C2BC" w14:textId="7AF3DA1D" w:rsidR="006C06D6" w:rsidRPr="008D57E9" w:rsidRDefault="00564614" w:rsidP="0073217C">
      <w:pPr>
        <w:suppressAutoHyphens/>
        <w:spacing w:after="0" w:line="240" w:lineRule="auto"/>
        <w:ind w:left="567" w:hanging="567"/>
        <w:rPr>
          <w:color w:val="auto"/>
          <w:sz w:val="20"/>
          <w:szCs w:val="20"/>
          <w:lang w:val="is-IS"/>
        </w:rPr>
      </w:pPr>
      <w:r w:rsidRPr="008D57E9">
        <w:rPr>
          <w:color w:val="auto"/>
          <w:sz w:val="20"/>
          <w:szCs w:val="20"/>
          <w:vertAlign w:val="superscript"/>
          <w:lang w:val="is-IS"/>
        </w:rPr>
        <w:t>a</w:t>
      </w:r>
      <w:r w:rsidR="009C428B" w:rsidRPr="008D57E9">
        <w:rPr>
          <w:color w:val="auto"/>
          <w:sz w:val="20"/>
          <w:szCs w:val="20"/>
          <w:lang w:val="is-IS"/>
        </w:rPr>
        <w:tab/>
      </w:r>
      <w:r w:rsidRPr="008D57E9">
        <w:rPr>
          <w:color w:val="auto"/>
          <w:sz w:val="20"/>
          <w:szCs w:val="20"/>
          <w:lang w:val="is-IS"/>
        </w:rPr>
        <w:t>Interferón alfa-2a 9</w:t>
      </w:r>
      <w:r w:rsidR="006B3207">
        <w:rPr>
          <w:color w:val="auto"/>
          <w:sz w:val="20"/>
          <w:szCs w:val="20"/>
          <w:lang w:val="is-IS"/>
        </w:rPr>
        <w:t> </w:t>
      </w:r>
      <w:r w:rsidRPr="008D57E9">
        <w:rPr>
          <w:color w:val="auto"/>
          <w:sz w:val="20"/>
          <w:szCs w:val="20"/>
          <w:lang w:val="is-IS"/>
        </w:rPr>
        <w:t>milljón a.e. 3</w:t>
      </w:r>
      <w:r w:rsidR="007B0845">
        <w:rPr>
          <w:color w:val="auto"/>
          <w:sz w:val="20"/>
          <w:szCs w:val="20"/>
          <w:lang w:val="is-IS"/>
        </w:rPr>
        <w:t>×</w:t>
      </w:r>
      <w:r w:rsidRPr="008D57E9">
        <w:rPr>
          <w:color w:val="auto"/>
          <w:sz w:val="20"/>
          <w:szCs w:val="20"/>
          <w:lang w:val="is-IS"/>
        </w:rPr>
        <w:t>/viku</w:t>
      </w:r>
      <w:r w:rsidR="00C611CE" w:rsidRPr="008D57E9">
        <w:rPr>
          <w:color w:val="auto"/>
          <w:sz w:val="20"/>
          <w:szCs w:val="20"/>
          <w:lang w:val="is-IS"/>
        </w:rPr>
        <w:t>.</w:t>
      </w:r>
    </w:p>
    <w:p w14:paraId="43F6604B" w14:textId="77777777" w:rsidR="005F36F3" w:rsidRPr="008D57E9" w:rsidRDefault="00564614" w:rsidP="0073217C">
      <w:pPr>
        <w:suppressAutoHyphens/>
        <w:spacing w:after="0" w:line="240" w:lineRule="auto"/>
        <w:ind w:left="567" w:hanging="567"/>
        <w:rPr>
          <w:color w:val="auto"/>
          <w:sz w:val="20"/>
          <w:szCs w:val="20"/>
          <w:lang w:val="is-IS"/>
        </w:rPr>
      </w:pPr>
      <w:r w:rsidRPr="008D57E9">
        <w:rPr>
          <w:color w:val="auto"/>
          <w:sz w:val="20"/>
          <w:szCs w:val="20"/>
          <w:vertAlign w:val="superscript"/>
          <w:lang w:val="is-IS"/>
        </w:rPr>
        <w:t>b</w:t>
      </w:r>
      <w:r w:rsidR="009C428B" w:rsidRPr="008D57E9">
        <w:rPr>
          <w:color w:val="auto"/>
          <w:sz w:val="20"/>
          <w:szCs w:val="20"/>
          <w:lang w:val="is-IS"/>
        </w:rPr>
        <w:tab/>
        <w:t>Bevacízúmab 10 </w:t>
      </w:r>
      <w:r w:rsidRPr="008D57E9">
        <w:rPr>
          <w:color w:val="auto"/>
          <w:sz w:val="20"/>
          <w:szCs w:val="20"/>
          <w:lang w:val="is-IS"/>
        </w:rPr>
        <w:t>mg/kg á tveggja vikna fresti</w:t>
      </w:r>
      <w:r w:rsidR="00C611CE" w:rsidRPr="008D57E9">
        <w:rPr>
          <w:color w:val="auto"/>
          <w:sz w:val="20"/>
          <w:szCs w:val="20"/>
          <w:lang w:val="is-IS"/>
        </w:rPr>
        <w:t>.</w:t>
      </w:r>
    </w:p>
    <w:p w14:paraId="5DD8E759" w14:textId="77777777" w:rsidR="005F36F3" w:rsidRPr="009F7642" w:rsidRDefault="005F36F3" w:rsidP="0073217C">
      <w:pPr>
        <w:suppressAutoHyphens/>
        <w:spacing w:after="0" w:line="240" w:lineRule="auto"/>
        <w:ind w:left="567" w:hanging="567"/>
        <w:rPr>
          <w:color w:val="auto"/>
          <w:lang w:val="is-IS"/>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127"/>
      </w:tblGrid>
      <w:tr w:rsidR="000139CE" w:rsidRPr="009F7642" w14:paraId="0540EE1D" w14:textId="77777777" w:rsidTr="00D45156">
        <w:trPr>
          <w:trHeight w:val="300"/>
        </w:trPr>
        <w:tc>
          <w:tcPr>
            <w:tcW w:w="8946" w:type="dxa"/>
            <w:gridSpan w:val="3"/>
            <w:tcBorders>
              <w:top w:val="single" w:sz="4" w:space="0" w:color="auto"/>
              <w:left w:val="single" w:sz="4" w:space="0" w:color="auto"/>
              <w:bottom w:val="single" w:sz="4" w:space="0" w:color="auto"/>
              <w:right w:val="single" w:sz="4" w:space="0" w:color="auto"/>
            </w:tcBorders>
            <w:noWrap/>
            <w:hideMark/>
          </w:tcPr>
          <w:p w14:paraId="653033D2" w14:textId="77777777" w:rsidR="000139CE" w:rsidRPr="009F7642" w:rsidRDefault="000139CE" w:rsidP="0073217C">
            <w:pPr>
              <w:suppressAutoHyphens/>
              <w:rPr>
                <w:color w:val="auto"/>
                <w:lang w:val="is-IS"/>
              </w:rPr>
            </w:pPr>
            <w:r w:rsidRPr="009F7642">
              <w:rPr>
                <w:color w:val="auto"/>
                <w:lang w:val="is-IS"/>
              </w:rPr>
              <w:t>Heildarlifun</w:t>
            </w:r>
          </w:p>
        </w:tc>
      </w:tr>
      <w:tr w:rsidR="008D57E9" w:rsidRPr="009F7642" w14:paraId="0E2D68F6" w14:textId="77777777" w:rsidTr="008D57E9">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26FB7473" w14:textId="77777777" w:rsidR="008B1683" w:rsidRPr="009F7642" w:rsidRDefault="008B1683" w:rsidP="0073217C">
            <w:pPr>
              <w:suppressAutoHyphens/>
              <w:spacing w:after="0" w:line="240" w:lineRule="auto"/>
              <w:ind w:left="567" w:firstLine="0"/>
              <w:rPr>
                <w:color w:val="auto"/>
                <w:lang w:val="is-IS"/>
              </w:rPr>
            </w:pPr>
            <w:r w:rsidRPr="009F7642">
              <w:rPr>
                <w:color w:val="auto"/>
                <w:lang w:val="is-IS"/>
              </w:rPr>
              <w:t>Miðgildi (mánuðir)</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17AF362C" w14:textId="77777777" w:rsidR="008B1683" w:rsidRPr="009F7642" w:rsidRDefault="008B1683" w:rsidP="0073217C">
            <w:pPr>
              <w:suppressAutoHyphens/>
              <w:spacing w:line="240" w:lineRule="auto"/>
              <w:jc w:val="center"/>
              <w:rPr>
                <w:color w:val="auto"/>
                <w:lang w:val="is-IS"/>
              </w:rPr>
            </w:pPr>
            <w:r w:rsidRPr="009F7642">
              <w:rPr>
                <w:color w:val="auto"/>
                <w:lang w:val="is-IS"/>
              </w:rPr>
              <w:t>21,3</w:t>
            </w:r>
          </w:p>
        </w:tc>
        <w:tc>
          <w:tcPr>
            <w:tcW w:w="2127" w:type="dxa"/>
            <w:tcBorders>
              <w:top w:val="single" w:sz="4" w:space="0" w:color="auto"/>
              <w:left w:val="single" w:sz="4" w:space="0" w:color="auto"/>
              <w:bottom w:val="single" w:sz="4" w:space="0" w:color="auto"/>
              <w:right w:val="single" w:sz="4" w:space="0" w:color="auto"/>
            </w:tcBorders>
            <w:noWrap/>
            <w:vAlign w:val="center"/>
            <w:hideMark/>
          </w:tcPr>
          <w:p w14:paraId="37BDFA05" w14:textId="77777777" w:rsidR="008B1683" w:rsidRPr="009F7642" w:rsidRDefault="008B1683" w:rsidP="0073217C">
            <w:pPr>
              <w:suppressAutoHyphens/>
              <w:spacing w:line="240" w:lineRule="auto"/>
              <w:jc w:val="center"/>
              <w:rPr>
                <w:color w:val="auto"/>
                <w:lang w:val="is-IS"/>
              </w:rPr>
            </w:pPr>
            <w:r w:rsidRPr="009F7642">
              <w:rPr>
                <w:color w:val="auto"/>
                <w:lang w:val="is-IS"/>
              </w:rPr>
              <w:t>23,3</w:t>
            </w:r>
          </w:p>
        </w:tc>
      </w:tr>
      <w:tr w:rsidR="008D57E9" w:rsidRPr="009F7642" w14:paraId="7864564B" w14:textId="77777777" w:rsidTr="008D57E9">
        <w:trPr>
          <w:trHeight w:val="751"/>
        </w:trPr>
        <w:tc>
          <w:tcPr>
            <w:tcW w:w="4410" w:type="dxa"/>
            <w:tcBorders>
              <w:top w:val="single" w:sz="4" w:space="0" w:color="auto"/>
              <w:left w:val="single" w:sz="4" w:space="0" w:color="auto"/>
              <w:bottom w:val="single" w:sz="4" w:space="0" w:color="auto"/>
              <w:right w:val="single" w:sz="4" w:space="0" w:color="auto"/>
            </w:tcBorders>
            <w:noWrap/>
            <w:hideMark/>
          </w:tcPr>
          <w:p w14:paraId="7F20625B" w14:textId="77777777" w:rsidR="006C06D6" w:rsidRPr="009F7642" w:rsidRDefault="008B1683" w:rsidP="0073217C">
            <w:pPr>
              <w:suppressAutoHyphens/>
              <w:spacing w:after="0" w:line="240" w:lineRule="auto"/>
              <w:ind w:left="567" w:firstLine="0"/>
              <w:rPr>
                <w:color w:val="auto"/>
                <w:lang w:val="is-IS"/>
              </w:rPr>
            </w:pPr>
            <w:r w:rsidRPr="009F7642">
              <w:rPr>
                <w:color w:val="auto"/>
                <w:lang w:val="is-IS"/>
              </w:rPr>
              <w:t>Áhættuhlutfall</w:t>
            </w:r>
          </w:p>
          <w:p w14:paraId="186A37B8" w14:textId="77777777" w:rsidR="008B1683" w:rsidRPr="009F7642" w:rsidRDefault="008B1683" w:rsidP="0073217C">
            <w:pPr>
              <w:suppressAutoHyphens/>
              <w:spacing w:after="0" w:line="240" w:lineRule="auto"/>
              <w:ind w:left="567" w:firstLine="0"/>
              <w:rPr>
                <w:color w:val="auto"/>
                <w:lang w:val="is-IS"/>
              </w:rPr>
            </w:pPr>
            <w:r w:rsidRPr="009F7642">
              <w:rPr>
                <w:color w:val="auto"/>
                <w:lang w:val="is-IS"/>
              </w:rPr>
              <w:t>95% CI</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3DE84EA8" w14:textId="77777777" w:rsidR="008B1683" w:rsidRPr="009F7642" w:rsidRDefault="008B1683" w:rsidP="0073217C">
            <w:pPr>
              <w:suppressAutoHyphens/>
              <w:spacing w:line="240" w:lineRule="auto"/>
              <w:jc w:val="center"/>
              <w:rPr>
                <w:color w:val="auto"/>
                <w:lang w:val="is-IS"/>
              </w:rPr>
            </w:pPr>
            <w:r w:rsidRPr="009F7642">
              <w:rPr>
                <w:color w:val="auto"/>
                <w:lang w:val="is-IS"/>
              </w:rPr>
              <w:t>0,91</w:t>
            </w:r>
          </w:p>
          <w:p w14:paraId="141E6172" w14:textId="77777777" w:rsidR="008B1683" w:rsidRPr="009F7642" w:rsidRDefault="008B1683" w:rsidP="0073217C">
            <w:pPr>
              <w:suppressAutoHyphens/>
              <w:spacing w:line="240" w:lineRule="auto"/>
              <w:jc w:val="center"/>
              <w:rPr>
                <w:color w:val="auto"/>
                <w:lang w:val="is-IS"/>
              </w:rPr>
            </w:pPr>
            <w:r w:rsidRPr="009F7642">
              <w:rPr>
                <w:color w:val="auto"/>
                <w:lang w:val="is-IS"/>
              </w:rPr>
              <w:t>0,76</w:t>
            </w:r>
            <w:r w:rsidR="00EB1CB7">
              <w:rPr>
                <w:color w:val="auto"/>
                <w:lang w:val="is-IS"/>
              </w:rPr>
              <w:t>;</w:t>
            </w:r>
            <w:r w:rsidRPr="009F7642">
              <w:rPr>
                <w:color w:val="auto"/>
                <w:lang w:val="is-IS"/>
              </w:rPr>
              <w:t xml:space="preserve"> 1,10</w:t>
            </w:r>
          </w:p>
          <w:p w14:paraId="6C8D00CB" w14:textId="77777777" w:rsidR="008B1683" w:rsidRPr="009F7642" w:rsidRDefault="008B1683" w:rsidP="0073217C">
            <w:pPr>
              <w:suppressAutoHyphens/>
              <w:spacing w:line="240" w:lineRule="auto"/>
              <w:jc w:val="center"/>
              <w:rPr>
                <w:color w:val="auto"/>
                <w:lang w:val="is-IS"/>
              </w:rPr>
            </w:pPr>
            <w:r w:rsidRPr="009F7642">
              <w:rPr>
                <w:color w:val="auto"/>
                <w:lang w:val="is-IS"/>
              </w:rPr>
              <w:t>(p-gildi</w:t>
            </w:r>
            <w:r w:rsidR="00032D57">
              <w:t xml:space="preserve"> =</w:t>
            </w:r>
            <w:r w:rsidRPr="009F7642">
              <w:rPr>
                <w:color w:val="auto"/>
                <w:lang w:val="is-IS"/>
              </w:rPr>
              <w:t xml:space="preserve"> 0,3360)</w:t>
            </w:r>
          </w:p>
        </w:tc>
      </w:tr>
    </w:tbl>
    <w:p w14:paraId="3C4F607A" w14:textId="77777777" w:rsidR="005F36F3" w:rsidRPr="009F7642" w:rsidRDefault="005F36F3" w:rsidP="0073217C">
      <w:pPr>
        <w:suppressAutoHyphens/>
        <w:spacing w:after="0" w:line="240" w:lineRule="auto"/>
        <w:ind w:left="0" w:firstLine="0"/>
        <w:rPr>
          <w:color w:val="auto"/>
          <w:lang w:val="is-IS"/>
        </w:rPr>
      </w:pPr>
    </w:p>
    <w:p w14:paraId="4C34EB15"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Fjölbreytu Cox rannsóknaraðhvarfslíkan þar sem afturvirkt val var notað gaf til kynna að eftirfarandi grunnþættir um batahorfur tengdust eindregið lifun, hver svo sem meðferðin var: Kyn, fjöldi hvítkorna, blóðflögur, þyngdartap síðustu 6 mánuðina áður en rannsókn hófst, fjöldi staða með meinvörpum, summa lengsta þvermáls markvefskemmda, Motzer stig. Þegar búið var að aðlaga að þessum grunnþáttum varð áhættuhlutfall meðferðar 0,78 (95% CI [0,63;0,96], p</w:t>
      </w:r>
      <w:r w:rsidR="006B3207">
        <w:rPr>
          <w:color w:val="auto"/>
          <w:lang w:val="is-IS"/>
        </w:rPr>
        <w:t> </w:t>
      </w:r>
      <w:r w:rsidR="00700BDC">
        <w:rPr>
          <w:color w:val="auto"/>
          <w:lang w:val="is-IS"/>
        </w:rPr>
        <w:t>=</w:t>
      </w:r>
      <w:r w:rsidR="006B3207">
        <w:rPr>
          <w:color w:val="auto"/>
          <w:lang w:val="is-IS"/>
        </w:rPr>
        <w:t> </w:t>
      </w:r>
      <w:r w:rsidRPr="009F7642">
        <w:rPr>
          <w:color w:val="auto"/>
          <w:lang w:val="is-IS"/>
        </w:rPr>
        <w:t xml:space="preserve">0,0219), sem gefur til kynna 22% minni hættu á dauða hjá sjúklingum í hópnum sem fékk </w:t>
      </w:r>
      <w:r w:rsidR="00690564" w:rsidRPr="00F2274F">
        <w:rPr>
          <w:rFonts w:eastAsia="Calibri"/>
          <w:lang w:val="is-IS"/>
        </w:rPr>
        <w:t>bevacízúmab</w:t>
      </w:r>
      <w:r w:rsidRPr="009F7642">
        <w:rPr>
          <w:color w:val="auto"/>
          <w:lang w:val="is-IS"/>
        </w:rPr>
        <w:t>+interferón alfa-2a samanborið við hópinn sem fékk interferón alfa-2a.</w:t>
      </w:r>
    </w:p>
    <w:p w14:paraId="252B5867" w14:textId="77777777" w:rsidR="005F36F3" w:rsidRPr="009F7642" w:rsidRDefault="005F36F3" w:rsidP="0073217C">
      <w:pPr>
        <w:suppressAutoHyphens/>
        <w:spacing w:after="0" w:line="240" w:lineRule="auto"/>
        <w:ind w:left="0" w:firstLine="0"/>
        <w:rPr>
          <w:color w:val="auto"/>
          <w:lang w:val="is-IS"/>
        </w:rPr>
      </w:pPr>
    </w:p>
    <w:p w14:paraId="0AEB1DBF" w14:textId="2B8BB317" w:rsidR="006C06D6" w:rsidRDefault="00564614" w:rsidP="0073217C">
      <w:pPr>
        <w:suppressAutoHyphens/>
        <w:spacing w:after="0" w:line="240" w:lineRule="auto"/>
        <w:ind w:left="0" w:firstLine="0"/>
        <w:rPr>
          <w:color w:val="auto"/>
          <w:lang w:val="is-IS"/>
        </w:rPr>
      </w:pPr>
      <w:r w:rsidRPr="009F7642">
        <w:rPr>
          <w:color w:val="auto"/>
          <w:lang w:val="is-IS"/>
        </w:rPr>
        <w:t xml:space="preserve">Níutíu og sjö (97) sjúklingar í hópnum sem fékk interferón alfa-2a og 131 sjúklingur í hópnum á </w:t>
      </w:r>
      <w:r w:rsidR="00690564" w:rsidRPr="00F2274F">
        <w:rPr>
          <w:lang w:val="is-IS"/>
        </w:rPr>
        <w:t>bevacízúmab</w:t>
      </w:r>
      <w:r w:rsidRPr="009F7642">
        <w:rPr>
          <w:color w:val="auto"/>
          <w:lang w:val="is-IS"/>
        </w:rPr>
        <w:t xml:space="preserve"> minnkaði skammt interferón alfa-2a úr 9 milljónum a.e. í annaðhvort 6 eða 3</w:t>
      </w:r>
      <w:r w:rsidR="00B42D0A">
        <w:rPr>
          <w:color w:val="auto"/>
          <w:lang w:val="is-IS"/>
        </w:rPr>
        <w:t> </w:t>
      </w:r>
      <w:r w:rsidRPr="009F7642">
        <w:rPr>
          <w:color w:val="auto"/>
          <w:lang w:val="is-IS"/>
        </w:rPr>
        <w:t xml:space="preserve">milljónir a.e. þrisvar í viku eins og skilgreint hafði verið í rannsóknaráætluninni. </w:t>
      </w:r>
      <w:r w:rsidR="002D7A6F">
        <w:rPr>
          <w:color w:val="auto"/>
          <w:lang w:val="is-IS"/>
        </w:rPr>
        <w:t>Minnkun skammta interferón alfa</w:t>
      </w:r>
      <w:r w:rsidR="002D7A6F">
        <w:rPr>
          <w:color w:val="auto"/>
          <w:lang w:val="is-IS"/>
        </w:rPr>
        <w:noBreakHyphen/>
      </w:r>
      <w:r w:rsidRPr="009F7642">
        <w:rPr>
          <w:color w:val="auto"/>
          <w:lang w:val="is-IS"/>
        </w:rPr>
        <w:t xml:space="preserve">2a virtist ekki hafa áhrif á verkun samsetningarinnar </w:t>
      </w:r>
      <w:r w:rsidR="00690564" w:rsidRPr="00F2274F">
        <w:rPr>
          <w:lang w:val="is-IS"/>
        </w:rPr>
        <w:t>bevacízúmab</w:t>
      </w:r>
      <w:r w:rsidRPr="009F7642">
        <w:rPr>
          <w:color w:val="auto"/>
          <w:lang w:val="is-IS"/>
        </w:rPr>
        <w:t xml:space="preserve"> og interferón alfa-2a miðað við hlutfall lifunar án versnunar sjúkdóms eins og sýnt er fram á </w:t>
      </w:r>
      <w:r w:rsidRPr="009E7197">
        <w:rPr>
          <w:color w:val="auto"/>
          <w:lang w:val="is-IS"/>
        </w:rPr>
        <w:t xml:space="preserve">í greiningu á undirhópi. Sá 131 sjúklingur í </w:t>
      </w:r>
      <w:r w:rsidR="00690564" w:rsidRPr="00F2274F">
        <w:rPr>
          <w:lang w:val="is-IS"/>
        </w:rPr>
        <w:t>bevacízúmab</w:t>
      </w:r>
      <w:r w:rsidRPr="009E7197">
        <w:rPr>
          <w:color w:val="auto"/>
          <w:lang w:val="is-IS"/>
        </w:rPr>
        <w:t xml:space="preserve"> + interferón alfa-2a hópnum sem </w:t>
      </w:r>
      <w:r w:rsidRPr="00363B58">
        <w:rPr>
          <w:color w:val="auto"/>
          <w:lang w:val="is-IS"/>
        </w:rPr>
        <w:t>minnk</w:t>
      </w:r>
      <w:r w:rsidR="004E7388" w:rsidRPr="00F2274F">
        <w:rPr>
          <w:color w:val="auto"/>
          <w:lang w:val="is-IS"/>
        </w:rPr>
        <w:t>a</w:t>
      </w:r>
      <w:r w:rsidRPr="00363B58">
        <w:rPr>
          <w:color w:val="auto"/>
          <w:lang w:val="is-IS"/>
        </w:rPr>
        <w:t>ði</w:t>
      </w:r>
      <w:r w:rsidRPr="009E7197">
        <w:rPr>
          <w:color w:val="auto"/>
          <w:lang w:val="is-IS"/>
        </w:rPr>
        <w:t xml:space="preserve"> og viðhélt interfe</w:t>
      </w:r>
      <w:r w:rsidRPr="00265890">
        <w:rPr>
          <w:color w:val="auto"/>
          <w:lang w:val="is-IS"/>
        </w:rPr>
        <w:t>rón alfa-2a skammti í 6</w:t>
      </w:r>
      <w:r w:rsidR="00B42D0A">
        <w:rPr>
          <w:color w:val="auto"/>
          <w:lang w:val="is-IS"/>
        </w:rPr>
        <w:t> </w:t>
      </w:r>
      <w:r w:rsidRPr="00265890">
        <w:rPr>
          <w:color w:val="auto"/>
          <w:lang w:val="is-IS"/>
        </w:rPr>
        <w:t>eða 3</w:t>
      </w:r>
      <w:r w:rsidR="00B42D0A">
        <w:rPr>
          <w:color w:val="auto"/>
          <w:lang w:val="is-IS"/>
        </w:rPr>
        <w:t> </w:t>
      </w:r>
      <w:r w:rsidRPr="00265890">
        <w:rPr>
          <w:color w:val="auto"/>
          <w:lang w:val="is-IS"/>
        </w:rPr>
        <w:t>milljón a.e. meðan á rannsókninni stóð, sýndi eftir 6, 12 og 18</w:t>
      </w:r>
      <w:r w:rsidRPr="009F7642">
        <w:rPr>
          <w:color w:val="auto"/>
          <w:lang w:val="is-IS"/>
        </w:rPr>
        <w:t xml:space="preserve"> mánuði hlutfall tíma fram að lifun án versnunar sjúkdóms sem nam 73, 52 og 21% í </w:t>
      </w:r>
      <w:r w:rsidR="00EF6528">
        <w:rPr>
          <w:lang w:val="is-IS"/>
        </w:rPr>
        <w:t>sömu</w:t>
      </w:r>
      <w:r w:rsidRPr="009F7642">
        <w:rPr>
          <w:color w:val="auto"/>
          <w:lang w:val="is-IS"/>
        </w:rPr>
        <w:t xml:space="preserve"> röð, samanborið við 61, 43 og 17% í sjúklingahópnum í heild sem fékk </w:t>
      </w:r>
      <w:r w:rsidR="00690564" w:rsidRPr="00F2274F">
        <w:rPr>
          <w:lang w:val="is-IS"/>
        </w:rPr>
        <w:t>bevacízúmab</w:t>
      </w:r>
      <w:r w:rsidRPr="009F7642">
        <w:rPr>
          <w:color w:val="auto"/>
          <w:lang w:val="is-IS"/>
        </w:rPr>
        <w:t xml:space="preserve"> + interfón alfa-2a.</w:t>
      </w:r>
    </w:p>
    <w:p w14:paraId="78E0CFF2" w14:textId="77777777" w:rsidR="00781331" w:rsidRDefault="00781331" w:rsidP="0073217C">
      <w:pPr>
        <w:suppressAutoHyphens/>
        <w:spacing w:after="0" w:line="240" w:lineRule="auto"/>
        <w:ind w:left="0" w:firstLine="0"/>
        <w:rPr>
          <w:color w:val="auto"/>
          <w:lang w:val="is-IS"/>
        </w:rPr>
      </w:pPr>
    </w:p>
    <w:p w14:paraId="63967385" w14:textId="77777777" w:rsidR="00781331" w:rsidRPr="00B64117" w:rsidRDefault="00781331" w:rsidP="00781331">
      <w:pPr>
        <w:pStyle w:val="Default"/>
        <w:rPr>
          <w:sz w:val="22"/>
          <w:szCs w:val="22"/>
          <w:lang w:val="is-IS"/>
        </w:rPr>
      </w:pPr>
      <w:r w:rsidRPr="00B64117">
        <w:rPr>
          <w:i/>
          <w:iCs/>
          <w:sz w:val="22"/>
          <w:szCs w:val="22"/>
          <w:lang w:val="is-IS"/>
        </w:rPr>
        <w:t xml:space="preserve">AVF2938 </w:t>
      </w:r>
    </w:p>
    <w:p w14:paraId="1DDA91DB" w14:textId="1FDAC6A3" w:rsidR="00781331" w:rsidRPr="009F7642" w:rsidRDefault="00781331" w:rsidP="00B64117">
      <w:pPr>
        <w:pStyle w:val="Default"/>
        <w:rPr>
          <w:color w:val="auto"/>
          <w:lang w:val="is-IS"/>
        </w:rPr>
      </w:pPr>
      <w:r w:rsidRPr="00B64117">
        <w:rPr>
          <w:sz w:val="22"/>
          <w:szCs w:val="22"/>
          <w:lang w:val="is-IS"/>
        </w:rPr>
        <w:t>Þetta var slembiröðuð, tvíblind, II. stigs klínísk rannsókn þar sem rannsakað var bevacízúmab 10 mg/kg á tveggja vikna fresti og sami skammtur af bevacízúmabi ásamt 150 mg af erlótíníbi á dag hjá sjúklingum með nýrnafrumukrabbamein með meinvörpum. Samtals 104 sjúklingum var slembiraðað á meðferð í rannsókninni, 53 fengu bevacízúmab 10 mg/kg á 2 vikna fresti auk lyfleysu og 51 fékk bevacízúmab 10 mg/kg á tveggja vikna fresti auk erlótíníbs 150</w:t>
      </w:r>
      <w:r w:rsidR="008E7E04">
        <w:rPr>
          <w:sz w:val="22"/>
          <w:szCs w:val="22"/>
          <w:lang w:val="is-IS"/>
        </w:rPr>
        <w:t> </w:t>
      </w:r>
      <w:r w:rsidRPr="00B64117">
        <w:rPr>
          <w:sz w:val="22"/>
          <w:szCs w:val="22"/>
          <w:lang w:val="is-IS"/>
        </w:rPr>
        <w:t>mg á dag. Í greiningu á aðalendapunkti kom ekki fram neinn munur á hópnum sem fékk bevacízúmab + lyfleysu og hópnum sem fékk bevacízúmab + erlótíníb (miðgildi lifunar án versnunar sjúkdóms 8,5 á móti 9,9</w:t>
      </w:r>
      <w:r w:rsidR="008E7E04">
        <w:rPr>
          <w:sz w:val="22"/>
          <w:szCs w:val="22"/>
          <w:lang w:val="is-IS"/>
        </w:rPr>
        <w:t> </w:t>
      </w:r>
      <w:r w:rsidRPr="00B64117">
        <w:rPr>
          <w:sz w:val="22"/>
          <w:szCs w:val="22"/>
          <w:lang w:val="is-IS"/>
        </w:rPr>
        <w:t xml:space="preserve">mánuðum). Sjö sjúklingar úr hvorum hópi voru með hlutlæga svörun. Það að bæta erlótíníbi við bevacízúmab </w:t>
      </w:r>
      <w:r w:rsidRPr="00B64117">
        <w:rPr>
          <w:sz w:val="22"/>
          <w:szCs w:val="22"/>
          <w:lang w:val="is-IS"/>
        </w:rPr>
        <w:lastRenderedPageBreak/>
        <w:t>bætti ekki heildarlifun (áhættuhlutfall = 1,764; p=0,1789), tímalengd hlutlægrar svörunar (6,7 á móti 9,1</w:t>
      </w:r>
      <w:r w:rsidR="008E7E04">
        <w:rPr>
          <w:sz w:val="22"/>
          <w:szCs w:val="22"/>
          <w:lang w:val="is-IS"/>
        </w:rPr>
        <w:t> </w:t>
      </w:r>
      <w:r w:rsidRPr="00B64117">
        <w:rPr>
          <w:sz w:val="22"/>
          <w:szCs w:val="22"/>
          <w:lang w:val="is-IS"/>
        </w:rPr>
        <w:t>mánuði) eða tíma fram að versnun einkenna (áhættuhlutfall = 1,172; p=0,5076).</w:t>
      </w:r>
    </w:p>
    <w:p w14:paraId="651A3E8C" w14:textId="77777777" w:rsidR="005F36F3" w:rsidRPr="009F7642" w:rsidRDefault="005F36F3" w:rsidP="0073217C">
      <w:pPr>
        <w:suppressAutoHyphens/>
        <w:spacing w:after="0" w:line="240" w:lineRule="auto"/>
        <w:ind w:left="0" w:firstLine="0"/>
        <w:rPr>
          <w:color w:val="auto"/>
          <w:lang w:val="is-IS"/>
        </w:rPr>
      </w:pPr>
    </w:p>
    <w:p w14:paraId="3ADE5F58"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t>AVF0890</w:t>
      </w:r>
    </w:p>
    <w:p w14:paraId="7FFC8EAD" w14:textId="76EF1DC0" w:rsidR="006C06D6" w:rsidRPr="009F7642" w:rsidRDefault="00564614" w:rsidP="0073217C">
      <w:pPr>
        <w:suppressAutoHyphens/>
        <w:spacing w:after="0" w:line="240" w:lineRule="auto"/>
        <w:ind w:left="0" w:firstLine="0"/>
        <w:rPr>
          <w:color w:val="auto"/>
          <w:lang w:val="is-IS"/>
        </w:rPr>
      </w:pPr>
      <w:r w:rsidRPr="009F7642">
        <w:rPr>
          <w:color w:val="auto"/>
          <w:lang w:val="is-IS"/>
        </w:rPr>
        <w:t>Þetta var slembiröðuð, tvíblind, II. stigs klínísk rannsókn þar sem verkun og öryggi bevacízúmabs var borið saman við lyfleysu. Samtals 116 sjúklingum var slembirað</w:t>
      </w:r>
      <w:r w:rsidR="009C428B" w:rsidRPr="009F7642">
        <w:rPr>
          <w:color w:val="auto"/>
          <w:lang w:val="is-IS"/>
        </w:rPr>
        <w:t>að á meðferð með bevacízúmabi 3 </w:t>
      </w:r>
      <w:r w:rsidRPr="009F7642">
        <w:rPr>
          <w:color w:val="auto"/>
          <w:lang w:val="is-IS"/>
        </w:rPr>
        <w:t>mg</w:t>
      </w:r>
      <w:r w:rsidR="009C428B" w:rsidRPr="009F7642">
        <w:rPr>
          <w:color w:val="auto"/>
          <w:lang w:val="is-IS"/>
        </w:rPr>
        <w:t>/kg á 2 vikna fresti (n</w:t>
      </w:r>
      <w:r w:rsidR="006B3207">
        <w:rPr>
          <w:color w:val="auto"/>
          <w:lang w:val="is-IS"/>
        </w:rPr>
        <w:t> </w:t>
      </w:r>
      <w:r w:rsidR="00700BDC">
        <w:rPr>
          <w:color w:val="auto"/>
          <w:lang w:val="is-IS"/>
        </w:rPr>
        <w:t>=</w:t>
      </w:r>
      <w:r w:rsidR="006B3207">
        <w:rPr>
          <w:color w:val="auto"/>
          <w:lang w:val="is-IS"/>
        </w:rPr>
        <w:t> </w:t>
      </w:r>
      <w:r w:rsidR="009C428B" w:rsidRPr="009F7642">
        <w:rPr>
          <w:color w:val="auto"/>
          <w:lang w:val="is-IS"/>
        </w:rPr>
        <w:t>39), 10 </w:t>
      </w:r>
      <w:r w:rsidRPr="009F7642">
        <w:rPr>
          <w:color w:val="auto"/>
          <w:lang w:val="is-IS"/>
        </w:rPr>
        <w:t>mg/kg á 2 vikna fresti; (n</w:t>
      </w:r>
      <w:r w:rsidR="006B3207">
        <w:rPr>
          <w:color w:val="auto"/>
          <w:lang w:val="is-IS"/>
        </w:rPr>
        <w:t> </w:t>
      </w:r>
      <w:r w:rsidR="00700BDC">
        <w:rPr>
          <w:color w:val="auto"/>
          <w:lang w:val="is-IS"/>
        </w:rPr>
        <w:t>=</w:t>
      </w:r>
      <w:r w:rsidR="006B3207">
        <w:rPr>
          <w:color w:val="auto"/>
          <w:lang w:val="is-IS"/>
        </w:rPr>
        <w:t> </w:t>
      </w:r>
      <w:r w:rsidRPr="009F7642">
        <w:rPr>
          <w:color w:val="auto"/>
          <w:lang w:val="is-IS"/>
        </w:rPr>
        <w:t>37) eða lyfleysu (n</w:t>
      </w:r>
      <w:r w:rsidR="006B3207">
        <w:rPr>
          <w:color w:val="auto"/>
          <w:lang w:val="is-IS"/>
        </w:rPr>
        <w:t> </w:t>
      </w:r>
      <w:r w:rsidR="00700BDC">
        <w:rPr>
          <w:color w:val="auto"/>
          <w:lang w:val="is-IS"/>
        </w:rPr>
        <w:t>=</w:t>
      </w:r>
      <w:r w:rsidR="006B3207">
        <w:rPr>
          <w:color w:val="auto"/>
          <w:lang w:val="is-IS"/>
        </w:rPr>
        <w:t> </w:t>
      </w:r>
      <w:r w:rsidRPr="009F7642">
        <w:rPr>
          <w:color w:val="auto"/>
          <w:lang w:val="is-IS"/>
        </w:rPr>
        <w:t>40). Í bráðabirgðagreiningu kom fram marktæk lenging á tím</w:t>
      </w:r>
      <w:r w:rsidR="009C428B" w:rsidRPr="009F7642">
        <w:rPr>
          <w:color w:val="auto"/>
          <w:lang w:val="is-IS"/>
        </w:rPr>
        <w:t>a fram að versnun sjúkdóms í 10 </w:t>
      </w:r>
      <w:r w:rsidRPr="009F7642">
        <w:rPr>
          <w:color w:val="auto"/>
          <w:lang w:val="is-IS"/>
        </w:rPr>
        <w:t>mg/kg hópnum samanborið við lyfleysuhópinn (áhættuhlutfall, 2,55; p</w:t>
      </w:r>
      <w:r w:rsidR="006B3207">
        <w:rPr>
          <w:color w:val="auto"/>
          <w:lang w:val="is-IS"/>
        </w:rPr>
        <w:t> </w:t>
      </w:r>
      <w:r w:rsidR="00540AC4">
        <w:rPr>
          <w:color w:val="auto"/>
          <w:lang w:val="is-IS"/>
        </w:rPr>
        <w:t>&lt; </w:t>
      </w:r>
      <w:r w:rsidRPr="009F7642">
        <w:rPr>
          <w:color w:val="auto"/>
          <w:lang w:val="is-IS"/>
        </w:rPr>
        <w:t>0,001). Það var lítill munur, á mörkum þess að vera marktækur, á tí</w:t>
      </w:r>
      <w:r w:rsidR="009C428B" w:rsidRPr="009F7642">
        <w:rPr>
          <w:color w:val="auto"/>
          <w:lang w:val="is-IS"/>
        </w:rPr>
        <w:t>ma fram að versnun sjúkdóms í 3 </w:t>
      </w:r>
      <w:r w:rsidRPr="009F7642">
        <w:rPr>
          <w:color w:val="auto"/>
          <w:lang w:val="is-IS"/>
        </w:rPr>
        <w:t xml:space="preserve">mg/kg hópnum og </w:t>
      </w:r>
      <w:r w:rsidR="00EF6528" w:rsidRPr="00215918">
        <w:rPr>
          <w:lang w:val="is-IS"/>
        </w:rPr>
        <w:t>lyfleysuhópnum</w:t>
      </w:r>
      <w:r w:rsidRPr="009F7642">
        <w:rPr>
          <w:color w:val="auto"/>
          <w:lang w:val="is-IS"/>
        </w:rPr>
        <w:t xml:space="preserve"> (áhættuhlutfall, 1,26; p</w:t>
      </w:r>
      <w:r w:rsidR="006B3207">
        <w:rPr>
          <w:color w:val="auto"/>
          <w:lang w:val="is-IS"/>
        </w:rPr>
        <w:t> </w:t>
      </w:r>
      <w:r w:rsidR="000902B8">
        <w:rPr>
          <w:color w:val="auto"/>
          <w:lang w:val="is-IS"/>
        </w:rPr>
        <w:t>=</w:t>
      </w:r>
      <w:r w:rsidR="00540AC4">
        <w:rPr>
          <w:color w:val="auto"/>
          <w:lang w:val="is-IS"/>
        </w:rPr>
        <w:t> </w:t>
      </w:r>
      <w:r w:rsidRPr="009F7642">
        <w:rPr>
          <w:color w:val="auto"/>
          <w:lang w:val="is-IS"/>
        </w:rPr>
        <w:t>0,053). Fjórir sjúklingar voru með hlutlæga (að hluta) sjúkdómssvörun o</w:t>
      </w:r>
      <w:r w:rsidR="009C428B" w:rsidRPr="009F7642">
        <w:rPr>
          <w:color w:val="auto"/>
          <w:lang w:val="is-IS"/>
        </w:rPr>
        <w:t>g höfðu þeir allir fengið 10 </w:t>
      </w:r>
      <w:r w:rsidRPr="009F7642">
        <w:rPr>
          <w:color w:val="auto"/>
          <w:lang w:val="is-IS"/>
        </w:rPr>
        <w:t>mg/kg skammt af bevacízúmabi; hlu</w:t>
      </w:r>
      <w:r w:rsidR="009C428B" w:rsidRPr="009F7642">
        <w:rPr>
          <w:color w:val="auto"/>
          <w:lang w:val="is-IS"/>
        </w:rPr>
        <w:t>tlægt svörunarhlutfall fyrir 10 </w:t>
      </w:r>
      <w:r w:rsidRPr="009F7642">
        <w:rPr>
          <w:color w:val="auto"/>
          <w:lang w:val="is-IS"/>
        </w:rPr>
        <w:t>mg/kg skammtinn var 10%.</w:t>
      </w:r>
    </w:p>
    <w:p w14:paraId="16FA8FA4" w14:textId="77777777" w:rsidR="005F36F3" w:rsidRPr="009F7642" w:rsidRDefault="005F36F3" w:rsidP="0073217C">
      <w:pPr>
        <w:suppressAutoHyphens/>
        <w:spacing w:after="0" w:line="240" w:lineRule="auto"/>
        <w:ind w:left="0" w:firstLine="0"/>
        <w:rPr>
          <w:color w:val="auto"/>
          <w:lang w:val="is-IS"/>
        </w:rPr>
      </w:pPr>
    </w:p>
    <w:p w14:paraId="256545BF"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u w:val="single" w:color="000000"/>
          <w:lang w:val="is-IS"/>
        </w:rPr>
        <w:t>Þekjufrumukrabbamein í eggjastokkum, krabbamein í eggjaleiðurum og krabbamein í lífhimnu</w:t>
      </w:r>
    </w:p>
    <w:p w14:paraId="39316895" w14:textId="77777777" w:rsidR="005F36F3" w:rsidRPr="009F7642" w:rsidRDefault="005F36F3" w:rsidP="0073217C">
      <w:pPr>
        <w:keepNext/>
        <w:suppressAutoHyphens/>
        <w:spacing w:after="0" w:line="240" w:lineRule="auto"/>
        <w:ind w:left="0" w:firstLine="0"/>
        <w:rPr>
          <w:color w:val="auto"/>
          <w:lang w:val="is-IS"/>
        </w:rPr>
      </w:pPr>
    </w:p>
    <w:p w14:paraId="3785FECF" w14:textId="2703258C" w:rsidR="006C06D6" w:rsidRPr="009F7642" w:rsidRDefault="00FE5EE2" w:rsidP="0073217C">
      <w:pPr>
        <w:keepNext/>
        <w:suppressAutoHyphens/>
        <w:spacing w:after="0" w:line="240" w:lineRule="auto"/>
        <w:ind w:left="0" w:firstLine="0"/>
        <w:rPr>
          <w:i/>
          <w:color w:val="auto"/>
          <w:lang w:val="is-IS"/>
        </w:rPr>
      </w:pPr>
      <w:r>
        <w:rPr>
          <w:i/>
          <w:color w:val="auto"/>
          <w:lang w:val="is-IS"/>
        </w:rPr>
        <w:t xml:space="preserve">Fyrsta </w:t>
      </w:r>
      <w:r w:rsidRPr="009F7642">
        <w:rPr>
          <w:i/>
          <w:color w:val="auto"/>
          <w:lang w:val="is-IS"/>
        </w:rPr>
        <w:t xml:space="preserve">meðferð </w:t>
      </w:r>
      <w:r w:rsidR="00564614" w:rsidRPr="009F7642">
        <w:rPr>
          <w:i/>
          <w:color w:val="auto"/>
          <w:lang w:val="is-IS"/>
        </w:rPr>
        <w:t>við krabbameini í eggjastokkum</w:t>
      </w:r>
    </w:p>
    <w:p w14:paraId="2A8D2D82" w14:textId="77777777" w:rsidR="005F36F3" w:rsidRPr="009F7642" w:rsidRDefault="005F36F3" w:rsidP="0073217C">
      <w:pPr>
        <w:keepNext/>
        <w:suppressAutoHyphens/>
        <w:spacing w:after="0" w:line="240" w:lineRule="auto"/>
        <w:ind w:left="0" w:firstLine="0"/>
        <w:rPr>
          <w:color w:val="auto"/>
          <w:lang w:val="is-IS"/>
        </w:rPr>
      </w:pPr>
    </w:p>
    <w:p w14:paraId="051793B2" w14:textId="3EC4268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Öryggi og verkun </w:t>
      </w:r>
      <w:r w:rsidR="00FE5EE2">
        <w:rPr>
          <w:color w:val="auto"/>
          <w:lang w:val="is-IS"/>
        </w:rPr>
        <w:t xml:space="preserve">fyrstu </w:t>
      </w:r>
      <w:r w:rsidR="00FE5EE2" w:rsidRPr="009F7642">
        <w:rPr>
          <w:color w:val="auto"/>
          <w:lang w:val="is-IS"/>
        </w:rPr>
        <w:t xml:space="preserve">meðferðar </w:t>
      </w:r>
      <w:r w:rsidRPr="009F7642">
        <w:rPr>
          <w:color w:val="auto"/>
          <w:lang w:val="is-IS"/>
        </w:rPr>
        <w:t xml:space="preserve">með </w:t>
      </w:r>
      <w:r w:rsidR="00690564" w:rsidRPr="00F2274F">
        <w:rPr>
          <w:lang w:val="is-IS"/>
        </w:rPr>
        <w:t>bevacízúmab</w:t>
      </w:r>
      <w:r w:rsidR="00B60473" w:rsidRPr="00F2274F">
        <w:rPr>
          <w:lang w:val="is-IS"/>
        </w:rPr>
        <w:t>i</w:t>
      </w:r>
      <w:r w:rsidRPr="009F7642">
        <w:rPr>
          <w:color w:val="auto"/>
          <w:lang w:val="is-IS"/>
        </w:rPr>
        <w:t xml:space="preserve"> hjá sjúklingum með þekjufrumukrabbamein í eggjastokkum, krabbamein í eggjaleiðurum og krabbamein í lífhimnu var rannsakað í tveimur III. stigs rannsóknum (GOG-0218 og BO17707), þar sem lagt var mat á áhrif þess að bæta </w:t>
      </w:r>
      <w:r w:rsidR="00690564" w:rsidRPr="00F2274F">
        <w:rPr>
          <w:lang w:val="is-IS"/>
        </w:rPr>
        <w:t>bevacízúmab</w:t>
      </w:r>
      <w:r w:rsidR="00B60473" w:rsidRPr="00F2274F">
        <w:rPr>
          <w:lang w:val="is-IS"/>
        </w:rPr>
        <w:t>i</w:t>
      </w:r>
      <w:r w:rsidRPr="009F7642">
        <w:rPr>
          <w:color w:val="auto"/>
          <w:lang w:val="is-IS"/>
        </w:rPr>
        <w:t xml:space="preserve"> við meðferð með carboplatíni og paklítaxeli, borið saman við hin krabbameinslyfin eingöngu.</w:t>
      </w:r>
    </w:p>
    <w:p w14:paraId="7489C15E" w14:textId="77777777" w:rsidR="005F36F3" w:rsidRPr="009F7642" w:rsidRDefault="005F36F3" w:rsidP="0073217C">
      <w:pPr>
        <w:suppressAutoHyphens/>
        <w:spacing w:after="0" w:line="240" w:lineRule="auto"/>
        <w:ind w:left="0" w:firstLine="0"/>
        <w:rPr>
          <w:color w:val="auto"/>
          <w:lang w:val="is-IS"/>
        </w:rPr>
      </w:pPr>
    </w:p>
    <w:p w14:paraId="63CC2BB5"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t>GOG-0218</w:t>
      </w:r>
    </w:p>
    <w:p w14:paraId="2AB5A2A3"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GOG-0218 rannsóknin var III. stigs, fjölsetra, slembiröðuð, tvíblind þriggja hópa rannsókn með samanburði við lyfleysu, þar sem lagt var mat á áhrif þess að bæta </w:t>
      </w:r>
      <w:r w:rsidR="00690564" w:rsidRPr="00F2274F">
        <w:rPr>
          <w:lang w:val="is-IS"/>
        </w:rPr>
        <w:t>bevacízúmab</w:t>
      </w:r>
      <w:r w:rsidR="00B60473" w:rsidRPr="00F2274F">
        <w:rPr>
          <w:lang w:val="is-IS"/>
        </w:rPr>
        <w:t>i</w:t>
      </w:r>
      <w:r w:rsidRPr="009F7642">
        <w:rPr>
          <w:color w:val="auto"/>
          <w:lang w:val="is-IS"/>
        </w:rPr>
        <w:t xml:space="preserve"> við samþykkta krabbameinslyfjameðferð (carboplatín og paklítaxel) hjá sjúklingum með langt gengið þekjufrumukrabbamein í eggjastokkum, krabbamein í eggjaleiðurum eða krabbamein í lífhimnu (stig IIIB, IIIC og IV samkvæmt FIGO-stigun frá 1988).</w:t>
      </w:r>
    </w:p>
    <w:p w14:paraId="152CFF90" w14:textId="77777777" w:rsidR="005F36F3" w:rsidRPr="009F7642" w:rsidRDefault="005F36F3" w:rsidP="0073217C">
      <w:pPr>
        <w:suppressAutoHyphens/>
        <w:spacing w:after="0" w:line="240" w:lineRule="auto"/>
        <w:ind w:left="0" w:firstLine="0"/>
        <w:rPr>
          <w:color w:val="auto"/>
          <w:lang w:val="is-IS"/>
        </w:rPr>
      </w:pPr>
    </w:p>
    <w:p w14:paraId="7A550190"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Sjúklingar sem áður höfðu fengið meðferð </w:t>
      </w:r>
      <w:r w:rsidRPr="00F035CB">
        <w:rPr>
          <w:color w:val="auto"/>
          <w:lang w:val="is-IS"/>
        </w:rPr>
        <w:t>með bevacízúmab</w:t>
      </w:r>
      <w:r w:rsidR="00F035CB" w:rsidRPr="00F035CB">
        <w:rPr>
          <w:color w:val="auto"/>
          <w:lang w:val="is-IS"/>
        </w:rPr>
        <w:t>i</w:t>
      </w:r>
      <w:r w:rsidRPr="00F035CB">
        <w:rPr>
          <w:color w:val="auto"/>
          <w:lang w:val="is-IS"/>
        </w:rPr>
        <w:t>, sjúklingar</w:t>
      </w:r>
      <w:r w:rsidRPr="009F7642">
        <w:rPr>
          <w:color w:val="auto"/>
          <w:lang w:val="is-IS"/>
        </w:rPr>
        <w:t xml:space="preserve"> sem áður höfðu fengið altæka (systemic) meðferð við krabbameini í eggjastokkum (t.d. krabbameinslyfjameðferð, meðferð með einstofna mótefnum, meðferð með týrosín kínasa hemlum eða hormónameðferð) og sjúklingar sem áður höfðu fengið geislameðferð á kviðarhol eða mjaðmargrind voru útilokaðir frá þátttöku í rannsókninni.</w:t>
      </w:r>
    </w:p>
    <w:p w14:paraId="2A29F1BE" w14:textId="77777777" w:rsidR="005F36F3" w:rsidRPr="009F7642" w:rsidRDefault="005F36F3" w:rsidP="0073217C">
      <w:pPr>
        <w:suppressAutoHyphens/>
        <w:spacing w:after="0" w:line="240" w:lineRule="auto"/>
        <w:ind w:left="0" w:firstLine="0"/>
        <w:rPr>
          <w:color w:val="auto"/>
          <w:lang w:val="is-IS"/>
        </w:rPr>
      </w:pPr>
    </w:p>
    <w:p w14:paraId="262BC664" w14:textId="77777777" w:rsidR="006C06D6" w:rsidRPr="009F7642" w:rsidRDefault="00564614" w:rsidP="0073217C">
      <w:pPr>
        <w:keepNext/>
        <w:suppressAutoHyphens/>
        <w:spacing w:after="0" w:line="240" w:lineRule="auto"/>
        <w:ind w:left="0" w:firstLine="0"/>
        <w:rPr>
          <w:color w:val="auto"/>
          <w:lang w:val="is-IS"/>
        </w:rPr>
      </w:pPr>
      <w:r w:rsidRPr="009F7642">
        <w:rPr>
          <w:color w:val="auto"/>
          <w:lang w:val="is-IS"/>
        </w:rPr>
        <w:t>Alls var 1.873 sjúklingum slembiraðað í jöfnum hlutföllum í eftirtalda þrjá hópa:</w:t>
      </w:r>
    </w:p>
    <w:p w14:paraId="78669EED" w14:textId="77777777" w:rsidR="005F36F3" w:rsidRPr="009F7642" w:rsidRDefault="005F36F3" w:rsidP="0073217C">
      <w:pPr>
        <w:keepNext/>
        <w:suppressAutoHyphens/>
        <w:spacing w:after="0" w:line="240" w:lineRule="auto"/>
        <w:ind w:left="0" w:firstLine="0"/>
        <w:rPr>
          <w:color w:val="auto"/>
          <w:lang w:val="is-IS"/>
        </w:rPr>
      </w:pPr>
    </w:p>
    <w:p w14:paraId="13EBD792" w14:textId="77777777" w:rsidR="006C06D6" w:rsidRPr="009F7642" w:rsidRDefault="00564614" w:rsidP="0073217C">
      <w:pPr>
        <w:keepNext/>
        <w:numPr>
          <w:ilvl w:val="0"/>
          <w:numId w:val="7"/>
        </w:numPr>
        <w:suppressAutoHyphens/>
        <w:spacing w:after="0" w:line="240" w:lineRule="auto"/>
        <w:ind w:left="567" w:hanging="567"/>
        <w:rPr>
          <w:color w:val="auto"/>
          <w:lang w:val="is-IS"/>
        </w:rPr>
      </w:pPr>
      <w:r w:rsidRPr="009F7642">
        <w:rPr>
          <w:color w:val="auto"/>
          <w:lang w:val="is-IS"/>
        </w:rPr>
        <w:t>CPP hópur: Fimm lotur af lyfleysu (hófst í meðferðarlotu</w:t>
      </w:r>
      <w:r w:rsidR="006B3207">
        <w:rPr>
          <w:color w:val="auto"/>
          <w:lang w:val="is-IS"/>
        </w:rPr>
        <w:t> </w:t>
      </w:r>
      <w:r w:rsidRPr="009F7642">
        <w:rPr>
          <w:color w:val="auto"/>
          <w:lang w:val="is-IS"/>
        </w:rPr>
        <w:t>2) ásamt carboplat</w:t>
      </w:r>
      <w:r w:rsidR="009C428B" w:rsidRPr="009F7642">
        <w:rPr>
          <w:color w:val="auto"/>
          <w:lang w:val="is-IS"/>
        </w:rPr>
        <w:t>íni (AUC</w:t>
      </w:r>
      <w:r w:rsidR="006B3207">
        <w:rPr>
          <w:color w:val="auto"/>
          <w:lang w:val="is-IS"/>
        </w:rPr>
        <w:t> </w:t>
      </w:r>
      <w:r w:rsidR="009C428B" w:rsidRPr="009F7642">
        <w:rPr>
          <w:color w:val="auto"/>
          <w:lang w:val="is-IS"/>
        </w:rPr>
        <w:t>6) og paklítaxeli (175 </w:t>
      </w:r>
      <w:r w:rsidRPr="009F7642">
        <w:rPr>
          <w:color w:val="auto"/>
          <w:lang w:val="is-IS"/>
        </w:rPr>
        <w:t>mg/m</w:t>
      </w:r>
      <w:r w:rsidRPr="009F7642">
        <w:rPr>
          <w:color w:val="auto"/>
          <w:vertAlign w:val="superscript"/>
          <w:lang w:val="is-IS"/>
        </w:rPr>
        <w:t>2</w:t>
      </w:r>
      <w:r w:rsidRPr="009F7642">
        <w:rPr>
          <w:color w:val="auto"/>
          <w:lang w:val="is-IS"/>
        </w:rPr>
        <w:t>) í 6 meðferðarlotum, fylgt eftir með lyfleysu einni sér þannig að heildarmeðferðarlengd var 15 mánuðir.</w:t>
      </w:r>
    </w:p>
    <w:p w14:paraId="59B9BE0D" w14:textId="77777777" w:rsidR="006C06D6" w:rsidRPr="009F7642" w:rsidRDefault="00564614" w:rsidP="0073217C">
      <w:pPr>
        <w:keepNext/>
        <w:numPr>
          <w:ilvl w:val="0"/>
          <w:numId w:val="7"/>
        </w:numPr>
        <w:suppressAutoHyphens/>
        <w:spacing w:after="0" w:line="240" w:lineRule="auto"/>
        <w:ind w:left="567" w:hanging="567"/>
        <w:rPr>
          <w:color w:val="auto"/>
          <w:lang w:val="is-IS"/>
        </w:rPr>
      </w:pPr>
      <w:r w:rsidRPr="009F7642">
        <w:rPr>
          <w:color w:val="auto"/>
          <w:lang w:val="is-IS"/>
        </w:rPr>
        <w:t>CPB15 h</w:t>
      </w:r>
      <w:r w:rsidR="009C428B" w:rsidRPr="009F7642">
        <w:rPr>
          <w:color w:val="auto"/>
          <w:lang w:val="is-IS"/>
        </w:rPr>
        <w:t xml:space="preserve">ópur: Fimm lotur af </w:t>
      </w:r>
      <w:r w:rsidR="00690564" w:rsidRPr="00F2274F">
        <w:rPr>
          <w:lang w:val="is-IS"/>
        </w:rPr>
        <w:t>bevacízúmab</w:t>
      </w:r>
      <w:r w:rsidR="00B60473" w:rsidRPr="00F2274F">
        <w:rPr>
          <w:lang w:val="is-IS"/>
        </w:rPr>
        <w:t>i</w:t>
      </w:r>
      <w:r w:rsidR="009C428B" w:rsidRPr="009F7642">
        <w:rPr>
          <w:color w:val="auto"/>
          <w:lang w:val="is-IS"/>
        </w:rPr>
        <w:t xml:space="preserve"> (15 </w:t>
      </w:r>
      <w:r w:rsidRPr="009F7642">
        <w:rPr>
          <w:color w:val="auto"/>
          <w:lang w:val="is-IS"/>
        </w:rPr>
        <w:t>mg/kg á þriggja vikna fresti, hófst í meðferðarlotu</w:t>
      </w:r>
      <w:r w:rsidR="006B3207">
        <w:rPr>
          <w:color w:val="auto"/>
          <w:lang w:val="is-IS"/>
        </w:rPr>
        <w:t> </w:t>
      </w:r>
      <w:r w:rsidRPr="009F7642">
        <w:rPr>
          <w:color w:val="auto"/>
          <w:lang w:val="is-IS"/>
        </w:rPr>
        <w:t>2) ásamt carboplat</w:t>
      </w:r>
      <w:r w:rsidR="009C428B" w:rsidRPr="009F7642">
        <w:rPr>
          <w:color w:val="auto"/>
          <w:lang w:val="is-IS"/>
        </w:rPr>
        <w:t>íni (AUC</w:t>
      </w:r>
      <w:r w:rsidR="006B3207">
        <w:rPr>
          <w:color w:val="auto"/>
          <w:lang w:val="is-IS"/>
        </w:rPr>
        <w:t> </w:t>
      </w:r>
      <w:r w:rsidR="009C428B" w:rsidRPr="009F7642">
        <w:rPr>
          <w:color w:val="auto"/>
          <w:lang w:val="is-IS"/>
        </w:rPr>
        <w:t>6) og paklítaxeli (175 </w:t>
      </w:r>
      <w:r w:rsidRPr="009F7642">
        <w:rPr>
          <w:color w:val="auto"/>
          <w:lang w:val="is-IS"/>
        </w:rPr>
        <w:t>mg/m</w:t>
      </w:r>
      <w:r w:rsidRPr="009F7642">
        <w:rPr>
          <w:color w:val="auto"/>
          <w:vertAlign w:val="superscript"/>
          <w:lang w:val="is-IS"/>
        </w:rPr>
        <w:t>2</w:t>
      </w:r>
      <w:r w:rsidRPr="009F7642">
        <w:rPr>
          <w:color w:val="auto"/>
          <w:lang w:val="is-IS"/>
        </w:rPr>
        <w:t>) í 6 meðferðarlotum, fylgt eftir með lyfleysu einni sér þannig að heildarmeðferðarlengd var 15 mánuðir.</w:t>
      </w:r>
    </w:p>
    <w:p w14:paraId="45BCD389" w14:textId="77777777" w:rsidR="006C06D6" w:rsidRPr="009F7642" w:rsidRDefault="00564614" w:rsidP="0073217C">
      <w:pPr>
        <w:numPr>
          <w:ilvl w:val="0"/>
          <w:numId w:val="7"/>
        </w:numPr>
        <w:suppressAutoHyphens/>
        <w:spacing w:after="0" w:line="240" w:lineRule="auto"/>
        <w:ind w:left="567" w:hanging="567"/>
        <w:rPr>
          <w:color w:val="auto"/>
          <w:lang w:val="is-IS"/>
        </w:rPr>
      </w:pPr>
      <w:r w:rsidRPr="009F7642">
        <w:rPr>
          <w:color w:val="auto"/>
          <w:lang w:val="is-IS"/>
        </w:rPr>
        <w:t>CPB15+ h</w:t>
      </w:r>
      <w:r w:rsidR="009C428B" w:rsidRPr="009F7642">
        <w:rPr>
          <w:color w:val="auto"/>
          <w:lang w:val="is-IS"/>
        </w:rPr>
        <w:t xml:space="preserve">ópur: Fimm lotur af </w:t>
      </w:r>
      <w:r w:rsidR="00690564" w:rsidRPr="00F2274F">
        <w:rPr>
          <w:lang w:val="is-IS"/>
        </w:rPr>
        <w:t>bevacízúmab</w:t>
      </w:r>
      <w:r w:rsidR="00B60473" w:rsidRPr="00F2274F">
        <w:rPr>
          <w:lang w:val="is-IS"/>
        </w:rPr>
        <w:t>i</w:t>
      </w:r>
      <w:r w:rsidR="009C428B" w:rsidRPr="009F7642">
        <w:rPr>
          <w:color w:val="auto"/>
          <w:lang w:val="is-IS"/>
        </w:rPr>
        <w:t xml:space="preserve"> (15 </w:t>
      </w:r>
      <w:r w:rsidRPr="009F7642">
        <w:rPr>
          <w:color w:val="auto"/>
          <w:lang w:val="is-IS"/>
        </w:rPr>
        <w:t>mg/kg á þriggja vikna fresti, hófst í meðferðarlotu 2) ásamt carboplat</w:t>
      </w:r>
      <w:r w:rsidR="009C428B" w:rsidRPr="009F7642">
        <w:rPr>
          <w:color w:val="auto"/>
          <w:lang w:val="is-IS"/>
        </w:rPr>
        <w:t>íni (AUC</w:t>
      </w:r>
      <w:r w:rsidR="006B3207">
        <w:rPr>
          <w:color w:val="auto"/>
          <w:lang w:val="is-IS"/>
        </w:rPr>
        <w:t> </w:t>
      </w:r>
      <w:r w:rsidR="009C428B" w:rsidRPr="009F7642">
        <w:rPr>
          <w:color w:val="auto"/>
          <w:lang w:val="is-IS"/>
        </w:rPr>
        <w:t>6) og paklítaxeli (175 </w:t>
      </w:r>
      <w:r w:rsidRPr="009F7642">
        <w:rPr>
          <w:color w:val="auto"/>
          <w:lang w:val="is-IS"/>
        </w:rPr>
        <w:t>mg/m</w:t>
      </w:r>
      <w:r w:rsidRPr="009F7642">
        <w:rPr>
          <w:color w:val="auto"/>
          <w:vertAlign w:val="superscript"/>
          <w:lang w:val="is-IS"/>
        </w:rPr>
        <w:t>2</w:t>
      </w:r>
      <w:r w:rsidRPr="009F7642">
        <w:rPr>
          <w:color w:val="auto"/>
          <w:lang w:val="is-IS"/>
        </w:rPr>
        <w:t>) í 6 meðferðarlot</w:t>
      </w:r>
      <w:r w:rsidR="009C428B" w:rsidRPr="009F7642">
        <w:rPr>
          <w:color w:val="auto"/>
          <w:lang w:val="is-IS"/>
        </w:rPr>
        <w:t xml:space="preserve">um, fylgt eftir með </w:t>
      </w:r>
      <w:r w:rsidR="00690564" w:rsidRPr="00F2274F">
        <w:rPr>
          <w:lang w:val="is-IS"/>
        </w:rPr>
        <w:t>bevacízúmab</w:t>
      </w:r>
      <w:r w:rsidR="00B60473" w:rsidRPr="00F2274F">
        <w:rPr>
          <w:lang w:val="is-IS"/>
        </w:rPr>
        <w:t>i</w:t>
      </w:r>
      <w:r w:rsidR="009C428B" w:rsidRPr="009F7642">
        <w:rPr>
          <w:color w:val="auto"/>
          <w:lang w:val="is-IS"/>
        </w:rPr>
        <w:t xml:space="preserve"> (15 </w:t>
      </w:r>
      <w:r w:rsidRPr="009F7642">
        <w:rPr>
          <w:color w:val="auto"/>
          <w:lang w:val="is-IS"/>
        </w:rPr>
        <w:t>mg/kg á þriggja vikna fresti) einu sér þannig að heildarmeðferðarlengd var 15 mánuðir.</w:t>
      </w:r>
    </w:p>
    <w:p w14:paraId="780C0E4D" w14:textId="77777777" w:rsidR="005F36F3" w:rsidRPr="009F7642" w:rsidRDefault="005F36F3" w:rsidP="0073217C">
      <w:pPr>
        <w:suppressAutoHyphens/>
        <w:spacing w:after="0" w:line="240" w:lineRule="auto"/>
        <w:ind w:left="0" w:firstLine="0"/>
        <w:rPr>
          <w:color w:val="auto"/>
          <w:lang w:val="is-IS"/>
        </w:rPr>
      </w:pPr>
    </w:p>
    <w:p w14:paraId="018D9085"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Meirihluti sjúklinga sem þátt tóku í rannsókninni var af hvítum kynstofni (87% í öllum þremur meðferðarhópum); miðgildi aldurs var 60 ár í CPP og CPB15 hópunum og 59 ár í CPB15+ hópnum; 29% sjúklinga í CPP og CPB15 hópunum og 26% sjúklinga í CPB15+ hópnum voru eldri en 65 ára.</w:t>
      </w:r>
      <w:r w:rsidR="002D7A6F">
        <w:rPr>
          <w:color w:val="auto"/>
          <w:lang w:val="is-IS"/>
        </w:rPr>
        <w:t xml:space="preserve"> </w:t>
      </w:r>
      <w:r w:rsidRPr="009F7642">
        <w:rPr>
          <w:color w:val="auto"/>
          <w:lang w:val="is-IS"/>
        </w:rPr>
        <w:t>Alls voru u.þ.b. 50% sjúklinga á GOG PS stigi 0 við upphaf rannsóknar, um 43% voru á GOG PS stigi</w:t>
      </w:r>
      <w:r w:rsidR="002D7A6F">
        <w:rPr>
          <w:color w:val="auto"/>
          <w:lang w:val="is-IS"/>
        </w:rPr>
        <w:t xml:space="preserve"> </w:t>
      </w:r>
      <w:r w:rsidRPr="009F7642">
        <w:rPr>
          <w:color w:val="auto"/>
          <w:lang w:val="is-IS"/>
        </w:rPr>
        <w:t xml:space="preserve">1 og um 7% voru á GOG PS stigi 2. Flestir sjúklingar voru með þekjufrumukrabbamein í eggjastokkum (82% í CPP og CPB15 hópunum, 85% í CPB15+ hópnum) en færri voru með krabbamein í lífhimnu (16% í CPP hópnum, 15% í CPB15 hópnum og 13% í CPB15+ hópnum) og krabbamein í eggjaleiðurum (1% í CPP hópnum, 3% í CPB15 hópnum og 2% í CPB15+ hópnum). </w:t>
      </w:r>
      <w:r w:rsidRPr="009F7642">
        <w:rPr>
          <w:color w:val="auto"/>
          <w:lang w:val="is-IS"/>
        </w:rPr>
        <w:lastRenderedPageBreak/>
        <w:t>Vefjafræðileg flokkun æxla hjá meirihluta sjúklinga var blöðrumyndandi kirtilæxli (serous adenocarcinoma) (85% í CPP og CPB15 hópunum, 86% í CPB15+ hópnum). Alls voru æxli hjá u.þ.b. 34% sjúklinga á FIGO stigi III þar sem meirihluti æxla hafði verið fjarlægður með skurðaðgerð (optimally debulked) með talsverðum eftirstöðvum sjúkdóms, hjá 40% sjúklinga voru æxli á FIGO stigi III þar sem hluti æxla hafði verið fjarlægður með skurðaðgerð og hjá 26% sjúklinga voru æxli á FIGO stigi IV.</w:t>
      </w:r>
    </w:p>
    <w:p w14:paraId="2EEDEB33" w14:textId="77777777" w:rsidR="005F36F3" w:rsidRPr="009F7642" w:rsidRDefault="005F36F3" w:rsidP="0073217C">
      <w:pPr>
        <w:suppressAutoHyphens/>
        <w:spacing w:after="0" w:line="240" w:lineRule="auto"/>
        <w:ind w:left="0" w:firstLine="0"/>
        <w:rPr>
          <w:color w:val="auto"/>
          <w:lang w:val="is-IS"/>
        </w:rPr>
      </w:pPr>
    </w:p>
    <w:p w14:paraId="7864D5CC" w14:textId="1C932215"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Aðalendapunkturinn var lifun án </w:t>
      </w:r>
      <w:bookmarkStart w:id="2" w:name="_Hlk71033951"/>
      <w:r w:rsidR="00FE5EE2" w:rsidRPr="00FE5EE2">
        <w:rPr>
          <w:color w:val="auto"/>
          <w:lang w:val="is-IS"/>
        </w:rPr>
        <w:t>versnunar</w:t>
      </w:r>
      <w:bookmarkEnd w:id="2"/>
      <w:r w:rsidRPr="009F7642">
        <w:rPr>
          <w:color w:val="auto"/>
          <w:lang w:val="is-IS"/>
        </w:rPr>
        <w:t xml:space="preserve"> sjúkdóms samkvæmt mati rannsakanda á </w:t>
      </w:r>
      <w:r w:rsidR="00FE5EE2" w:rsidRPr="00FE5EE2">
        <w:rPr>
          <w:color w:val="auto"/>
          <w:lang w:val="is-IS"/>
        </w:rPr>
        <w:t>versnun</w:t>
      </w:r>
      <w:r w:rsidRPr="009F7642">
        <w:rPr>
          <w:color w:val="auto"/>
          <w:lang w:val="is-IS"/>
        </w:rPr>
        <w:t xml:space="preserve"> sjúkdóms sem byggt var á sneiðmyndum eða CA 125 mæligildum, eða versnun einkenna samkvæmt rannsóknaráætlun. Að auki var framkvæmd fyrirfram skilgreind greining á gögnum um framvindu samkvæmt CA 125 mæligildum og óháð matsnefnd fór yfir niðurstöður varðandi lifun án </w:t>
      </w:r>
      <w:r w:rsidR="00FE5EE2" w:rsidRPr="00FE5EE2">
        <w:rPr>
          <w:color w:val="auto"/>
          <w:lang w:val="is-IS"/>
        </w:rPr>
        <w:t>versnunar</w:t>
      </w:r>
      <w:r w:rsidRPr="009F7642">
        <w:rPr>
          <w:color w:val="auto"/>
          <w:lang w:val="is-IS"/>
        </w:rPr>
        <w:t xml:space="preserve"> sjúkdóms samkvæmt sneiðmyndum.</w:t>
      </w:r>
    </w:p>
    <w:p w14:paraId="4F6AE962" w14:textId="77777777" w:rsidR="005F36F3" w:rsidRPr="009F7642" w:rsidRDefault="005F36F3" w:rsidP="0073217C">
      <w:pPr>
        <w:suppressAutoHyphens/>
        <w:spacing w:after="0" w:line="240" w:lineRule="auto"/>
        <w:ind w:left="0" w:firstLine="0"/>
        <w:rPr>
          <w:color w:val="auto"/>
          <w:lang w:val="is-IS"/>
        </w:rPr>
      </w:pPr>
    </w:p>
    <w:p w14:paraId="538836FB" w14:textId="0D2427B4"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Meginmarkmið rannsóknarinnar, lengri lifun án </w:t>
      </w:r>
      <w:r w:rsidR="00FE5EE2" w:rsidRPr="00FE5EE2">
        <w:rPr>
          <w:color w:val="auto"/>
          <w:lang w:val="is-IS"/>
        </w:rPr>
        <w:t>versnunar</w:t>
      </w:r>
      <w:r w:rsidRPr="009F7642">
        <w:rPr>
          <w:color w:val="auto"/>
          <w:lang w:val="is-IS"/>
        </w:rPr>
        <w:t xml:space="preserve"> sjúkdóms, náðist. Hjá sjúk</w:t>
      </w:r>
      <w:r w:rsidR="009C428B" w:rsidRPr="009F7642">
        <w:rPr>
          <w:color w:val="auto"/>
          <w:lang w:val="is-IS"/>
        </w:rPr>
        <w:t xml:space="preserve">lingum sem fengu </w:t>
      </w:r>
      <w:r w:rsidR="007908E5" w:rsidRPr="009F7642">
        <w:rPr>
          <w:color w:val="auto"/>
          <w:lang w:val="is-IS"/>
        </w:rPr>
        <w:t>bevac</w:t>
      </w:r>
      <w:r w:rsidR="007908E5">
        <w:rPr>
          <w:color w:val="auto"/>
          <w:lang w:val="is-IS"/>
        </w:rPr>
        <w:t>í</w:t>
      </w:r>
      <w:r w:rsidR="007908E5" w:rsidRPr="009F7642">
        <w:rPr>
          <w:color w:val="auto"/>
          <w:lang w:val="is-IS"/>
        </w:rPr>
        <w:t xml:space="preserve">zúmab </w:t>
      </w:r>
      <w:r w:rsidR="009C428B" w:rsidRPr="009F7642">
        <w:rPr>
          <w:color w:val="auto"/>
          <w:lang w:val="is-IS"/>
        </w:rPr>
        <w:t>15 </w:t>
      </w:r>
      <w:r w:rsidRPr="009F7642">
        <w:rPr>
          <w:color w:val="auto"/>
          <w:lang w:val="is-IS"/>
        </w:rPr>
        <w:t xml:space="preserve">mg/kg á þriggja vikna fresti ásamt öðrum krabbameinslyfjum og héldu áfram að fá </w:t>
      </w:r>
      <w:r w:rsidR="007908E5" w:rsidRPr="009F7642">
        <w:rPr>
          <w:color w:val="auto"/>
          <w:lang w:val="is-IS"/>
        </w:rPr>
        <w:t>bevac</w:t>
      </w:r>
      <w:r w:rsidR="007908E5">
        <w:rPr>
          <w:color w:val="auto"/>
          <w:lang w:val="is-IS"/>
        </w:rPr>
        <w:t>í</w:t>
      </w:r>
      <w:r w:rsidR="007908E5" w:rsidRPr="009F7642">
        <w:rPr>
          <w:color w:val="auto"/>
          <w:lang w:val="is-IS"/>
        </w:rPr>
        <w:t xml:space="preserve">zúmab </w:t>
      </w:r>
      <w:r w:rsidRPr="009F7642">
        <w:rPr>
          <w:color w:val="auto"/>
          <w:lang w:val="is-IS"/>
        </w:rPr>
        <w:t xml:space="preserve">eitt sér (CPB15+) sást tölfræðilega marktækt lengri lifun án </w:t>
      </w:r>
      <w:r w:rsidR="00FE5EE2" w:rsidRPr="00FE5EE2">
        <w:rPr>
          <w:color w:val="auto"/>
          <w:lang w:val="is-IS"/>
        </w:rPr>
        <w:t>versnunar</w:t>
      </w:r>
      <w:r w:rsidRPr="009F7642">
        <w:rPr>
          <w:color w:val="auto"/>
          <w:lang w:val="is-IS"/>
        </w:rPr>
        <w:t xml:space="preserve"> sjúkdóms, sem hafði klíníska þýðingu, borið saman við sjúklinga sem aðeins fengu önnur krabbameinslyf (carboplatín og paklítaxel) sem </w:t>
      </w:r>
      <w:r w:rsidR="00FE5EE2">
        <w:rPr>
          <w:color w:val="auto"/>
          <w:lang w:val="is-IS"/>
        </w:rPr>
        <w:t xml:space="preserve">fyrstu </w:t>
      </w:r>
      <w:r w:rsidR="00FE5EE2" w:rsidRPr="009F7642">
        <w:rPr>
          <w:color w:val="auto"/>
          <w:lang w:val="is-IS"/>
        </w:rPr>
        <w:t>meðferð</w:t>
      </w:r>
      <w:r w:rsidRPr="009F7642">
        <w:rPr>
          <w:color w:val="auto"/>
          <w:lang w:val="is-IS"/>
        </w:rPr>
        <w:t>.</w:t>
      </w:r>
    </w:p>
    <w:p w14:paraId="2BB227FB" w14:textId="77777777" w:rsidR="005F36F3" w:rsidRPr="009F7642" w:rsidRDefault="005F36F3" w:rsidP="0073217C">
      <w:pPr>
        <w:suppressAutoHyphens/>
        <w:spacing w:after="0" w:line="240" w:lineRule="auto"/>
        <w:ind w:left="0" w:firstLine="0"/>
        <w:rPr>
          <w:color w:val="auto"/>
          <w:lang w:val="is-IS"/>
        </w:rPr>
      </w:pPr>
    </w:p>
    <w:p w14:paraId="6CB49821" w14:textId="3F13DB3D"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Hjá sjúklingum sem aðeins fengu </w:t>
      </w:r>
      <w:r w:rsidR="007908E5" w:rsidRPr="009F7642">
        <w:rPr>
          <w:color w:val="auto"/>
          <w:lang w:val="is-IS"/>
        </w:rPr>
        <w:t>bevac</w:t>
      </w:r>
      <w:r w:rsidR="007908E5">
        <w:rPr>
          <w:color w:val="auto"/>
          <w:lang w:val="is-IS"/>
        </w:rPr>
        <w:t>í</w:t>
      </w:r>
      <w:r w:rsidR="007908E5" w:rsidRPr="009F7642">
        <w:rPr>
          <w:color w:val="auto"/>
          <w:lang w:val="is-IS"/>
        </w:rPr>
        <w:t xml:space="preserve">zúmab </w:t>
      </w:r>
      <w:r w:rsidRPr="009F7642">
        <w:rPr>
          <w:color w:val="auto"/>
          <w:lang w:val="is-IS"/>
        </w:rPr>
        <w:t xml:space="preserve">ásamt öðrum krabbameinslyfjum og héldu ekki áfram að fá </w:t>
      </w:r>
      <w:r w:rsidR="007908E5" w:rsidRPr="009F7642">
        <w:rPr>
          <w:color w:val="auto"/>
          <w:lang w:val="is-IS"/>
        </w:rPr>
        <w:t>bevac</w:t>
      </w:r>
      <w:r w:rsidR="007908E5">
        <w:rPr>
          <w:color w:val="auto"/>
          <w:lang w:val="is-IS"/>
        </w:rPr>
        <w:t>í</w:t>
      </w:r>
      <w:r w:rsidR="007908E5" w:rsidRPr="009F7642">
        <w:rPr>
          <w:color w:val="auto"/>
          <w:lang w:val="is-IS"/>
        </w:rPr>
        <w:t xml:space="preserve">zúmab </w:t>
      </w:r>
      <w:r w:rsidRPr="009F7642">
        <w:rPr>
          <w:color w:val="auto"/>
          <w:lang w:val="is-IS"/>
        </w:rPr>
        <w:t xml:space="preserve">eitt sér (CPB15) sást enginn ávinningur varðandi lifun án </w:t>
      </w:r>
      <w:r w:rsidR="00FE5EE2" w:rsidRPr="00FE5EE2">
        <w:rPr>
          <w:color w:val="auto"/>
          <w:lang w:val="is-IS"/>
        </w:rPr>
        <w:t>versnunar</w:t>
      </w:r>
      <w:r w:rsidRPr="009F7642">
        <w:rPr>
          <w:color w:val="auto"/>
          <w:lang w:val="is-IS"/>
        </w:rPr>
        <w:t xml:space="preserve"> sjúkdóms sem hafði klíníska þýðingu.</w:t>
      </w:r>
    </w:p>
    <w:p w14:paraId="673D22EC" w14:textId="77777777" w:rsidR="005F36F3" w:rsidRPr="009F7642" w:rsidRDefault="005F36F3" w:rsidP="0073217C">
      <w:pPr>
        <w:suppressAutoHyphens/>
        <w:spacing w:after="0" w:line="240" w:lineRule="auto"/>
        <w:ind w:left="0" w:firstLine="0"/>
        <w:rPr>
          <w:color w:val="auto"/>
          <w:lang w:val="is-IS"/>
        </w:rPr>
      </w:pPr>
    </w:p>
    <w:p w14:paraId="2F71982B"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Niðurstöður rannsóknarinnar eru sýndar í </w:t>
      </w:r>
      <w:r w:rsidRPr="00363B58">
        <w:rPr>
          <w:color w:val="auto"/>
          <w:lang w:val="is-IS"/>
        </w:rPr>
        <w:t xml:space="preserve">töflu </w:t>
      </w:r>
      <w:r w:rsidR="00160676" w:rsidRPr="00363B58">
        <w:rPr>
          <w:color w:val="auto"/>
          <w:lang w:val="is-IS"/>
        </w:rPr>
        <w:t>1</w:t>
      </w:r>
      <w:r w:rsidR="00781331">
        <w:rPr>
          <w:color w:val="auto"/>
          <w:lang w:val="is-IS"/>
        </w:rPr>
        <w:t>6</w:t>
      </w:r>
      <w:r w:rsidRPr="009F7642">
        <w:rPr>
          <w:color w:val="auto"/>
          <w:lang w:val="is-IS"/>
        </w:rPr>
        <w:t>.</w:t>
      </w:r>
    </w:p>
    <w:p w14:paraId="33E77AB2" w14:textId="77777777" w:rsidR="005F36F3" w:rsidRPr="009F7642" w:rsidRDefault="005F36F3" w:rsidP="0073217C">
      <w:pPr>
        <w:suppressAutoHyphens/>
        <w:spacing w:after="0" w:line="240" w:lineRule="auto"/>
        <w:ind w:left="0" w:firstLine="0"/>
        <w:rPr>
          <w:color w:val="auto"/>
          <w:lang w:val="is-IS"/>
        </w:rPr>
      </w:pPr>
    </w:p>
    <w:p w14:paraId="525AC6AB" w14:textId="77777777" w:rsidR="006C06D6" w:rsidRPr="00CD7EA5" w:rsidRDefault="00BF4F58" w:rsidP="0073217C">
      <w:pPr>
        <w:keepNext/>
        <w:suppressAutoHyphens/>
        <w:spacing w:after="0" w:line="240" w:lineRule="auto"/>
        <w:ind w:left="0" w:firstLine="0"/>
        <w:rPr>
          <w:b/>
          <w:color w:val="auto"/>
          <w:lang w:val="is-IS"/>
        </w:rPr>
      </w:pPr>
      <w:r w:rsidRPr="00363B58">
        <w:rPr>
          <w:b/>
          <w:color w:val="auto"/>
          <w:lang w:val="is-IS"/>
        </w:rPr>
        <w:t xml:space="preserve">Tafla </w:t>
      </w:r>
      <w:r w:rsidR="00160676" w:rsidRPr="00363B58">
        <w:rPr>
          <w:b/>
          <w:color w:val="auto"/>
          <w:lang w:val="is-IS"/>
        </w:rPr>
        <w:t>1</w:t>
      </w:r>
      <w:r w:rsidR="00781331">
        <w:rPr>
          <w:b/>
          <w:color w:val="auto"/>
          <w:lang w:val="is-IS"/>
        </w:rPr>
        <w:t>6</w:t>
      </w:r>
      <w:r w:rsidR="00FE7644" w:rsidRPr="00363B58">
        <w:rPr>
          <w:b/>
          <w:color w:val="auto"/>
          <w:lang w:val="is-IS"/>
        </w:rPr>
        <w:t>.</w:t>
      </w:r>
      <w:r w:rsidR="00E3317D" w:rsidRPr="00CD7EA5">
        <w:rPr>
          <w:b/>
          <w:color w:val="auto"/>
          <w:lang w:val="is-IS"/>
        </w:rPr>
        <w:t xml:space="preserve"> </w:t>
      </w:r>
      <w:r w:rsidR="00564614" w:rsidRPr="00CD7EA5">
        <w:rPr>
          <w:b/>
          <w:color w:val="auto"/>
          <w:lang w:val="is-IS"/>
        </w:rPr>
        <w:t>Niðurstöður varðandi verkun úr GOG-0218 rannsókninni</w:t>
      </w:r>
    </w:p>
    <w:p w14:paraId="7F847D50" w14:textId="77777777" w:rsidR="005F36F3" w:rsidRPr="009F7642" w:rsidRDefault="005F36F3" w:rsidP="0073217C">
      <w:pPr>
        <w:keepNext/>
        <w:suppressAutoHyphens/>
        <w:spacing w:after="0" w:line="240" w:lineRule="auto"/>
        <w:ind w:left="0" w:firstLine="0"/>
        <w:rPr>
          <w:color w:val="auto"/>
          <w:lang w:val="is-I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1272"/>
        <w:gridCol w:w="1683"/>
        <w:gridCol w:w="1409"/>
      </w:tblGrid>
      <w:tr w:rsidR="005F74DC" w:rsidRPr="00CD7EA5" w14:paraId="5878ADEF" w14:textId="77777777" w:rsidTr="005F74DC">
        <w:trPr>
          <w:trHeight w:val="300"/>
        </w:trPr>
        <w:tc>
          <w:tcPr>
            <w:tcW w:w="8946" w:type="dxa"/>
            <w:gridSpan w:val="4"/>
            <w:tcBorders>
              <w:top w:val="single" w:sz="4" w:space="0" w:color="auto"/>
              <w:left w:val="single" w:sz="4" w:space="0" w:color="auto"/>
              <w:bottom w:val="single" w:sz="4" w:space="0" w:color="auto"/>
              <w:right w:val="single" w:sz="4" w:space="0" w:color="auto"/>
            </w:tcBorders>
            <w:noWrap/>
            <w:vAlign w:val="bottom"/>
            <w:hideMark/>
          </w:tcPr>
          <w:p w14:paraId="18C8552F" w14:textId="77CE8B7F" w:rsidR="001B49FC" w:rsidRPr="00CD7EA5" w:rsidRDefault="001B49FC" w:rsidP="0073217C">
            <w:pPr>
              <w:pStyle w:val="Heading2"/>
              <w:keepNext w:val="0"/>
              <w:keepLines w:val="0"/>
              <w:suppressAutoHyphens/>
              <w:spacing w:line="240" w:lineRule="auto"/>
              <w:ind w:left="0" w:firstLine="0"/>
              <w:rPr>
                <w:color w:val="auto"/>
                <w:u w:val="none"/>
                <w:lang w:val="is-IS"/>
              </w:rPr>
            </w:pPr>
            <w:r w:rsidRPr="00CD7EA5">
              <w:rPr>
                <w:color w:val="auto"/>
                <w:u w:val="none"/>
                <w:lang w:val="is-IS"/>
              </w:rPr>
              <w:t xml:space="preserve">Lifun án </w:t>
            </w:r>
            <w:r w:rsidR="00FE5EE2" w:rsidRPr="00B72D20">
              <w:rPr>
                <w:color w:val="auto"/>
                <w:u w:val="none"/>
                <w:lang w:val="is-IS"/>
              </w:rPr>
              <w:t>versnunar</w:t>
            </w:r>
            <w:r w:rsidRPr="00CD7EA5">
              <w:rPr>
                <w:color w:val="auto"/>
                <w:u w:val="none"/>
                <w:lang w:val="is-IS"/>
              </w:rPr>
              <w:t xml:space="preserve"> sjúkdóms</w:t>
            </w:r>
            <w:r w:rsidRPr="00CD7EA5">
              <w:rPr>
                <w:color w:val="auto"/>
                <w:u w:val="none"/>
                <w:vertAlign w:val="superscript"/>
                <w:lang w:val="is-IS"/>
              </w:rPr>
              <w:t>1</w:t>
            </w:r>
            <w:r w:rsidRPr="00CD7EA5">
              <w:rPr>
                <w:color w:val="auto"/>
                <w:u w:val="none"/>
                <w:lang w:val="is-IS"/>
              </w:rPr>
              <w:t xml:space="preserve"> </w:t>
            </w:r>
          </w:p>
        </w:tc>
      </w:tr>
      <w:tr w:rsidR="00CD7EA5" w:rsidRPr="00CD7EA5" w14:paraId="29376D49" w14:textId="77777777" w:rsidTr="005F74DC">
        <w:trPr>
          <w:trHeight w:val="374"/>
        </w:trPr>
        <w:tc>
          <w:tcPr>
            <w:tcW w:w="4609" w:type="dxa"/>
            <w:tcBorders>
              <w:top w:val="single" w:sz="4" w:space="0" w:color="auto"/>
              <w:left w:val="single" w:sz="4" w:space="0" w:color="auto"/>
              <w:bottom w:val="single" w:sz="4" w:space="0" w:color="auto"/>
              <w:right w:val="single" w:sz="4" w:space="0" w:color="auto"/>
            </w:tcBorders>
            <w:noWrap/>
          </w:tcPr>
          <w:p w14:paraId="28B59D11" w14:textId="77777777" w:rsidR="001B49FC" w:rsidRPr="00CD7EA5" w:rsidRDefault="001B49FC" w:rsidP="0073217C">
            <w:pPr>
              <w:suppressAutoHyphens/>
              <w:spacing w:after="0" w:line="240" w:lineRule="auto"/>
              <w:ind w:left="0" w:firstLine="0"/>
              <w:rPr>
                <w:color w:val="auto"/>
                <w:lang w:val="is-IS"/>
              </w:rPr>
            </w:pPr>
          </w:p>
        </w:tc>
        <w:tc>
          <w:tcPr>
            <w:tcW w:w="1272" w:type="dxa"/>
            <w:tcBorders>
              <w:top w:val="single" w:sz="4" w:space="0" w:color="auto"/>
              <w:left w:val="single" w:sz="4" w:space="0" w:color="auto"/>
              <w:bottom w:val="single" w:sz="4" w:space="0" w:color="auto"/>
              <w:right w:val="single" w:sz="4" w:space="0" w:color="auto"/>
            </w:tcBorders>
            <w:noWrap/>
            <w:hideMark/>
          </w:tcPr>
          <w:p w14:paraId="5A575696"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CPP</w:t>
            </w:r>
          </w:p>
          <w:p w14:paraId="63A1A849"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(n</w:t>
            </w:r>
            <w:r w:rsidR="006B3207">
              <w:rPr>
                <w:color w:val="auto"/>
                <w:lang w:val="is-IS"/>
              </w:rPr>
              <w:t> </w:t>
            </w:r>
            <w:r w:rsidR="00700BDC">
              <w:rPr>
                <w:color w:val="auto"/>
                <w:lang w:val="is-IS"/>
              </w:rPr>
              <w:t>=</w:t>
            </w:r>
            <w:r w:rsidR="006B3207">
              <w:rPr>
                <w:color w:val="auto"/>
                <w:lang w:val="is-IS"/>
              </w:rPr>
              <w:t> </w:t>
            </w:r>
            <w:r w:rsidRPr="00CD7EA5">
              <w:rPr>
                <w:color w:val="auto"/>
                <w:lang w:val="is-IS"/>
              </w:rPr>
              <w:t>625)</w:t>
            </w:r>
          </w:p>
        </w:tc>
        <w:tc>
          <w:tcPr>
            <w:tcW w:w="0" w:type="auto"/>
            <w:tcBorders>
              <w:top w:val="single" w:sz="4" w:space="0" w:color="auto"/>
              <w:left w:val="single" w:sz="4" w:space="0" w:color="auto"/>
              <w:bottom w:val="single" w:sz="4" w:space="0" w:color="auto"/>
              <w:right w:val="single" w:sz="4" w:space="0" w:color="auto"/>
            </w:tcBorders>
            <w:noWrap/>
            <w:hideMark/>
          </w:tcPr>
          <w:p w14:paraId="4BC1D2A8"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CPB15</w:t>
            </w:r>
          </w:p>
          <w:p w14:paraId="65BB6493"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(n</w:t>
            </w:r>
            <w:r w:rsidR="006B3207">
              <w:rPr>
                <w:color w:val="auto"/>
                <w:lang w:val="is-IS"/>
              </w:rPr>
              <w:t> </w:t>
            </w:r>
            <w:r w:rsidR="00700BDC">
              <w:rPr>
                <w:color w:val="auto"/>
                <w:lang w:val="is-IS"/>
              </w:rPr>
              <w:t>=</w:t>
            </w:r>
            <w:r w:rsidR="006B3207">
              <w:rPr>
                <w:color w:val="auto"/>
                <w:lang w:val="is-IS"/>
              </w:rPr>
              <w:t> </w:t>
            </w:r>
            <w:r w:rsidRPr="00CD7EA5">
              <w:rPr>
                <w:color w:val="auto"/>
                <w:lang w:val="is-IS"/>
              </w:rPr>
              <w:t>625)</w:t>
            </w:r>
          </w:p>
        </w:tc>
        <w:tc>
          <w:tcPr>
            <w:tcW w:w="1409" w:type="dxa"/>
            <w:tcBorders>
              <w:top w:val="single" w:sz="4" w:space="0" w:color="auto"/>
              <w:left w:val="single" w:sz="4" w:space="0" w:color="auto"/>
              <w:bottom w:val="single" w:sz="4" w:space="0" w:color="auto"/>
              <w:right w:val="single" w:sz="4" w:space="0" w:color="auto"/>
            </w:tcBorders>
            <w:noWrap/>
            <w:hideMark/>
          </w:tcPr>
          <w:p w14:paraId="610E4AAB"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CPB15+</w:t>
            </w:r>
          </w:p>
          <w:p w14:paraId="7C537834"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(n</w:t>
            </w:r>
            <w:r w:rsidR="006B3207">
              <w:rPr>
                <w:color w:val="auto"/>
                <w:lang w:val="is-IS"/>
              </w:rPr>
              <w:t> </w:t>
            </w:r>
            <w:r w:rsidR="00700BDC">
              <w:rPr>
                <w:color w:val="auto"/>
                <w:lang w:val="is-IS"/>
              </w:rPr>
              <w:t>=</w:t>
            </w:r>
            <w:r w:rsidR="006B3207">
              <w:rPr>
                <w:color w:val="auto"/>
                <w:lang w:val="is-IS"/>
              </w:rPr>
              <w:t> </w:t>
            </w:r>
            <w:r w:rsidRPr="00CD7EA5">
              <w:rPr>
                <w:color w:val="auto"/>
                <w:lang w:val="is-IS"/>
              </w:rPr>
              <w:t>623)</w:t>
            </w:r>
          </w:p>
        </w:tc>
      </w:tr>
      <w:tr w:rsidR="00CD7EA5" w:rsidRPr="00CD7EA5" w14:paraId="21ACB4DF" w14:textId="77777777" w:rsidTr="005F74DC">
        <w:trPr>
          <w:trHeight w:val="184"/>
        </w:trPr>
        <w:tc>
          <w:tcPr>
            <w:tcW w:w="4609" w:type="dxa"/>
            <w:tcBorders>
              <w:top w:val="single" w:sz="4" w:space="0" w:color="auto"/>
              <w:left w:val="single" w:sz="4" w:space="0" w:color="auto"/>
              <w:bottom w:val="single" w:sz="4" w:space="0" w:color="auto"/>
              <w:right w:val="single" w:sz="4" w:space="0" w:color="auto"/>
            </w:tcBorders>
            <w:noWrap/>
            <w:hideMark/>
          </w:tcPr>
          <w:p w14:paraId="4E684FE0" w14:textId="49CA8D42" w:rsidR="001B49FC" w:rsidRPr="00CD7EA5" w:rsidRDefault="001B49FC" w:rsidP="0073217C">
            <w:pPr>
              <w:suppressAutoHyphens/>
              <w:spacing w:after="0" w:line="240" w:lineRule="auto"/>
              <w:ind w:left="567" w:firstLine="0"/>
              <w:rPr>
                <w:color w:val="auto"/>
                <w:lang w:val="is-IS"/>
              </w:rPr>
            </w:pPr>
            <w:r w:rsidRPr="00CD7EA5">
              <w:rPr>
                <w:color w:val="auto"/>
                <w:lang w:val="is-IS"/>
              </w:rPr>
              <w:t xml:space="preserve">Miðgildi lifunar án </w:t>
            </w:r>
            <w:r w:rsidR="00FE5EE2" w:rsidRPr="00FE5EE2">
              <w:rPr>
                <w:color w:val="auto"/>
                <w:lang w:val="is-IS"/>
              </w:rPr>
              <w:t>versnunar</w:t>
            </w:r>
            <w:r w:rsidRPr="00CD7EA5">
              <w:rPr>
                <w:color w:val="auto"/>
                <w:lang w:val="is-IS"/>
              </w:rPr>
              <w:t xml:space="preserve"> sjúkdóms (mánuðir) </w:t>
            </w:r>
          </w:p>
        </w:tc>
        <w:tc>
          <w:tcPr>
            <w:tcW w:w="1272" w:type="dxa"/>
            <w:tcBorders>
              <w:top w:val="single" w:sz="4" w:space="0" w:color="auto"/>
              <w:left w:val="single" w:sz="4" w:space="0" w:color="auto"/>
              <w:bottom w:val="single" w:sz="4" w:space="0" w:color="auto"/>
              <w:right w:val="single" w:sz="4" w:space="0" w:color="auto"/>
            </w:tcBorders>
            <w:noWrap/>
            <w:hideMark/>
          </w:tcPr>
          <w:p w14:paraId="12CD33B9"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10,6</w:t>
            </w:r>
          </w:p>
        </w:tc>
        <w:tc>
          <w:tcPr>
            <w:tcW w:w="0" w:type="auto"/>
            <w:tcBorders>
              <w:top w:val="single" w:sz="4" w:space="0" w:color="auto"/>
              <w:left w:val="single" w:sz="4" w:space="0" w:color="auto"/>
              <w:bottom w:val="single" w:sz="4" w:space="0" w:color="auto"/>
              <w:right w:val="single" w:sz="4" w:space="0" w:color="auto"/>
            </w:tcBorders>
            <w:noWrap/>
            <w:hideMark/>
          </w:tcPr>
          <w:p w14:paraId="6545F089"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11,6</w:t>
            </w:r>
          </w:p>
        </w:tc>
        <w:tc>
          <w:tcPr>
            <w:tcW w:w="1409" w:type="dxa"/>
            <w:tcBorders>
              <w:top w:val="single" w:sz="4" w:space="0" w:color="auto"/>
              <w:left w:val="single" w:sz="4" w:space="0" w:color="auto"/>
              <w:bottom w:val="single" w:sz="4" w:space="0" w:color="auto"/>
              <w:right w:val="single" w:sz="4" w:space="0" w:color="auto"/>
            </w:tcBorders>
            <w:noWrap/>
            <w:hideMark/>
          </w:tcPr>
          <w:p w14:paraId="472997AD"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14,7</w:t>
            </w:r>
          </w:p>
        </w:tc>
      </w:tr>
      <w:tr w:rsidR="00CD7EA5" w:rsidRPr="00CD7EA5" w14:paraId="014C8488" w14:textId="77777777" w:rsidTr="005F74DC">
        <w:trPr>
          <w:trHeight w:val="346"/>
        </w:trPr>
        <w:tc>
          <w:tcPr>
            <w:tcW w:w="4609" w:type="dxa"/>
            <w:tcBorders>
              <w:top w:val="single" w:sz="4" w:space="0" w:color="auto"/>
              <w:left w:val="single" w:sz="4" w:space="0" w:color="auto"/>
              <w:bottom w:val="single" w:sz="4" w:space="0" w:color="auto"/>
              <w:right w:val="single" w:sz="4" w:space="0" w:color="auto"/>
            </w:tcBorders>
            <w:noWrap/>
          </w:tcPr>
          <w:p w14:paraId="79A38D80" w14:textId="77777777" w:rsidR="001B49FC" w:rsidRPr="00CD7EA5" w:rsidRDefault="001B49FC" w:rsidP="0073217C">
            <w:pPr>
              <w:suppressAutoHyphens/>
              <w:spacing w:after="0" w:line="240" w:lineRule="auto"/>
              <w:ind w:left="567" w:firstLine="0"/>
              <w:rPr>
                <w:color w:val="auto"/>
                <w:lang w:val="is-IS"/>
              </w:rPr>
            </w:pPr>
            <w:r w:rsidRPr="00CD7EA5">
              <w:rPr>
                <w:color w:val="auto"/>
                <w:lang w:val="is-IS"/>
              </w:rPr>
              <w:t>Áhættuhlutfall (95% CI)</w:t>
            </w:r>
            <w:r w:rsidRPr="00CD7EA5">
              <w:rPr>
                <w:color w:val="auto"/>
                <w:vertAlign w:val="superscript"/>
                <w:lang w:val="is-IS"/>
              </w:rPr>
              <w:t>2</w:t>
            </w:r>
            <w:r w:rsidRPr="00CD7EA5">
              <w:rPr>
                <w:color w:val="auto"/>
                <w:lang w:val="is-IS"/>
              </w:rPr>
              <w:t xml:space="preserve"> </w:t>
            </w:r>
          </w:p>
        </w:tc>
        <w:tc>
          <w:tcPr>
            <w:tcW w:w="1272" w:type="dxa"/>
            <w:tcBorders>
              <w:top w:val="single" w:sz="4" w:space="0" w:color="auto"/>
              <w:left w:val="single" w:sz="4" w:space="0" w:color="auto"/>
              <w:bottom w:val="single" w:sz="4" w:space="0" w:color="auto"/>
              <w:right w:val="single" w:sz="4" w:space="0" w:color="auto"/>
            </w:tcBorders>
            <w:noWrap/>
          </w:tcPr>
          <w:p w14:paraId="12785413" w14:textId="77777777" w:rsidR="001B49FC" w:rsidRPr="00CD7EA5" w:rsidRDefault="001B49FC" w:rsidP="0073217C">
            <w:pPr>
              <w:suppressAutoHyphens/>
              <w:spacing w:after="0" w:line="240" w:lineRule="auto"/>
              <w:ind w:left="0" w:firstLine="0"/>
              <w:jc w:val="center"/>
              <w:rPr>
                <w:color w:val="auto"/>
                <w:lang w:val="is-IS"/>
              </w:rPr>
            </w:pPr>
          </w:p>
        </w:tc>
        <w:tc>
          <w:tcPr>
            <w:tcW w:w="0" w:type="auto"/>
            <w:tcBorders>
              <w:top w:val="single" w:sz="4" w:space="0" w:color="auto"/>
              <w:left w:val="single" w:sz="4" w:space="0" w:color="auto"/>
              <w:bottom w:val="single" w:sz="4" w:space="0" w:color="auto"/>
              <w:right w:val="single" w:sz="4" w:space="0" w:color="auto"/>
            </w:tcBorders>
            <w:noWrap/>
            <w:hideMark/>
          </w:tcPr>
          <w:p w14:paraId="2D3E1806"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0,89</w:t>
            </w:r>
          </w:p>
          <w:p w14:paraId="422C5DB8"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(0,78, 1,02)</w:t>
            </w:r>
          </w:p>
        </w:tc>
        <w:tc>
          <w:tcPr>
            <w:tcW w:w="1409" w:type="dxa"/>
            <w:tcBorders>
              <w:top w:val="single" w:sz="4" w:space="0" w:color="auto"/>
              <w:left w:val="single" w:sz="4" w:space="0" w:color="auto"/>
              <w:bottom w:val="single" w:sz="4" w:space="0" w:color="auto"/>
              <w:right w:val="single" w:sz="4" w:space="0" w:color="auto"/>
            </w:tcBorders>
            <w:noWrap/>
            <w:hideMark/>
          </w:tcPr>
          <w:p w14:paraId="3B1436E2"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0,70</w:t>
            </w:r>
          </w:p>
          <w:p w14:paraId="118A4A2E"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(0,61, 0,81)</w:t>
            </w:r>
          </w:p>
        </w:tc>
      </w:tr>
      <w:tr w:rsidR="00CD7EA5" w:rsidRPr="00CD7EA5" w14:paraId="43468195" w14:textId="77777777" w:rsidTr="005F74DC">
        <w:trPr>
          <w:trHeight w:val="327"/>
        </w:trPr>
        <w:tc>
          <w:tcPr>
            <w:tcW w:w="4609" w:type="dxa"/>
            <w:tcBorders>
              <w:top w:val="single" w:sz="4" w:space="0" w:color="auto"/>
              <w:left w:val="single" w:sz="4" w:space="0" w:color="auto"/>
              <w:bottom w:val="single" w:sz="4" w:space="0" w:color="auto"/>
              <w:right w:val="single" w:sz="4" w:space="0" w:color="auto"/>
            </w:tcBorders>
            <w:noWrap/>
            <w:hideMark/>
          </w:tcPr>
          <w:p w14:paraId="6F850343" w14:textId="77777777" w:rsidR="001B49FC" w:rsidRPr="00CD7EA5" w:rsidRDefault="001B49FC" w:rsidP="0073217C">
            <w:pPr>
              <w:suppressAutoHyphens/>
              <w:spacing w:after="0" w:line="240" w:lineRule="auto"/>
              <w:ind w:left="567" w:firstLine="0"/>
              <w:rPr>
                <w:color w:val="auto"/>
                <w:lang w:val="is-IS"/>
              </w:rPr>
            </w:pPr>
            <w:r w:rsidRPr="00CD7EA5">
              <w:rPr>
                <w:color w:val="auto"/>
                <w:lang w:val="is-IS"/>
              </w:rPr>
              <w:t>p –gildi</w:t>
            </w:r>
            <w:r w:rsidRPr="00CD7EA5">
              <w:rPr>
                <w:color w:val="auto"/>
                <w:vertAlign w:val="superscript"/>
                <w:lang w:val="is-IS"/>
              </w:rPr>
              <w:t>3, 4</w:t>
            </w:r>
            <w:r w:rsidRPr="00CD7EA5">
              <w:rPr>
                <w:color w:val="auto"/>
                <w:lang w:val="is-IS"/>
              </w:rPr>
              <w:t xml:space="preserve"> </w:t>
            </w:r>
          </w:p>
        </w:tc>
        <w:tc>
          <w:tcPr>
            <w:tcW w:w="1272" w:type="dxa"/>
            <w:tcBorders>
              <w:top w:val="single" w:sz="4" w:space="0" w:color="auto"/>
              <w:left w:val="single" w:sz="4" w:space="0" w:color="auto"/>
              <w:bottom w:val="single" w:sz="4" w:space="0" w:color="auto"/>
              <w:right w:val="single" w:sz="4" w:space="0" w:color="auto"/>
            </w:tcBorders>
            <w:noWrap/>
          </w:tcPr>
          <w:p w14:paraId="5CDB0179" w14:textId="77777777" w:rsidR="001B49FC" w:rsidRPr="00CD7EA5" w:rsidRDefault="001B49FC" w:rsidP="0073217C">
            <w:pPr>
              <w:suppressAutoHyphens/>
              <w:spacing w:after="0" w:line="240" w:lineRule="auto"/>
              <w:ind w:left="0" w:firstLine="0"/>
              <w:jc w:val="center"/>
              <w:rPr>
                <w:color w:val="auto"/>
                <w:lang w:val="is-IS"/>
              </w:rPr>
            </w:pPr>
          </w:p>
        </w:tc>
        <w:tc>
          <w:tcPr>
            <w:tcW w:w="0" w:type="auto"/>
            <w:tcBorders>
              <w:top w:val="single" w:sz="4" w:space="0" w:color="auto"/>
              <w:left w:val="single" w:sz="4" w:space="0" w:color="auto"/>
              <w:bottom w:val="single" w:sz="4" w:space="0" w:color="auto"/>
              <w:right w:val="single" w:sz="4" w:space="0" w:color="auto"/>
            </w:tcBorders>
            <w:noWrap/>
            <w:hideMark/>
          </w:tcPr>
          <w:p w14:paraId="58D46622"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0,0437</w:t>
            </w:r>
          </w:p>
        </w:tc>
        <w:tc>
          <w:tcPr>
            <w:tcW w:w="1409" w:type="dxa"/>
            <w:tcBorders>
              <w:top w:val="single" w:sz="4" w:space="0" w:color="auto"/>
              <w:left w:val="single" w:sz="4" w:space="0" w:color="auto"/>
              <w:bottom w:val="single" w:sz="4" w:space="0" w:color="auto"/>
              <w:right w:val="single" w:sz="4" w:space="0" w:color="auto"/>
            </w:tcBorders>
            <w:noWrap/>
            <w:hideMark/>
          </w:tcPr>
          <w:p w14:paraId="675F04C2"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&lt;</w:t>
            </w:r>
            <w:r w:rsidR="006B3207">
              <w:rPr>
                <w:color w:val="auto"/>
                <w:lang w:val="is-IS"/>
              </w:rPr>
              <w:t> </w:t>
            </w:r>
            <w:r w:rsidRPr="00CD7EA5">
              <w:rPr>
                <w:color w:val="auto"/>
                <w:lang w:val="is-IS"/>
              </w:rPr>
              <w:t>0,0001</w:t>
            </w:r>
          </w:p>
        </w:tc>
      </w:tr>
      <w:tr w:rsidR="005F74DC" w:rsidRPr="00CD7EA5" w14:paraId="50C0A0ED" w14:textId="77777777" w:rsidTr="005F74DC">
        <w:trPr>
          <w:trHeight w:val="300"/>
        </w:trPr>
        <w:tc>
          <w:tcPr>
            <w:tcW w:w="8946" w:type="dxa"/>
            <w:gridSpan w:val="4"/>
            <w:tcBorders>
              <w:top w:val="single" w:sz="4" w:space="0" w:color="auto"/>
              <w:left w:val="single" w:sz="4" w:space="0" w:color="auto"/>
              <w:bottom w:val="single" w:sz="4" w:space="0" w:color="auto"/>
              <w:right w:val="single" w:sz="4" w:space="0" w:color="auto"/>
            </w:tcBorders>
            <w:noWrap/>
            <w:vAlign w:val="bottom"/>
            <w:hideMark/>
          </w:tcPr>
          <w:p w14:paraId="02E61BAE" w14:textId="77777777" w:rsidR="001B49FC" w:rsidRPr="00CD7EA5" w:rsidRDefault="001B49FC" w:rsidP="0073217C">
            <w:pPr>
              <w:suppressAutoHyphens/>
              <w:spacing w:after="0" w:line="240" w:lineRule="auto"/>
              <w:ind w:left="0" w:firstLine="0"/>
              <w:rPr>
                <w:color w:val="auto"/>
                <w:lang w:val="is-IS"/>
              </w:rPr>
            </w:pPr>
            <w:r w:rsidRPr="00CD7EA5">
              <w:rPr>
                <w:color w:val="auto"/>
                <w:lang w:val="is-IS"/>
              </w:rPr>
              <w:t>Hlutlægt svörunarhlutfall</w:t>
            </w:r>
            <w:r w:rsidRPr="00CD7EA5">
              <w:rPr>
                <w:color w:val="auto"/>
                <w:vertAlign w:val="superscript"/>
                <w:lang w:val="is-IS"/>
              </w:rPr>
              <w:t>5</w:t>
            </w:r>
            <w:r w:rsidRPr="00CD7EA5">
              <w:rPr>
                <w:color w:val="auto"/>
                <w:lang w:val="is-IS"/>
              </w:rPr>
              <w:t xml:space="preserve"> </w:t>
            </w:r>
          </w:p>
        </w:tc>
      </w:tr>
      <w:tr w:rsidR="00CD7EA5" w:rsidRPr="00CD7EA5" w14:paraId="6FF67D34" w14:textId="77777777" w:rsidTr="005F74DC">
        <w:trPr>
          <w:trHeight w:val="472"/>
        </w:trPr>
        <w:tc>
          <w:tcPr>
            <w:tcW w:w="4609" w:type="dxa"/>
            <w:tcBorders>
              <w:top w:val="single" w:sz="4" w:space="0" w:color="auto"/>
              <w:left w:val="single" w:sz="4" w:space="0" w:color="auto"/>
              <w:bottom w:val="single" w:sz="4" w:space="0" w:color="auto"/>
              <w:right w:val="single" w:sz="4" w:space="0" w:color="auto"/>
            </w:tcBorders>
            <w:noWrap/>
          </w:tcPr>
          <w:p w14:paraId="08EA7F37" w14:textId="77777777" w:rsidR="001B49FC" w:rsidRPr="00CD7EA5" w:rsidRDefault="001B49FC" w:rsidP="0073217C">
            <w:pPr>
              <w:suppressAutoHyphens/>
              <w:spacing w:after="0" w:line="240" w:lineRule="auto"/>
              <w:ind w:left="0" w:firstLine="0"/>
              <w:rPr>
                <w:color w:val="auto"/>
                <w:lang w:val="is-IS"/>
              </w:rPr>
            </w:pPr>
          </w:p>
        </w:tc>
        <w:tc>
          <w:tcPr>
            <w:tcW w:w="1272" w:type="dxa"/>
            <w:tcBorders>
              <w:top w:val="single" w:sz="4" w:space="0" w:color="auto"/>
              <w:left w:val="single" w:sz="4" w:space="0" w:color="auto"/>
              <w:bottom w:val="single" w:sz="4" w:space="0" w:color="auto"/>
              <w:right w:val="single" w:sz="4" w:space="0" w:color="auto"/>
            </w:tcBorders>
            <w:noWrap/>
            <w:hideMark/>
          </w:tcPr>
          <w:p w14:paraId="271F26AA"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CPP</w:t>
            </w:r>
          </w:p>
          <w:p w14:paraId="711B1EBF"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(n</w:t>
            </w:r>
            <w:r w:rsidR="006B3207">
              <w:rPr>
                <w:color w:val="auto"/>
                <w:lang w:val="is-IS"/>
              </w:rPr>
              <w:t> </w:t>
            </w:r>
            <w:r w:rsidR="00700BDC">
              <w:rPr>
                <w:color w:val="auto"/>
                <w:lang w:val="is-IS"/>
              </w:rPr>
              <w:t>=</w:t>
            </w:r>
            <w:r w:rsidR="006B3207">
              <w:rPr>
                <w:color w:val="auto"/>
                <w:lang w:val="is-IS"/>
              </w:rPr>
              <w:t> </w:t>
            </w:r>
            <w:r w:rsidRPr="00CD7EA5">
              <w:rPr>
                <w:color w:val="auto"/>
                <w:lang w:val="is-IS"/>
              </w:rPr>
              <w:t>396)</w:t>
            </w:r>
          </w:p>
        </w:tc>
        <w:tc>
          <w:tcPr>
            <w:tcW w:w="0" w:type="auto"/>
            <w:tcBorders>
              <w:top w:val="single" w:sz="4" w:space="0" w:color="auto"/>
              <w:left w:val="single" w:sz="4" w:space="0" w:color="auto"/>
              <w:bottom w:val="single" w:sz="4" w:space="0" w:color="auto"/>
              <w:right w:val="single" w:sz="4" w:space="0" w:color="auto"/>
            </w:tcBorders>
            <w:noWrap/>
            <w:hideMark/>
          </w:tcPr>
          <w:p w14:paraId="3877812B"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CPB15</w:t>
            </w:r>
          </w:p>
          <w:p w14:paraId="5BA32B28"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(n</w:t>
            </w:r>
            <w:r w:rsidR="006B3207">
              <w:rPr>
                <w:color w:val="auto"/>
                <w:lang w:val="is-IS"/>
              </w:rPr>
              <w:t> </w:t>
            </w:r>
            <w:r w:rsidR="00700BDC">
              <w:rPr>
                <w:color w:val="auto"/>
                <w:lang w:val="is-IS"/>
              </w:rPr>
              <w:t>=</w:t>
            </w:r>
            <w:r w:rsidR="006B3207">
              <w:rPr>
                <w:color w:val="auto"/>
                <w:lang w:val="is-IS"/>
              </w:rPr>
              <w:t> </w:t>
            </w:r>
            <w:r w:rsidRPr="00CD7EA5">
              <w:rPr>
                <w:color w:val="auto"/>
                <w:lang w:val="is-IS"/>
              </w:rPr>
              <w:t>393)</w:t>
            </w:r>
          </w:p>
        </w:tc>
        <w:tc>
          <w:tcPr>
            <w:tcW w:w="1409" w:type="dxa"/>
            <w:tcBorders>
              <w:top w:val="single" w:sz="4" w:space="0" w:color="auto"/>
              <w:left w:val="single" w:sz="4" w:space="0" w:color="auto"/>
              <w:bottom w:val="single" w:sz="4" w:space="0" w:color="auto"/>
              <w:right w:val="single" w:sz="4" w:space="0" w:color="auto"/>
            </w:tcBorders>
            <w:noWrap/>
            <w:hideMark/>
          </w:tcPr>
          <w:p w14:paraId="1DBB83E3"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CPB15+</w:t>
            </w:r>
          </w:p>
          <w:p w14:paraId="3DBF5396"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(n</w:t>
            </w:r>
            <w:r w:rsidR="006B3207">
              <w:rPr>
                <w:color w:val="auto"/>
                <w:lang w:val="is-IS"/>
              </w:rPr>
              <w:t> </w:t>
            </w:r>
            <w:r w:rsidR="00700BDC">
              <w:rPr>
                <w:color w:val="auto"/>
                <w:lang w:val="is-IS"/>
              </w:rPr>
              <w:t>=</w:t>
            </w:r>
            <w:r w:rsidR="006B3207">
              <w:rPr>
                <w:color w:val="auto"/>
                <w:lang w:val="is-IS"/>
              </w:rPr>
              <w:t> </w:t>
            </w:r>
            <w:r w:rsidRPr="00CD7EA5">
              <w:rPr>
                <w:color w:val="auto"/>
                <w:lang w:val="is-IS"/>
              </w:rPr>
              <w:t>403)</w:t>
            </w:r>
          </w:p>
        </w:tc>
      </w:tr>
      <w:tr w:rsidR="00CD7EA5" w:rsidRPr="00CD7EA5" w14:paraId="052D6790" w14:textId="77777777" w:rsidTr="005F74DC">
        <w:trPr>
          <w:trHeight w:val="196"/>
        </w:trPr>
        <w:tc>
          <w:tcPr>
            <w:tcW w:w="4609" w:type="dxa"/>
            <w:tcBorders>
              <w:top w:val="single" w:sz="4" w:space="0" w:color="auto"/>
              <w:left w:val="single" w:sz="4" w:space="0" w:color="auto"/>
              <w:bottom w:val="single" w:sz="4" w:space="0" w:color="auto"/>
              <w:right w:val="single" w:sz="4" w:space="0" w:color="auto"/>
            </w:tcBorders>
            <w:noWrap/>
            <w:hideMark/>
          </w:tcPr>
          <w:p w14:paraId="5E2E1A51" w14:textId="77777777" w:rsidR="001B49FC" w:rsidRPr="00CD7EA5" w:rsidRDefault="001B49FC" w:rsidP="0073217C">
            <w:pPr>
              <w:suppressAutoHyphens/>
              <w:spacing w:after="0" w:line="240" w:lineRule="auto"/>
              <w:ind w:left="567" w:firstLine="0"/>
              <w:rPr>
                <w:color w:val="auto"/>
                <w:lang w:val="is-IS"/>
              </w:rPr>
            </w:pPr>
            <w:r w:rsidRPr="00CD7EA5">
              <w:rPr>
                <w:color w:val="auto"/>
                <w:lang w:val="is-IS"/>
              </w:rPr>
              <w:t>% sjúklinga með hlutlæga svörun</w:t>
            </w:r>
          </w:p>
        </w:tc>
        <w:tc>
          <w:tcPr>
            <w:tcW w:w="1272" w:type="dxa"/>
            <w:tcBorders>
              <w:top w:val="single" w:sz="4" w:space="0" w:color="auto"/>
              <w:left w:val="single" w:sz="4" w:space="0" w:color="auto"/>
              <w:bottom w:val="single" w:sz="4" w:space="0" w:color="auto"/>
              <w:right w:val="single" w:sz="4" w:space="0" w:color="auto"/>
            </w:tcBorders>
            <w:noWrap/>
            <w:hideMark/>
          </w:tcPr>
          <w:p w14:paraId="29B47AF5"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63,4</w:t>
            </w:r>
          </w:p>
        </w:tc>
        <w:tc>
          <w:tcPr>
            <w:tcW w:w="0" w:type="auto"/>
            <w:tcBorders>
              <w:top w:val="single" w:sz="4" w:space="0" w:color="auto"/>
              <w:left w:val="single" w:sz="4" w:space="0" w:color="auto"/>
              <w:bottom w:val="single" w:sz="4" w:space="0" w:color="auto"/>
              <w:right w:val="single" w:sz="4" w:space="0" w:color="auto"/>
            </w:tcBorders>
            <w:noWrap/>
            <w:hideMark/>
          </w:tcPr>
          <w:p w14:paraId="0BDDC134"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66,2</w:t>
            </w:r>
          </w:p>
        </w:tc>
        <w:tc>
          <w:tcPr>
            <w:tcW w:w="1409" w:type="dxa"/>
            <w:tcBorders>
              <w:top w:val="single" w:sz="4" w:space="0" w:color="auto"/>
              <w:left w:val="single" w:sz="4" w:space="0" w:color="auto"/>
              <w:bottom w:val="single" w:sz="4" w:space="0" w:color="auto"/>
              <w:right w:val="single" w:sz="4" w:space="0" w:color="auto"/>
            </w:tcBorders>
            <w:noWrap/>
            <w:hideMark/>
          </w:tcPr>
          <w:p w14:paraId="5549A435"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66,0</w:t>
            </w:r>
          </w:p>
        </w:tc>
      </w:tr>
      <w:tr w:rsidR="00CD7EA5" w:rsidRPr="00CD7EA5" w14:paraId="29A90686" w14:textId="77777777" w:rsidTr="005F74DC">
        <w:trPr>
          <w:trHeight w:val="306"/>
        </w:trPr>
        <w:tc>
          <w:tcPr>
            <w:tcW w:w="4609" w:type="dxa"/>
            <w:tcBorders>
              <w:top w:val="single" w:sz="4" w:space="0" w:color="auto"/>
              <w:left w:val="single" w:sz="4" w:space="0" w:color="auto"/>
              <w:bottom w:val="single" w:sz="4" w:space="0" w:color="auto"/>
              <w:right w:val="single" w:sz="4" w:space="0" w:color="auto"/>
            </w:tcBorders>
            <w:noWrap/>
            <w:hideMark/>
          </w:tcPr>
          <w:p w14:paraId="39EABEC7" w14:textId="77777777" w:rsidR="001B49FC" w:rsidRPr="00CD7EA5" w:rsidRDefault="001B49FC" w:rsidP="0073217C">
            <w:pPr>
              <w:suppressAutoHyphens/>
              <w:spacing w:after="0" w:line="240" w:lineRule="auto"/>
              <w:ind w:left="567" w:firstLine="0"/>
              <w:rPr>
                <w:color w:val="auto"/>
                <w:lang w:val="is-IS"/>
              </w:rPr>
            </w:pPr>
            <w:r w:rsidRPr="00CD7EA5">
              <w:rPr>
                <w:color w:val="auto"/>
                <w:lang w:val="is-IS"/>
              </w:rPr>
              <w:t>p –gildi</w:t>
            </w:r>
          </w:p>
        </w:tc>
        <w:tc>
          <w:tcPr>
            <w:tcW w:w="1272" w:type="dxa"/>
            <w:tcBorders>
              <w:top w:val="single" w:sz="4" w:space="0" w:color="auto"/>
              <w:left w:val="single" w:sz="4" w:space="0" w:color="auto"/>
              <w:bottom w:val="single" w:sz="4" w:space="0" w:color="auto"/>
              <w:right w:val="single" w:sz="4" w:space="0" w:color="auto"/>
            </w:tcBorders>
            <w:noWrap/>
          </w:tcPr>
          <w:p w14:paraId="7DA5AC5C" w14:textId="77777777" w:rsidR="001B49FC" w:rsidRPr="00CD7EA5" w:rsidRDefault="001B49FC" w:rsidP="0073217C">
            <w:pPr>
              <w:suppressAutoHyphens/>
              <w:spacing w:after="0" w:line="240" w:lineRule="auto"/>
              <w:ind w:left="0" w:firstLine="0"/>
              <w:jc w:val="center"/>
              <w:rPr>
                <w:color w:val="auto"/>
                <w:lang w:val="is-IS"/>
              </w:rPr>
            </w:pPr>
          </w:p>
        </w:tc>
        <w:tc>
          <w:tcPr>
            <w:tcW w:w="0" w:type="auto"/>
            <w:tcBorders>
              <w:top w:val="single" w:sz="4" w:space="0" w:color="auto"/>
              <w:left w:val="single" w:sz="4" w:space="0" w:color="auto"/>
              <w:bottom w:val="single" w:sz="4" w:space="0" w:color="auto"/>
              <w:right w:val="single" w:sz="4" w:space="0" w:color="auto"/>
            </w:tcBorders>
            <w:noWrap/>
            <w:hideMark/>
          </w:tcPr>
          <w:p w14:paraId="57D23DFB"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0,2341</w:t>
            </w:r>
          </w:p>
        </w:tc>
        <w:tc>
          <w:tcPr>
            <w:tcW w:w="1409" w:type="dxa"/>
            <w:tcBorders>
              <w:top w:val="single" w:sz="4" w:space="0" w:color="auto"/>
              <w:left w:val="single" w:sz="4" w:space="0" w:color="auto"/>
              <w:bottom w:val="single" w:sz="4" w:space="0" w:color="auto"/>
              <w:right w:val="single" w:sz="4" w:space="0" w:color="auto"/>
            </w:tcBorders>
            <w:noWrap/>
            <w:hideMark/>
          </w:tcPr>
          <w:p w14:paraId="37A0AA10"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0,2041</w:t>
            </w:r>
          </w:p>
        </w:tc>
      </w:tr>
      <w:tr w:rsidR="005F74DC" w:rsidRPr="00CD7EA5" w14:paraId="503906E3" w14:textId="77777777" w:rsidTr="005F74DC">
        <w:trPr>
          <w:trHeight w:val="300"/>
        </w:trPr>
        <w:tc>
          <w:tcPr>
            <w:tcW w:w="8946" w:type="dxa"/>
            <w:gridSpan w:val="4"/>
            <w:tcBorders>
              <w:top w:val="single" w:sz="4" w:space="0" w:color="auto"/>
              <w:left w:val="single" w:sz="4" w:space="0" w:color="auto"/>
              <w:bottom w:val="single" w:sz="4" w:space="0" w:color="auto"/>
              <w:right w:val="single" w:sz="4" w:space="0" w:color="auto"/>
            </w:tcBorders>
            <w:noWrap/>
            <w:vAlign w:val="bottom"/>
            <w:hideMark/>
          </w:tcPr>
          <w:p w14:paraId="546C0CEF" w14:textId="77777777" w:rsidR="001B49FC" w:rsidRPr="00CD7EA5" w:rsidRDefault="001B49FC" w:rsidP="0073217C">
            <w:pPr>
              <w:suppressAutoHyphens/>
              <w:spacing w:after="0" w:line="240" w:lineRule="auto"/>
              <w:ind w:left="0" w:firstLine="0"/>
              <w:rPr>
                <w:color w:val="auto"/>
                <w:lang w:val="is-IS"/>
              </w:rPr>
            </w:pPr>
            <w:r w:rsidRPr="00CD7EA5">
              <w:rPr>
                <w:color w:val="auto"/>
                <w:lang w:val="is-IS"/>
              </w:rPr>
              <w:t>Heildarlifun</w:t>
            </w:r>
            <w:r w:rsidRPr="00CD7EA5">
              <w:rPr>
                <w:color w:val="auto"/>
                <w:vertAlign w:val="superscript"/>
                <w:lang w:val="is-IS"/>
              </w:rPr>
              <w:t>6</w:t>
            </w:r>
            <w:r w:rsidRPr="00CD7EA5">
              <w:rPr>
                <w:color w:val="auto"/>
                <w:lang w:val="is-IS"/>
              </w:rPr>
              <w:t xml:space="preserve"> </w:t>
            </w:r>
          </w:p>
        </w:tc>
      </w:tr>
      <w:tr w:rsidR="00CD7EA5" w:rsidRPr="00CD7EA5" w14:paraId="27889530" w14:textId="77777777" w:rsidTr="005F74DC">
        <w:trPr>
          <w:trHeight w:val="483"/>
        </w:trPr>
        <w:tc>
          <w:tcPr>
            <w:tcW w:w="4609" w:type="dxa"/>
            <w:tcBorders>
              <w:top w:val="single" w:sz="4" w:space="0" w:color="auto"/>
              <w:left w:val="single" w:sz="4" w:space="0" w:color="auto"/>
              <w:bottom w:val="single" w:sz="4" w:space="0" w:color="auto"/>
              <w:right w:val="single" w:sz="4" w:space="0" w:color="auto"/>
            </w:tcBorders>
            <w:noWrap/>
          </w:tcPr>
          <w:p w14:paraId="36CA190B" w14:textId="77777777" w:rsidR="001B49FC" w:rsidRPr="00CD7EA5" w:rsidRDefault="001B49FC" w:rsidP="0073217C">
            <w:pPr>
              <w:suppressAutoHyphens/>
              <w:spacing w:after="0" w:line="240" w:lineRule="auto"/>
              <w:ind w:left="0" w:firstLine="0"/>
              <w:rPr>
                <w:color w:val="auto"/>
                <w:lang w:val="is-IS"/>
              </w:rPr>
            </w:pPr>
          </w:p>
        </w:tc>
        <w:tc>
          <w:tcPr>
            <w:tcW w:w="1272" w:type="dxa"/>
            <w:tcBorders>
              <w:top w:val="single" w:sz="4" w:space="0" w:color="auto"/>
              <w:left w:val="single" w:sz="4" w:space="0" w:color="auto"/>
              <w:bottom w:val="single" w:sz="4" w:space="0" w:color="auto"/>
              <w:right w:val="single" w:sz="4" w:space="0" w:color="auto"/>
            </w:tcBorders>
            <w:noWrap/>
            <w:hideMark/>
          </w:tcPr>
          <w:p w14:paraId="022F8807"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CPP</w:t>
            </w:r>
          </w:p>
          <w:p w14:paraId="74821D87"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(n</w:t>
            </w:r>
            <w:r w:rsidR="006B3207">
              <w:t> </w:t>
            </w:r>
            <w:r w:rsidR="00700BDC">
              <w:rPr>
                <w:color w:val="auto"/>
                <w:lang w:val="is-IS"/>
              </w:rPr>
              <w:t>=</w:t>
            </w:r>
            <w:r w:rsidR="006B3207">
              <w:rPr>
                <w:color w:val="auto"/>
                <w:lang w:val="is-IS"/>
              </w:rPr>
              <w:t> </w:t>
            </w:r>
            <w:r w:rsidRPr="00CD7EA5">
              <w:rPr>
                <w:color w:val="auto"/>
                <w:lang w:val="is-IS"/>
              </w:rPr>
              <w:t>625)</w:t>
            </w:r>
          </w:p>
        </w:tc>
        <w:tc>
          <w:tcPr>
            <w:tcW w:w="0" w:type="auto"/>
            <w:tcBorders>
              <w:top w:val="single" w:sz="4" w:space="0" w:color="auto"/>
              <w:left w:val="single" w:sz="4" w:space="0" w:color="auto"/>
              <w:bottom w:val="single" w:sz="4" w:space="0" w:color="auto"/>
              <w:right w:val="single" w:sz="4" w:space="0" w:color="auto"/>
            </w:tcBorders>
            <w:noWrap/>
            <w:hideMark/>
          </w:tcPr>
          <w:p w14:paraId="3EB3AB99"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CPB15</w:t>
            </w:r>
          </w:p>
          <w:p w14:paraId="0DCAD830"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(n</w:t>
            </w:r>
            <w:r w:rsidR="006B3207">
              <w:rPr>
                <w:color w:val="auto"/>
                <w:lang w:val="is-IS"/>
              </w:rPr>
              <w:t> </w:t>
            </w:r>
            <w:r w:rsidR="00700BDC">
              <w:rPr>
                <w:color w:val="auto"/>
                <w:lang w:val="is-IS"/>
              </w:rPr>
              <w:t>=</w:t>
            </w:r>
            <w:r w:rsidR="006B3207">
              <w:rPr>
                <w:color w:val="auto"/>
                <w:lang w:val="is-IS"/>
              </w:rPr>
              <w:t> </w:t>
            </w:r>
            <w:r w:rsidRPr="00CD7EA5">
              <w:rPr>
                <w:color w:val="auto"/>
                <w:lang w:val="is-IS"/>
              </w:rPr>
              <w:t>625)</w:t>
            </w:r>
          </w:p>
        </w:tc>
        <w:tc>
          <w:tcPr>
            <w:tcW w:w="1409" w:type="dxa"/>
            <w:tcBorders>
              <w:top w:val="single" w:sz="4" w:space="0" w:color="auto"/>
              <w:left w:val="single" w:sz="4" w:space="0" w:color="auto"/>
              <w:bottom w:val="single" w:sz="4" w:space="0" w:color="auto"/>
              <w:right w:val="single" w:sz="4" w:space="0" w:color="auto"/>
            </w:tcBorders>
            <w:noWrap/>
            <w:hideMark/>
          </w:tcPr>
          <w:p w14:paraId="39D4677B"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CPB15+</w:t>
            </w:r>
          </w:p>
          <w:p w14:paraId="24929C72"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(n</w:t>
            </w:r>
            <w:r w:rsidR="006B3207">
              <w:rPr>
                <w:color w:val="auto"/>
                <w:lang w:val="is-IS"/>
              </w:rPr>
              <w:t> </w:t>
            </w:r>
            <w:r w:rsidR="00700BDC">
              <w:rPr>
                <w:color w:val="auto"/>
                <w:lang w:val="is-IS"/>
              </w:rPr>
              <w:t>=</w:t>
            </w:r>
            <w:r w:rsidR="006B3207">
              <w:rPr>
                <w:color w:val="auto"/>
                <w:lang w:val="is-IS"/>
              </w:rPr>
              <w:t> </w:t>
            </w:r>
            <w:r w:rsidRPr="00CD7EA5">
              <w:rPr>
                <w:color w:val="auto"/>
                <w:lang w:val="is-IS"/>
              </w:rPr>
              <w:t>623)</w:t>
            </w:r>
          </w:p>
        </w:tc>
      </w:tr>
      <w:tr w:rsidR="00CD7EA5" w:rsidRPr="00CD7EA5" w14:paraId="67AD20A1" w14:textId="77777777" w:rsidTr="005F74DC">
        <w:trPr>
          <w:trHeight w:val="149"/>
        </w:trPr>
        <w:tc>
          <w:tcPr>
            <w:tcW w:w="4609" w:type="dxa"/>
            <w:tcBorders>
              <w:top w:val="single" w:sz="4" w:space="0" w:color="auto"/>
              <w:left w:val="single" w:sz="4" w:space="0" w:color="auto"/>
              <w:bottom w:val="single" w:sz="4" w:space="0" w:color="auto"/>
              <w:right w:val="single" w:sz="4" w:space="0" w:color="auto"/>
            </w:tcBorders>
            <w:noWrap/>
            <w:hideMark/>
          </w:tcPr>
          <w:p w14:paraId="3DD008C3" w14:textId="7A99FC35" w:rsidR="001B49FC" w:rsidRPr="00CD7EA5" w:rsidRDefault="001B49FC" w:rsidP="0073217C">
            <w:pPr>
              <w:suppressAutoHyphens/>
              <w:spacing w:after="0" w:line="240" w:lineRule="auto"/>
              <w:ind w:left="567" w:firstLine="0"/>
              <w:rPr>
                <w:color w:val="auto"/>
                <w:lang w:val="is-IS"/>
              </w:rPr>
            </w:pPr>
            <w:r w:rsidRPr="00CD7EA5">
              <w:rPr>
                <w:color w:val="auto"/>
                <w:lang w:val="is-IS"/>
              </w:rPr>
              <w:t>Miðgildi heildarlifunar (mánuðir)</w:t>
            </w:r>
          </w:p>
        </w:tc>
        <w:tc>
          <w:tcPr>
            <w:tcW w:w="1272" w:type="dxa"/>
            <w:tcBorders>
              <w:top w:val="single" w:sz="4" w:space="0" w:color="auto"/>
              <w:left w:val="single" w:sz="4" w:space="0" w:color="auto"/>
              <w:bottom w:val="single" w:sz="4" w:space="0" w:color="auto"/>
              <w:right w:val="single" w:sz="4" w:space="0" w:color="auto"/>
            </w:tcBorders>
            <w:noWrap/>
            <w:hideMark/>
          </w:tcPr>
          <w:p w14:paraId="70ECEEC3"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40,6</w:t>
            </w:r>
          </w:p>
        </w:tc>
        <w:tc>
          <w:tcPr>
            <w:tcW w:w="0" w:type="auto"/>
            <w:tcBorders>
              <w:top w:val="single" w:sz="4" w:space="0" w:color="auto"/>
              <w:left w:val="single" w:sz="4" w:space="0" w:color="auto"/>
              <w:bottom w:val="single" w:sz="4" w:space="0" w:color="auto"/>
              <w:right w:val="single" w:sz="4" w:space="0" w:color="auto"/>
            </w:tcBorders>
            <w:noWrap/>
            <w:hideMark/>
          </w:tcPr>
          <w:p w14:paraId="4C90AB72"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38,8</w:t>
            </w:r>
          </w:p>
        </w:tc>
        <w:tc>
          <w:tcPr>
            <w:tcW w:w="1409" w:type="dxa"/>
            <w:tcBorders>
              <w:top w:val="single" w:sz="4" w:space="0" w:color="auto"/>
              <w:left w:val="single" w:sz="4" w:space="0" w:color="auto"/>
              <w:bottom w:val="single" w:sz="4" w:space="0" w:color="auto"/>
              <w:right w:val="single" w:sz="4" w:space="0" w:color="auto"/>
            </w:tcBorders>
            <w:noWrap/>
            <w:hideMark/>
          </w:tcPr>
          <w:p w14:paraId="650E10F3"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43,8</w:t>
            </w:r>
          </w:p>
        </w:tc>
      </w:tr>
      <w:tr w:rsidR="00CD7EA5" w:rsidRPr="00CD7EA5" w14:paraId="78774227" w14:textId="77777777" w:rsidTr="005F74DC">
        <w:trPr>
          <w:trHeight w:val="161"/>
        </w:trPr>
        <w:tc>
          <w:tcPr>
            <w:tcW w:w="4609" w:type="dxa"/>
            <w:tcBorders>
              <w:top w:val="single" w:sz="4" w:space="0" w:color="auto"/>
              <w:left w:val="single" w:sz="4" w:space="0" w:color="auto"/>
              <w:bottom w:val="single" w:sz="4" w:space="0" w:color="auto"/>
              <w:right w:val="single" w:sz="4" w:space="0" w:color="auto"/>
            </w:tcBorders>
            <w:noWrap/>
            <w:hideMark/>
          </w:tcPr>
          <w:p w14:paraId="77C99EF8" w14:textId="77777777" w:rsidR="001B49FC" w:rsidRPr="00CD7EA5" w:rsidRDefault="00ED5D33" w:rsidP="0073217C">
            <w:pPr>
              <w:suppressAutoHyphens/>
              <w:spacing w:after="0" w:line="240" w:lineRule="auto"/>
              <w:ind w:left="567" w:firstLine="0"/>
              <w:rPr>
                <w:color w:val="auto"/>
                <w:lang w:val="is-IS"/>
              </w:rPr>
            </w:pPr>
            <w:r w:rsidRPr="00CD7EA5">
              <w:rPr>
                <w:color w:val="auto"/>
                <w:lang w:val="is-IS"/>
              </w:rPr>
              <w:t>Áhættuhlutfall (95% CI)</w:t>
            </w:r>
            <w:r w:rsidR="001B49FC" w:rsidRPr="00CD7EA5">
              <w:rPr>
                <w:color w:val="auto"/>
                <w:vertAlign w:val="superscript"/>
                <w:lang w:val="is-IS"/>
              </w:rPr>
              <w:t>2</w:t>
            </w:r>
          </w:p>
        </w:tc>
        <w:tc>
          <w:tcPr>
            <w:tcW w:w="1272" w:type="dxa"/>
            <w:tcBorders>
              <w:top w:val="single" w:sz="4" w:space="0" w:color="auto"/>
              <w:left w:val="single" w:sz="4" w:space="0" w:color="auto"/>
              <w:bottom w:val="single" w:sz="4" w:space="0" w:color="auto"/>
              <w:right w:val="single" w:sz="4" w:space="0" w:color="auto"/>
            </w:tcBorders>
            <w:noWrap/>
          </w:tcPr>
          <w:p w14:paraId="0CE4922C" w14:textId="77777777" w:rsidR="001B49FC" w:rsidRPr="00CD7EA5" w:rsidRDefault="001B49FC" w:rsidP="0073217C">
            <w:pPr>
              <w:suppressAutoHyphens/>
              <w:spacing w:after="0" w:line="240" w:lineRule="auto"/>
              <w:ind w:left="0" w:firstLine="0"/>
              <w:jc w:val="center"/>
              <w:rPr>
                <w:color w:val="auto"/>
                <w:lang w:val="is-IS"/>
              </w:rPr>
            </w:pPr>
          </w:p>
        </w:tc>
        <w:tc>
          <w:tcPr>
            <w:tcW w:w="0" w:type="auto"/>
            <w:tcBorders>
              <w:top w:val="single" w:sz="4" w:space="0" w:color="auto"/>
              <w:left w:val="single" w:sz="4" w:space="0" w:color="auto"/>
              <w:bottom w:val="single" w:sz="4" w:space="0" w:color="auto"/>
              <w:right w:val="single" w:sz="4" w:space="0" w:color="auto"/>
            </w:tcBorders>
            <w:noWrap/>
            <w:hideMark/>
          </w:tcPr>
          <w:p w14:paraId="37C8620D"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1,07 (0,91, 1,25)</w:t>
            </w:r>
          </w:p>
        </w:tc>
        <w:tc>
          <w:tcPr>
            <w:tcW w:w="1409" w:type="dxa"/>
            <w:tcBorders>
              <w:top w:val="single" w:sz="4" w:space="0" w:color="auto"/>
              <w:left w:val="single" w:sz="4" w:space="0" w:color="auto"/>
              <w:bottom w:val="single" w:sz="4" w:space="0" w:color="auto"/>
              <w:right w:val="single" w:sz="4" w:space="0" w:color="auto"/>
            </w:tcBorders>
            <w:noWrap/>
            <w:hideMark/>
          </w:tcPr>
          <w:p w14:paraId="1D664BD1"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0,88 (0,75, 1,04)</w:t>
            </w:r>
          </w:p>
        </w:tc>
      </w:tr>
      <w:tr w:rsidR="005F74DC" w:rsidRPr="00CD7EA5" w14:paraId="2308152B" w14:textId="77777777" w:rsidTr="005F74DC">
        <w:trPr>
          <w:trHeight w:val="268"/>
        </w:trPr>
        <w:tc>
          <w:tcPr>
            <w:tcW w:w="4609" w:type="dxa"/>
            <w:tcBorders>
              <w:top w:val="single" w:sz="4" w:space="0" w:color="auto"/>
              <w:left w:val="single" w:sz="4" w:space="0" w:color="auto"/>
              <w:bottom w:val="single" w:sz="4" w:space="0" w:color="auto"/>
              <w:right w:val="single" w:sz="4" w:space="0" w:color="auto"/>
            </w:tcBorders>
            <w:noWrap/>
            <w:hideMark/>
          </w:tcPr>
          <w:p w14:paraId="1231B8F9" w14:textId="77777777" w:rsidR="001B49FC" w:rsidRPr="00CD7EA5" w:rsidRDefault="001B49FC" w:rsidP="0073217C">
            <w:pPr>
              <w:suppressAutoHyphens/>
              <w:spacing w:after="0" w:line="240" w:lineRule="auto"/>
              <w:ind w:left="567" w:firstLine="0"/>
              <w:rPr>
                <w:color w:val="auto"/>
                <w:lang w:val="is-IS"/>
              </w:rPr>
            </w:pPr>
            <w:r w:rsidRPr="00CD7EA5">
              <w:rPr>
                <w:color w:val="auto"/>
                <w:lang w:val="is-IS"/>
              </w:rPr>
              <w:t>p –gildi</w:t>
            </w:r>
            <w:r w:rsidRPr="00CD7EA5">
              <w:rPr>
                <w:color w:val="auto"/>
                <w:vertAlign w:val="superscript"/>
                <w:lang w:val="is-IS"/>
              </w:rPr>
              <w:t>3</w:t>
            </w:r>
          </w:p>
        </w:tc>
        <w:tc>
          <w:tcPr>
            <w:tcW w:w="1272" w:type="dxa"/>
            <w:tcBorders>
              <w:top w:val="single" w:sz="4" w:space="0" w:color="auto"/>
              <w:left w:val="single" w:sz="4" w:space="0" w:color="auto"/>
              <w:bottom w:val="single" w:sz="4" w:space="0" w:color="auto"/>
              <w:right w:val="single" w:sz="4" w:space="0" w:color="auto"/>
            </w:tcBorders>
            <w:noWrap/>
          </w:tcPr>
          <w:p w14:paraId="1891E407" w14:textId="77777777" w:rsidR="001B49FC" w:rsidRPr="00CD7EA5" w:rsidRDefault="001B49FC" w:rsidP="0073217C">
            <w:pPr>
              <w:suppressAutoHyphens/>
              <w:spacing w:after="0" w:line="240" w:lineRule="auto"/>
              <w:ind w:left="0" w:firstLine="0"/>
              <w:jc w:val="center"/>
              <w:rPr>
                <w:color w:val="auto"/>
                <w:lang w:val="is-IS"/>
              </w:rPr>
            </w:pPr>
          </w:p>
        </w:tc>
        <w:tc>
          <w:tcPr>
            <w:tcW w:w="0" w:type="auto"/>
            <w:tcBorders>
              <w:top w:val="single" w:sz="4" w:space="0" w:color="auto"/>
              <w:left w:val="single" w:sz="4" w:space="0" w:color="auto"/>
              <w:bottom w:val="single" w:sz="4" w:space="0" w:color="auto"/>
              <w:right w:val="single" w:sz="4" w:space="0" w:color="auto"/>
            </w:tcBorders>
            <w:noWrap/>
            <w:hideMark/>
          </w:tcPr>
          <w:p w14:paraId="2FE5A388"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0,2197</w:t>
            </w:r>
          </w:p>
        </w:tc>
        <w:tc>
          <w:tcPr>
            <w:tcW w:w="1409" w:type="dxa"/>
            <w:tcBorders>
              <w:top w:val="single" w:sz="4" w:space="0" w:color="auto"/>
              <w:left w:val="single" w:sz="4" w:space="0" w:color="auto"/>
              <w:bottom w:val="single" w:sz="4" w:space="0" w:color="auto"/>
              <w:right w:val="single" w:sz="4" w:space="0" w:color="auto"/>
            </w:tcBorders>
            <w:noWrap/>
            <w:hideMark/>
          </w:tcPr>
          <w:p w14:paraId="17BF5AB8" w14:textId="77777777" w:rsidR="001B49FC" w:rsidRPr="00CD7EA5" w:rsidRDefault="001B49FC" w:rsidP="0073217C">
            <w:pPr>
              <w:suppressAutoHyphens/>
              <w:spacing w:after="0" w:line="240" w:lineRule="auto"/>
              <w:ind w:left="0" w:firstLine="0"/>
              <w:jc w:val="center"/>
              <w:rPr>
                <w:color w:val="auto"/>
                <w:lang w:val="is-IS"/>
              </w:rPr>
            </w:pPr>
            <w:r w:rsidRPr="00CD7EA5">
              <w:rPr>
                <w:color w:val="auto"/>
                <w:lang w:val="is-IS"/>
              </w:rPr>
              <w:t>0,0641</w:t>
            </w:r>
          </w:p>
        </w:tc>
      </w:tr>
    </w:tbl>
    <w:p w14:paraId="0820E1AD" w14:textId="4E553720" w:rsidR="006C06D6" w:rsidRPr="00D31433" w:rsidRDefault="00E3317D" w:rsidP="0073217C">
      <w:pPr>
        <w:suppressAutoHyphens/>
        <w:spacing w:after="0" w:line="240" w:lineRule="auto"/>
        <w:ind w:left="567" w:hanging="567"/>
        <w:rPr>
          <w:color w:val="auto"/>
          <w:sz w:val="20"/>
          <w:szCs w:val="20"/>
          <w:lang w:val="is-IS"/>
        </w:rPr>
      </w:pPr>
      <w:r w:rsidRPr="005F74DC">
        <w:rPr>
          <w:color w:val="auto"/>
          <w:sz w:val="20"/>
          <w:szCs w:val="20"/>
          <w:vertAlign w:val="superscript"/>
          <w:lang w:val="is-IS"/>
        </w:rPr>
        <w:t>1</w:t>
      </w:r>
      <w:r w:rsidRPr="005F74DC">
        <w:rPr>
          <w:color w:val="auto"/>
          <w:sz w:val="20"/>
          <w:szCs w:val="20"/>
          <w:lang w:val="is-IS"/>
        </w:rPr>
        <w:tab/>
      </w:r>
      <w:r w:rsidR="00564614" w:rsidRPr="005F74DC">
        <w:rPr>
          <w:color w:val="auto"/>
          <w:sz w:val="20"/>
          <w:szCs w:val="20"/>
          <w:lang w:val="is-IS"/>
        </w:rPr>
        <w:t xml:space="preserve">Greining á mati rannsakanda á lifun án </w:t>
      </w:r>
      <w:r w:rsidR="00FE5EE2" w:rsidRPr="00FE5EE2">
        <w:rPr>
          <w:color w:val="auto"/>
          <w:sz w:val="20"/>
          <w:szCs w:val="20"/>
          <w:lang w:val="is-IS"/>
        </w:rPr>
        <w:t>versnunar</w:t>
      </w:r>
      <w:r w:rsidR="00564614" w:rsidRPr="005F74DC">
        <w:rPr>
          <w:color w:val="auto"/>
          <w:sz w:val="20"/>
          <w:szCs w:val="20"/>
          <w:lang w:val="is-IS"/>
        </w:rPr>
        <w:t xml:space="preserve"> sjúkdóms samkvæmt rannsóknaráætlun GOG</w:t>
      </w:r>
      <w:r w:rsidR="00EB1CB7">
        <w:rPr>
          <w:color w:val="auto"/>
          <w:sz w:val="20"/>
          <w:szCs w:val="20"/>
          <w:lang w:val="is-IS"/>
        </w:rPr>
        <w:noBreakHyphen/>
      </w:r>
      <w:r w:rsidR="00564614" w:rsidRPr="005F74DC">
        <w:rPr>
          <w:color w:val="auto"/>
          <w:sz w:val="20"/>
          <w:szCs w:val="20"/>
          <w:lang w:val="is-IS"/>
        </w:rPr>
        <w:t xml:space="preserve">rannsóknarinnar (hvorki leiðrétt með tilliti til framvindu CA-125 mæligilda né meðferðar utan rannsóknaráætlunar fyrir </w:t>
      </w:r>
      <w:r w:rsidR="00FE5EE2">
        <w:rPr>
          <w:color w:val="auto"/>
          <w:sz w:val="20"/>
          <w:szCs w:val="20"/>
          <w:lang w:val="is-IS"/>
        </w:rPr>
        <w:t>versnun</w:t>
      </w:r>
      <w:r w:rsidR="00FE5EE2" w:rsidRPr="005F74DC">
        <w:rPr>
          <w:color w:val="auto"/>
          <w:sz w:val="20"/>
          <w:szCs w:val="20"/>
          <w:lang w:val="is-IS"/>
        </w:rPr>
        <w:t xml:space="preserve"> </w:t>
      </w:r>
      <w:r w:rsidR="00564614" w:rsidRPr="005F74DC">
        <w:rPr>
          <w:color w:val="auto"/>
          <w:sz w:val="20"/>
          <w:szCs w:val="20"/>
          <w:lang w:val="is-IS"/>
        </w:rPr>
        <w:t xml:space="preserve">sjúkdóms), </w:t>
      </w:r>
      <w:r w:rsidR="00EF6528">
        <w:rPr>
          <w:sz w:val="20"/>
          <w:lang w:val="is-IS"/>
        </w:rPr>
        <w:t>lokadagur gagnasöfnunar</w:t>
      </w:r>
      <w:r w:rsidR="00EF6528" w:rsidRPr="003C5958">
        <w:rPr>
          <w:sz w:val="20"/>
          <w:lang w:val="is-IS"/>
        </w:rPr>
        <w:t xml:space="preserve"> </w:t>
      </w:r>
      <w:r w:rsidR="00564614" w:rsidRPr="005F74DC">
        <w:rPr>
          <w:color w:val="auto"/>
          <w:sz w:val="20"/>
          <w:szCs w:val="20"/>
          <w:lang w:val="is-IS"/>
        </w:rPr>
        <w:t>25. febrúar 2010.</w:t>
      </w:r>
    </w:p>
    <w:p w14:paraId="707E4F29" w14:textId="77777777" w:rsidR="006C06D6" w:rsidRPr="005F74DC" w:rsidRDefault="00F52705" w:rsidP="0073217C">
      <w:pPr>
        <w:suppressAutoHyphens/>
        <w:spacing w:after="0" w:line="240" w:lineRule="auto"/>
        <w:ind w:left="567" w:hanging="567"/>
        <w:rPr>
          <w:color w:val="auto"/>
          <w:sz w:val="20"/>
          <w:szCs w:val="20"/>
          <w:lang w:val="is-IS"/>
        </w:rPr>
      </w:pPr>
      <w:r w:rsidRPr="005F74DC">
        <w:rPr>
          <w:color w:val="auto"/>
          <w:sz w:val="20"/>
          <w:szCs w:val="20"/>
          <w:vertAlign w:val="superscript"/>
          <w:lang w:val="is-IS"/>
        </w:rPr>
        <w:t>2</w:t>
      </w:r>
      <w:r w:rsidRPr="005F74DC">
        <w:rPr>
          <w:color w:val="auto"/>
          <w:sz w:val="20"/>
          <w:szCs w:val="20"/>
          <w:lang w:val="is-IS"/>
        </w:rPr>
        <w:tab/>
      </w:r>
      <w:r w:rsidR="00564614" w:rsidRPr="005F74DC">
        <w:rPr>
          <w:color w:val="auto"/>
          <w:sz w:val="20"/>
          <w:szCs w:val="20"/>
          <w:lang w:val="is-IS"/>
        </w:rPr>
        <w:t>Borið saman við samanburðarhópinn; lagskipt áhættuhlutfall (stratified hazard ratio).</w:t>
      </w:r>
    </w:p>
    <w:p w14:paraId="38AFC344" w14:textId="77777777" w:rsidR="006C06D6" w:rsidRPr="005F74DC" w:rsidRDefault="00F52705" w:rsidP="0073217C">
      <w:pPr>
        <w:suppressAutoHyphens/>
        <w:spacing w:after="0" w:line="240" w:lineRule="auto"/>
        <w:ind w:left="567" w:hanging="567"/>
        <w:rPr>
          <w:color w:val="auto"/>
          <w:sz w:val="20"/>
          <w:szCs w:val="20"/>
          <w:lang w:val="is-IS"/>
        </w:rPr>
      </w:pPr>
      <w:r w:rsidRPr="005F74DC">
        <w:rPr>
          <w:color w:val="auto"/>
          <w:sz w:val="20"/>
          <w:szCs w:val="20"/>
          <w:vertAlign w:val="superscript"/>
          <w:lang w:val="is-IS"/>
        </w:rPr>
        <w:t>3</w:t>
      </w:r>
      <w:r w:rsidRPr="005F74DC">
        <w:rPr>
          <w:color w:val="auto"/>
          <w:sz w:val="20"/>
          <w:szCs w:val="20"/>
          <w:lang w:val="is-IS"/>
        </w:rPr>
        <w:tab/>
      </w:r>
      <w:r w:rsidR="00564614" w:rsidRPr="005F74DC">
        <w:rPr>
          <w:color w:val="auto"/>
          <w:sz w:val="20"/>
          <w:szCs w:val="20"/>
          <w:lang w:val="is-IS"/>
        </w:rPr>
        <w:t>Einhliða log-rank p-gildi</w:t>
      </w:r>
      <w:r w:rsidRPr="005F74DC">
        <w:rPr>
          <w:color w:val="auto"/>
          <w:sz w:val="20"/>
          <w:szCs w:val="20"/>
          <w:lang w:val="is-IS"/>
        </w:rPr>
        <w:t>.</w:t>
      </w:r>
    </w:p>
    <w:p w14:paraId="49E2ECC8" w14:textId="77777777" w:rsidR="005F36F3" w:rsidRPr="005F74DC" w:rsidRDefault="00F52705" w:rsidP="0073217C">
      <w:pPr>
        <w:suppressAutoHyphens/>
        <w:spacing w:after="0" w:line="240" w:lineRule="auto"/>
        <w:ind w:left="567" w:hanging="567"/>
        <w:rPr>
          <w:color w:val="auto"/>
          <w:sz w:val="20"/>
          <w:szCs w:val="20"/>
          <w:lang w:val="is-IS"/>
        </w:rPr>
      </w:pPr>
      <w:r w:rsidRPr="005F74DC">
        <w:rPr>
          <w:color w:val="auto"/>
          <w:sz w:val="20"/>
          <w:szCs w:val="20"/>
          <w:vertAlign w:val="superscript"/>
          <w:lang w:val="is-IS"/>
        </w:rPr>
        <w:t>4</w:t>
      </w:r>
      <w:r w:rsidRPr="005F74DC">
        <w:rPr>
          <w:color w:val="auto"/>
          <w:sz w:val="20"/>
          <w:szCs w:val="20"/>
          <w:lang w:val="is-IS"/>
        </w:rPr>
        <w:tab/>
      </w:r>
      <w:r w:rsidR="00564614" w:rsidRPr="005F74DC">
        <w:rPr>
          <w:color w:val="auto"/>
          <w:sz w:val="20"/>
          <w:szCs w:val="20"/>
          <w:lang w:val="is-IS"/>
        </w:rPr>
        <w:t>Miðað við að mörk p-gildis (p-value boundary) séu 0,0116</w:t>
      </w:r>
      <w:r w:rsidRPr="005F74DC">
        <w:rPr>
          <w:color w:val="auto"/>
          <w:sz w:val="20"/>
          <w:szCs w:val="20"/>
          <w:lang w:val="is-IS"/>
        </w:rPr>
        <w:t>.</w:t>
      </w:r>
    </w:p>
    <w:p w14:paraId="21A28FC5" w14:textId="77777777" w:rsidR="006C06D6" w:rsidRPr="005F74DC" w:rsidRDefault="00F52705" w:rsidP="0073217C">
      <w:pPr>
        <w:suppressAutoHyphens/>
        <w:spacing w:after="0" w:line="240" w:lineRule="auto"/>
        <w:ind w:left="567" w:hanging="567"/>
        <w:rPr>
          <w:color w:val="auto"/>
          <w:sz w:val="20"/>
          <w:szCs w:val="20"/>
          <w:lang w:val="is-IS"/>
        </w:rPr>
      </w:pPr>
      <w:r w:rsidRPr="005F74DC">
        <w:rPr>
          <w:color w:val="auto"/>
          <w:sz w:val="20"/>
          <w:szCs w:val="20"/>
          <w:vertAlign w:val="superscript"/>
          <w:lang w:val="is-IS"/>
        </w:rPr>
        <w:t>5</w:t>
      </w:r>
      <w:r w:rsidRPr="005F74DC">
        <w:rPr>
          <w:color w:val="auto"/>
          <w:sz w:val="20"/>
          <w:szCs w:val="20"/>
          <w:vertAlign w:val="superscript"/>
          <w:lang w:val="is-IS"/>
        </w:rPr>
        <w:tab/>
      </w:r>
      <w:r w:rsidR="00564614" w:rsidRPr="005F74DC">
        <w:rPr>
          <w:color w:val="auto"/>
          <w:sz w:val="20"/>
          <w:szCs w:val="20"/>
          <w:lang w:val="is-IS"/>
        </w:rPr>
        <w:t>Sjúklingar með mælanlegan sjúkdóm við upphaf rannsóknar</w:t>
      </w:r>
      <w:r w:rsidRPr="005F74DC">
        <w:rPr>
          <w:color w:val="auto"/>
          <w:sz w:val="20"/>
          <w:szCs w:val="20"/>
          <w:lang w:val="is-IS"/>
        </w:rPr>
        <w:t>.</w:t>
      </w:r>
    </w:p>
    <w:p w14:paraId="74724D9B" w14:textId="77777777" w:rsidR="006C06D6" w:rsidRPr="005F74DC" w:rsidRDefault="00F52705" w:rsidP="0073217C">
      <w:pPr>
        <w:suppressAutoHyphens/>
        <w:spacing w:after="0" w:line="240" w:lineRule="auto"/>
        <w:ind w:left="567" w:hanging="567"/>
        <w:rPr>
          <w:color w:val="auto"/>
          <w:sz w:val="20"/>
          <w:szCs w:val="20"/>
          <w:lang w:val="is-IS"/>
        </w:rPr>
      </w:pPr>
      <w:r w:rsidRPr="005F74DC">
        <w:rPr>
          <w:color w:val="auto"/>
          <w:sz w:val="20"/>
          <w:szCs w:val="20"/>
          <w:vertAlign w:val="superscript"/>
          <w:lang w:val="is-IS"/>
        </w:rPr>
        <w:t>6</w:t>
      </w:r>
      <w:r w:rsidRPr="005F74DC">
        <w:rPr>
          <w:color w:val="auto"/>
          <w:sz w:val="20"/>
          <w:szCs w:val="20"/>
          <w:vertAlign w:val="superscript"/>
          <w:lang w:val="is-IS"/>
        </w:rPr>
        <w:tab/>
      </w:r>
      <w:r w:rsidR="00564614" w:rsidRPr="005F74DC">
        <w:rPr>
          <w:color w:val="auto"/>
          <w:sz w:val="20"/>
          <w:szCs w:val="20"/>
          <w:lang w:val="is-IS"/>
        </w:rPr>
        <w:t>Endanleg heildargreining á lifun, gerð þegar 46,9% sjúklinganna höfðu látist.</w:t>
      </w:r>
    </w:p>
    <w:p w14:paraId="601839BA" w14:textId="77777777" w:rsidR="005F36F3" w:rsidRPr="009F7642" w:rsidRDefault="005F36F3" w:rsidP="0073217C">
      <w:pPr>
        <w:suppressAutoHyphens/>
        <w:spacing w:after="0" w:line="240" w:lineRule="auto"/>
        <w:ind w:left="0" w:firstLine="0"/>
        <w:rPr>
          <w:color w:val="auto"/>
          <w:lang w:val="is-IS"/>
        </w:rPr>
      </w:pPr>
    </w:p>
    <w:p w14:paraId="1C6B8FAE" w14:textId="2BC1A407" w:rsidR="005F36F3" w:rsidRPr="009F7642" w:rsidRDefault="00564614" w:rsidP="0073217C">
      <w:pPr>
        <w:keepNext/>
        <w:suppressAutoHyphens/>
        <w:spacing w:after="0" w:line="240" w:lineRule="auto"/>
        <w:ind w:left="0" w:firstLine="0"/>
        <w:rPr>
          <w:color w:val="auto"/>
          <w:lang w:val="is-IS"/>
        </w:rPr>
      </w:pPr>
      <w:r w:rsidRPr="009F7642">
        <w:rPr>
          <w:color w:val="auto"/>
          <w:lang w:val="is-IS"/>
        </w:rPr>
        <w:lastRenderedPageBreak/>
        <w:t xml:space="preserve">Fyrirfram skilgreindar greiningar voru framkvæmdar á lifun án </w:t>
      </w:r>
      <w:r w:rsidR="00FE5EE2" w:rsidRPr="00FE5EE2">
        <w:rPr>
          <w:color w:val="auto"/>
          <w:lang w:val="is-IS"/>
        </w:rPr>
        <w:t>versnunar</w:t>
      </w:r>
      <w:r w:rsidRPr="009F7642">
        <w:rPr>
          <w:color w:val="auto"/>
          <w:lang w:val="is-IS"/>
        </w:rPr>
        <w:t xml:space="preserve"> sjúkdóms og voru þær allar gerðar á gögnum fram til 29. september 2009. Niðurstö</w:t>
      </w:r>
      <w:r w:rsidR="003C161D" w:rsidRPr="009F7642">
        <w:rPr>
          <w:color w:val="auto"/>
          <w:lang w:val="is-IS"/>
        </w:rPr>
        <w:t>ður þeirra voru sem hér segir:</w:t>
      </w:r>
    </w:p>
    <w:p w14:paraId="6573CA65" w14:textId="77777777" w:rsidR="005F36F3" w:rsidRPr="009F7642" w:rsidRDefault="005F36F3" w:rsidP="0073217C">
      <w:pPr>
        <w:keepNext/>
        <w:suppressAutoHyphens/>
        <w:spacing w:after="0" w:line="240" w:lineRule="auto"/>
        <w:ind w:left="0" w:firstLine="0"/>
        <w:rPr>
          <w:color w:val="auto"/>
          <w:lang w:val="is-IS"/>
        </w:rPr>
      </w:pPr>
    </w:p>
    <w:p w14:paraId="262869C6" w14:textId="4AD8B279" w:rsidR="005F36F3" w:rsidRPr="002D7A6F" w:rsidRDefault="00564614" w:rsidP="0073217C">
      <w:pPr>
        <w:keepNext/>
        <w:numPr>
          <w:ilvl w:val="1"/>
          <w:numId w:val="8"/>
        </w:numPr>
        <w:suppressAutoHyphens/>
        <w:spacing w:after="0" w:line="240" w:lineRule="auto"/>
        <w:ind w:left="567" w:hanging="567"/>
        <w:rPr>
          <w:color w:val="auto"/>
          <w:lang w:val="is-IS"/>
        </w:rPr>
      </w:pPr>
      <w:r w:rsidRPr="002D7A6F">
        <w:rPr>
          <w:color w:val="auto"/>
          <w:lang w:val="is-IS"/>
        </w:rPr>
        <w:t xml:space="preserve">Í greiningu á mati rannsakanda á lifun án </w:t>
      </w:r>
      <w:r w:rsidR="00FE5EE2" w:rsidRPr="00FE5EE2">
        <w:rPr>
          <w:color w:val="auto"/>
          <w:lang w:val="is-IS"/>
        </w:rPr>
        <w:t>versnunar</w:t>
      </w:r>
      <w:r w:rsidRPr="002D7A6F">
        <w:rPr>
          <w:color w:val="auto"/>
          <w:lang w:val="is-IS"/>
        </w:rPr>
        <w:t xml:space="preserve"> sjúkdóms samkvæmt rannsóknaráætlun (án leiðréttingar með tilliti til framvindu CA-125 mæligilda eða meðferðar utan rannsóknaráætlunar) var lagskipt áhættuhlutfall (stratified hazard ratio) 0,71</w:t>
      </w:r>
      <w:r w:rsidR="002D7A6F" w:rsidRPr="002D7A6F">
        <w:rPr>
          <w:color w:val="auto"/>
          <w:lang w:val="is-IS"/>
        </w:rPr>
        <w:t xml:space="preserve"> </w:t>
      </w:r>
      <w:r w:rsidR="002D7A6F">
        <w:rPr>
          <w:color w:val="auto"/>
          <w:lang w:val="is-IS"/>
        </w:rPr>
        <w:t>(95% CI: 0,61</w:t>
      </w:r>
      <w:r w:rsidR="002D7A6F">
        <w:rPr>
          <w:color w:val="auto"/>
          <w:lang w:val="is-IS"/>
        </w:rPr>
        <w:noBreakHyphen/>
      </w:r>
      <w:r w:rsidRPr="002D7A6F">
        <w:rPr>
          <w:color w:val="auto"/>
          <w:lang w:val="is-IS"/>
        </w:rPr>
        <w:t>0,83, einhliða log-rank p-gildi &lt;</w:t>
      </w:r>
      <w:r w:rsidR="00540AC4">
        <w:rPr>
          <w:color w:val="auto"/>
          <w:lang w:val="is-IS"/>
        </w:rPr>
        <w:t> </w:t>
      </w:r>
      <w:r w:rsidRPr="002D7A6F">
        <w:rPr>
          <w:color w:val="auto"/>
          <w:lang w:val="is-IS"/>
        </w:rPr>
        <w:t xml:space="preserve">0,0001) þegar CPB15+ hópurinn var borinn saman við CPP hópinn, og var miðgildi lifunar án </w:t>
      </w:r>
      <w:r w:rsidR="00FE5EE2" w:rsidRPr="00FE5EE2">
        <w:rPr>
          <w:color w:val="auto"/>
          <w:lang w:val="is-IS"/>
        </w:rPr>
        <w:t>versnunar</w:t>
      </w:r>
      <w:r w:rsidRPr="002D7A6F">
        <w:rPr>
          <w:color w:val="auto"/>
          <w:lang w:val="is-IS"/>
        </w:rPr>
        <w:t xml:space="preserve"> sjúkdóms 10,4 mánuðir hjá CPP hópnum en 1</w:t>
      </w:r>
      <w:r w:rsidR="003C161D" w:rsidRPr="002D7A6F">
        <w:rPr>
          <w:color w:val="auto"/>
          <w:lang w:val="is-IS"/>
        </w:rPr>
        <w:t>4,1 mánuður hjá CPB15+ hópnum.</w:t>
      </w:r>
    </w:p>
    <w:p w14:paraId="776E85AD" w14:textId="1B22A175" w:rsidR="005F36F3" w:rsidRPr="009F7642" w:rsidRDefault="00564614" w:rsidP="0073217C">
      <w:pPr>
        <w:keepNext/>
        <w:numPr>
          <w:ilvl w:val="1"/>
          <w:numId w:val="8"/>
        </w:numPr>
        <w:suppressAutoHyphens/>
        <w:spacing w:after="0" w:line="240" w:lineRule="auto"/>
        <w:ind w:left="567" w:hanging="567"/>
        <w:rPr>
          <w:color w:val="auto"/>
          <w:lang w:val="is-IS"/>
        </w:rPr>
      </w:pPr>
      <w:r w:rsidRPr="009F7642">
        <w:rPr>
          <w:color w:val="auto"/>
          <w:lang w:val="is-IS"/>
        </w:rPr>
        <w:t xml:space="preserve">Í frumgreiningu á mati rannsakanda á lifun án </w:t>
      </w:r>
      <w:r w:rsidR="00FE5EE2" w:rsidRPr="00FE5EE2">
        <w:rPr>
          <w:color w:val="auto"/>
          <w:lang w:val="is-IS"/>
        </w:rPr>
        <w:t>versnunar</w:t>
      </w:r>
      <w:r w:rsidRPr="009F7642">
        <w:rPr>
          <w:color w:val="auto"/>
          <w:lang w:val="is-IS"/>
        </w:rPr>
        <w:t xml:space="preserve"> sjúkdóms (leiðrétt með tilliti til framvindu CA-125 mæligilda og meðferðar utan rannsóknaráætlunar) var lagskipt áhættuhlutfall 0,62 (95% CI: 0,52-0,75, einhliða log-rank p-gildi </w:t>
      </w:r>
      <w:r w:rsidR="00540AC4">
        <w:rPr>
          <w:color w:val="auto"/>
          <w:lang w:val="is-IS"/>
        </w:rPr>
        <w:t>&lt; </w:t>
      </w:r>
      <w:r w:rsidRPr="009F7642">
        <w:rPr>
          <w:color w:val="auto"/>
          <w:lang w:val="is-IS"/>
        </w:rPr>
        <w:t xml:space="preserve">0,0001) þegar CPB15+ hópurinn var borinn saman við CPP hópinn, og var miðgildislengd lifunar án </w:t>
      </w:r>
      <w:r w:rsidR="00FE5EE2" w:rsidRPr="00FE5EE2">
        <w:rPr>
          <w:color w:val="auto"/>
          <w:lang w:val="is-IS"/>
        </w:rPr>
        <w:t>versnunar</w:t>
      </w:r>
      <w:r w:rsidRPr="009F7642">
        <w:rPr>
          <w:color w:val="auto"/>
          <w:lang w:val="is-IS"/>
        </w:rPr>
        <w:t xml:space="preserve"> sjúkdóms 12,0 mánuðir hjá CPP hópnum en 1</w:t>
      </w:r>
      <w:r w:rsidR="003C161D" w:rsidRPr="009F7642">
        <w:rPr>
          <w:color w:val="auto"/>
          <w:lang w:val="is-IS"/>
        </w:rPr>
        <w:t>8,2 mánuðir hjá CPB15+ hópnum.</w:t>
      </w:r>
    </w:p>
    <w:p w14:paraId="660B3941" w14:textId="1B314C16" w:rsidR="006C06D6" w:rsidRPr="009F7642" w:rsidRDefault="00564614" w:rsidP="0073217C">
      <w:pPr>
        <w:numPr>
          <w:ilvl w:val="1"/>
          <w:numId w:val="8"/>
        </w:numPr>
        <w:suppressAutoHyphens/>
        <w:spacing w:after="0" w:line="240" w:lineRule="auto"/>
        <w:ind w:left="567" w:hanging="567"/>
        <w:rPr>
          <w:color w:val="auto"/>
          <w:lang w:val="is-IS"/>
        </w:rPr>
      </w:pPr>
      <w:r w:rsidRPr="009F7642">
        <w:rPr>
          <w:color w:val="auto"/>
          <w:lang w:val="is-IS"/>
        </w:rPr>
        <w:t xml:space="preserve">Í greiningu á lifun án </w:t>
      </w:r>
      <w:r w:rsidR="00FE5EE2" w:rsidRPr="00FE5EE2">
        <w:rPr>
          <w:color w:val="auto"/>
          <w:lang w:val="is-IS"/>
        </w:rPr>
        <w:t>versnunar</w:t>
      </w:r>
      <w:r w:rsidRPr="009F7642">
        <w:rPr>
          <w:color w:val="auto"/>
          <w:lang w:val="is-IS"/>
        </w:rPr>
        <w:t xml:space="preserve"> sjúkdóms samkvæmt óháðri matsnefnd (leiðrétt með tilliti til meðferðar utan rannsóknaráætlunar) var lagskipt áhættuhlutfall 0,62 (95% CI: 0,50-0,77, einhliða log-rank p-gildi </w:t>
      </w:r>
      <w:r w:rsidR="00540AC4">
        <w:rPr>
          <w:color w:val="auto"/>
          <w:lang w:val="is-IS"/>
        </w:rPr>
        <w:t>&lt; </w:t>
      </w:r>
      <w:r w:rsidRPr="009F7642">
        <w:rPr>
          <w:color w:val="auto"/>
          <w:lang w:val="is-IS"/>
        </w:rPr>
        <w:t xml:space="preserve">0,0001) þegar CPB15+ hópurinn var borinn saman við CPP hópinn, og var miðgildi lifunar án </w:t>
      </w:r>
      <w:r w:rsidR="00FE5EE2" w:rsidRPr="00FE5EE2">
        <w:rPr>
          <w:color w:val="auto"/>
          <w:lang w:val="is-IS"/>
        </w:rPr>
        <w:t>versnunar</w:t>
      </w:r>
      <w:r w:rsidRPr="009F7642">
        <w:rPr>
          <w:color w:val="auto"/>
          <w:lang w:val="is-IS"/>
        </w:rPr>
        <w:t xml:space="preserve"> sjúkdóms 13,1 mánuður hjá CPP hópnum en </w:t>
      </w:r>
      <w:r w:rsidR="005F74DC">
        <w:rPr>
          <w:color w:val="auto"/>
          <w:lang w:val="is-IS"/>
        </w:rPr>
        <w:t>19,1</w:t>
      </w:r>
      <w:r w:rsidR="00B42D0A">
        <w:rPr>
          <w:color w:val="auto"/>
          <w:lang w:val="is-IS"/>
        </w:rPr>
        <w:t> </w:t>
      </w:r>
      <w:r w:rsidR="005F74DC">
        <w:rPr>
          <w:color w:val="auto"/>
          <w:lang w:val="is-IS"/>
        </w:rPr>
        <w:t>mánuður hjá CPB15+ hópnum.</w:t>
      </w:r>
    </w:p>
    <w:p w14:paraId="57A052BF" w14:textId="77777777" w:rsidR="005F36F3" w:rsidRPr="009F7642" w:rsidRDefault="005F36F3" w:rsidP="0073217C">
      <w:pPr>
        <w:suppressAutoHyphens/>
        <w:spacing w:after="0" w:line="240" w:lineRule="auto"/>
        <w:ind w:left="0" w:firstLine="0"/>
        <w:rPr>
          <w:color w:val="auto"/>
          <w:lang w:val="is-IS"/>
        </w:rPr>
      </w:pPr>
    </w:p>
    <w:p w14:paraId="3C9344F3" w14:textId="443149E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Greining á lifun án </w:t>
      </w:r>
      <w:r w:rsidR="00FE5EE2" w:rsidRPr="00FE5EE2">
        <w:rPr>
          <w:color w:val="auto"/>
          <w:lang w:val="is-IS"/>
        </w:rPr>
        <w:t>versnunar</w:t>
      </w:r>
      <w:r w:rsidRPr="009F7642">
        <w:rPr>
          <w:color w:val="auto"/>
          <w:lang w:val="is-IS"/>
        </w:rPr>
        <w:t xml:space="preserve"> sjúkdóms hjá undirhópum, sem skilgreindir voru eftir stigun sjúkdóms og hve mikill hluti æxla hafði verið fjarlægður með skurðaðgerð, er sýnd í </w:t>
      </w:r>
      <w:r w:rsidRPr="00363B58">
        <w:rPr>
          <w:color w:val="auto"/>
          <w:lang w:val="is-IS"/>
        </w:rPr>
        <w:t xml:space="preserve">töflu </w:t>
      </w:r>
      <w:r w:rsidR="00160676" w:rsidRPr="00363B58">
        <w:rPr>
          <w:color w:val="auto"/>
          <w:lang w:val="is-IS"/>
        </w:rPr>
        <w:t>1</w:t>
      </w:r>
      <w:r w:rsidR="00781331">
        <w:rPr>
          <w:color w:val="auto"/>
          <w:lang w:val="is-IS"/>
        </w:rPr>
        <w:t>7</w:t>
      </w:r>
      <w:r w:rsidRPr="009F7642">
        <w:rPr>
          <w:color w:val="auto"/>
          <w:lang w:val="is-IS"/>
        </w:rPr>
        <w:t xml:space="preserve">. Niðurstöðurnar sýna styrk greiningar á lifun án </w:t>
      </w:r>
      <w:r w:rsidR="00FE5EE2" w:rsidRPr="00FE5EE2">
        <w:rPr>
          <w:color w:val="auto"/>
          <w:lang w:val="is-IS"/>
        </w:rPr>
        <w:t>versnunar</w:t>
      </w:r>
      <w:r w:rsidRPr="009F7642">
        <w:rPr>
          <w:color w:val="auto"/>
          <w:lang w:val="is-IS"/>
        </w:rPr>
        <w:t xml:space="preserve"> s</w:t>
      </w:r>
      <w:r w:rsidR="00F3098A">
        <w:rPr>
          <w:color w:val="auto"/>
          <w:lang w:val="is-IS"/>
        </w:rPr>
        <w:t xml:space="preserve">júkdóms sem sýnd er í </w:t>
      </w:r>
      <w:r w:rsidR="00F3098A" w:rsidRPr="00363B58">
        <w:rPr>
          <w:color w:val="auto"/>
          <w:lang w:val="is-IS"/>
        </w:rPr>
        <w:t>töflu</w:t>
      </w:r>
      <w:r w:rsidR="006B3207">
        <w:rPr>
          <w:color w:val="auto"/>
          <w:lang w:val="is-IS"/>
        </w:rPr>
        <w:t> </w:t>
      </w:r>
      <w:r w:rsidR="00160676" w:rsidRPr="00363B58">
        <w:rPr>
          <w:color w:val="auto"/>
          <w:lang w:val="is-IS"/>
        </w:rPr>
        <w:t>1</w:t>
      </w:r>
      <w:r w:rsidR="00781331">
        <w:rPr>
          <w:color w:val="auto"/>
          <w:lang w:val="is-IS"/>
        </w:rPr>
        <w:t>6</w:t>
      </w:r>
      <w:r w:rsidR="00F3098A">
        <w:rPr>
          <w:color w:val="auto"/>
          <w:lang w:val="is-IS"/>
        </w:rPr>
        <w:t>.</w:t>
      </w:r>
    </w:p>
    <w:p w14:paraId="78C8F6C4" w14:textId="77777777" w:rsidR="005F36F3" w:rsidRPr="009F7642" w:rsidRDefault="005F36F3" w:rsidP="0073217C">
      <w:pPr>
        <w:suppressAutoHyphens/>
        <w:spacing w:after="0" w:line="240" w:lineRule="auto"/>
        <w:ind w:left="0" w:firstLine="0"/>
        <w:rPr>
          <w:color w:val="auto"/>
          <w:lang w:val="is-IS"/>
        </w:rPr>
      </w:pPr>
    </w:p>
    <w:p w14:paraId="50AFAAE6" w14:textId="31ECF291" w:rsidR="005F36F3" w:rsidRPr="005F74DC" w:rsidRDefault="00564614" w:rsidP="0073217C">
      <w:pPr>
        <w:keepNext/>
        <w:suppressAutoHyphens/>
        <w:spacing w:after="0" w:line="240" w:lineRule="auto"/>
        <w:ind w:left="0" w:firstLine="0"/>
        <w:rPr>
          <w:b/>
          <w:color w:val="auto"/>
          <w:lang w:val="is-IS"/>
        </w:rPr>
      </w:pPr>
      <w:r w:rsidRPr="00363B58">
        <w:rPr>
          <w:b/>
          <w:color w:val="auto"/>
          <w:lang w:val="is-IS"/>
        </w:rPr>
        <w:t xml:space="preserve">Tafla </w:t>
      </w:r>
      <w:r w:rsidR="00160676" w:rsidRPr="00363B58">
        <w:rPr>
          <w:b/>
          <w:color w:val="auto"/>
          <w:lang w:val="is-IS"/>
        </w:rPr>
        <w:t>1</w:t>
      </w:r>
      <w:r w:rsidR="00781331">
        <w:rPr>
          <w:b/>
          <w:color w:val="auto"/>
          <w:lang w:val="is-IS"/>
        </w:rPr>
        <w:t>7</w:t>
      </w:r>
      <w:r w:rsidR="00FE7644" w:rsidRPr="005F74DC">
        <w:rPr>
          <w:b/>
          <w:color w:val="auto"/>
          <w:lang w:val="is-IS"/>
        </w:rPr>
        <w:t>.</w:t>
      </w:r>
      <w:r w:rsidRPr="005F74DC">
        <w:rPr>
          <w:b/>
          <w:color w:val="auto"/>
          <w:lang w:val="is-IS"/>
        </w:rPr>
        <w:t xml:space="preserve"> Niðurstöður varðandi lifun án </w:t>
      </w:r>
      <w:r w:rsidR="00FE5EE2" w:rsidRPr="00FE5EE2">
        <w:rPr>
          <w:b/>
          <w:color w:val="auto"/>
          <w:lang w:val="is-IS"/>
        </w:rPr>
        <w:t>versnunar</w:t>
      </w:r>
      <w:r w:rsidRPr="005F74DC">
        <w:rPr>
          <w:b/>
          <w:color w:val="auto"/>
          <w:lang w:val="is-IS"/>
        </w:rPr>
        <w:t xml:space="preserve"> sjúkdóms</w:t>
      </w:r>
      <w:r w:rsidRPr="00C11964">
        <w:rPr>
          <w:b/>
          <w:color w:val="auto"/>
          <w:vertAlign w:val="superscript"/>
          <w:lang w:val="is-IS"/>
        </w:rPr>
        <w:t>1</w:t>
      </w:r>
      <w:r w:rsidR="003C161D" w:rsidRPr="005F74DC">
        <w:rPr>
          <w:b/>
          <w:color w:val="auto"/>
          <w:lang w:val="is-IS"/>
        </w:rPr>
        <w:t xml:space="preserve"> í GOG-0218 rannsókninni,</w:t>
      </w:r>
      <w:r w:rsidRPr="005F74DC">
        <w:rPr>
          <w:b/>
          <w:color w:val="auto"/>
          <w:lang w:val="is-IS"/>
        </w:rPr>
        <w:t xml:space="preserve"> sundurliðaðar eftir stigun sjúkdóms og hve mikill hlu</w:t>
      </w:r>
      <w:r w:rsidR="003C161D" w:rsidRPr="005F74DC">
        <w:rPr>
          <w:b/>
          <w:color w:val="auto"/>
          <w:lang w:val="is-IS"/>
        </w:rPr>
        <w:t>ti æxla hafði verið fjarlægður með skurðaðgerð</w:t>
      </w:r>
    </w:p>
    <w:p w14:paraId="7E3C1065" w14:textId="77777777" w:rsidR="00F52705" w:rsidRPr="009F7642" w:rsidRDefault="00F52705" w:rsidP="0073217C">
      <w:pPr>
        <w:keepNext/>
        <w:suppressAutoHyphens/>
        <w:spacing w:after="0" w:line="240" w:lineRule="auto"/>
        <w:ind w:left="0" w:firstLine="0"/>
        <w:rPr>
          <w:color w:val="auto"/>
          <w:lang w:val="is-IS"/>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1417"/>
        <w:gridCol w:w="1559"/>
        <w:gridCol w:w="1560"/>
      </w:tblGrid>
      <w:tr w:rsidR="00DE4076" w:rsidRPr="00AD2908" w14:paraId="03ABCCB4" w14:textId="77777777" w:rsidTr="00DE4076">
        <w:trPr>
          <w:trHeight w:val="300"/>
        </w:trPr>
        <w:tc>
          <w:tcPr>
            <w:tcW w:w="8946" w:type="dxa"/>
            <w:gridSpan w:val="4"/>
            <w:tcBorders>
              <w:top w:val="single" w:sz="4" w:space="0" w:color="auto"/>
              <w:left w:val="single" w:sz="4" w:space="0" w:color="auto"/>
              <w:bottom w:val="single" w:sz="4" w:space="0" w:color="auto"/>
              <w:right w:val="single" w:sz="4" w:space="0" w:color="auto"/>
            </w:tcBorders>
            <w:noWrap/>
            <w:vAlign w:val="bottom"/>
            <w:hideMark/>
          </w:tcPr>
          <w:p w14:paraId="614DE089" w14:textId="77777777" w:rsidR="00F52705" w:rsidRPr="009F7642" w:rsidRDefault="00F52705" w:rsidP="0073217C">
            <w:pPr>
              <w:suppressAutoHyphens/>
              <w:spacing w:line="240" w:lineRule="auto"/>
              <w:rPr>
                <w:color w:val="auto"/>
                <w:lang w:val="is-IS"/>
              </w:rPr>
            </w:pPr>
            <w:r w:rsidRPr="009F7642">
              <w:rPr>
                <w:color w:val="auto"/>
                <w:lang w:val="is-IS"/>
              </w:rPr>
              <w:t>Slembiraðaðir sjúklingar með sjúkdóm á stigi III þar sem meirihluti æxlis hafði verið fjarlægður með skurðaðgerð</w:t>
            </w:r>
            <w:r w:rsidRPr="009F7642">
              <w:rPr>
                <w:color w:val="auto"/>
                <w:vertAlign w:val="superscript"/>
                <w:lang w:val="is-IS"/>
              </w:rPr>
              <w:t>2,3</w:t>
            </w:r>
          </w:p>
        </w:tc>
      </w:tr>
      <w:tr w:rsidR="00DE4076" w:rsidRPr="009F7642" w14:paraId="39C24485" w14:textId="77777777" w:rsidTr="00C11964">
        <w:trPr>
          <w:trHeight w:val="442"/>
        </w:trPr>
        <w:tc>
          <w:tcPr>
            <w:tcW w:w="4410" w:type="dxa"/>
            <w:tcBorders>
              <w:top w:val="single" w:sz="4" w:space="0" w:color="auto"/>
              <w:left w:val="single" w:sz="4" w:space="0" w:color="auto"/>
              <w:bottom w:val="single" w:sz="4" w:space="0" w:color="auto"/>
              <w:right w:val="single" w:sz="4" w:space="0" w:color="auto"/>
            </w:tcBorders>
            <w:noWrap/>
          </w:tcPr>
          <w:p w14:paraId="70D8BC33" w14:textId="77777777" w:rsidR="00F52705" w:rsidRPr="009F7642" w:rsidRDefault="00F52705" w:rsidP="0073217C">
            <w:pPr>
              <w:suppressAutoHyphens/>
              <w:spacing w:line="240" w:lineRule="auto"/>
              <w:rPr>
                <w:color w:val="auto"/>
                <w:lang w:val="is-IS"/>
              </w:rPr>
            </w:pPr>
          </w:p>
        </w:tc>
        <w:tc>
          <w:tcPr>
            <w:tcW w:w="1417" w:type="dxa"/>
            <w:tcBorders>
              <w:top w:val="single" w:sz="4" w:space="0" w:color="auto"/>
              <w:left w:val="single" w:sz="4" w:space="0" w:color="auto"/>
              <w:bottom w:val="single" w:sz="4" w:space="0" w:color="auto"/>
              <w:right w:val="single" w:sz="4" w:space="0" w:color="auto"/>
            </w:tcBorders>
            <w:noWrap/>
            <w:hideMark/>
          </w:tcPr>
          <w:p w14:paraId="45B8F42D" w14:textId="77777777" w:rsidR="00F52705" w:rsidRPr="009F7642" w:rsidRDefault="00F52705" w:rsidP="0073217C">
            <w:pPr>
              <w:suppressAutoHyphens/>
              <w:spacing w:line="240" w:lineRule="auto"/>
              <w:jc w:val="center"/>
              <w:rPr>
                <w:color w:val="auto"/>
                <w:lang w:val="is-IS"/>
              </w:rPr>
            </w:pPr>
            <w:r w:rsidRPr="009F7642">
              <w:rPr>
                <w:color w:val="auto"/>
                <w:lang w:val="is-IS"/>
              </w:rPr>
              <w:t>CPP</w:t>
            </w:r>
          </w:p>
          <w:p w14:paraId="637C41BB" w14:textId="77777777" w:rsidR="00F52705" w:rsidRPr="009F7642" w:rsidRDefault="00F52705" w:rsidP="0073217C">
            <w:pPr>
              <w:suppressAutoHyphens/>
              <w:spacing w:line="240" w:lineRule="auto"/>
              <w:jc w:val="center"/>
              <w:rPr>
                <w:color w:val="auto"/>
                <w:lang w:val="is-IS"/>
              </w:rPr>
            </w:pPr>
            <w:r w:rsidRPr="009F7642">
              <w:rPr>
                <w:color w:val="auto"/>
                <w:lang w:val="is-IS"/>
              </w:rPr>
              <w:t>(n</w:t>
            </w:r>
            <w:r w:rsidR="006B3207">
              <w:rPr>
                <w:color w:val="auto"/>
                <w:lang w:val="is-IS"/>
              </w:rPr>
              <w:t> </w:t>
            </w:r>
            <w:r w:rsidR="00700BDC">
              <w:rPr>
                <w:color w:val="auto"/>
                <w:lang w:val="is-IS"/>
              </w:rPr>
              <w:t>=</w:t>
            </w:r>
            <w:r w:rsidR="006B3207">
              <w:rPr>
                <w:color w:val="auto"/>
                <w:lang w:val="is-IS"/>
              </w:rPr>
              <w:t> </w:t>
            </w:r>
            <w:r w:rsidRPr="009F7642">
              <w:rPr>
                <w:color w:val="auto"/>
                <w:lang w:val="is-IS"/>
              </w:rPr>
              <w:t>219)</w:t>
            </w:r>
          </w:p>
        </w:tc>
        <w:tc>
          <w:tcPr>
            <w:tcW w:w="1559" w:type="dxa"/>
            <w:tcBorders>
              <w:top w:val="single" w:sz="4" w:space="0" w:color="auto"/>
              <w:left w:val="single" w:sz="4" w:space="0" w:color="auto"/>
              <w:bottom w:val="single" w:sz="4" w:space="0" w:color="auto"/>
              <w:right w:val="single" w:sz="4" w:space="0" w:color="auto"/>
            </w:tcBorders>
            <w:noWrap/>
            <w:hideMark/>
          </w:tcPr>
          <w:p w14:paraId="30F2858A" w14:textId="77777777" w:rsidR="00F52705" w:rsidRPr="009F7642" w:rsidRDefault="00F52705" w:rsidP="0073217C">
            <w:pPr>
              <w:suppressAutoHyphens/>
              <w:spacing w:line="240" w:lineRule="auto"/>
              <w:jc w:val="center"/>
              <w:rPr>
                <w:color w:val="auto"/>
                <w:lang w:val="is-IS"/>
              </w:rPr>
            </w:pPr>
            <w:r w:rsidRPr="009F7642">
              <w:rPr>
                <w:color w:val="auto"/>
                <w:lang w:val="is-IS"/>
              </w:rPr>
              <w:t>CPB15</w:t>
            </w:r>
          </w:p>
          <w:p w14:paraId="62F9DA78" w14:textId="77777777" w:rsidR="00F52705" w:rsidRPr="009F7642" w:rsidRDefault="00F52705" w:rsidP="0073217C">
            <w:pPr>
              <w:suppressAutoHyphens/>
              <w:spacing w:line="240" w:lineRule="auto"/>
              <w:jc w:val="center"/>
              <w:rPr>
                <w:color w:val="auto"/>
                <w:lang w:val="is-IS"/>
              </w:rPr>
            </w:pPr>
            <w:r w:rsidRPr="009F7642">
              <w:rPr>
                <w:color w:val="auto"/>
                <w:lang w:val="is-IS"/>
              </w:rPr>
              <w:t>(n</w:t>
            </w:r>
            <w:r w:rsidR="006B3207">
              <w:rPr>
                <w:color w:val="auto"/>
                <w:lang w:val="is-IS"/>
              </w:rPr>
              <w:t> </w:t>
            </w:r>
            <w:r w:rsidR="00700BDC">
              <w:rPr>
                <w:color w:val="auto"/>
                <w:lang w:val="is-IS"/>
              </w:rPr>
              <w:t>=</w:t>
            </w:r>
            <w:r w:rsidR="006B3207">
              <w:rPr>
                <w:color w:val="auto"/>
                <w:lang w:val="is-IS"/>
              </w:rPr>
              <w:t> </w:t>
            </w:r>
            <w:r w:rsidRPr="009F7642">
              <w:rPr>
                <w:color w:val="auto"/>
                <w:lang w:val="is-IS"/>
              </w:rPr>
              <w:t>204)</w:t>
            </w:r>
          </w:p>
        </w:tc>
        <w:tc>
          <w:tcPr>
            <w:tcW w:w="1560" w:type="dxa"/>
            <w:tcBorders>
              <w:top w:val="single" w:sz="4" w:space="0" w:color="auto"/>
              <w:left w:val="single" w:sz="4" w:space="0" w:color="auto"/>
              <w:bottom w:val="single" w:sz="4" w:space="0" w:color="auto"/>
              <w:right w:val="single" w:sz="4" w:space="0" w:color="auto"/>
            </w:tcBorders>
            <w:noWrap/>
            <w:hideMark/>
          </w:tcPr>
          <w:p w14:paraId="263F178B" w14:textId="77777777" w:rsidR="00F52705" w:rsidRPr="009F7642" w:rsidRDefault="00F52705" w:rsidP="0073217C">
            <w:pPr>
              <w:suppressAutoHyphens/>
              <w:spacing w:line="240" w:lineRule="auto"/>
              <w:jc w:val="center"/>
              <w:rPr>
                <w:color w:val="auto"/>
                <w:lang w:val="is-IS"/>
              </w:rPr>
            </w:pPr>
            <w:r w:rsidRPr="009F7642">
              <w:rPr>
                <w:color w:val="auto"/>
                <w:lang w:val="is-IS"/>
              </w:rPr>
              <w:t>CPB15+</w:t>
            </w:r>
          </w:p>
          <w:p w14:paraId="5D770331" w14:textId="77777777" w:rsidR="00F52705" w:rsidRPr="009F7642" w:rsidRDefault="00F52705" w:rsidP="0073217C">
            <w:pPr>
              <w:suppressAutoHyphens/>
              <w:spacing w:line="240" w:lineRule="auto"/>
              <w:jc w:val="center"/>
              <w:rPr>
                <w:color w:val="auto"/>
                <w:lang w:val="is-IS"/>
              </w:rPr>
            </w:pPr>
            <w:r w:rsidRPr="009F7642">
              <w:rPr>
                <w:color w:val="auto"/>
                <w:lang w:val="is-IS"/>
              </w:rPr>
              <w:t>(n</w:t>
            </w:r>
            <w:r w:rsidR="006B3207">
              <w:rPr>
                <w:color w:val="auto"/>
                <w:lang w:val="is-IS"/>
              </w:rPr>
              <w:t> </w:t>
            </w:r>
            <w:r w:rsidR="00700BDC">
              <w:rPr>
                <w:color w:val="auto"/>
                <w:lang w:val="is-IS"/>
              </w:rPr>
              <w:t>=</w:t>
            </w:r>
            <w:r w:rsidR="006B3207">
              <w:rPr>
                <w:color w:val="auto"/>
                <w:lang w:val="is-IS"/>
              </w:rPr>
              <w:t> </w:t>
            </w:r>
            <w:r w:rsidRPr="009F7642">
              <w:rPr>
                <w:color w:val="auto"/>
                <w:lang w:val="is-IS"/>
              </w:rPr>
              <w:t>216)</w:t>
            </w:r>
          </w:p>
        </w:tc>
      </w:tr>
      <w:tr w:rsidR="00DE4076" w:rsidRPr="009F7642" w14:paraId="559E18C2" w14:textId="77777777" w:rsidTr="00C11964">
        <w:trPr>
          <w:trHeight w:val="127"/>
        </w:trPr>
        <w:tc>
          <w:tcPr>
            <w:tcW w:w="4410" w:type="dxa"/>
            <w:tcBorders>
              <w:top w:val="single" w:sz="4" w:space="0" w:color="auto"/>
              <w:left w:val="single" w:sz="4" w:space="0" w:color="auto"/>
              <w:bottom w:val="single" w:sz="4" w:space="0" w:color="auto"/>
              <w:right w:val="single" w:sz="4" w:space="0" w:color="auto"/>
            </w:tcBorders>
            <w:noWrap/>
            <w:hideMark/>
          </w:tcPr>
          <w:p w14:paraId="6CCB745C" w14:textId="6A2281BC" w:rsidR="00F52705" w:rsidRPr="009F7642" w:rsidRDefault="00F52705" w:rsidP="0073217C">
            <w:pPr>
              <w:suppressAutoHyphens/>
              <w:spacing w:after="0" w:line="240" w:lineRule="auto"/>
              <w:ind w:left="567" w:firstLine="0"/>
              <w:rPr>
                <w:color w:val="auto"/>
                <w:lang w:val="is-IS"/>
              </w:rPr>
            </w:pPr>
            <w:r w:rsidRPr="009F7642">
              <w:rPr>
                <w:color w:val="auto"/>
                <w:lang w:val="is-IS"/>
              </w:rPr>
              <w:t xml:space="preserve">Miðgildi lifunar án </w:t>
            </w:r>
            <w:r w:rsidR="00FE5EE2" w:rsidRPr="00FE5EE2">
              <w:rPr>
                <w:color w:val="auto"/>
                <w:lang w:val="is-IS"/>
              </w:rPr>
              <w:t>versnunar</w:t>
            </w:r>
            <w:r w:rsidRPr="009F7642">
              <w:rPr>
                <w:color w:val="auto"/>
                <w:lang w:val="is-IS"/>
              </w:rPr>
              <w:t xml:space="preserve"> sjúkdóms (mánuðir)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3BE9A7" w14:textId="77777777" w:rsidR="00F52705" w:rsidRPr="009F7642" w:rsidRDefault="00F52705" w:rsidP="0073217C">
            <w:pPr>
              <w:suppressAutoHyphens/>
              <w:spacing w:line="259" w:lineRule="auto"/>
              <w:ind w:left="49"/>
              <w:jc w:val="center"/>
              <w:rPr>
                <w:color w:val="auto"/>
                <w:lang w:val="is-IS"/>
              </w:rPr>
            </w:pPr>
            <w:r w:rsidRPr="009F7642">
              <w:rPr>
                <w:color w:val="auto"/>
                <w:lang w:val="is-IS"/>
              </w:rPr>
              <w:t>12,4</w:t>
            </w:r>
            <w:r w:rsidRPr="009F7642">
              <w:rPr>
                <w:rFonts w:eastAsia="Arial"/>
                <w:color w:val="auto"/>
                <w:lang w:val="is-IS"/>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97F8BCE" w14:textId="77777777" w:rsidR="00F52705" w:rsidRPr="009F7642" w:rsidRDefault="00F52705" w:rsidP="0073217C">
            <w:pPr>
              <w:suppressAutoHyphens/>
              <w:spacing w:line="259" w:lineRule="auto"/>
              <w:ind w:left="49"/>
              <w:jc w:val="center"/>
              <w:rPr>
                <w:color w:val="auto"/>
                <w:lang w:val="is-IS"/>
              </w:rPr>
            </w:pPr>
            <w:r w:rsidRPr="009F7642">
              <w:rPr>
                <w:color w:val="auto"/>
                <w:lang w:val="is-IS"/>
              </w:rPr>
              <w:t>14,3</w:t>
            </w:r>
            <w:r w:rsidRPr="009F7642">
              <w:rPr>
                <w:rFonts w:eastAsia="Arial"/>
                <w:color w:val="auto"/>
                <w:lang w:val="is-IS"/>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4D231309" w14:textId="77777777" w:rsidR="00F52705" w:rsidRPr="009F7642" w:rsidRDefault="00F52705" w:rsidP="0073217C">
            <w:pPr>
              <w:suppressAutoHyphens/>
              <w:spacing w:line="259" w:lineRule="auto"/>
              <w:ind w:left="52"/>
              <w:jc w:val="center"/>
              <w:rPr>
                <w:color w:val="auto"/>
                <w:lang w:val="is-IS"/>
              </w:rPr>
            </w:pPr>
            <w:r w:rsidRPr="009F7642">
              <w:rPr>
                <w:color w:val="auto"/>
                <w:lang w:val="is-IS"/>
              </w:rPr>
              <w:t xml:space="preserve">17,5 </w:t>
            </w:r>
          </w:p>
        </w:tc>
      </w:tr>
      <w:tr w:rsidR="00DE4076" w:rsidRPr="009F7642" w14:paraId="6CDCCD29" w14:textId="77777777" w:rsidTr="00C11964">
        <w:trPr>
          <w:trHeight w:val="603"/>
        </w:trPr>
        <w:tc>
          <w:tcPr>
            <w:tcW w:w="4410" w:type="dxa"/>
            <w:tcBorders>
              <w:top w:val="single" w:sz="4" w:space="0" w:color="auto"/>
              <w:left w:val="single" w:sz="4" w:space="0" w:color="auto"/>
              <w:bottom w:val="single" w:sz="4" w:space="0" w:color="auto"/>
              <w:right w:val="single" w:sz="4" w:space="0" w:color="auto"/>
            </w:tcBorders>
            <w:noWrap/>
            <w:hideMark/>
          </w:tcPr>
          <w:p w14:paraId="2D28B82C" w14:textId="48D7FA10" w:rsidR="00F52705" w:rsidRPr="009F7642" w:rsidRDefault="00F52705" w:rsidP="0073217C">
            <w:pPr>
              <w:suppressAutoHyphens/>
              <w:spacing w:after="0" w:line="240" w:lineRule="auto"/>
              <w:ind w:left="567" w:firstLine="0"/>
              <w:rPr>
                <w:color w:val="auto"/>
                <w:lang w:val="is-IS"/>
              </w:rPr>
            </w:pPr>
            <w:r w:rsidRPr="009F7642">
              <w:rPr>
                <w:color w:val="auto"/>
                <w:lang w:val="is-IS"/>
              </w:rPr>
              <w:t>Áhættuhlutfall</w:t>
            </w:r>
            <w:r w:rsidR="00916698">
              <w:rPr>
                <w:color w:val="auto"/>
                <w:lang w:val="is-IS"/>
              </w:rPr>
              <w:t xml:space="preserve"> </w:t>
            </w:r>
            <w:r w:rsidRPr="009F7642">
              <w:rPr>
                <w:color w:val="auto"/>
                <w:lang w:val="is-IS"/>
              </w:rPr>
              <w:t xml:space="preserve">(95% </w:t>
            </w:r>
            <w:r w:rsidR="00495BB7" w:rsidRPr="009F7642">
              <w:rPr>
                <w:color w:val="auto"/>
                <w:lang w:val="is-IS"/>
              </w:rPr>
              <w:t>öryggis</w:t>
            </w:r>
            <w:r w:rsidR="00495BB7">
              <w:rPr>
                <w:color w:val="auto"/>
                <w:lang w:val="is-IS"/>
              </w:rPr>
              <w:t>bil</w:t>
            </w:r>
            <w:r w:rsidRPr="009F7642">
              <w:rPr>
                <w:color w:val="auto"/>
                <w:lang w:val="is-IS"/>
              </w:rPr>
              <w:t>)</w:t>
            </w:r>
            <w:r w:rsidRPr="009F7642">
              <w:rPr>
                <w:color w:val="auto"/>
                <w:vertAlign w:val="superscript"/>
                <w:lang w:val="is-IS"/>
              </w:rPr>
              <w:t>4</w:t>
            </w:r>
            <w:r w:rsidRPr="009F7642">
              <w:rPr>
                <w:rFonts w:eastAsia="Arial"/>
                <w:color w:val="auto"/>
                <w:lang w:val="is-IS"/>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tcPr>
          <w:p w14:paraId="0E2E46D4" w14:textId="77777777" w:rsidR="00F52705" w:rsidRPr="009F7642" w:rsidRDefault="00F52705" w:rsidP="0073217C">
            <w:pPr>
              <w:suppressAutoHyphens/>
              <w:spacing w:line="259" w:lineRule="auto"/>
              <w:ind w:left="103"/>
              <w:jc w:val="center"/>
              <w:rPr>
                <w:color w:val="auto"/>
                <w:lang w:val="is-IS"/>
              </w:rPr>
            </w:pPr>
          </w:p>
        </w:tc>
        <w:tc>
          <w:tcPr>
            <w:tcW w:w="1559" w:type="dxa"/>
            <w:tcBorders>
              <w:top w:val="single" w:sz="4" w:space="0" w:color="auto"/>
              <w:left w:val="single" w:sz="4" w:space="0" w:color="auto"/>
              <w:bottom w:val="single" w:sz="4" w:space="0" w:color="auto"/>
              <w:right w:val="single" w:sz="4" w:space="0" w:color="auto"/>
            </w:tcBorders>
            <w:noWrap/>
            <w:hideMark/>
          </w:tcPr>
          <w:p w14:paraId="205FFA80" w14:textId="77777777" w:rsidR="006C06D6" w:rsidRPr="009F7642" w:rsidRDefault="00F52705" w:rsidP="0073217C">
            <w:pPr>
              <w:suppressAutoHyphens/>
              <w:spacing w:line="259" w:lineRule="auto"/>
              <w:ind w:left="49"/>
              <w:jc w:val="center"/>
              <w:rPr>
                <w:rFonts w:eastAsia="Arial"/>
                <w:color w:val="auto"/>
                <w:lang w:val="is-IS"/>
              </w:rPr>
            </w:pPr>
            <w:r w:rsidRPr="009F7642">
              <w:rPr>
                <w:color w:val="auto"/>
                <w:lang w:val="is-IS"/>
              </w:rPr>
              <w:t>0,81</w:t>
            </w:r>
          </w:p>
          <w:p w14:paraId="1D19BEEB" w14:textId="77777777" w:rsidR="00F52705" w:rsidRPr="009F7642" w:rsidRDefault="00F52705" w:rsidP="0073217C">
            <w:pPr>
              <w:suppressAutoHyphens/>
              <w:spacing w:line="259" w:lineRule="auto"/>
              <w:ind w:left="47"/>
              <w:jc w:val="center"/>
              <w:rPr>
                <w:color w:val="auto"/>
                <w:lang w:val="is-IS"/>
              </w:rPr>
            </w:pPr>
            <w:r w:rsidRPr="009F7642">
              <w:rPr>
                <w:color w:val="auto"/>
                <w:lang w:val="is-IS"/>
              </w:rPr>
              <w:t>(0,62; 1,05)</w:t>
            </w:r>
            <w:r w:rsidRPr="009F7642">
              <w:rPr>
                <w:rFonts w:eastAsia="Arial"/>
                <w:color w:val="auto"/>
                <w:lang w:val="is-IS"/>
              </w:rPr>
              <w:t xml:space="preserve"> </w:t>
            </w:r>
          </w:p>
        </w:tc>
        <w:tc>
          <w:tcPr>
            <w:tcW w:w="1560" w:type="dxa"/>
            <w:tcBorders>
              <w:top w:val="single" w:sz="4" w:space="0" w:color="auto"/>
              <w:left w:val="single" w:sz="4" w:space="0" w:color="auto"/>
              <w:bottom w:val="single" w:sz="4" w:space="0" w:color="auto"/>
              <w:right w:val="single" w:sz="4" w:space="0" w:color="auto"/>
            </w:tcBorders>
            <w:noWrap/>
            <w:hideMark/>
          </w:tcPr>
          <w:p w14:paraId="7FBDFC9B" w14:textId="77777777" w:rsidR="006C06D6" w:rsidRPr="009F7642" w:rsidRDefault="00F52705" w:rsidP="0073217C">
            <w:pPr>
              <w:suppressAutoHyphens/>
              <w:spacing w:after="32" w:line="259" w:lineRule="auto"/>
              <w:ind w:left="52"/>
              <w:jc w:val="center"/>
              <w:rPr>
                <w:rFonts w:eastAsia="Arial"/>
                <w:color w:val="auto"/>
                <w:lang w:val="is-IS"/>
              </w:rPr>
            </w:pPr>
            <w:r w:rsidRPr="009F7642">
              <w:rPr>
                <w:color w:val="auto"/>
                <w:lang w:val="is-IS"/>
              </w:rPr>
              <w:t>0,66</w:t>
            </w:r>
          </w:p>
          <w:p w14:paraId="3690D233" w14:textId="77777777" w:rsidR="00F52705" w:rsidRPr="009F7642" w:rsidRDefault="00F52705" w:rsidP="0073217C">
            <w:pPr>
              <w:suppressAutoHyphens/>
              <w:spacing w:line="259" w:lineRule="auto"/>
              <w:ind w:left="49"/>
              <w:jc w:val="center"/>
              <w:rPr>
                <w:color w:val="auto"/>
                <w:lang w:val="is-IS"/>
              </w:rPr>
            </w:pPr>
            <w:r w:rsidRPr="009F7642">
              <w:rPr>
                <w:color w:val="auto"/>
                <w:lang w:val="is-IS"/>
              </w:rPr>
              <w:t xml:space="preserve">(0,50; 0,86) </w:t>
            </w:r>
          </w:p>
        </w:tc>
      </w:tr>
      <w:tr w:rsidR="00DE4076" w:rsidRPr="009F7642" w14:paraId="34D7BDD5" w14:textId="77777777" w:rsidTr="00DE4076">
        <w:trPr>
          <w:trHeight w:val="300"/>
        </w:trPr>
        <w:tc>
          <w:tcPr>
            <w:tcW w:w="8946" w:type="dxa"/>
            <w:gridSpan w:val="4"/>
            <w:tcBorders>
              <w:top w:val="single" w:sz="4" w:space="0" w:color="auto"/>
              <w:left w:val="single" w:sz="4" w:space="0" w:color="auto"/>
              <w:bottom w:val="single" w:sz="4" w:space="0" w:color="auto"/>
              <w:right w:val="single" w:sz="4" w:space="0" w:color="auto"/>
            </w:tcBorders>
            <w:noWrap/>
            <w:vAlign w:val="bottom"/>
            <w:hideMark/>
          </w:tcPr>
          <w:p w14:paraId="6DB7878A" w14:textId="77777777" w:rsidR="00F52705" w:rsidRPr="009F7642" w:rsidRDefault="00F52705" w:rsidP="0073217C">
            <w:pPr>
              <w:suppressAutoHyphens/>
              <w:spacing w:line="240" w:lineRule="auto"/>
              <w:rPr>
                <w:color w:val="auto"/>
                <w:lang w:val="is-IS"/>
              </w:rPr>
            </w:pPr>
            <w:r w:rsidRPr="009F7642">
              <w:rPr>
                <w:color w:val="auto"/>
                <w:lang w:val="is-IS"/>
              </w:rPr>
              <w:t>Slembiraðaðir sjúklingar með sjúkdóm á stigi III þar sem hluti æxlis hafði verið fjarlægður með skurðaðgerð</w:t>
            </w:r>
            <w:r w:rsidRPr="009F7642">
              <w:rPr>
                <w:color w:val="auto"/>
                <w:vertAlign w:val="superscript"/>
                <w:lang w:val="is-IS"/>
              </w:rPr>
              <w:t>3</w:t>
            </w:r>
            <w:r w:rsidRPr="009F7642">
              <w:rPr>
                <w:color w:val="auto"/>
                <w:lang w:val="is-IS"/>
              </w:rPr>
              <w:t xml:space="preserve"> </w:t>
            </w:r>
          </w:p>
        </w:tc>
      </w:tr>
      <w:tr w:rsidR="00DE4076" w:rsidRPr="009F7642" w14:paraId="07D2834F" w14:textId="77777777" w:rsidTr="00C11964">
        <w:trPr>
          <w:trHeight w:val="382"/>
        </w:trPr>
        <w:tc>
          <w:tcPr>
            <w:tcW w:w="4410" w:type="dxa"/>
            <w:tcBorders>
              <w:top w:val="single" w:sz="4" w:space="0" w:color="auto"/>
              <w:left w:val="single" w:sz="4" w:space="0" w:color="auto"/>
              <w:bottom w:val="single" w:sz="4" w:space="0" w:color="auto"/>
              <w:right w:val="single" w:sz="4" w:space="0" w:color="auto"/>
            </w:tcBorders>
            <w:noWrap/>
          </w:tcPr>
          <w:p w14:paraId="539A623B" w14:textId="77777777" w:rsidR="00F52705" w:rsidRPr="009F7642" w:rsidRDefault="00F52705" w:rsidP="0073217C">
            <w:pPr>
              <w:suppressAutoHyphens/>
              <w:spacing w:line="240" w:lineRule="auto"/>
              <w:rPr>
                <w:b/>
                <w:color w:val="auto"/>
                <w:lang w:val="is-IS"/>
              </w:rPr>
            </w:pPr>
          </w:p>
        </w:tc>
        <w:tc>
          <w:tcPr>
            <w:tcW w:w="1417" w:type="dxa"/>
            <w:tcBorders>
              <w:top w:val="single" w:sz="4" w:space="0" w:color="auto"/>
              <w:left w:val="single" w:sz="4" w:space="0" w:color="auto"/>
              <w:bottom w:val="single" w:sz="4" w:space="0" w:color="auto"/>
              <w:right w:val="single" w:sz="4" w:space="0" w:color="auto"/>
            </w:tcBorders>
            <w:noWrap/>
            <w:hideMark/>
          </w:tcPr>
          <w:p w14:paraId="64B740B5" w14:textId="77777777" w:rsidR="00F52705" w:rsidRPr="009F7642" w:rsidRDefault="00F52705" w:rsidP="0073217C">
            <w:pPr>
              <w:suppressAutoHyphens/>
              <w:spacing w:line="240" w:lineRule="auto"/>
              <w:jc w:val="center"/>
              <w:rPr>
                <w:color w:val="auto"/>
                <w:lang w:val="is-IS"/>
              </w:rPr>
            </w:pPr>
            <w:r w:rsidRPr="009F7642">
              <w:rPr>
                <w:color w:val="auto"/>
                <w:lang w:val="is-IS"/>
              </w:rPr>
              <w:t>CPP</w:t>
            </w:r>
          </w:p>
          <w:p w14:paraId="653A4056" w14:textId="77777777" w:rsidR="00F52705" w:rsidRPr="009F7642" w:rsidRDefault="00F52705" w:rsidP="0073217C">
            <w:pPr>
              <w:suppressAutoHyphens/>
              <w:spacing w:line="240" w:lineRule="auto"/>
              <w:jc w:val="center"/>
              <w:rPr>
                <w:b/>
                <w:color w:val="auto"/>
                <w:lang w:val="is-IS"/>
              </w:rPr>
            </w:pPr>
            <w:r w:rsidRPr="009F7642">
              <w:rPr>
                <w:color w:val="auto"/>
                <w:lang w:val="is-IS"/>
              </w:rPr>
              <w:t>(n</w:t>
            </w:r>
            <w:r w:rsidR="006B3207">
              <w:rPr>
                <w:color w:val="auto"/>
                <w:lang w:val="is-IS"/>
              </w:rPr>
              <w:t> </w:t>
            </w:r>
            <w:r w:rsidR="00700BDC">
              <w:rPr>
                <w:color w:val="auto"/>
                <w:lang w:val="is-IS"/>
              </w:rPr>
              <w:t>=</w:t>
            </w:r>
            <w:r w:rsidR="006B3207">
              <w:rPr>
                <w:color w:val="auto"/>
                <w:lang w:val="is-IS"/>
              </w:rPr>
              <w:t> </w:t>
            </w:r>
            <w:r w:rsidRPr="009F7642">
              <w:rPr>
                <w:color w:val="auto"/>
                <w:lang w:val="is-IS"/>
              </w:rPr>
              <w:t>253)</w:t>
            </w:r>
          </w:p>
        </w:tc>
        <w:tc>
          <w:tcPr>
            <w:tcW w:w="1559" w:type="dxa"/>
            <w:tcBorders>
              <w:top w:val="single" w:sz="4" w:space="0" w:color="auto"/>
              <w:left w:val="single" w:sz="4" w:space="0" w:color="auto"/>
              <w:bottom w:val="single" w:sz="4" w:space="0" w:color="auto"/>
              <w:right w:val="single" w:sz="4" w:space="0" w:color="auto"/>
            </w:tcBorders>
            <w:noWrap/>
            <w:hideMark/>
          </w:tcPr>
          <w:p w14:paraId="06C30241" w14:textId="77777777" w:rsidR="00F52705" w:rsidRPr="009F7642" w:rsidRDefault="00F52705" w:rsidP="0073217C">
            <w:pPr>
              <w:suppressAutoHyphens/>
              <w:spacing w:line="240" w:lineRule="auto"/>
              <w:jc w:val="center"/>
              <w:rPr>
                <w:color w:val="auto"/>
                <w:lang w:val="is-IS"/>
              </w:rPr>
            </w:pPr>
            <w:r w:rsidRPr="009F7642">
              <w:rPr>
                <w:color w:val="auto"/>
                <w:lang w:val="is-IS"/>
              </w:rPr>
              <w:t>CPB15</w:t>
            </w:r>
          </w:p>
          <w:p w14:paraId="023A3762" w14:textId="77777777" w:rsidR="00F52705" w:rsidRPr="009F7642" w:rsidRDefault="00F52705" w:rsidP="0073217C">
            <w:pPr>
              <w:suppressAutoHyphens/>
              <w:spacing w:line="240" w:lineRule="auto"/>
              <w:jc w:val="center"/>
              <w:rPr>
                <w:color w:val="auto"/>
                <w:lang w:val="is-IS"/>
              </w:rPr>
            </w:pPr>
            <w:r w:rsidRPr="009F7642">
              <w:rPr>
                <w:color w:val="auto"/>
                <w:lang w:val="is-IS"/>
              </w:rPr>
              <w:t>(n</w:t>
            </w:r>
            <w:r w:rsidR="006B3207">
              <w:rPr>
                <w:color w:val="auto"/>
                <w:lang w:val="is-IS"/>
              </w:rPr>
              <w:t> </w:t>
            </w:r>
            <w:r w:rsidR="00700BDC">
              <w:rPr>
                <w:color w:val="auto"/>
                <w:lang w:val="is-IS"/>
              </w:rPr>
              <w:t>=</w:t>
            </w:r>
            <w:r w:rsidR="006B3207">
              <w:rPr>
                <w:color w:val="auto"/>
                <w:lang w:val="is-IS"/>
              </w:rPr>
              <w:t> </w:t>
            </w:r>
            <w:r w:rsidRPr="009F7642">
              <w:rPr>
                <w:color w:val="auto"/>
                <w:lang w:val="is-IS"/>
              </w:rPr>
              <w:t>256)</w:t>
            </w:r>
          </w:p>
        </w:tc>
        <w:tc>
          <w:tcPr>
            <w:tcW w:w="1560" w:type="dxa"/>
            <w:tcBorders>
              <w:top w:val="single" w:sz="4" w:space="0" w:color="auto"/>
              <w:left w:val="single" w:sz="4" w:space="0" w:color="auto"/>
              <w:bottom w:val="single" w:sz="4" w:space="0" w:color="auto"/>
              <w:right w:val="single" w:sz="4" w:space="0" w:color="auto"/>
            </w:tcBorders>
            <w:noWrap/>
            <w:hideMark/>
          </w:tcPr>
          <w:p w14:paraId="0E6B4DD2" w14:textId="77777777" w:rsidR="00F52705" w:rsidRPr="009F7642" w:rsidRDefault="00F52705" w:rsidP="0073217C">
            <w:pPr>
              <w:suppressAutoHyphens/>
              <w:spacing w:line="240" w:lineRule="auto"/>
              <w:jc w:val="center"/>
              <w:rPr>
                <w:color w:val="auto"/>
                <w:lang w:val="is-IS"/>
              </w:rPr>
            </w:pPr>
            <w:r w:rsidRPr="009F7642">
              <w:rPr>
                <w:color w:val="auto"/>
                <w:lang w:val="is-IS"/>
              </w:rPr>
              <w:t>CPB15+</w:t>
            </w:r>
          </w:p>
          <w:p w14:paraId="45953301" w14:textId="77777777" w:rsidR="00F52705" w:rsidRPr="009F7642" w:rsidRDefault="00F52705" w:rsidP="0073217C">
            <w:pPr>
              <w:suppressAutoHyphens/>
              <w:spacing w:line="240" w:lineRule="auto"/>
              <w:jc w:val="center"/>
              <w:rPr>
                <w:color w:val="auto"/>
                <w:lang w:val="is-IS"/>
              </w:rPr>
            </w:pPr>
            <w:r w:rsidRPr="009F7642">
              <w:rPr>
                <w:color w:val="auto"/>
                <w:lang w:val="is-IS"/>
              </w:rPr>
              <w:t>(n</w:t>
            </w:r>
            <w:r w:rsidR="006B3207">
              <w:rPr>
                <w:color w:val="auto"/>
                <w:lang w:val="is-IS"/>
              </w:rPr>
              <w:t> </w:t>
            </w:r>
            <w:r w:rsidR="00700BDC">
              <w:rPr>
                <w:color w:val="auto"/>
                <w:lang w:val="is-IS"/>
              </w:rPr>
              <w:t>=</w:t>
            </w:r>
            <w:r w:rsidR="002F1245">
              <w:rPr>
                <w:color w:val="auto"/>
                <w:lang w:val="is-IS"/>
              </w:rPr>
              <w:t> </w:t>
            </w:r>
            <w:r w:rsidRPr="009F7642">
              <w:rPr>
                <w:color w:val="auto"/>
                <w:lang w:val="is-IS"/>
              </w:rPr>
              <w:t>242)</w:t>
            </w:r>
          </w:p>
        </w:tc>
      </w:tr>
      <w:tr w:rsidR="00DE4076" w:rsidRPr="009F7642" w14:paraId="1B1FB903" w14:textId="77777777" w:rsidTr="00C11964">
        <w:trPr>
          <w:trHeight w:val="207"/>
        </w:trPr>
        <w:tc>
          <w:tcPr>
            <w:tcW w:w="4410" w:type="dxa"/>
            <w:tcBorders>
              <w:top w:val="single" w:sz="4" w:space="0" w:color="auto"/>
              <w:left w:val="single" w:sz="4" w:space="0" w:color="auto"/>
              <w:bottom w:val="single" w:sz="4" w:space="0" w:color="auto"/>
              <w:right w:val="single" w:sz="4" w:space="0" w:color="auto"/>
            </w:tcBorders>
            <w:noWrap/>
            <w:hideMark/>
          </w:tcPr>
          <w:p w14:paraId="32042E4A" w14:textId="20A11FD1" w:rsidR="00F52705" w:rsidRPr="009F7642" w:rsidRDefault="00F52705" w:rsidP="0073217C">
            <w:pPr>
              <w:suppressAutoHyphens/>
              <w:spacing w:after="0" w:line="240" w:lineRule="auto"/>
              <w:ind w:left="567" w:firstLine="0"/>
              <w:rPr>
                <w:color w:val="auto"/>
                <w:lang w:val="is-IS"/>
              </w:rPr>
            </w:pPr>
            <w:r w:rsidRPr="009F7642">
              <w:rPr>
                <w:color w:val="auto"/>
                <w:lang w:val="is-IS"/>
              </w:rPr>
              <w:t xml:space="preserve">Miðgildi lifunar án </w:t>
            </w:r>
            <w:r w:rsidR="00495BB7" w:rsidRPr="00FE5EE2">
              <w:rPr>
                <w:color w:val="auto"/>
                <w:lang w:val="is-IS"/>
              </w:rPr>
              <w:t>versnunar</w:t>
            </w:r>
            <w:r w:rsidRPr="009F7642">
              <w:rPr>
                <w:color w:val="auto"/>
                <w:lang w:val="is-IS"/>
              </w:rPr>
              <w:t xml:space="preserve"> sjúkdóms (mánuðir)</w:t>
            </w:r>
            <w:r w:rsidRPr="009F7642">
              <w:rPr>
                <w:rFonts w:eastAsia="Arial"/>
                <w:color w:val="auto"/>
                <w:lang w:val="is-IS"/>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5709663" w14:textId="77777777" w:rsidR="00F52705" w:rsidRPr="009F7642" w:rsidRDefault="00F52705" w:rsidP="0073217C">
            <w:pPr>
              <w:suppressAutoHyphens/>
              <w:spacing w:line="259" w:lineRule="auto"/>
              <w:ind w:left="49"/>
              <w:jc w:val="center"/>
              <w:rPr>
                <w:color w:val="auto"/>
                <w:lang w:val="is-IS"/>
              </w:rPr>
            </w:pPr>
            <w:r w:rsidRPr="009F7642">
              <w:rPr>
                <w:color w:val="auto"/>
                <w:lang w:val="is-IS"/>
              </w:rPr>
              <w:t>10,1</w:t>
            </w:r>
            <w:r w:rsidRPr="009F7642">
              <w:rPr>
                <w:rFonts w:eastAsia="Arial"/>
                <w:color w:val="auto"/>
                <w:lang w:val="is-IS"/>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463513" w14:textId="77777777" w:rsidR="00F52705" w:rsidRPr="009F7642" w:rsidRDefault="00F52705" w:rsidP="0073217C">
            <w:pPr>
              <w:suppressAutoHyphens/>
              <w:spacing w:line="259" w:lineRule="auto"/>
              <w:ind w:left="49"/>
              <w:jc w:val="center"/>
              <w:rPr>
                <w:color w:val="auto"/>
                <w:lang w:val="is-IS"/>
              </w:rPr>
            </w:pPr>
            <w:r w:rsidRPr="009F7642">
              <w:rPr>
                <w:color w:val="auto"/>
                <w:lang w:val="is-IS"/>
              </w:rPr>
              <w:t>10,9</w:t>
            </w:r>
            <w:r w:rsidRPr="009F7642">
              <w:rPr>
                <w:rFonts w:eastAsia="Arial"/>
                <w:color w:val="auto"/>
                <w:lang w:val="is-IS"/>
              </w:rPr>
              <w:t xml:space="preserve">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3F6EDCF7" w14:textId="77777777" w:rsidR="00F52705" w:rsidRPr="009F7642" w:rsidRDefault="00F52705" w:rsidP="0073217C">
            <w:pPr>
              <w:suppressAutoHyphens/>
              <w:spacing w:line="259" w:lineRule="auto"/>
              <w:ind w:left="52"/>
              <w:jc w:val="center"/>
              <w:rPr>
                <w:color w:val="auto"/>
                <w:lang w:val="is-IS"/>
              </w:rPr>
            </w:pPr>
            <w:r w:rsidRPr="009F7642">
              <w:rPr>
                <w:color w:val="auto"/>
                <w:lang w:val="is-IS"/>
              </w:rPr>
              <w:t xml:space="preserve">13,9 </w:t>
            </w:r>
          </w:p>
        </w:tc>
      </w:tr>
      <w:tr w:rsidR="00DE4076" w:rsidRPr="009F7642" w14:paraId="41379361" w14:textId="77777777" w:rsidTr="00C11964">
        <w:trPr>
          <w:trHeight w:val="613"/>
        </w:trPr>
        <w:tc>
          <w:tcPr>
            <w:tcW w:w="4410" w:type="dxa"/>
            <w:tcBorders>
              <w:top w:val="single" w:sz="4" w:space="0" w:color="auto"/>
              <w:left w:val="single" w:sz="4" w:space="0" w:color="auto"/>
              <w:bottom w:val="single" w:sz="4" w:space="0" w:color="auto"/>
              <w:right w:val="single" w:sz="4" w:space="0" w:color="auto"/>
            </w:tcBorders>
            <w:noWrap/>
            <w:hideMark/>
          </w:tcPr>
          <w:p w14:paraId="2B09744B" w14:textId="604E4CE5" w:rsidR="00F52705" w:rsidRPr="009F7642" w:rsidRDefault="00F52705" w:rsidP="0073217C">
            <w:pPr>
              <w:suppressAutoHyphens/>
              <w:spacing w:after="0" w:line="240" w:lineRule="auto"/>
              <w:ind w:left="567" w:firstLine="0"/>
              <w:rPr>
                <w:color w:val="auto"/>
                <w:lang w:val="is-IS"/>
              </w:rPr>
            </w:pPr>
            <w:r w:rsidRPr="009F7642">
              <w:rPr>
                <w:color w:val="auto"/>
                <w:lang w:val="is-IS"/>
              </w:rPr>
              <w:t>Áhættuhlutfall</w:t>
            </w:r>
            <w:r w:rsidR="00916698">
              <w:rPr>
                <w:color w:val="auto"/>
                <w:lang w:val="is-IS"/>
              </w:rPr>
              <w:t xml:space="preserve"> </w:t>
            </w:r>
            <w:r w:rsidRPr="009F7642">
              <w:rPr>
                <w:color w:val="auto"/>
                <w:lang w:val="is-IS"/>
              </w:rPr>
              <w:t xml:space="preserve">(95% </w:t>
            </w:r>
            <w:r w:rsidR="00495BB7" w:rsidRPr="009F7642">
              <w:rPr>
                <w:color w:val="auto"/>
                <w:lang w:val="is-IS"/>
              </w:rPr>
              <w:t>öryggis</w:t>
            </w:r>
            <w:r w:rsidR="00495BB7">
              <w:rPr>
                <w:color w:val="auto"/>
                <w:lang w:val="is-IS"/>
              </w:rPr>
              <w:t>bil</w:t>
            </w:r>
            <w:r w:rsidRPr="009F7642">
              <w:rPr>
                <w:color w:val="auto"/>
                <w:lang w:val="is-IS"/>
              </w:rPr>
              <w:t>)</w:t>
            </w:r>
            <w:r w:rsidRPr="009F7642">
              <w:rPr>
                <w:color w:val="auto"/>
                <w:vertAlign w:val="superscript"/>
                <w:lang w:val="is-IS"/>
              </w:rPr>
              <w:t>4</w:t>
            </w:r>
            <w:r w:rsidRPr="009F7642">
              <w:rPr>
                <w:rFonts w:eastAsia="Arial"/>
                <w:color w:val="auto"/>
                <w:lang w:val="is-IS"/>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tcPr>
          <w:p w14:paraId="24BF30AC" w14:textId="77777777" w:rsidR="00F52705" w:rsidRPr="009F7642" w:rsidRDefault="00F52705" w:rsidP="0073217C">
            <w:pPr>
              <w:suppressAutoHyphens/>
              <w:spacing w:line="259" w:lineRule="auto"/>
              <w:ind w:left="103"/>
              <w:jc w:val="center"/>
              <w:rPr>
                <w:color w:val="auto"/>
                <w:lang w:val="is-IS"/>
              </w:rPr>
            </w:pPr>
            <w:r w:rsidRPr="009F7642">
              <w:rPr>
                <w:rFonts w:eastAsia="Arial"/>
                <w:color w:val="auto"/>
                <w:lang w:val="is-IS"/>
              </w:rPr>
              <w:t xml:space="preserve"> </w:t>
            </w:r>
          </w:p>
        </w:tc>
        <w:tc>
          <w:tcPr>
            <w:tcW w:w="1559" w:type="dxa"/>
            <w:tcBorders>
              <w:top w:val="single" w:sz="4" w:space="0" w:color="auto"/>
              <w:left w:val="single" w:sz="4" w:space="0" w:color="auto"/>
              <w:bottom w:val="single" w:sz="4" w:space="0" w:color="auto"/>
              <w:right w:val="single" w:sz="4" w:space="0" w:color="auto"/>
            </w:tcBorders>
            <w:noWrap/>
            <w:hideMark/>
          </w:tcPr>
          <w:p w14:paraId="55BAFEA4" w14:textId="77777777" w:rsidR="006C06D6" w:rsidRPr="009F7642" w:rsidRDefault="00F52705" w:rsidP="0073217C">
            <w:pPr>
              <w:suppressAutoHyphens/>
              <w:spacing w:line="259" w:lineRule="auto"/>
              <w:ind w:left="49"/>
              <w:jc w:val="center"/>
              <w:rPr>
                <w:rFonts w:eastAsia="Arial"/>
                <w:color w:val="auto"/>
                <w:lang w:val="is-IS"/>
              </w:rPr>
            </w:pPr>
            <w:r w:rsidRPr="009F7642">
              <w:rPr>
                <w:color w:val="auto"/>
                <w:lang w:val="is-IS"/>
              </w:rPr>
              <w:t>0,93</w:t>
            </w:r>
          </w:p>
          <w:p w14:paraId="01C7B059" w14:textId="77777777" w:rsidR="00F52705" w:rsidRPr="009F7642" w:rsidRDefault="00F52705" w:rsidP="0073217C">
            <w:pPr>
              <w:suppressAutoHyphens/>
              <w:spacing w:line="259" w:lineRule="auto"/>
              <w:ind w:left="47"/>
              <w:jc w:val="center"/>
              <w:rPr>
                <w:color w:val="auto"/>
                <w:lang w:val="is-IS"/>
              </w:rPr>
            </w:pPr>
            <w:r w:rsidRPr="009F7642">
              <w:rPr>
                <w:color w:val="auto"/>
                <w:lang w:val="is-IS"/>
              </w:rPr>
              <w:t>(0,77; 1,14)</w:t>
            </w:r>
            <w:r w:rsidRPr="009F7642">
              <w:rPr>
                <w:rFonts w:eastAsia="Arial"/>
                <w:color w:val="auto"/>
                <w:lang w:val="is-IS"/>
              </w:rPr>
              <w:t xml:space="preserve"> </w:t>
            </w:r>
          </w:p>
        </w:tc>
        <w:tc>
          <w:tcPr>
            <w:tcW w:w="1560" w:type="dxa"/>
            <w:tcBorders>
              <w:top w:val="single" w:sz="4" w:space="0" w:color="auto"/>
              <w:left w:val="single" w:sz="4" w:space="0" w:color="auto"/>
              <w:bottom w:val="single" w:sz="4" w:space="0" w:color="auto"/>
              <w:right w:val="single" w:sz="4" w:space="0" w:color="auto"/>
            </w:tcBorders>
            <w:noWrap/>
            <w:hideMark/>
          </w:tcPr>
          <w:p w14:paraId="64C506D8" w14:textId="77777777" w:rsidR="006C06D6" w:rsidRPr="009F7642" w:rsidRDefault="00F52705" w:rsidP="0073217C">
            <w:pPr>
              <w:suppressAutoHyphens/>
              <w:spacing w:after="29" w:line="259" w:lineRule="auto"/>
              <w:ind w:left="52"/>
              <w:jc w:val="center"/>
              <w:rPr>
                <w:rFonts w:eastAsia="Arial"/>
                <w:color w:val="auto"/>
                <w:lang w:val="is-IS"/>
              </w:rPr>
            </w:pPr>
            <w:r w:rsidRPr="009F7642">
              <w:rPr>
                <w:color w:val="auto"/>
                <w:lang w:val="is-IS"/>
              </w:rPr>
              <w:t>0,78</w:t>
            </w:r>
          </w:p>
          <w:p w14:paraId="75A4755E" w14:textId="77777777" w:rsidR="00F52705" w:rsidRPr="009F7642" w:rsidRDefault="00F52705" w:rsidP="0073217C">
            <w:pPr>
              <w:suppressAutoHyphens/>
              <w:spacing w:line="259" w:lineRule="auto"/>
              <w:ind w:left="49"/>
              <w:jc w:val="center"/>
              <w:rPr>
                <w:color w:val="auto"/>
                <w:lang w:val="is-IS"/>
              </w:rPr>
            </w:pPr>
            <w:r w:rsidRPr="009F7642">
              <w:rPr>
                <w:color w:val="auto"/>
                <w:lang w:val="is-IS"/>
              </w:rPr>
              <w:t xml:space="preserve">(0,63; 0,96) </w:t>
            </w:r>
          </w:p>
        </w:tc>
      </w:tr>
      <w:tr w:rsidR="00DE4076" w:rsidRPr="009F7642" w14:paraId="6ECFA812" w14:textId="77777777" w:rsidTr="00DE4076">
        <w:trPr>
          <w:trHeight w:val="300"/>
        </w:trPr>
        <w:tc>
          <w:tcPr>
            <w:tcW w:w="8946" w:type="dxa"/>
            <w:gridSpan w:val="4"/>
            <w:tcBorders>
              <w:top w:val="single" w:sz="4" w:space="0" w:color="auto"/>
              <w:left w:val="single" w:sz="4" w:space="0" w:color="auto"/>
              <w:bottom w:val="single" w:sz="4" w:space="0" w:color="auto"/>
              <w:right w:val="single" w:sz="4" w:space="0" w:color="auto"/>
            </w:tcBorders>
            <w:noWrap/>
            <w:vAlign w:val="bottom"/>
            <w:hideMark/>
          </w:tcPr>
          <w:p w14:paraId="0C1DD060" w14:textId="77777777" w:rsidR="00F52705" w:rsidRPr="009F7642" w:rsidRDefault="00F52705" w:rsidP="0073217C">
            <w:pPr>
              <w:suppressAutoHyphens/>
              <w:spacing w:line="240" w:lineRule="auto"/>
              <w:rPr>
                <w:color w:val="auto"/>
                <w:lang w:val="is-IS"/>
              </w:rPr>
            </w:pPr>
            <w:r w:rsidRPr="009F7642">
              <w:rPr>
                <w:color w:val="auto"/>
                <w:lang w:val="is-IS"/>
              </w:rPr>
              <w:t xml:space="preserve">Slembiraðaðir sjúklingar með sjúkdóm á stigi IV </w:t>
            </w:r>
          </w:p>
        </w:tc>
      </w:tr>
      <w:tr w:rsidR="00DE4076" w:rsidRPr="009F7642" w14:paraId="39B5B888" w14:textId="77777777" w:rsidTr="00C11964">
        <w:trPr>
          <w:trHeight w:val="394"/>
        </w:trPr>
        <w:tc>
          <w:tcPr>
            <w:tcW w:w="4410" w:type="dxa"/>
            <w:tcBorders>
              <w:top w:val="single" w:sz="4" w:space="0" w:color="auto"/>
              <w:left w:val="single" w:sz="4" w:space="0" w:color="auto"/>
              <w:bottom w:val="single" w:sz="4" w:space="0" w:color="auto"/>
              <w:right w:val="single" w:sz="4" w:space="0" w:color="auto"/>
            </w:tcBorders>
            <w:noWrap/>
          </w:tcPr>
          <w:p w14:paraId="2F6FB965" w14:textId="77777777" w:rsidR="00F52705" w:rsidRPr="009F7642" w:rsidRDefault="00F52705" w:rsidP="0073217C">
            <w:pPr>
              <w:suppressAutoHyphens/>
              <w:spacing w:line="240" w:lineRule="auto"/>
              <w:rPr>
                <w:color w:val="auto"/>
                <w:lang w:val="is-IS"/>
              </w:rPr>
            </w:pPr>
          </w:p>
        </w:tc>
        <w:tc>
          <w:tcPr>
            <w:tcW w:w="1417" w:type="dxa"/>
            <w:tcBorders>
              <w:top w:val="single" w:sz="4" w:space="0" w:color="auto"/>
              <w:left w:val="single" w:sz="4" w:space="0" w:color="auto"/>
              <w:bottom w:val="single" w:sz="4" w:space="0" w:color="auto"/>
              <w:right w:val="single" w:sz="4" w:space="0" w:color="auto"/>
            </w:tcBorders>
            <w:noWrap/>
            <w:hideMark/>
          </w:tcPr>
          <w:p w14:paraId="6C281F18" w14:textId="77777777" w:rsidR="00F52705" w:rsidRPr="009F7642" w:rsidRDefault="00F52705" w:rsidP="0073217C">
            <w:pPr>
              <w:suppressAutoHyphens/>
              <w:spacing w:line="240" w:lineRule="auto"/>
              <w:jc w:val="center"/>
              <w:rPr>
                <w:color w:val="auto"/>
                <w:lang w:val="is-IS"/>
              </w:rPr>
            </w:pPr>
            <w:r w:rsidRPr="009F7642">
              <w:rPr>
                <w:color w:val="auto"/>
                <w:lang w:val="is-IS"/>
              </w:rPr>
              <w:t>CPP</w:t>
            </w:r>
          </w:p>
          <w:p w14:paraId="5A3DDFE4" w14:textId="77777777" w:rsidR="00F52705" w:rsidRPr="009F7642" w:rsidRDefault="00F52705" w:rsidP="0073217C">
            <w:pPr>
              <w:suppressAutoHyphens/>
              <w:spacing w:line="240" w:lineRule="auto"/>
              <w:jc w:val="center"/>
              <w:rPr>
                <w:color w:val="auto"/>
                <w:lang w:val="is-IS"/>
              </w:rPr>
            </w:pPr>
            <w:r w:rsidRPr="009F7642">
              <w:rPr>
                <w:color w:val="auto"/>
                <w:lang w:val="is-IS"/>
              </w:rPr>
              <w:t>(n</w:t>
            </w:r>
            <w:r w:rsidR="002F1245">
              <w:rPr>
                <w:color w:val="auto"/>
                <w:lang w:val="is-IS"/>
              </w:rPr>
              <w:t> </w:t>
            </w:r>
            <w:r w:rsidR="00700BDC">
              <w:rPr>
                <w:color w:val="auto"/>
                <w:lang w:val="is-IS"/>
              </w:rPr>
              <w:t>=</w:t>
            </w:r>
            <w:r w:rsidR="002F1245">
              <w:rPr>
                <w:color w:val="auto"/>
                <w:lang w:val="is-IS"/>
              </w:rPr>
              <w:t> </w:t>
            </w:r>
            <w:r w:rsidRPr="009F7642">
              <w:rPr>
                <w:color w:val="auto"/>
                <w:lang w:val="is-IS"/>
              </w:rPr>
              <w:t>153)</w:t>
            </w:r>
          </w:p>
        </w:tc>
        <w:tc>
          <w:tcPr>
            <w:tcW w:w="1559" w:type="dxa"/>
            <w:tcBorders>
              <w:top w:val="single" w:sz="4" w:space="0" w:color="auto"/>
              <w:left w:val="single" w:sz="4" w:space="0" w:color="auto"/>
              <w:bottom w:val="single" w:sz="4" w:space="0" w:color="auto"/>
              <w:right w:val="single" w:sz="4" w:space="0" w:color="auto"/>
            </w:tcBorders>
            <w:noWrap/>
            <w:hideMark/>
          </w:tcPr>
          <w:p w14:paraId="12C3178E" w14:textId="77777777" w:rsidR="00F52705" w:rsidRPr="009F7642" w:rsidRDefault="00F52705" w:rsidP="0073217C">
            <w:pPr>
              <w:suppressAutoHyphens/>
              <w:spacing w:line="240" w:lineRule="auto"/>
              <w:jc w:val="center"/>
              <w:rPr>
                <w:color w:val="auto"/>
                <w:lang w:val="is-IS"/>
              </w:rPr>
            </w:pPr>
            <w:r w:rsidRPr="009F7642">
              <w:rPr>
                <w:color w:val="auto"/>
                <w:lang w:val="is-IS"/>
              </w:rPr>
              <w:t>CPB15</w:t>
            </w:r>
          </w:p>
          <w:p w14:paraId="616B6160" w14:textId="77777777" w:rsidR="00F52705" w:rsidRPr="009F7642" w:rsidRDefault="00F52705" w:rsidP="0073217C">
            <w:pPr>
              <w:suppressAutoHyphens/>
              <w:spacing w:line="240" w:lineRule="auto"/>
              <w:jc w:val="center"/>
              <w:rPr>
                <w:color w:val="auto"/>
                <w:lang w:val="is-IS"/>
              </w:rPr>
            </w:pPr>
            <w:r w:rsidRPr="009F7642">
              <w:rPr>
                <w:color w:val="auto"/>
                <w:lang w:val="is-IS"/>
              </w:rPr>
              <w:t>(n</w:t>
            </w:r>
            <w:r w:rsidR="002F1245">
              <w:rPr>
                <w:color w:val="auto"/>
                <w:lang w:val="is-IS"/>
              </w:rPr>
              <w:t> </w:t>
            </w:r>
            <w:r w:rsidR="00700BDC">
              <w:rPr>
                <w:color w:val="auto"/>
                <w:lang w:val="is-IS"/>
              </w:rPr>
              <w:t>=</w:t>
            </w:r>
            <w:r w:rsidR="002F1245">
              <w:rPr>
                <w:color w:val="auto"/>
                <w:lang w:val="is-IS"/>
              </w:rPr>
              <w:t> </w:t>
            </w:r>
            <w:r w:rsidRPr="009F7642">
              <w:rPr>
                <w:color w:val="auto"/>
                <w:lang w:val="is-IS"/>
              </w:rPr>
              <w:t>165)</w:t>
            </w:r>
          </w:p>
        </w:tc>
        <w:tc>
          <w:tcPr>
            <w:tcW w:w="1560" w:type="dxa"/>
            <w:tcBorders>
              <w:top w:val="single" w:sz="4" w:space="0" w:color="auto"/>
              <w:left w:val="single" w:sz="4" w:space="0" w:color="auto"/>
              <w:bottom w:val="single" w:sz="4" w:space="0" w:color="auto"/>
              <w:right w:val="single" w:sz="4" w:space="0" w:color="auto"/>
            </w:tcBorders>
            <w:noWrap/>
            <w:hideMark/>
          </w:tcPr>
          <w:p w14:paraId="6F8381F4" w14:textId="77777777" w:rsidR="00F52705" w:rsidRPr="009F7642" w:rsidRDefault="00F52705" w:rsidP="0073217C">
            <w:pPr>
              <w:suppressAutoHyphens/>
              <w:spacing w:line="240" w:lineRule="auto"/>
              <w:jc w:val="center"/>
              <w:rPr>
                <w:color w:val="auto"/>
                <w:lang w:val="is-IS"/>
              </w:rPr>
            </w:pPr>
            <w:r w:rsidRPr="009F7642">
              <w:rPr>
                <w:color w:val="auto"/>
                <w:lang w:val="is-IS"/>
              </w:rPr>
              <w:t>CPB15+</w:t>
            </w:r>
          </w:p>
          <w:p w14:paraId="231D64EE" w14:textId="77777777" w:rsidR="00F52705" w:rsidRPr="009F7642" w:rsidRDefault="00F52705" w:rsidP="0073217C">
            <w:pPr>
              <w:suppressAutoHyphens/>
              <w:spacing w:line="240" w:lineRule="auto"/>
              <w:jc w:val="center"/>
              <w:rPr>
                <w:color w:val="auto"/>
                <w:lang w:val="is-IS"/>
              </w:rPr>
            </w:pPr>
            <w:r w:rsidRPr="009F7642">
              <w:rPr>
                <w:color w:val="auto"/>
                <w:lang w:val="is-IS"/>
              </w:rPr>
              <w:t>(n</w:t>
            </w:r>
            <w:r w:rsidR="002F1245">
              <w:rPr>
                <w:color w:val="auto"/>
                <w:lang w:val="is-IS"/>
              </w:rPr>
              <w:t> </w:t>
            </w:r>
            <w:r w:rsidR="00700BDC">
              <w:rPr>
                <w:color w:val="auto"/>
                <w:lang w:val="is-IS"/>
              </w:rPr>
              <w:t>=</w:t>
            </w:r>
            <w:r w:rsidR="002F1245">
              <w:rPr>
                <w:color w:val="auto"/>
                <w:lang w:val="is-IS"/>
              </w:rPr>
              <w:t> </w:t>
            </w:r>
            <w:r w:rsidRPr="009F7642">
              <w:rPr>
                <w:color w:val="auto"/>
                <w:lang w:val="is-IS"/>
              </w:rPr>
              <w:t>165)</w:t>
            </w:r>
          </w:p>
        </w:tc>
      </w:tr>
      <w:tr w:rsidR="00DE4076" w:rsidRPr="009F7642" w14:paraId="7D84F008" w14:textId="77777777" w:rsidTr="00C11964">
        <w:trPr>
          <w:trHeight w:val="138"/>
        </w:trPr>
        <w:tc>
          <w:tcPr>
            <w:tcW w:w="4410" w:type="dxa"/>
            <w:tcBorders>
              <w:top w:val="single" w:sz="4" w:space="0" w:color="auto"/>
              <w:left w:val="single" w:sz="4" w:space="0" w:color="auto"/>
              <w:bottom w:val="single" w:sz="4" w:space="0" w:color="auto"/>
              <w:right w:val="single" w:sz="4" w:space="0" w:color="auto"/>
            </w:tcBorders>
            <w:noWrap/>
            <w:hideMark/>
          </w:tcPr>
          <w:p w14:paraId="0B750A7B" w14:textId="36E8E155" w:rsidR="00F52705" w:rsidRPr="009F7642" w:rsidRDefault="00F52705" w:rsidP="0073217C">
            <w:pPr>
              <w:suppressAutoHyphens/>
              <w:spacing w:after="0" w:line="240" w:lineRule="auto"/>
              <w:ind w:left="567" w:firstLine="0"/>
              <w:rPr>
                <w:color w:val="auto"/>
                <w:lang w:val="is-IS"/>
              </w:rPr>
            </w:pPr>
            <w:r w:rsidRPr="009F7642">
              <w:rPr>
                <w:color w:val="auto"/>
                <w:lang w:val="is-IS"/>
              </w:rPr>
              <w:t xml:space="preserve">Miðgildi lifunar án </w:t>
            </w:r>
            <w:r w:rsidR="00495BB7" w:rsidRPr="00FE5EE2">
              <w:rPr>
                <w:color w:val="auto"/>
                <w:lang w:val="is-IS"/>
              </w:rPr>
              <w:t>versnunar</w:t>
            </w:r>
            <w:r w:rsidRPr="009F7642">
              <w:rPr>
                <w:color w:val="auto"/>
                <w:lang w:val="is-IS"/>
              </w:rPr>
              <w:t xml:space="preserve"> sjúkdóms (mánuðir)</w:t>
            </w:r>
            <w:r w:rsidRPr="009F7642">
              <w:rPr>
                <w:b/>
                <w:color w:val="auto"/>
                <w:lang w:val="is-IS"/>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41FD8B1" w14:textId="77777777" w:rsidR="00F52705" w:rsidRPr="009F7642" w:rsidRDefault="00F52705" w:rsidP="0073217C">
            <w:pPr>
              <w:suppressAutoHyphens/>
              <w:spacing w:line="259" w:lineRule="auto"/>
              <w:ind w:left="35"/>
              <w:jc w:val="center"/>
              <w:rPr>
                <w:color w:val="auto"/>
                <w:lang w:val="is-IS"/>
              </w:rPr>
            </w:pPr>
            <w:r w:rsidRPr="009F7642">
              <w:rPr>
                <w:color w:val="auto"/>
                <w:lang w:val="is-IS"/>
              </w:rPr>
              <w:t xml:space="preserve">9,5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4C8C721" w14:textId="77777777" w:rsidR="00F52705" w:rsidRPr="009F7642" w:rsidRDefault="00F52705" w:rsidP="0073217C">
            <w:pPr>
              <w:suppressAutoHyphens/>
              <w:spacing w:line="259" w:lineRule="auto"/>
              <w:ind w:left="35"/>
              <w:jc w:val="center"/>
              <w:rPr>
                <w:color w:val="auto"/>
                <w:lang w:val="is-IS"/>
              </w:rPr>
            </w:pPr>
            <w:r w:rsidRPr="009F7642">
              <w:rPr>
                <w:color w:val="auto"/>
                <w:lang w:val="is-IS"/>
              </w:rPr>
              <w:t xml:space="preserve">10,4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558C2C1B" w14:textId="77777777" w:rsidR="00F52705" w:rsidRPr="009F7642" w:rsidRDefault="00F52705" w:rsidP="0073217C">
            <w:pPr>
              <w:suppressAutoHyphens/>
              <w:spacing w:line="259" w:lineRule="auto"/>
              <w:ind w:left="38"/>
              <w:jc w:val="center"/>
              <w:rPr>
                <w:color w:val="auto"/>
                <w:lang w:val="is-IS"/>
              </w:rPr>
            </w:pPr>
            <w:r w:rsidRPr="009F7642">
              <w:rPr>
                <w:color w:val="auto"/>
                <w:lang w:val="is-IS"/>
              </w:rPr>
              <w:t xml:space="preserve">12,8 </w:t>
            </w:r>
          </w:p>
        </w:tc>
      </w:tr>
      <w:tr w:rsidR="00DE4076" w:rsidRPr="009F7642" w14:paraId="73AAD862" w14:textId="77777777" w:rsidTr="00C11964">
        <w:trPr>
          <w:trHeight w:val="572"/>
        </w:trPr>
        <w:tc>
          <w:tcPr>
            <w:tcW w:w="4410" w:type="dxa"/>
            <w:tcBorders>
              <w:top w:val="single" w:sz="4" w:space="0" w:color="auto"/>
              <w:left w:val="single" w:sz="4" w:space="0" w:color="auto"/>
              <w:bottom w:val="single" w:sz="4" w:space="0" w:color="auto"/>
              <w:right w:val="single" w:sz="4" w:space="0" w:color="auto"/>
            </w:tcBorders>
            <w:noWrap/>
            <w:hideMark/>
          </w:tcPr>
          <w:p w14:paraId="6FF95625" w14:textId="1F194230" w:rsidR="00F52705" w:rsidRPr="009F7642" w:rsidRDefault="00F52705" w:rsidP="0073217C">
            <w:pPr>
              <w:suppressAutoHyphens/>
              <w:spacing w:after="0" w:line="240" w:lineRule="auto"/>
              <w:ind w:left="567" w:firstLine="0"/>
              <w:rPr>
                <w:color w:val="auto"/>
                <w:lang w:val="is-IS"/>
              </w:rPr>
            </w:pPr>
            <w:r w:rsidRPr="009F7642">
              <w:rPr>
                <w:color w:val="auto"/>
                <w:lang w:val="is-IS"/>
              </w:rPr>
              <w:t>Áhættuhlutfall</w:t>
            </w:r>
            <w:r w:rsidR="00916698">
              <w:rPr>
                <w:color w:val="auto"/>
                <w:lang w:val="is-IS"/>
              </w:rPr>
              <w:t xml:space="preserve"> </w:t>
            </w:r>
            <w:r w:rsidRPr="009F7642">
              <w:rPr>
                <w:color w:val="auto"/>
                <w:lang w:val="is-IS"/>
              </w:rPr>
              <w:t xml:space="preserve">(95% </w:t>
            </w:r>
            <w:r w:rsidR="00495BB7" w:rsidRPr="009F7642">
              <w:rPr>
                <w:color w:val="auto"/>
                <w:lang w:val="is-IS"/>
              </w:rPr>
              <w:t>öryggis</w:t>
            </w:r>
            <w:r w:rsidR="00495BB7">
              <w:rPr>
                <w:color w:val="auto"/>
                <w:lang w:val="is-IS"/>
              </w:rPr>
              <w:t>bil</w:t>
            </w:r>
            <w:r w:rsidRPr="009F7642">
              <w:rPr>
                <w:color w:val="auto"/>
                <w:lang w:val="is-IS"/>
              </w:rPr>
              <w:t>)</w:t>
            </w:r>
            <w:r w:rsidRPr="009F7642">
              <w:rPr>
                <w:color w:val="auto"/>
                <w:vertAlign w:val="superscript"/>
                <w:lang w:val="is-IS"/>
              </w:rPr>
              <w:t>4</w:t>
            </w:r>
            <w:r w:rsidRPr="009F7642">
              <w:rPr>
                <w:rFonts w:eastAsia="Arial"/>
                <w:color w:val="auto"/>
                <w:lang w:val="is-IS"/>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tcPr>
          <w:p w14:paraId="4B6AB15E" w14:textId="77777777" w:rsidR="00F52705" w:rsidRPr="009F7642" w:rsidRDefault="00F52705" w:rsidP="0073217C">
            <w:pPr>
              <w:suppressAutoHyphens/>
              <w:spacing w:line="259" w:lineRule="auto"/>
              <w:ind w:left="89"/>
              <w:jc w:val="center"/>
              <w:rPr>
                <w:color w:val="auto"/>
                <w:lang w:val="is-IS"/>
              </w:rPr>
            </w:pPr>
          </w:p>
        </w:tc>
        <w:tc>
          <w:tcPr>
            <w:tcW w:w="1559" w:type="dxa"/>
            <w:tcBorders>
              <w:top w:val="single" w:sz="4" w:space="0" w:color="auto"/>
              <w:left w:val="single" w:sz="4" w:space="0" w:color="auto"/>
              <w:bottom w:val="single" w:sz="4" w:space="0" w:color="auto"/>
              <w:right w:val="single" w:sz="4" w:space="0" w:color="auto"/>
            </w:tcBorders>
            <w:noWrap/>
            <w:hideMark/>
          </w:tcPr>
          <w:p w14:paraId="57233A97" w14:textId="77777777" w:rsidR="006C06D6" w:rsidRPr="009F7642" w:rsidRDefault="00F52705" w:rsidP="0073217C">
            <w:pPr>
              <w:suppressAutoHyphens/>
              <w:spacing w:line="259" w:lineRule="auto"/>
              <w:ind w:left="30"/>
              <w:jc w:val="center"/>
              <w:rPr>
                <w:rFonts w:eastAsia="Arial"/>
                <w:color w:val="auto"/>
                <w:lang w:val="is-IS"/>
              </w:rPr>
            </w:pPr>
            <w:r w:rsidRPr="009F7642">
              <w:rPr>
                <w:color w:val="auto"/>
                <w:lang w:val="is-IS"/>
              </w:rPr>
              <w:t xml:space="preserve">0,90 </w:t>
            </w:r>
          </w:p>
          <w:p w14:paraId="7D8B8BB8" w14:textId="77777777" w:rsidR="00F52705" w:rsidRPr="009F7642" w:rsidRDefault="00F52705" w:rsidP="0073217C">
            <w:pPr>
              <w:suppressAutoHyphens/>
              <w:spacing w:line="259" w:lineRule="auto"/>
              <w:ind w:left="33"/>
              <w:jc w:val="center"/>
              <w:rPr>
                <w:color w:val="auto"/>
                <w:lang w:val="is-IS"/>
              </w:rPr>
            </w:pPr>
            <w:r w:rsidRPr="009F7642">
              <w:rPr>
                <w:color w:val="auto"/>
                <w:lang w:val="is-IS"/>
              </w:rPr>
              <w:t>(0,70; 1,16)</w:t>
            </w:r>
            <w:r w:rsidRPr="009F7642">
              <w:rPr>
                <w:rFonts w:eastAsia="Arial"/>
                <w:color w:val="auto"/>
                <w:lang w:val="is-IS"/>
              </w:rPr>
              <w:t xml:space="preserve"> </w:t>
            </w:r>
          </w:p>
        </w:tc>
        <w:tc>
          <w:tcPr>
            <w:tcW w:w="1560" w:type="dxa"/>
            <w:tcBorders>
              <w:top w:val="single" w:sz="4" w:space="0" w:color="auto"/>
              <w:left w:val="single" w:sz="4" w:space="0" w:color="auto"/>
              <w:bottom w:val="single" w:sz="4" w:space="0" w:color="auto"/>
              <w:right w:val="single" w:sz="4" w:space="0" w:color="auto"/>
            </w:tcBorders>
            <w:noWrap/>
            <w:hideMark/>
          </w:tcPr>
          <w:p w14:paraId="6D7BFC04" w14:textId="77777777" w:rsidR="006C06D6" w:rsidRPr="009F7642" w:rsidRDefault="00F52705" w:rsidP="0073217C">
            <w:pPr>
              <w:suppressAutoHyphens/>
              <w:spacing w:line="259" w:lineRule="auto"/>
              <w:ind w:left="32"/>
              <w:jc w:val="center"/>
              <w:rPr>
                <w:rFonts w:eastAsia="Arial"/>
                <w:color w:val="auto"/>
                <w:lang w:val="is-IS"/>
              </w:rPr>
            </w:pPr>
            <w:r w:rsidRPr="009F7642">
              <w:rPr>
                <w:color w:val="auto"/>
                <w:lang w:val="is-IS"/>
              </w:rPr>
              <w:t xml:space="preserve">0,64 </w:t>
            </w:r>
          </w:p>
          <w:p w14:paraId="48800E21" w14:textId="77777777" w:rsidR="00F52705" w:rsidRPr="009F7642" w:rsidRDefault="00F52705" w:rsidP="0073217C">
            <w:pPr>
              <w:suppressAutoHyphens/>
              <w:spacing w:line="259" w:lineRule="auto"/>
              <w:ind w:left="35"/>
              <w:jc w:val="center"/>
              <w:rPr>
                <w:color w:val="auto"/>
                <w:lang w:val="is-IS"/>
              </w:rPr>
            </w:pPr>
            <w:r w:rsidRPr="009F7642">
              <w:rPr>
                <w:color w:val="auto"/>
                <w:lang w:val="is-IS"/>
              </w:rPr>
              <w:t>(0,49; 0,82)</w:t>
            </w:r>
            <w:r w:rsidRPr="009F7642">
              <w:rPr>
                <w:rFonts w:eastAsia="Arial"/>
                <w:color w:val="auto"/>
                <w:lang w:val="is-IS"/>
              </w:rPr>
              <w:t xml:space="preserve"> </w:t>
            </w:r>
          </w:p>
        </w:tc>
      </w:tr>
    </w:tbl>
    <w:p w14:paraId="7C3C23FB" w14:textId="3630A184" w:rsidR="006C06D6" w:rsidRPr="00DE4076" w:rsidRDefault="00564614" w:rsidP="0073217C">
      <w:pPr>
        <w:suppressAutoHyphens/>
        <w:spacing w:after="0" w:line="240" w:lineRule="auto"/>
        <w:ind w:left="567" w:hanging="567"/>
        <w:rPr>
          <w:color w:val="auto"/>
          <w:sz w:val="20"/>
          <w:szCs w:val="20"/>
          <w:lang w:val="is-IS"/>
        </w:rPr>
      </w:pPr>
      <w:r w:rsidRPr="009F7642">
        <w:rPr>
          <w:color w:val="auto"/>
          <w:sz w:val="20"/>
          <w:szCs w:val="20"/>
          <w:vertAlign w:val="superscript"/>
          <w:lang w:val="is-IS"/>
        </w:rPr>
        <w:t>1</w:t>
      </w:r>
      <w:r w:rsidR="00522076" w:rsidRPr="009F7642">
        <w:rPr>
          <w:color w:val="auto"/>
          <w:sz w:val="20"/>
          <w:szCs w:val="20"/>
          <w:lang w:val="is-IS"/>
        </w:rPr>
        <w:tab/>
      </w:r>
      <w:r w:rsidRPr="00DE4076">
        <w:rPr>
          <w:color w:val="auto"/>
          <w:sz w:val="20"/>
          <w:szCs w:val="20"/>
          <w:lang w:val="is-IS"/>
        </w:rPr>
        <w:t xml:space="preserve">Greining á mati rannsakanda á lifun án </w:t>
      </w:r>
      <w:r w:rsidR="00495BB7" w:rsidRPr="00495BB7">
        <w:rPr>
          <w:color w:val="auto"/>
          <w:sz w:val="20"/>
          <w:szCs w:val="20"/>
          <w:lang w:val="is-IS"/>
        </w:rPr>
        <w:t>versnunar</w:t>
      </w:r>
      <w:r w:rsidRPr="00DE4076">
        <w:rPr>
          <w:color w:val="auto"/>
          <w:sz w:val="20"/>
          <w:szCs w:val="20"/>
          <w:lang w:val="is-IS"/>
        </w:rPr>
        <w:t xml:space="preserve"> sjúkdóms samkvæmt rannsóknaráætlun GOGrannsóknarinnar (hvorki leiðrétt með tilliti til framvindu CA-125 mæligilda né meðferðar utan rannsóknaráætlunar fyrir </w:t>
      </w:r>
      <w:r w:rsidR="00495BB7">
        <w:rPr>
          <w:color w:val="auto"/>
          <w:sz w:val="20"/>
          <w:szCs w:val="20"/>
          <w:lang w:val="is-IS"/>
        </w:rPr>
        <w:t>versnun</w:t>
      </w:r>
      <w:r w:rsidR="00495BB7" w:rsidRPr="00DE4076">
        <w:rPr>
          <w:color w:val="auto"/>
          <w:sz w:val="20"/>
          <w:szCs w:val="20"/>
          <w:lang w:val="is-IS"/>
        </w:rPr>
        <w:t xml:space="preserve"> </w:t>
      </w:r>
      <w:r w:rsidRPr="00DE4076">
        <w:rPr>
          <w:color w:val="auto"/>
          <w:sz w:val="20"/>
          <w:szCs w:val="20"/>
          <w:lang w:val="is-IS"/>
        </w:rPr>
        <w:t xml:space="preserve">sjúkdóms), </w:t>
      </w:r>
      <w:r w:rsidR="009828E1">
        <w:rPr>
          <w:sz w:val="20"/>
          <w:lang w:val="is-IS"/>
        </w:rPr>
        <w:t>lokadagur gagnasöfnunar</w:t>
      </w:r>
      <w:r w:rsidR="009828E1" w:rsidRPr="003C5958">
        <w:rPr>
          <w:sz w:val="20"/>
          <w:lang w:val="is-IS"/>
        </w:rPr>
        <w:t xml:space="preserve"> </w:t>
      </w:r>
      <w:r w:rsidRPr="00DE4076">
        <w:rPr>
          <w:color w:val="auto"/>
          <w:sz w:val="20"/>
          <w:szCs w:val="20"/>
          <w:lang w:val="is-IS"/>
        </w:rPr>
        <w:t>25. febrúar 2010</w:t>
      </w:r>
      <w:r w:rsidR="00F63649" w:rsidRPr="00DE4076">
        <w:rPr>
          <w:color w:val="auto"/>
          <w:sz w:val="20"/>
          <w:szCs w:val="20"/>
          <w:lang w:val="is-IS"/>
        </w:rPr>
        <w:t>.</w:t>
      </w:r>
    </w:p>
    <w:p w14:paraId="2A3D421B" w14:textId="77777777" w:rsidR="006C06D6" w:rsidRPr="00DE4076" w:rsidRDefault="00564614" w:rsidP="0073217C">
      <w:pPr>
        <w:suppressAutoHyphens/>
        <w:spacing w:after="0" w:line="240" w:lineRule="auto"/>
        <w:ind w:left="567" w:hanging="567"/>
        <w:rPr>
          <w:color w:val="auto"/>
          <w:sz w:val="20"/>
          <w:szCs w:val="20"/>
          <w:lang w:val="is-IS"/>
        </w:rPr>
      </w:pPr>
      <w:r w:rsidRPr="00DE4076">
        <w:rPr>
          <w:color w:val="auto"/>
          <w:sz w:val="20"/>
          <w:szCs w:val="20"/>
          <w:vertAlign w:val="superscript"/>
          <w:lang w:val="is-IS"/>
        </w:rPr>
        <w:t>2</w:t>
      </w:r>
      <w:r w:rsidR="00F63649" w:rsidRPr="00DE4076">
        <w:rPr>
          <w:color w:val="auto"/>
          <w:sz w:val="20"/>
          <w:szCs w:val="20"/>
          <w:lang w:val="is-IS"/>
        </w:rPr>
        <w:tab/>
      </w:r>
      <w:r w:rsidRPr="00DE4076">
        <w:rPr>
          <w:color w:val="auto"/>
          <w:sz w:val="20"/>
          <w:szCs w:val="20"/>
          <w:lang w:val="is-IS"/>
        </w:rPr>
        <w:t>Með talsverðum eftirstöðvum sjúkdóms.</w:t>
      </w:r>
    </w:p>
    <w:p w14:paraId="0B1DCB45" w14:textId="77777777" w:rsidR="005F36F3" w:rsidRPr="00DE4076" w:rsidRDefault="00564614" w:rsidP="004B17FA">
      <w:pPr>
        <w:keepNext/>
        <w:suppressAutoHyphens/>
        <w:spacing w:after="0" w:line="240" w:lineRule="auto"/>
        <w:ind w:left="567" w:hanging="567"/>
        <w:rPr>
          <w:color w:val="auto"/>
          <w:sz w:val="20"/>
          <w:szCs w:val="20"/>
          <w:lang w:val="is-IS"/>
        </w:rPr>
      </w:pPr>
      <w:r w:rsidRPr="00DE4076">
        <w:rPr>
          <w:color w:val="auto"/>
          <w:sz w:val="20"/>
          <w:szCs w:val="20"/>
          <w:vertAlign w:val="superscript"/>
          <w:lang w:val="is-IS"/>
        </w:rPr>
        <w:lastRenderedPageBreak/>
        <w:t>3</w:t>
      </w:r>
      <w:r w:rsidR="00F63649" w:rsidRPr="00DE4076">
        <w:rPr>
          <w:color w:val="auto"/>
          <w:sz w:val="20"/>
          <w:szCs w:val="20"/>
          <w:lang w:val="is-IS"/>
        </w:rPr>
        <w:tab/>
      </w:r>
      <w:r w:rsidRPr="00DE4076">
        <w:rPr>
          <w:color w:val="auto"/>
          <w:sz w:val="20"/>
          <w:szCs w:val="20"/>
          <w:lang w:val="is-IS"/>
        </w:rPr>
        <w:t xml:space="preserve">3,7% af öllum slembiröðuðum sjúklingum </w:t>
      </w:r>
      <w:r w:rsidR="003C161D" w:rsidRPr="00DE4076">
        <w:rPr>
          <w:color w:val="auto"/>
          <w:sz w:val="20"/>
          <w:szCs w:val="20"/>
          <w:lang w:val="is-IS"/>
        </w:rPr>
        <w:t>voru með sjúkdóm á stigi IIIB.</w:t>
      </w:r>
    </w:p>
    <w:p w14:paraId="110BD828" w14:textId="77777777" w:rsidR="006C06D6" w:rsidRPr="00DE4076" w:rsidRDefault="00564614" w:rsidP="0073217C">
      <w:pPr>
        <w:suppressAutoHyphens/>
        <w:spacing w:after="0" w:line="240" w:lineRule="auto"/>
        <w:ind w:left="567" w:hanging="567"/>
        <w:rPr>
          <w:color w:val="auto"/>
          <w:sz w:val="20"/>
          <w:szCs w:val="20"/>
          <w:lang w:val="is-IS"/>
        </w:rPr>
      </w:pPr>
      <w:r w:rsidRPr="00DE4076">
        <w:rPr>
          <w:color w:val="auto"/>
          <w:sz w:val="20"/>
          <w:szCs w:val="20"/>
          <w:vertAlign w:val="superscript"/>
          <w:lang w:val="is-IS"/>
        </w:rPr>
        <w:t>4</w:t>
      </w:r>
      <w:r w:rsidR="00F63649" w:rsidRPr="00DE4076">
        <w:rPr>
          <w:color w:val="auto"/>
          <w:sz w:val="20"/>
          <w:szCs w:val="20"/>
          <w:lang w:val="is-IS"/>
        </w:rPr>
        <w:tab/>
      </w:r>
      <w:r w:rsidRPr="00DE4076">
        <w:rPr>
          <w:color w:val="auto"/>
          <w:sz w:val="20"/>
          <w:szCs w:val="20"/>
          <w:lang w:val="is-IS"/>
        </w:rPr>
        <w:t>Miðað við samanburðarhópinn.</w:t>
      </w:r>
    </w:p>
    <w:p w14:paraId="0E7031F4" w14:textId="77777777" w:rsidR="005F36F3" w:rsidRPr="009F7642" w:rsidRDefault="005F36F3" w:rsidP="0073217C">
      <w:pPr>
        <w:suppressAutoHyphens/>
        <w:spacing w:after="0" w:line="240" w:lineRule="auto"/>
        <w:ind w:left="0" w:firstLine="0"/>
        <w:rPr>
          <w:color w:val="auto"/>
          <w:lang w:val="is-IS"/>
        </w:rPr>
      </w:pPr>
    </w:p>
    <w:p w14:paraId="013912B2"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t>BO17707 (ICON7)</w:t>
      </w:r>
    </w:p>
    <w:p w14:paraId="058EDADC"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BO17707 rannsóknin var III. stigs, fjölsetra, slembiröðuð tveggja hópa opin samanburðarrannsókn, þar sem lagt var mat á áhrif þess að bæta </w:t>
      </w:r>
      <w:r w:rsidR="00690564" w:rsidRPr="00F2274F">
        <w:rPr>
          <w:lang w:val="is-IS"/>
        </w:rPr>
        <w:t>bevacízúmab</w:t>
      </w:r>
      <w:r w:rsidR="00B60473" w:rsidRPr="00F2274F">
        <w:rPr>
          <w:lang w:val="is-IS"/>
        </w:rPr>
        <w:t>i</w:t>
      </w:r>
      <w:r w:rsidRPr="009F7642">
        <w:rPr>
          <w:color w:val="auto"/>
          <w:lang w:val="is-IS"/>
        </w:rPr>
        <w:t xml:space="preserve"> við carboplatín ásamt paklítaxeli hjá sjúklingum með þekjufrumukrabbamein í eggjastokkum á FIGO stigi I eða IIA (3. gráðu eða eingöngu af tærfrumugerð (clear cell histology); n</w:t>
      </w:r>
      <w:r w:rsidR="002F1245">
        <w:rPr>
          <w:color w:val="auto"/>
          <w:lang w:val="is-IS"/>
        </w:rPr>
        <w:t> </w:t>
      </w:r>
      <w:r w:rsidR="00700BDC">
        <w:rPr>
          <w:color w:val="auto"/>
          <w:lang w:val="is-IS"/>
        </w:rPr>
        <w:t>=</w:t>
      </w:r>
      <w:r w:rsidR="002F1245">
        <w:rPr>
          <w:color w:val="auto"/>
          <w:lang w:val="is-IS"/>
        </w:rPr>
        <w:t> </w:t>
      </w:r>
      <w:r w:rsidRPr="009F7642">
        <w:rPr>
          <w:color w:val="auto"/>
          <w:lang w:val="is-IS"/>
        </w:rPr>
        <w:t>142) eða á FIGO stigi IIB - IV (allar gráður og vefjagerðir, n</w:t>
      </w:r>
      <w:r w:rsidR="002F1245">
        <w:rPr>
          <w:color w:val="auto"/>
          <w:lang w:val="is-IS"/>
        </w:rPr>
        <w:t> </w:t>
      </w:r>
      <w:r w:rsidR="00700BDC">
        <w:rPr>
          <w:color w:val="auto"/>
          <w:lang w:val="is-IS"/>
        </w:rPr>
        <w:t>=</w:t>
      </w:r>
      <w:r w:rsidR="002F1245">
        <w:rPr>
          <w:color w:val="auto"/>
          <w:lang w:val="is-IS"/>
        </w:rPr>
        <w:t> </w:t>
      </w:r>
      <w:r w:rsidRPr="009F7642">
        <w:rPr>
          <w:color w:val="auto"/>
          <w:lang w:val="is-IS"/>
        </w:rPr>
        <w:t>1.386), krabbamein í eggjaleiðurum eða krabbamein í lífhimnu, eftir skurðaðgerð (NCI-CTCAE, 3.</w:t>
      </w:r>
      <w:r w:rsidR="002F1245">
        <w:rPr>
          <w:color w:val="auto"/>
          <w:lang w:val="is-IS"/>
        </w:rPr>
        <w:t> </w:t>
      </w:r>
      <w:r w:rsidRPr="009F7642">
        <w:rPr>
          <w:color w:val="auto"/>
          <w:lang w:val="is-IS"/>
        </w:rPr>
        <w:t>útg.). FIGO-stigun frá 1988 var notuð í þessari rannsókn.</w:t>
      </w:r>
    </w:p>
    <w:p w14:paraId="546ED322" w14:textId="77777777" w:rsidR="005F36F3" w:rsidRPr="009F7642" w:rsidRDefault="005F36F3" w:rsidP="0073217C">
      <w:pPr>
        <w:suppressAutoHyphens/>
        <w:spacing w:after="0" w:line="240" w:lineRule="auto"/>
        <w:ind w:left="0" w:firstLine="0"/>
        <w:rPr>
          <w:color w:val="auto"/>
          <w:lang w:val="is-IS"/>
        </w:rPr>
      </w:pPr>
    </w:p>
    <w:p w14:paraId="3AA6A0F1"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Sjúklingar sem áður höfðu fengið </w:t>
      </w:r>
      <w:r w:rsidRPr="00F035CB">
        <w:rPr>
          <w:color w:val="auto"/>
          <w:lang w:val="is-IS"/>
        </w:rPr>
        <w:t>meðferð með bevacízúmab</w:t>
      </w:r>
      <w:r w:rsidR="00F035CB" w:rsidRPr="00F035CB">
        <w:rPr>
          <w:color w:val="auto"/>
          <w:lang w:val="is-IS"/>
        </w:rPr>
        <w:t>i</w:t>
      </w:r>
      <w:r w:rsidRPr="00F035CB">
        <w:rPr>
          <w:color w:val="auto"/>
          <w:lang w:val="is-IS"/>
        </w:rPr>
        <w:t>, sjúklingar</w:t>
      </w:r>
      <w:r w:rsidRPr="009F7642">
        <w:rPr>
          <w:color w:val="auto"/>
          <w:lang w:val="is-IS"/>
        </w:rPr>
        <w:t xml:space="preserve"> sem áður höfðu fengið </w:t>
      </w:r>
      <w:r w:rsidRPr="00363B58">
        <w:rPr>
          <w:color w:val="auto"/>
          <w:lang w:val="is-IS"/>
        </w:rPr>
        <w:t>al</w:t>
      </w:r>
      <w:r w:rsidR="00774472" w:rsidRPr="00363B58">
        <w:rPr>
          <w:color w:val="auto"/>
          <w:lang w:val="is-IS"/>
        </w:rPr>
        <w:t>tæka</w:t>
      </w:r>
      <w:r w:rsidRPr="009F7642">
        <w:rPr>
          <w:color w:val="auto"/>
          <w:lang w:val="is-IS"/>
        </w:rPr>
        <w:t xml:space="preserve"> (systemic) meðferð við krabbameini í eggjastokkum (t.d. krabbameinslyfjameðferð, meðferð með einstofna mótefnum, meðferð með týrosín kínasa hemlum eða hormónameðferð) og sjúklingar sem áður höfðu fengið geislameðferð á kviðarhol eða mjaðmargrind voru útilokaðir frá þátttöku í rannsókninni.</w:t>
      </w:r>
    </w:p>
    <w:p w14:paraId="2579131F" w14:textId="77777777" w:rsidR="005F36F3" w:rsidRPr="009F7642" w:rsidRDefault="005F36F3" w:rsidP="0073217C">
      <w:pPr>
        <w:suppressAutoHyphens/>
        <w:spacing w:after="0" w:line="240" w:lineRule="auto"/>
        <w:ind w:left="0" w:firstLine="0"/>
        <w:rPr>
          <w:color w:val="auto"/>
          <w:lang w:val="is-IS"/>
        </w:rPr>
      </w:pPr>
    </w:p>
    <w:p w14:paraId="30DF505F" w14:textId="77777777" w:rsidR="006C06D6" w:rsidRPr="009F7642" w:rsidRDefault="00564614" w:rsidP="0073217C">
      <w:pPr>
        <w:keepNext/>
        <w:suppressAutoHyphens/>
        <w:spacing w:after="0" w:line="240" w:lineRule="auto"/>
        <w:ind w:left="0" w:firstLine="0"/>
        <w:rPr>
          <w:color w:val="auto"/>
          <w:lang w:val="is-IS"/>
        </w:rPr>
      </w:pPr>
      <w:r w:rsidRPr="009F7642">
        <w:rPr>
          <w:color w:val="auto"/>
          <w:lang w:val="is-IS"/>
        </w:rPr>
        <w:t>Alls var 1.528 sjúklingum slembiraðað í jöfnum hlutföllum í eftirtalda tvo hópa:</w:t>
      </w:r>
    </w:p>
    <w:p w14:paraId="021B2AA0" w14:textId="77777777" w:rsidR="005F36F3" w:rsidRPr="009F7642" w:rsidRDefault="005F36F3" w:rsidP="0073217C">
      <w:pPr>
        <w:keepNext/>
        <w:suppressAutoHyphens/>
        <w:spacing w:after="0" w:line="240" w:lineRule="auto"/>
        <w:ind w:left="0" w:firstLine="0"/>
        <w:rPr>
          <w:color w:val="auto"/>
          <w:lang w:val="is-IS"/>
        </w:rPr>
      </w:pPr>
    </w:p>
    <w:p w14:paraId="673EF4FE" w14:textId="77777777" w:rsidR="006C06D6" w:rsidRPr="009F7642" w:rsidRDefault="00564614" w:rsidP="0073217C">
      <w:pPr>
        <w:numPr>
          <w:ilvl w:val="0"/>
          <w:numId w:val="9"/>
        </w:numPr>
        <w:suppressAutoHyphens/>
        <w:spacing w:after="0" w:line="240" w:lineRule="auto"/>
        <w:ind w:left="567" w:hanging="567"/>
        <w:rPr>
          <w:color w:val="auto"/>
          <w:lang w:val="is-IS"/>
        </w:rPr>
      </w:pPr>
      <w:r w:rsidRPr="009F7642">
        <w:rPr>
          <w:color w:val="auto"/>
          <w:lang w:val="is-IS"/>
        </w:rPr>
        <w:t>CP hópur: Carboplatín</w:t>
      </w:r>
      <w:r w:rsidR="009C428B" w:rsidRPr="009F7642">
        <w:rPr>
          <w:color w:val="auto"/>
          <w:lang w:val="is-IS"/>
        </w:rPr>
        <w:t xml:space="preserve"> (AUC 6) ásamt paklítaxeli (175 </w:t>
      </w:r>
      <w:r w:rsidRPr="009F7642">
        <w:rPr>
          <w:color w:val="auto"/>
          <w:lang w:val="is-IS"/>
        </w:rPr>
        <w:t>mg/m</w:t>
      </w:r>
      <w:r w:rsidRPr="009F7642">
        <w:rPr>
          <w:color w:val="auto"/>
          <w:vertAlign w:val="superscript"/>
          <w:lang w:val="is-IS"/>
        </w:rPr>
        <w:t>2</w:t>
      </w:r>
      <w:r w:rsidRPr="009F7642">
        <w:rPr>
          <w:color w:val="auto"/>
          <w:lang w:val="is-IS"/>
        </w:rPr>
        <w:t>) í 6 meðferðarlotum sem hver stóð í 3 vikur</w:t>
      </w:r>
      <w:r w:rsidR="00E33F2B" w:rsidRPr="009F7642">
        <w:rPr>
          <w:color w:val="auto"/>
          <w:lang w:val="is-IS"/>
        </w:rPr>
        <w:t>.</w:t>
      </w:r>
    </w:p>
    <w:p w14:paraId="7549AF4E" w14:textId="77777777" w:rsidR="006C06D6" w:rsidRPr="009F7642" w:rsidRDefault="00564614" w:rsidP="0073217C">
      <w:pPr>
        <w:numPr>
          <w:ilvl w:val="0"/>
          <w:numId w:val="9"/>
        </w:numPr>
        <w:suppressAutoHyphens/>
        <w:spacing w:after="0" w:line="240" w:lineRule="auto"/>
        <w:ind w:left="567" w:hanging="567"/>
        <w:rPr>
          <w:color w:val="auto"/>
          <w:lang w:val="is-IS"/>
        </w:rPr>
      </w:pPr>
      <w:r w:rsidRPr="009F7642">
        <w:rPr>
          <w:color w:val="auto"/>
          <w:lang w:val="is-IS"/>
        </w:rPr>
        <w:t>CPB7,5+ hópur: Carboplatín</w:t>
      </w:r>
      <w:r w:rsidR="009C428B" w:rsidRPr="009F7642">
        <w:rPr>
          <w:color w:val="auto"/>
          <w:lang w:val="is-IS"/>
        </w:rPr>
        <w:t xml:space="preserve"> (AUC 6) ásamt paklítaxeli (175 </w:t>
      </w:r>
      <w:r w:rsidRPr="009F7642">
        <w:rPr>
          <w:color w:val="auto"/>
          <w:lang w:val="is-IS"/>
        </w:rPr>
        <w:t>mg/m</w:t>
      </w:r>
      <w:r w:rsidRPr="009F7642">
        <w:rPr>
          <w:color w:val="auto"/>
          <w:vertAlign w:val="superscript"/>
          <w:lang w:val="is-IS"/>
        </w:rPr>
        <w:t>2</w:t>
      </w:r>
      <w:r w:rsidRPr="009F7642">
        <w:rPr>
          <w:color w:val="auto"/>
          <w:lang w:val="is-IS"/>
        </w:rPr>
        <w:t>) í 6 þriggja vikna með</w:t>
      </w:r>
      <w:r w:rsidR="009C428B" w:rsidRPr="009F7642">
        <w:rPr>
          <w:color w:val="auto"/>
          <w:lang w:val="is-IS"/>
        </w:rPr>
        <w:t xml:space="preserve">ferðarlotum, ásamt </w:t>
      </w:r>
      <w:r w:rsidR="00690564" w:rsidRPr="00F2274F">
        <w:rPr>
          <w:lang w:val="is-IS"/>
        </w:rPr>
        <w:t>bevacízúmab</w:t>
      </w:r>
      <w:r w:rsidR="00B60473" w:rsidRPr="00F2274F">
        <w:rPr>
          <w:lang w:val="is-IS"/>
        </w:rPr>
        <w:t>i</w:t>
      </w:r>
      <w:r w:rsidR="009C428B" w:rsidRPr="009F7642">
        <w:rPr>
          <w:color w:val="auto"/>
          <w:lang w:val="is-IS"/>
        </w:rPr>
        <w:t xml:space="preserve"> (7,5 </w:t>
      </w:r>
      <w:r w:rsidRPr="009F7642">
        <w:rPr>
          <w:color w:val="auto"/>
          <w:lang w:val="is-IS"/>
        </w:rPr>
        <w:t xml:space="preserve">mg/kg á þriggja vikna fresti) í allt að 12 mánuði (gjöf </w:t>
      </w:r>
      <w:r w:rsidR="00690564" w:rsidRPr="00F2274F">
        <w:rPr>
          <w:lang w:val="is-IS"/>
        </w:rPr>
        <w:t>bevacízúmab</w:t>
      </w:r>
      <w:r w:rsidR="00B60473" w:rsidRPr="00F2274F">
        <w:rPr>
          <w:lang w:val="is-IS"/>
        </w:rPr>
        <w:t>s</w:t>
      </w:r>
      <w:r w:rsidRPr="009F7642">
        <w:rPr>
          <w:color w:val="auto"/>
          <w:lang w:val="is-IS"/>
        </w:rPr>
        <w:t xml:space="preserve"> hófst í 2. lotu krabbameinslyfjameðferðar ef meðferð hófst innan 4 vikna frá skurðaðgerð, en í 1. lotu ef meðferð hófst meira en 4 vikum eftir skurðaðgerð).</w:t>
      </w:r>
    </w:p>
    <w:p w14:paraId="26D73DEC" w14:textId="77777777" w:rsidR="005F36F3" w:rsidRPr="009F7642" w:rsidRDefault="005F36F3" w:rsidP="0073217C">
      <w:pPr>
        <w:suppressAutoHyphens/>
        <w:spacing w:after="0" w:line="240" w:lineRule="auto"/>
        <w:ind w:left="0" w:firstLine="0"/>
        <w:rPr>
          <w:color w:val="auto"/>
          <w:lang w:val="is-IS"/>
        </w:rPr>
      </w:pPr>
    </w:p>
    <w:p w14:paraId="2A6F4081"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Meirihluti sjúklinga sem þátt tóku í rannsókninni voru af hvítum kynstofni (96%); miðgildi aldurs var 57 ár í báðum meðferðarhópunum; 25% sjúklinga í hvorum meðferðarhóp voru 65 ára eða eldri, u.þ.b.</w:t>
      </w:r>
      <w:r w:rsidR="007E792E">
        <w:rPr>
          <w:color w:val="auto"/>
          <w:lang w:val="is-IS"/>
        </w:rPr>
        <w:t xml:space="preserve"> </w:t>
      </w:r>
      <w:r w:rsidRPr="009F7642">
        <w:rPr>
          <w:color w:val="auto"/>
          <w:lang w:val="is-IS"/>
        </w:rPr>
        <w:t>50% sjúklinga voru á ECOG PS stigi 1, 7% sjúklinga í hvorum meðferðarhóp voru á ECOG PS stigi 2. Flestir sjúklingar voru með þekjufrumukrabbamein í eggjastokkum (87,7%) en færri voru með krabbamein í lífhimnu (6,9%), krabbamein í eggjaleiðurum (3,7%) eða æxli af blönduðum uppruna þessara þriggja tegunda (1,7%). Hjá flestum sjúklingum voru æxli á FIGO stigi III (68% í báðum hópum) en færri voru með æxli á FIGO stigi IV (13% í CP hópnum, 14% í CPB7.5 hópnum), FIGO stigi II (10% í CP hópnum, 11% í CPB7.5 hópnum) og FIGO stigi I (9% í CP hópnum, 7% í CPB7,5 hópnum). Meirihluti sjúklinga í hvorum meðferðarhóp (74% í CP hópnum, 71% í CPB7,5 hópnum) hafði lítt sérhæfð (Stig 3) frumkomin æxli við upphaf rannsóknar. Tíðni vefjafræðilegra undirflokka þekjufrumukrabbameins í eggjastokkum var svipuð í meðferðarhópunum, 69% sjúklinga í hvorum meðferðarhóp voru með blöðrumyndandi kirtilæxli.</w:t>
      </w:r>
    </w:p>
    <w:p w14:paraId="090A706E" w14:textId="77777777" w:rsidR="005F36F3" w:rsidRPr="009F7642" w:rsidRDefault="005F36F3" w:rsidP="0073217C">
      <w:pPr>
        <w:suppressAutoHyphens/>
        <w:spacing w:after="0" w:line="240" w:lineRule="auto"/>
        <w:ind w:left="0" w:firstLine="0"/>
        <w:rPr>
          <w:color w:val="auto"/>
          <w:lang w:val="is-IS"/>
        </w:rPr>
      </w:pPr>
    </w:p>
    <w:p w14:paraId="7087DE16" w14:textId="57FA4EBF"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Aðalendapunkturinn var lifun án </w:t>
      </w:r>
      <w:r w:rsidR="00495BB7" w:rsidRPr="00495BB7">
        <w:rPr>
          <w:color w:val="auto"/>
          <w:lang w:val="is-IS"/>
        </w:rPr>
        <w:t>versnunar</w:t>
      </w:r>
      <w:r w:rsidRPr="009F7642">
        <w:rPr>
          <w:color w:val="auto"/>
          <w:lang w:val="is-IS"/>
        </w:rPr>
        <w:t xml:space="preserve"> sjúkdóms að mati rannsakanda, samkvæmt RECIST.</w:t>
      </w:r>
    </w:p>
    <w:p w14:paraId="275FDFB0" w14:textId="77777777" w:rsidR="005F36F3" w:rsidRPr="009F7642" w:rsidRDefault="005F36F3" w:rsidP="0073217C">
      <w:pPr>
        <w:suppressAutoHyphens/>
        <w:spacing w:after="0" w:line="240" w:lineRule="auto"/>
        <w:ind w:left="0" w:firstLine="0"/>
        <w:rPr>
          <w:color w:val="auto"/>
          <w:lang w:val="is-IS"/>
        </w:rPr>
      </w:pPr>
    </w:p>
    <w:p w14:paraId="241539C8" w14:textId="66F21112" w:rsidR="006C06D6" w:rsidRPr="009F7642" w:rsidRDefault="00564614" w:rsidP="0073217C">
      <w:pPr>
        <w:suppressAutoHyphens/>
        <w:spacing w:after="0" w:line="240" w:lineRule="auto"/>
        <w:ind w:left="0" w:firstLine="0"/>
        <w:rPr>
          <w:color w:val="auto"/>
          <w:lang w:val="is-IS"/>
        </w:rPr>
      </w:pPr>
      <w:r w:rsidRPr="009F7642">
        <w:rPr>
          <w:color w:val="auto"/>
          <w:lang w:val="is-IS"/>
        </w:rPr>
        <w:t>Meginmarkmið rannsóknarinnar, lengri lifun</w:t>
      </w:r>
      <w:r w:rsidR="003C161D" w:rsidRPr="009F7642">
        <w:rPr>
          <w:color w:val="auto"/>
          <w:lang w:val="is-IS"/>
        </w:rPr>
        <w:t xml:space="preserve"> án </w:t>
      </w:r>
      <w:r w:rsidR="00495BB7" w:rsidRPr="00FE5EE2">
        <w:rPr>
          <w:color w:val="auto"/>
          <w:lang w:val="is-IS"/>
        </w:rPr>
        <w:t>versnunar</w:t>
      </w:r>
      <w:r w:rsidR="003C161D" w:rsidRPr="009F7642">
        <w:rPr>
          <w:color w:val="auto"/>
          <w:lang w:val="is-IS"/>
        </w:rPr>
        <w:t xml:space="preserve"> sjúkdóms, náðist.</w:t>
      </w:r>
      <w:r w:rsidRPr="009F7642">
        <w:rPr>
          <w:color w:val="auto"/>
          <w:lang w:val="is-IS"/>
        </w:rPr>
        <w:t xml:space="preserve"> Hjá sjúkl</w:t>
      </w:r>
      <w:r w:rsidR="009C428B" w:rsidRPr="009F7642">
        <w:rPr>
          <w:color w:val="auto"/>
          <w:lang w:val="is-IS"/>
        </w:rPr>
        <w:t xml:space="preserve">ingum sem fengu </w:t>
      </w:r>
      <w:r w:rsidR="007908E5" w:rsidRPr="009F7642">
        <w:rPr>
          <w:color w:val="auto"/>
          <w:lang w:val="is-IS"/>
        </w:rPr>
        <w:t>bevac</w:t>
      </w:r>
      <w:r w:rsidR="007908E5">
        <w:rPr>
          <w:color w:val="auto"/>
          <w:lang w:val="is-IS"/>
        </w:rPr>
        <w:t>í</w:t>
      </w:r>
      <w:r w:rsidR="007908E5" w:rsidRPr="009F7642">
        <w:rPr>
          <w:color w:val="auto"/>
          <w:lang w:val="is-IS"/>
        </w:rPr>
        <w:t xml:space="preserve">zúmab </w:t>
      </w:r>
      <w:r w:rsidR="009C428B" w:rsidRPr="009F7642">
        <w:rPr>
          <w:color w:val="auto"/>
          <w:lang w:val="is-IS"/>
        </w:rPr>
        <w:t>7,5 </w:t>
      </w:r>
      <w:r w:rsidRPr="009F7642">
        <w:rPr>
          <w:color w:val="auto"/>
          <w:lang w:val="is-IS"/>
        </w:rPr>
        <w:t xml:space="preserve">mg/kg á þriggja vikna fresti ásamt öðrum krabbameinslyfjum og héldu áfram að fá </w:t>
      </w:r>
      <w:r w:rsidR="007908E5" w:rsidRPr="009F7642">
        <w:rPr>
          <w:color w:val="auto"/>
          <w:lang w:val="is-IS"/>
        </w:rPr>
        <w:t>bevac</w:t>
      </w:r>
      <w:r w:rsidR="007908E5">
        <w:rPr>
          <w:color w:val="auto"/>
          <w:lang w:val="is-IS"/>
        </w:rPr>
        <w:t>í</w:t>
      </w:r>
      <w:r w:rsidR="007908E5" w:rsidRPr="009F7642">
        <w:rPr>
          <w:color w:val="auto"/>
          <w:lang w:val="is-IS"/>
        </w:rPr>
        <w:t xml:space="preserve">zúmab </w:t>
      </w:r>
      <w:r w:rsidRPr="009F7642">
        <w:rPr>
          <w:color w:val="auto"/>
          <w:lang w:val="is-IS"/>
        </w:rPr>
        <w:t xml:space="preserve">í allt að 18 meðferðarlotur sást tölfræðilega marktækt lengri lifun án </w:t>
      </w:r>
      <w:r w:rsidR="00495BB7" w:rsidRPr="00FE5EE2">
        <w:rPr>
          <w:color w:val="auto"/>
          <w:lang w:val="is-IS"/>
        </w:rPr>
        <w:t>versnunar</w:t>
      </w:r>
      <w:r w:rsidRPr="009F7642">
        <w:rPr>
          <w:color w:val="auto"/>
          <w:lang w:val="is-IS"/>
        </w:rPr>
        <w:t xml:space="preserve"> sjúkdóms, borið saman við sjúklinga sem aðeins fengu önnur krabbameinslyf (carboplatín og paklítaxel) sem </w:t>
      </w:r>
      <w:r w:rsidR="00495BB7">
        <w:rPr>
          <w:color w:val="auto"/>
          <w:lang w:val="is-IS"/>
        </w:rPr>
        <w:t xml:space="preserve">fyrstu </w:t>
      </w:r>
      <w:r w:rsidR="00495BB7" w:rsidRPr="009F7642">
        <w:rPr>
          <w:color w:val="auto"/>
          <w:lang w:val="is-IS"/>
        </w:rPr>
        <w:t>meðferð</w:t>
      </w:r>
      <w:r w:rsidRPr="009F7642">
        <w:rPr>
          <w:color w:val="auto"/>
          <w:lang w:val="is-IS"/>
        </w:rPr>
        <w:t>.</w:t>
      </w:r>
    </w:p>
    <w:p w14:paraId="5D567523" w14:textId="77777777" w:rsidR="005F36F3" w:rsidRPr="009F7642" w:rsidRDefault="005F36F3" w:rsidP="0073217C">
      <w:pPr>
        <w:suppressAutoHyphens/>
        <w:spacing w:after="0" w:line="240" w:lineRule="auto"/>
        <w:ind w:left="0" w:firstLine="0"/>
        <w:rPr>
          <w:color w:val="auto"/>
          <w:lang w:val="is-IS"/>
        </w:rPr>
      </w:pPr>
    </w:p>
    <w:p w14:paraId="58D8A47E"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Niðurstöður rannsóknarinnar eru sýndar í </w:t>
      </w:r>
      <w:r w:rsidRPr="00363B58">
        <w:rPr>
          <w:color w:val="auto"/>
          <w:lang w:val="is-IS"/>
        </w:rPr>
        <w:t xml:space="preserve">töflu </w:t>
      </w:r>
      <w:r w:rsidR="00BA1F34" w:rsidRPr="00363B58">
        <w:rPr>
          <w:color w:val="auto"/>
          <w:lang w:val="is-IS"/>
        </w:rPr>
        <w:t>1</w:t>
      </w:r>
      <w:r w:rsidR="00781331">
        <w:rPr>
          <w:color w:val="auto"/>
          <w:lang w:val="is-IS"/>
        </w:rPr>
        <w:t>8</w:t>
      </w:r>
      <w:r w:rsidRPr="009F7642">
        <w:rPr>
          <w:color w:val="auto"/>
          <w:lang w:val="is-IS"/>
        </w:rPr>
        <w:t>.</w:t>
      </w:r>
    </w:p>
    <w:p w14:paraId="0A2B5B61" w14:textId="77777777" w:rsidR="005F36F3" w:rsidRPr="009F7642" w:rsidRDefault="005F36F3" w:rsidP="004B17FA">
      <w:pPr>
        <w:keepNext/>
        <w:suppressAutoHyphens/>
        <w:spacing w:after="0" w:line="240" w:lineRule="auto"/>
        <w:ind w:left="0" w:firstLine="0"/>
        <w:rPr>
          <w:color w:val="auto"/>
          <w:lang w:val="is-IS"/>
        </w:rPr>
      </w:pPr>
    </w:p>
    <w:p w14:paraId="3C5D5767" w14:textId="77777777" w:rsidR="006C06D6" w:rsidRPr="00DE4076" w:rsidRDefault="00BF4F58" w:rsidP="0073217C">
      <w:pPr>
        <w:keepNext/>
        <w:keepLines/>
        <w:suppressAutoHyphens/>
        <w:spacing w:after="0" w:line="240" w:lineRule="auto"/>
        <w:ind w:left="0" w:firstLine="0"/>
        <w:rPr>
          <w:b/>
          <w:color w:val="auto"/>
          <w:lang w:val="is-IS"/>
        </w:rPr>
      </w:pPr>
      <w:r w:rsidRPr="00363B58">
        <w:rPr>
          <w:b/>
          <w:color w:val="auto"/>
          <w:lang w:val="is-IS"/>
        </w:rPr>
        <w:t xml:space="preserve">Tafla </w:t>
      </w:r>
      <w:r w:rsidR="00BA1F34" w:rsidRPr="00363B58">
        <w:rPr>
          <w:b/>
          <w:color w:val="auto"/>
          <w:lang w:val="is-IS"/>
        </w:rPr>
        <w:t>1</w:t>
      </w:r>
      <w:r w:rsidR="00781331">
        <w:rPr>
          <w:b/>
          <w:color w:val="auto"/>
          <w:lang w:val="is-IS"/>
        </w:rPr>
        <w:t>8</w:t>
      </w:r>
      <w:r w:rsidR="00FE7644" w:rsidRPr="00363B58">
        <w:rPr>
          <w:b/>
          <w:color w:val="auto"/>
          <w:lang w:val="is-IS"/>
        </w:rPr>
        <w:t>.</w:t>
      </w:r>
      <w:r w:rsidR="00CE16F8" w:rsidRPr="00DE4076">
        <w:rPr>
          <w:b/>
          <w:color w:val="auto"/>
          <w:lang w:val="is-IS"/>
        </w:rPr>
        <w:t xml:space="preserve"> </w:t>
      </w:r>
      <w:r w:rsidR="00564614" w:rsidRPr="00DE4076">
        <w:rPr>
          <w:b/>
          <w:color w:val="auto"/>
          <w:lang w:val="is-IS"/>
        </w:rPr>
        <w:t>Niðurstöður varðandi verkun úr BO17707 (ICON7) rannsókninni</w:t>
      </w:r>
    </w:p>
    <w:p w14:paraId="63EEE8FA" w14:textId="77777777" w:rsidR="005F36F3" w:rsidRPr="009F7642" w:rsidRDefault="005F36F3" w:rsidP="0073217C">
      <w:pPr>
        <w:keepNext/>
        <w:keepLines/>
        <w:suppressAutoHyphens/>
        <w:spacing w:after="0" w:line="240" w:lineRule="auto"/>
        <w:ind w:left="0" w:firstLine="0"/>
        <w:rPr>
          <w:color w:val="auto"/>
          <w:lang w:val="is-IS"/>
        </w:rPr>
      </w:pPr>
    </w:p>
    <w:tbl>
      <w:tblPr>
        <w:tblW w:w="8946" w:type="dxa"/>
        <w:tblInd w:w="93" w:type="dxa"/>
        <w:tblLook w:val="04A0" w:firstRow="1" w:lastRow="0" w:firstColumn="1" w:lastColumn="0" w:noHBand="0" w:noVBand="1"/>
      </w:tblPr>
      <w:tblGrid>
        <w:gridCol w:w="3163"/>
        <w:gridCol w:w="2522"/>
        <w:gridCol w:w="3261"/>
      </w:tblGrid>
      <w:tr w:rsidR="00DE4076" w:rsidRPr="009F7642" w14:paraId="657C8DCE" w14:textId="77777777" w:rsidTr="00DE4076">
        <w:trPr>
          <w:trHeight w:val="300"/>
        </w:trPr>
        <w:tc>
          <w:tcPr>
            <w:tcW w:w="8946" w:type="dxa"/>
            <w:gridSpan w:val="3"/>
            <w:tcBorders>
              <w:top w:val="single" w:sz="4" w:space="0" w:color="auto"/>
              <w:left w:val="single" w:sz="4" w:space="0" w:color="auto"/>
              <w:bottom w:val="single" w:sz="4" w:space="0" w:color="auto"/>
              <w:right w:val="single" w:sz="4" w:space="0" w:color="auto"/>
            </w:tcBorders>
            <w:noWrap/>
            <w:vAlign w:val="bottom"/>
            <w:hideMark/>
          </w:tcPr>
          <w:p w14:paraId="5F6CA180" w14:textId="6F85C37E" w:rsidR="00E51035" w:rsidRPr="009F7642" w:rsidRDefault="00E51035" w:rsidP="0073217C">
            <w:pPr>
              <w:keepNext/>
              <w:keepLines/>
              <w:suppressAutoHyphens/>
              <w:spacing w:line="240" w:lineRule="auto"/>
              <w:rPr>
                <w:color w:val="auto"/>
                <w:lang w:val="is-IS"/>
              </w:rPr>
            </w:pPr>
            <w:r w:rsidRPr="009F7642">
              <w:rPr>
                <w:color w:val="auto"/>
                <w:lang w:val="is-IS"/>
              </w:rPr>
              <w:t xml:space="preserve">Lifun án </w:t>
            </w:r>
            <w:r w:rsidR="00495BB7" w:rsidRPr="00FE5EE2">
              <w:rPr>
                <w:color w:val="auto"/>
                <w:lang w:val="is-IS"/>
              </w:rPr>
              <w:t>versnunar</w:t>
            </w:r>
            <w:r w:rsidRPr="009F7642">
              <w:rPr>
                <w:color w:val="auto"/>
                <w:lang w:val="is-IS"/>
              </w:rPr>
              <w:t xml:space="preserve"> sjúkdóms</w:t>
            </w:r>
          </w:p>
        </w:tc>
      </w:tr>
      <w:tr w:rsidR="00DE4076" w:rsidRPr="009F7642" w14:paraId="36472F9A" w14:textId="77777777" w:rsidTr="00DE4076">
        <w:trPr>
          <w:trHeight w:val="564"/>
        </w:trPr>
        <w:tc>
          <w:tcPr>
            <w:tcW w:w="3163" w:type="dxa"/>
            <w:tcBorders>
              <w:top w:val="single" w:sz="4" w:space="0" w:color="auto"/>
              <w:left w:val="single" w:sz="4" w:space="0" w:color="auto"/>
              <w:bottom w:val="single" w:sz="4" w:space="0" w:color="auto"/>
              <w:right w:val="single" w:sz="4" w:space="0" w:color="auto"/>
            </w:tcBorders>
            <w:noWrap/>
            <w:vAlign w:val="center"/>
          </w:tcPr>
          <w:p w14:paraId="7658FDA9" w14:textId="77777777" w:rsidR="00E51035" w:rsidRPr="009F7642" w:rsidRDefault="00E51035" w:rsidP="0073217C">
            <w:pPr>
              <w:keepNext/>
              <w:keepLines/>
              <w:suppressAutoHyphens/>
              <w:spacing w:line="240" w:lineRule="auto"/>
              <w:rPr>
                <w:b/>
                <w:color w:val="auto"/>
                <w:lang w:val="is-IS"/>
              </w:rPr>
            </w:pPr>
          </w:p>
        </w:tc>
        <w:tc>
          <w:tcPr>
            <w:tcW w:w="2522" w:type="dxa"/>
            <w:tcBorders>
              <w:top w:val="single" w:sz="4" w:space="0" w:color="auto"/>
              <w:left w:val="single" w:sz="4" w:space="0" w:color="auto"/>
              <w:bottom w:val="single" w:sz="4" w:space="0" w:color="auto"/>
              <w:right w:val="single" w:sz="4" w:space="0" w:color="auto"/>
            </w:tcBorders>
            <w:noWrap/>
            <w:vAlign w:val="center"/>
            <w:hideMark/>
          </w:tcPr>
          <w:p w14:paraId="4F0836D4" w14:textId="77777777" w:rsidR="00E51035" w:rsidRPr="009F7642" w:rsidRDefault="00E51035" w:rsidP="0073217C">
            <w:pPr>
              <w:keepNext/>
              <w:keepLines/>
              <w:suppressAutoHyphens/>
              <w:spacing w:line="240" w:lineRule="auto"/>
              <w:jc w:val="center"/>
              <w:rPr>
                <w:color w:val="auto"/>
                <w:lang w:val="is-IS"/>
              </w:rPr>
            </w:pPr>
            <w:r w:rsidRPr="009F7642">
              <w:rPr>
                <w:color w:val="auto"/>
                <w:lang w:val="is-IS"/>
              </w:rPr>
              <w:t>CP</w:t>
            </w:r>
          </w:p>
          <w:p w14:paraId="092C355E" w14:textId="77777777" w:rsidR="00E51035" w:rsidRPr="009F7642" w:rsidRDefault="00E51035" w:rsidP="0073217C">
            <w:pPr>
              <w:keepNext/>
              <w:keepLines/>
              <w:suppressAutoHyphens/>
              <w:spacing w:line="240" w:lineRule="auto"/>
              <w:jc w:val="center"/>
              <w:rPr>
                <w:color w:val="auto"/>
                <w:lang w:val="is-IS"/>
              </w:rPr>
            </w:pPr>
            <w:r w:rsidRPr="009F7642">
              <w:rPr>
                <w:color w:val="auto"/>
                <w:lang w:val="is-IS"/>
              </w:rPr>
              <w:t>(n</w:t>
            </w:r>
            <w:r w:rsidR="002F1245">
              <w:rPr>
                <w:color w:val="auto"/>
                <w:lang w:val="is-IS"/>
              </w:rPr>
              <w:t> </w:t>
            </w:r>
            <w:r w:rsidR="00700BDC">
              <w:rPr>
                <w:color w:val="auto"/>
                <w:lang w:val="is-IS"/>
              </w:rPr>
              <w:t>=</w:t>
            </w:r>
            <w:r w:rsidR="002F1245">
              <w:rPr>
                <w:color w:val="auto"/>
                <w:lang w:val="is-IS"/>
              </w:rPr>
              <w:t> </w:t>
            </w:r>
            <w:r w:rsidRPr="009F7642">
              <w:rPr>
                <w:color w:val="auto"/>
                <w:lang w:val="is-IS"/>
              </w:rPr>
              <w:t>764)</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0007FC2B" w14:textId="77777777" w:rsidR="00E51035" w:rsidRPr="009F7642" w:rsidRDefault="00E51035" w:rsidP="0073217C">
            <w:pPr>
              <w:keepNext/>
              <w:keepLines/>
              <w:suppressAutoHyphens/>
              <w:spacing w:line="240" w:lineRule="auto"/>
              <w:jc w:val="center"/>
              <w:rPr>
                <w:color w:val="auto"/>
                <w:lang w:val="is-IS"/>
              </w:rPr>
            </w:pPr>
            <w:r w:rsidRPr="009F7642">
              <w:rPr>
                <w:color w:val="auto"/>
                <w:lang w:val="is-IS"/>
              </w:rPr>
              <w:t>CPB7,5+</w:t>
            </w:r>
          </w:p>
          <w:p w14:paraId="4D61A6C2" w14:textId="77777777" w:rsidR="00E51035" w:rsidRPr="009F7642" w:rsidRDefault="00E51035" w:rsidP="0073217C">
            <w:pPr>
              <w:keepNext/>
              <w:keepLines/>
              <w:suppressAutoHyphens/>
              <w:spacing w:line="240" w:lineRule="auto"/>
              <w:jc w:val="center"/>
              <w:rPr>
                <w:color w:val="auto"/>
                <w:lang w:val="is-IS"/>
              </w:rPr>
            </w:pPr>
            <w:r w:rsidRPr="009F7642">
              <w:rPr>
                <w:color w:val="auto"/>
                <w:lang w:val="is-IS"/>
              </w:rPr>
              <w:t>(n</w:t>
            </w:r>
            <w:r w:rsidR="002F1245">
              <w:rPr>
                <w:color w:val="auto"/>
                <w:lang w:val="is-IS"/>
              </w:rPr>
              <w:t> </w:t>
            </w:r>
            <w:r w:rsidR="00700BDC">
              <w:rPr>
                <w:color w:val="auto"/>
                <w:lang w:val="is-IS"/>
              </w:rPr>
              <w:t>=</w:t>
            </w:r>
            <w:r w:rsidR="002F1245">
              <w:rPr>
                <w:color w:val="auto"/>
                <w:lang w:val="is-IS"/>
              </w:rPr>
              <w:t> </w:t>
            </w:r>
            <w:r w:rsidRPr="009F7642">
              <w:rPr>
                <w:color w:val="auto"/>
                <w:lang w:val="is-IS"/>
              </w:rPr>
              <w:t>764)</w:t>
            </w:r>
          </w:p>
        </w:tc>
      </w:tr>
      <w:tr w:rsidR="00DE4076" w:rsidRPr="009F7642" w14:paraId="47FA38F7" w14:textId="77777777" w:rsidTr="00DE4076">
        <w:trPr>
          <w:trHeight w:val="324"/>
        </w:trPr>
        <w:tc>
          <w:tcPr>
            <w:tcW w:w="3163" w:type="dxa"/>
            <w:tcBorders>
              <w:top w:val="single" w:sz="4" w:space="0" w:color="auto"/>
              <w:left w:val="single" w:sz="4" w:space="0" w:color="auto"/>
              <w:bottom w:val="single" w:sz="4" w:space="0" w:color="auto"/>
              <w:right w:val="single" w:sz="4" w:space="0" w:color="auto"/>
            </w:tcBorders>
            <w:noWrap/>
            <w:vAlign w:val="center"/>
            <w:hideMark/>
          </w:tcPr>
          <w:p w14:paraId="63FA073A" w14:textId="79A99E73" w:rsidR="00E51035" w:rsidRPr="009F7642" w:rsidRDefault="00E51035" w:rsidP="0073217C">
            <w:pPr>
              <w:keepNext/>
              <w:keepLines/>
              <w:suppressAutoHyphens/>
              <w:spacing w:after="0" w:line="240" w:lineRule="auto"/>
              <w:ind w:left="567" w:firstLine="0"/>
              <w:rPr>
                <w:color w:val="auto"/>
                <w:lang w:val="is-IS"/>
              </w:rPr>
            </w:pPr>
            <w:r w:rsidRPr="009F7642">
              <w:rPr>
                <w:color w:val="auto"/>
                <w:lang w:val="is-IS"/>
              </w:rPr>
              <w:t xml:space="preserve">Miðgildi lifunar án </w:t>
            </w:r>
            <w:r w:rsidR="00495BB7" w:rsidRPr="00FE5EE2">
              <w:rPr>
                <w:color w:val="auto"/>
                <w:lang w:val="is-IS"/>
              </w:rPr>
              <w:t>versnunar</w:t>
            </w:r>
            <w:r w:rsidRPr="009F7642">
              <w:rPr>
                <w:color w:val="auto"/>
                <w:lang w:val="is-IS"/>
              </w:rPr>
              <w:t xml:space="preserve"> sjúkdóms (mánuðir)</w:t>
            </w:r>
            <w:r w:rsidRPr="009F7642">
              <w:rPr>
                <w:color w:val="auto"/>
                <w:vertAlign w:val="superscript"/>
                <w:lang w:val="is-IS"/>
              </w:rPr>
              <w:t>2</w:t>
            </w:r>
          </w:p>
        </w:tc>
        <w:tc>
          <w:tcPr>
            <w:tcW w:w="2522" w:type="dxa"/>
            <w:tcBorders>
              <w:top w:val="single" w:sz="4" w:space="0" w:color="auto"/>
              <w:left w:val="single" w:sz="4" w:space="0" w:color="auto"/>
              <w:bottom w:val="single" w:sz="4" w:space="0" w:color="auto"/>
              <w:right w:val="single" w:sz="4" w:space="0" w:color="auto"/>
            </w:tcBorders>
            <w:noWrap/>
            <w:vAlign w:val="center"/>
            <w:hideMark/>
          </w:tcPr>
          <w:p w14:paraId="09F42593" w14:textId="77777777" w:rsidR="00E51035" w:rsidRPr="009F7642" w:rsidRDefault="00E51035" w:rsidP="0073217C">
            <w:pPr>
              <w:keepNext/>
              <w:keepLines/>
              <w:suppressAutoHyphens/>
              <w:spacing w:line="240" w:lineRule="auto"/>
              <w:jc w:val="center"/>
              <w:rPr>
                <w:color w:val="auto"/>
                <w:lang w:val="is-IS"/>
              </w:rPr>
            </w:pPr>
            <w:r w:rsidRPr="009F7642">
              <w:rPr>
                <w:color w:val="auto"/>
                <w:lang w:val="is-IS"/>
              </w:rPr>
              <w:t>16,9</w:t>
            </w:r>
          </w:p>
        </w:tc>
        <w:tc>
          <w:tcPr>
            <w:tcW w:w="3261" w:type="dxa"/>
            <w:tcBorders>
              <w:top w:val="single" w:sz="4" w:space="0" w:color="auto"/>
              <w:left w:val="single" w:sz="4" w:space="0" w:color="auto"/>
              <w:bottom w:val="single" w:sz="4" w:space="0" w:color="auto"/>
              <w:right w:val="single" w:sz="4" w:space="0" w:color="auto"/>
            </w:tcBorders>
            <w:noWrap/>
            <w:vAlign w:val="center"/>
            <w:hideMark/>
          </w:tcPr>
          <w:p w14:paraId="76522249" w14:textId="77777777" w:rsidR="00E51035" w:rsidRPr="009F7642" w:rsidRDefault="00E51035" w:rsidP="0073217C">
            <w:pPr>
              <w:keepNext/>
              <w:keepLines/>
              <w:suppressAutoHyphens/>
              <w:spacing w:line="240" w:lineRule="auto"/>
              <w:jc w:val="center"/>
              <w:rPr>
                <w:color w:val="auto"/>
                <w:lang w:val="is-IS"/>
              </w:rPr>
            </w:pPr>
            <w:r w:rsidRPr="009F7642">
              <w:rPr>
                <w:color w:val="auto"/>
                <w:lang w:val="is-IS"/>
              </w:rPr>
              <w:t>19,3</w:t>
            </w:r>
          </w:p>
        </w:tc>
      </w:tr>
      <w:tr w:rsidR="00DE4076" w:rsidRPr="009F7642" w14:paraId="070CFCB1" w14:textId="77777777" w:rsidTr="00DE4076">
        <w:trPr>
          <w:trHeight w:val="633"/>
        </w:trPr>
        <w:tc>
          <w:tcPr>
            <w:tcW w:w="3163" w:type="dxa"/>
            <w:tcBorders>
              <w:top w:val="single" w:sz="4" w:space="0" w:color="auto"/>
              <w:left w:val="single" w:sz="4" w:space="0" w:color="auto"/>
              <w:bottom w:val="single" w:sz="4" w:space="0" w:color="auto"/>
              <w:right w:val="single" w:sz="4" w:space="0" w:color="auto"/>
            </w:tcBorders>
            <w:noWrap/>
            <w:vAlign w:val="center"/>
            <w:hideMark/>
          </w:tcPr>
          <w:p w14:paraId="65682BAD" w14:textId="77777777" w:rsidR="00E51035" w:rsidRPr="009F7642" w:rsidRDefault="00E51035" w:rsidP="0073217C">
            <w:pPr>
              <w:suppressAutoHyphens/>
              <w:spacing w:after="0" w:line="240" w:lineRule="auto"/>
              <w:ind w:left="567" w:firstLine="0"/>
              <w:rPr>
                <w:color w:val="auto"/>
                <w:lang w:val="is-IS"/>
              </w:rPr>
            </w:pPr>
            <w:r w:rsidRPr="009F7642">
              <w:rPr>
                <w:color w:val="auto"/>
                <w:lang w:val="is-IS"/>
              </w:rPr>
              <w:t>Áhættuhlutfall (95% CI)</w:t>
            </w:r>
            <w:r w:rsidRPr="009F7642">
              <w:rPr>
                <w:color w:val="auto"/>
                <w:vertAlign w:val="superscript"/>
                <w:lang w:val="is-IS"/>
              </w:rPr>
              <w:t>2</w:t>
            </w:r>
          </w:p>
        </w:tc>
        <w:tc>
          <w:tcPr>
            <w:tcW w:w="5783" w:type="dxa"/>
            <w:gridSpan w:val="2"/>
            <w:tcBorders>
              <w:top w:val="single" w:sz="4" w:space="0" w:color="auto"/>
              <w:left w:val="single" w:sz="4" w:space="0" w:color="auto"/>
              <w:bottom w:val="single" w:sz="4" w:space="0" w:color="auto"/>
              <w:right w:val="single" w:sz="4" w:space="0" w:color="auto"/>
            </w:tcBorders>
            <w:noWrap/>
            <w:vAlign w:val="bottom"/>
            <w:hideMark/>
          </w:tcPr>
          <w:p w14:paraId="686084C8" w14:textId="77777777" w:rsidR="00E51035" w:rsidRPr="009F7642" w:rsidRDefault="00E51035" w:rsidP="0073217C">
            <w:pPr>
              <w:suppressAutoHyphens/>
              <w:spacing w:line="240" w:lineRule="auto"/>
              <w:jc w:val="center"/>
              <w:rPr>
                <w:color w:val="auto"/>
                <w:lang w:val="is-IS"/>
              </w:rPr>
            </w:pPr>
            <w:r w:rsidRPr="009F7642">
              <w:rPr>
                <w:color w:val="auto"/>
                <w:lang w:val="is-IS"/>
              </w:rPr>
              <w:t>0,86 [0,75; 0,98]</w:t>
            </w:r>
          </w:p>
          <w:p w14:paraId="59D2CCF0" w14:textId="77777777" w:rsidR="00E51035" w:rsidRPr="009F7642" w:rsidRDefault="00E51035" w:rsidP="0073217C">
            <w:pPr>
              <w:suppressAutoHyphens/>
              <w:spacing w:line="240" w:lineRule="auto"/>
              <w:jc w:val="center"/>
              <w:rPr>
                <w:color w:val="auto"/>
                <w:lang w:val="is-IS"/>
              </w:rPr>
            </w:pPr>
            <w:r w:rsidRPr="009F7642">
              <w:rPr>
                <w:color w:val="auto"/>
                <w:lang w:val="is-IS"/>
              </w:rPr>
              <w:t>(p-gildi</w:t>
            </w:r>
            <w:r w:rsidR="002F1245">
              <w:rPr>
                <w:color w:val="auto"/>
                <w:lang w:val="is-IS"/>
              </w:rPr>
              <w:t> </w:t>
            </w:r>
            <w:r w:rsidR="00700BDC">
              <w:rPr>
                <w:color w:val="auto"/>
                <w:lang w:val="is-IS"/>
              </w:rPr>
              <w:t>=</w:t>
            </w:r>
            <w:r w:rsidR="002F1245">
              <w:rPr>
                <w:color w:val="auto"/>
                <w:lang w:val="is-IS"/>
              </w:rPr>
              <w:t> </w:t>
            </w:r>
            <w:r w:rsidRPr="009F7642">
              <w:rPr>
                <w:color w:val="auto"/>
                <w:lang w:val="is-IS"/>
              </w:rPr>
              <w:t>0,0185)</w:t>
            </w:r>
          </w:p>
        </w:tc>
      </w:tr>
      <w:tr w:rsidR="00DE4076" w:rsidRPr="009F7642" w14:paraId="6CAE4584" w14:textId="77777777" w:rsidTr="00DE4076">
        <w:trPr>
          <w:trHeight w:val="300"/>
        </w:trPr>
        <w:tc>
          <w:tcPr>
            <w:tcW w:w="8946" w:type="dxa"/>
            <w:gridSpan w:val="3"/>
            <w:tcBorders>
              <w:top w:val="single" w:sz="4" w:space="0" w:color="auto"/>
              <w:left w:val="single" w:sz="4" w:space="0" w:color="auto"/>
              <w:bottom w:val="single" w:sz="4" w:space="0" w:color="auto"/>
              <w:right w:val="single" w:sz="4" w:space="0" w:color="auto"/>
            </w:tcBorders>
            <w:noWrap/>
            <w:vAlign w:val="bottom"/>
            <w:hideMark/>
          </w:tcPr>
          <w:p w14:paraId="1846BC30" w14:textId="77777777" w:rsidR="00E51035" w:rsidRPr="009F7642" w:rsidRDefault="00E51035" w:rsidP="0073217C">
            <w:pPr>
              <w:suppressAutoHyphens/>
              <w:spacing w:after="0" w:line="240" w:lineRule="auto"/>
              <w:ind w:left="0" w:firstLine="0"/>
              <w:rPr>
                <w:color w:val="auto"/>
                <w:lang w:val="is-IS"/>
              </w:rPr>
            </w:pPr>
            <w:r w:rsidRPr="009F7642">
              <w:rPr>
                <w:color w:val="auto"/>
                <w:lang w:val="is-IS"/>
              </w:rPr>
              <w:t>Hlutlægt svörunarhlutfall</w:t>
            </w:r>
            <w:r w:rsidRPr="009F7642">
              <w:rPr>
                <w:color w:val="auto"/>
                <w:vertAlign w:val="superscript"/>
                <w:lang w:val="is-IS"/>
              </w:rPr>
              <w:t xml:space="preserve"> 1</w:t>
            </w:r>
          </w:p>
        </w:tc>
      </w:tr>
      <w:tr w:rsidR="00DE4076" w:rsidRPr="009F7642" w14:paraId="735D8137" w14:textId="77777777" w:rsidTr="00DE4076">
        <w:trPr>
          <w:trHeight w:val="449"/>
        </w:trPr>
        <w:tc>
          <w:tcPr>
            <w:tcW w:w="3163" w:type="dxa"/>
            <w:tcBorders>
              <w:top w:val="single" w:sz="4" w:space="0" w:color="auto"/>
              <w:left w:val="single" w:sz="4" w:space="0" w:color="auto"/>
              <w:bottom w:val="single" w:sz="4" w:space="0" w:color="auto"/>
              <w:right w:val="single" w:sz="4" w:space="0" w:color="auto"/>
            </w:tcBorders>
            <w:noWrap/>
          </w:tcPr>
          <w:p w14:paraId="74ADCF1D" w14:textId="77777777" w:rsidR="00E51035" w:rsidRPr="009F7642" w:rsidRDefault="00E51035" w:rsidP="0073217C">
            <w:pPr>
              <w:suppressAutoHyphens/>
              <w:spacing w:line="240" w:lineRule="auto"/>
              <w:rPr>
                <w:b/>
                <w:color w:val="auto"/>
                <w:lang w:val="is-IS"/>
              </w:rPr>
            </w:pPr>
          </w:p>
        </w:tc>
        <w:tc>
          <w:tcPr>
            <w:tcW w:w="2522" w:type="dxa"/>
            <w:tcBorders>
              <w:top w:val="single" w:sz="4" w:space="0" w:color="auto"/>
              <w:left w:val="single" w:sz="4" w:space="0" w:color="auto"/>
              <w:bottom w:val="single" w:sz="4" w:space="0" w:color="auto"/>
              <w:right w:val="single" w:sz="4" w:space="0" w:color="auto"/>
            </w:tcBorders>
            <w:noWrap/>
            <w:hideMark/>
          </w:tcPr>
          <w:p w14:paraId="4AEF769B" w14:textId="77777777" w:rsidR="00E51035" w:rsidRPr="009F7642" w:rsidRDefault="00E51035" w:rsidP="0073217C">
            <w:pPr>
              <w:suppressAutoHyphens/>
              <w:spacing w:line="240" w:lineRule="auto"/>
              <w:jc w:val="center"/>
              <w:rPr>
                <w:color w:val="auto"/>
                <w:lang w:val="is-IS"/>
              </w:rPr>
            </w:pPr>
            <w:r w:rsidRPr="009F7642">
              <w:rPr>
                <w:color w:val="auto"/>
                <w:lang w:val="is-IS"/>
              </w:rPr>
              <w:t>CP</w:t>
            </w:r>
          </w:p>
          <w:p w14:paraId="5FA607E0" w14:textId="77777777" w:rsidR="00E51035" w:rsidRPr="009F7642" w:rsidRDefault="00E51035" w:rsidP="0073217C">
            <w:pPr>
              <w:suppressAutoHyphens/>
              <w:spacing w:line="240" w:lineRule="auto"/>
              <w:jc w:val="center"/>
              <w:rPr>
                <w:color w:val="auto"/>
                <w:lang w:val="is-IS"/>
              </w:rPr>
            </w:pPr>
            <w:r w:rsidRPr="009F7642">
              <w:rPr>
                <w:color w:val="auto"/>
                <w:lang w:val="is-IS"/>
              </w:rPr>
              <w:t>(n</w:t>
            </w:r>
            <w:r w:rsidR="002F1245">
              <w:rPr>
                <w:color w:val="auto"/>
                <w:lang w:val="is-IS"/>
              </w:rPr>
              <w:t> </w:t>
            </w:r>
            <w:r w:rsidR="00700BDC">
              <w:rPr>
                <w:color w:val="auto"/>
                <w:lang w:val="is-IS"/>
              </w:rPr>
              <w:t>=</w:t>
            </w:r>
            <w:r w:rsidR="002F1245">
              <w:rPr>
                <w:color w:val="auto"/>
                <w:lang w:val="is-IS"/>
              </w:rPr>
              <w:t> </w:t>
            </w:r>
            <w:r w:rsidRPr="009F7642">
              <w:rPr>
                <w:color w:val="auto"/>
                <w:lang w:val="is-IS"/>
              </w:rPr>
              <w:t>277)</w:t>
            </w:r>
          </w:p>
        </w:tc>
        <w:tc>
          <w:tcPr>
            <w:tcW w:w="3261" w:type="dxa"/>
            <w:tcBorders>
              <w:top w:val="single" w:sz="4" w:space="0" w:color="auto"/>
              <w:left w:val="single" w:sz="4" w:space="0" w:color="auto"/>
              <w:bottom w:val="single" w:sz="4" w:space="0" w:color="auto"/>
              <w:right w:val="single" w:sz="4" w:space="0" w:color="auto"/>
            </w:tcBorders>
            <w:noWrap/>
            <w:vAlign w:val="bottom"/>
            <w:hideMark/>
          </w:tcPr>
          <w:p w14:paraId="7F8907F8" w14:textId="77777777" w:rsidR="00E51035" w:rsidRPr="009F7642" w:rsidRDefault="00E51035" w:rsidP="0073217C">
            <w:pPr>
              <w:suppressAutoHyphens/>
              <w:spacing w:line="240" w:lineRule="auto"/>
              <w:jc w:val="center"/>
              <w:rPr>
                <w:color w:val="auto"/>
                <w:lang w:val="is-IS"/>
              </w:rPr>
            </w:pPr>
            <w:r w:rsidRPr="009F7642">
              <w:rPr>
                <w:color w:val="auto"/>
                <w:lang w:val="is-IS"/>
              </w:rPr>
              <w:t>CPB7,5+</w:t>
            </w:r>
          </w:p>
          <w:p w14:paraId="4703AF01" w14:textId="77777777" w:rsidR="00E51035" w:rsidRPr="009F7642" w:rsidRDefault="00E51035" w:rsidP="0073217C">
            <w:pPr>
              <w:suppressAutoHyphens/>
              <w:spacing w:line="240" w:lineRule="auto"/>
              <w:jc w:val="center"/>
              <w:rPr>
                <w:color w:val="auto"/>
                <w:lang w:val="is-IS"/>
              </w:rPr>
            </w:pPr>
            <w:r w:rsidRPr="009F7642">
              <w:rPr>
                <w:color w:val="auto"/>
                <w:lang w:val="is-IS"/>
              </w:rPr>
              <w:t>(n</w:t>
            </w:r>
            <w:r w:rsidR="002F1245">
              <w:rPr>
                <w:color w:val="auto"/>
                <w:lang w:val="is-IS"/>
              </w:rPr>
              <w:t> </w:t>
            </w:r>
            <w:r w:rsidR="00700BDC">
              <w:rPr>
                <w:color w:val="auto"/>
                <w:lang w:val="is-IS"/>
              </w:rPr>
              <w:t>=</w:t>
            </w:r>
            <w:r w:rsidR="002F1245">
              <w:rPr>
                <w:color w:val="auto"/>
                <w:lang w:val="is-IS"/>
              </w:rPr>
              <w:t> </w:t>
            </w:r>
            <w:r w:rsidRPr="009F7642">
              <w:rPr>
                <w:color w:val="auto"/>
                <w:lang w:val="is-IS"/>
              </w:rPr>
              <w:t>272)</w:t>
            </w:r>
          </w:p>
        </w:tc>
      </w:tr>
      <w:tr w:rsidR="00DE4076" w:rsidRPr="009F7642" w14:paraId="7C365385" w14:textId="77777777" w:rsidTr="00DE4076">
        <w:trPr>
          <w:trHeight w:val="449"/>
        </w:trPr>
        <w:tc>
          <w:tcPr>
            <w:tcW w:w="3163" w:type="dxa"/>
            <w:tcBorders>
              <w:top w:val="single" w:sz="4" w:space="0" w:color="auto"/>
              <w:left w:val="single" w:sz="4" w:space="0" w:color="auto"/>
              <w:bottom w:val="single" w:sz="4" w:space="0" w:color="auto"/>
              <w:right w:val="single" w:sz="4" w:space="0" w:color="auto"/>
            </w:tcBorders>
            <w:noWrap/>
            <w:hideMark/>
          </w:tcPr>
          <w:p w14:paraId="65332299" w14:textId="77777777" w:rsidR="00E51035" w:rsidRPr="009F7642" w:rsidRDefault="00E51035" w:rsidP="0073217C">
            <w:pPr>
              <w:suppressAutoHyphens/>
              <w:spacing w:after="0" w:line="240" w:lineRule="auto"/>
              <w:ind w:left="567" w:firstLine="0"/>
              <w:rPr>
                <w:color w:val="auto"/>
                <w:lang w:val="is-IS"/>
              </w:rPr>
            </w:pPr>
            <w:r w:rsidRPr="009F7642">
              <w:rPr>
                <w:color w:val="auto"/>
                <w:lang w:val="is-IS"/>
              </w:rPr>
              <w:t xml:space="preserve">Svörunarhlutfall </w:t>
            </w:r>
          </w:p>
        </w:tc>
        <w:tc>
          <w:tcPr>
            <w:tcW w:w="2522" w:type="dxa"/>
            <w:tcBorders>
              <w:top w:val="single" w:sz="4" w:space="0" w:color="auto"/>
              <w:left w:val="single" w:sz="4" w:space="0" w:color="auto"/>
              <w:bottom w:val="single" w:sz="4" w:space="0" w:color="auto"/>
              <w:right w:val="single" w:sz="4" w:space="0" w:color="auto"/>
            </w:tcBorders>
            <w:noWrap/>
            <w:hideMark/>
          </w:tcPr>
          <w:p w14:paraId="75C33F17" w14:textId="77777777" w:rsidR="00E51035" w:rsidRPr="009F7642" w:rsidRDefault="00E51035" w:rsidP="0073217C">
            <w:pPr>
              <w:suppressAutoHyphens/>
              <w:spacing w:line="240" w:lineRule="auto"/>
              <w:jc w:val="center"/>
              <w:rPr>
                <w:color w:val="auto"/>
                <w:lang w:val="is-IS"/>
              </w:rPr>
            </w:pPr>
            <w:r w:rsidRPr="009F7642">
              <w:rPr>
                <w:color w:val="auto"/>
                <w:lang w:val="is-IS"/>
              </w:rPr>
              <w:t>54,9%</w:t>
            </w:r>
          </w:p>
        </w:tc>
        <w:tc>
          <w:tcPr>
            <w:tcW w:w="3261" w:type="dxa"/>
            <w:tcBorders>
              <w:top w:val="single" w:sz="4" w:space="0" w:color="auto"/>
              <w:left w:val="single" w:sz="4" w:space="0" w:color="auto"/>
              <w:bottom w:val="single" w:sz="4" w:space="0" w:color="auto"/>
              <w:right w:val="single" w:sz="4" w:space="0" w:color="auto"/>
            </w:tcBorders>
            <w:noWrap/>
            <w:hideMark/>
          </w:tcPr>
          <w:p w14:paraId="5E584AB1" w14:textId="77777777" w:rsidR="00E51035" w:rsidRPr="009F7642" w:rsidRDefault="00E51035" w:rsidP="0073217C">
            <w:pPr>
              <w:suppressAutoHyphens/>
              <w:spacing w:line="240" w:lineRule="auto"/>
              <w:jc w:val="center"/>
              <w:rPr>
                <w:color w:val="auto"/>
                <w:lang w:val="is-IS"/>
              </w:rPr>
            </w:pPr>
            <w:r w:rsidRPr="009F7642">
              <w:rPr>
                <w:color w:val="auto"/>
                <w:lang w:val="is-IS"/>
              </w:rPr>
              <w:t>64,7%</w:t>
            </w:r>
          </w:p>
        </w:tc>
      </w:tr>
      <w:tr w:rsidR="00DE4076" w:rsidRPr="009F7642" w14:paraId="57C31516" w14:textId="77777777" w:rsidTr="00DE4076">
        <w:trPr>
          <w:trHeight w:val="300"/>
        </w:trPr>
        <w:tc>
          <w:tcPr>
            <w:tcW w:w="3163" w:type="dxa"/>
            <w:tcBorders>
              <w:top w:val="single" w:sz="4" w:space="0" w:color="auto"/>
              <w:left w:val="single" w:sz="4" w:space="0" w:color="auto"/>
              <w:bottom w:val="single" w:sz="4" w:space="0" w:color="auto"/>
              <w:right w:val="single" w:sz="4" w:space="0" w:color="auto"/>
            </w:tcBorders>
            <w:noWrap/>
            <w:vAlign w:val="bottom"/>
            <w:hideMark/>
          </w:tcPr>
          <w:p w14:paraId="4B2F12BF" w14:textId="77777777" w:rsidR="00E51035" w:rsidRPr="009F7642" w:rsidRDefault="00E51035" w:rsidP="0073217C">
            <w:pPr>
              <w:suppressAutoHyphens/>
              <w:rPr>
                <w:color w:val="auto"/>
                <w:lang w:val="is-IS"/>
              </w:rPr>
            </w:pPr>
          </w:p>
        </w:tc>
        <w:tc>
          <w:tcPr>
            <w:tcW w:w="5783" w:type="dxa"/>
            <w:gridSpan w:val="2"/>
            <w:tcBorders>
              <w:top w:val="single" w:sz="4" w:space="0" w:color="auto"/>
              <w:left w:val="single" w:sz="4" w:space="0" w:color="auto"/>
              <w:bottom w:val="single" w:sz="4" w:space="0" w:color="auto"/>
              <w:right w:val="single" w:sz="4" w:space="0" w:color="auto"/>
            </w:tcBorders>
            <w:noWrap/>
            <w:vAlign w:val="bottom"/>
            <w:hideMark/>
          </w:tcPr>
          <w:p w14:paraId="67EF05EC" w14:textId="77777777" w:rsidR="00E51035" w:rsidRPr="009F7642" w:rsidRDefault="00E51035" w:rsidP="0073217C">
            <w:pPr>
              <w:suppressAutoHyphens/>
              <w:spacing w:line="240" w:lineRule="auto"/>
              <w:jc w:val="center"/>
              <w:rPr>
                <w:color w:val="auto"/>
                <w:lang w:val="is-IS"/>
              </w:rPr>
            </w:pPr>
            <w:r w:rsidRPr="009F7642">
              <w:rPr>
                <w:color w:val="auto"/>
                <w:lang w:val="is-IS"/>
              </w:rPr>
              <w:t>(p-gildi</w:t>
            </w:r>
            <w:r w:rsidR="00700BDC">
              <w:rPr>
                <w:color w:val="auto"/>
                <w:lang w:val="is-IS"/>
              </w:rPr>
              <w:t xml:space="preserve"> = </w:t>
            </w:r>
            <w:r w:rsidRPr="009F7642">
              <w:rPr>
                <w:color w:val="auto"/>
                <w:lang w:val="is-IS"/>
              </w:rPr>
              <w:t>0,0188)</w:t>
            </w:r>
          </w:p>
        </w:tc>
      </w:tr>
      <w:tr w:rsidR="00DE4076" w:rsidRPr="009F7642" w14:paraId="6FE6E308" w14:textId="77777777" w:rsidTr="00DE4076">
        <w:trPr>
          <w:trHeight w:val="300"/>
        </w:trPr>
        <w:tc>
          <w:tcPr>
            <w:tcW w:w="8946" w:type="dxa"/>
            <w:gridSpan w:val="3"/>
            <w:tcBorders>
              <w:top w:val="single" w:sz="4" w:space="0" w:color="auto"/>
              <w:left w:val="single" w:sz="4" w:space="0" w:color="auto"/>
              <w:bottom w:val="single" w:sz="4" w:space="0" w:color="auto"/>
              <w:right w:val="single" w:sz="4" w:space="0" w:color="auto"/>
            </w:tcBorders>
            <w:noWrap/>
            <w:vAlign w:val="bottom"/>
            <w:hideMark/>
          </w:tcPr>
          <w:p w14:paraId="720CCB79" w14:textId="77777777" w:rsidR="00E51035" w:rsidRPr="009F7642" w:rsidRDefault="00E51035" w:rsidP="0073217C">
            <w:pPr>
              <w:suppressAutoHyphens/>
              <w:spacing w:after="0" w:line="240" w:lineRule="auto"/>
              <w:ind w:left="0" w:firstLine="0"/>
              <w:rPr>
                <w:color w:val="auto"/>
                <w:lang w:val="is-IS"/>
              </w:rPr>
            </w:pPr>
            <w:r w:rsidRPr="009F7642">
              <w:rPr>
                <w:color w:val="auto"/>
                <w:lang w:val="is-IS"/>
              </w:rPr>
              <w:t>Heildarlifun</w:t>
            </w:r>
            <w:r w:rsidRPr="009F7642">
              <w:rPr>
                <w:color w:val="auto"/>
                <w:vertAlign w:val="superscript"/>
                <w:lang w:val="is-IS"/>
              </w:rPr>
              <w:t>3</w:t>
            </w:r>
          </w:p>
        </w:tc>
      </w:tr>
      <w:tr w:rsidR="00DE4076" w:rsidRPr="009F7642" w14:paraId="6244F07A" w14:textId="77777777" w:rsidTr="00DE4076">
        <w:trPr>
          <w:trHeight w:val="403"/>
        </w:trPr>
        <w:tc>
          <w:tcPr>
            <w:tcW w:w="3163" w:type="dxa"/>
            <w:tcBorders>
              <w:top w:val="single" w:sz="4" w:space="0" w:color="auto"/>
              <w:left w:val="single" w:sz="4" w:space="0" w:color="auto"/>
              <w:bottom w:val="single" w:sz="4" w:space="0" w:color="auto"/>
              <w:right w:val="single" w:sz="4" w:space="0" w:color="auto"/>
            </w:tcBorders>
            <w:noWrap/>
          </w:tcPr>
          <w:p w14:paraId="07A09056" w14:textId="77777777" w:rsidR="00E51035" w:rsidRPr="009F7642" w:rsidRDefault="00E51035" w:rsidP="0073217C">
            <w:pPr>
              <w:suppressAutoHyphens/>
              <w:spacing w:line="240" w:lineRule="auto"/>
              <w:rPr>
                <w:color w:val="auto"/>
                <w:lang w:val="is-IS"/>
              </w:rPr>
            </w:pPr>
          </w:p>
        </w:tc>
        <w:tc>
          <w:tcPr>
            <w:tcW w:w="2522" w:type="dxa"/>
            <w:tcBorders>
              <w:top w:val="single" w:sz="4" w:space="0" w:color="auto"/>
              <w:left w:val="single" w:sz="4" w:space="0" w:color="auto"/>
              <w:bottom w:val="single" w:sz="4" w:space="0" w:color="auto"/>
              <w:right w:val="single" w:sz="4" w:space="0" w:color="auto"/>
            </w:tcBorders>
            <w:noWrap/>
            <w:hideMark/>
          </w:tcPr>
          <w:p w14:paraId="35CDF268" w14:textId="77777777" w:rsidR="00E51035" w:rsidRPr="009F7642" w:rsidRDefault="00E51035" w:rsidP="0073217C">
            <w:pPr>
              <w:suppressAutoHyphens/>
              <w:spacing w:line="240" w:lineRule="auto"/>
              <w:jc w:val="center"/>
              <w:rPr>
                <w:color w:val="auto"/>
                <w:lang w:val="is-IS"/>
              </w:rPr>
            </w:pPr>
            <w:r w:rsidRPr="009F7642">
              <w:rPr>
                <w:color w:val="auto"/>
                <w:lang w:val="is-IS"/>
              </w:rPr>
              <w:t>CP</w:t>
            </w:r>
          </w:p>
          <w:p w14:paraId="38D95E57" w14:textId="77777777" w:rsidR="00E51035" w:rsidRPr="009F7642" w:rsidRDefault="00E6399D" w:rsidP="0073217C">
            <w:pPr>
              <w:suppressAutoHyphens/>
              <w:spacing w:line="240" w:lineRule="auto"/>
              <w:jc w:val="center"/>
              <w:rPr>
                <w:color w:val="auto"/>
                <w:lang w:val="is-IS"/>
              </w:rPr>
            </w:pPr>
            <w:r>
              <w:rPr>
                <w:color w:val="auto"/>
                <w:lang w:val="is-IS"/>
              </w:rPr>
              <w:t>(n</w:t>
            </w:r>
            <w:r w:rsidR="002F1245">
              <w:rPr>
                <w:color w:val="auto"/>
                <w:lang w:val="is-IS"/>
              </w:rPr>
              <w:t> </w:t>
            </w:r>
            <w:r w:rsidR="00700BDC">
              <w:rPr>
                <w:color w:val="auto"/>
                <w:lang w:val="is-IS"/>
              </w:rPr>
              <w:t>=</w:t>
            </w:r>
            <w:r w:rsidR="002F1245">
              <w:rPr>
                <w:color w:val="auto"/>
                <w:lang w:val="is-IS"/>
              </w:rPr>
              <w:t> </w:t>
            </w:r>
            <w:r w:rsidR="00E51035" w:rsidRPr="009F7642">
              <w:rPr>
                <w:color w:val="auto"/>
                <w:lang w:val="is-IS"/>
              </w:rPr>
              <w:t>764)</w:t>
            </w:r>
          </w:p>
        </w:tc>
        <w:tc>
          <w:tcPr>
            <w:tcW w:w="3261" w:type="dxa"/>
            <w:tcBorders>
              <w:top w:val="single" w:sz="4" w:space="0" w:color="auto"/>
              <w:left w:val="single" w:sz="4" w:space="0" w:color="auto"/>
              <w:bottom w:val="single" w:sz="4" w:space="0" w:color="auto"/>
              <w:right w:val="single" w:sz="4" w:space="0" w:color="auto"/>
            </w:tcBorders>
            <w:noWrap/>
            <w:hideMark/>
          </w:tcPr>
          <w:p w14:paraId="0605124A" w14:textId="77777777" w:rsidR="00E51035" w:rsidRPr="009F7642" w:rsidRDefault="00E51035" w:rsidP="0073217C">
            <w:pPr>
              <w:suppressAutoHyphens/>
              <w:spacing w:line="240" w:lineRule="auto"/>
              <w:jc w:val="center"/>
              <w:rPr>
                <w:color w:val="auto"/>
                <w:lang w:val="is-IS"/>
              </w:rPr>
            </w:pPr>
            <w:r w:rsidRPr="009F7642">
              <w:rPr>
                <w:color w:val="auto"/>
                <w:lang w:val="is-IS"/>
              </w:rPr>
              <w:t>CPB7,5+</w:t>
            </w:r>
          </w:p>
          <w:p w14:paraId="0B9B5CD4" w14:textId="77777777" w:rsidR="00E51035" w:rsidRPr="009F7642" w:rsidRDefault="00E51035" w:rsidP="0073217C">
            <w:pPr>
              <w:suppressAutoHyphens/>
              <w:spacing w:line="240" w:lineRule="auto"/>
              <w:jc w:val="center"/>
              <w:rPr>
                <w:color w:val="auto"/>
                <w:lang w:val="is-IS"/>
              </w:rPr>
            </w:pPr>
            <w:r w:rsidRPr="009F7642">
              <w:rPr>
                <w:color w:val="auto"/>
                <w:lang w:val="is-IS"/>
              </w:rPr>
              <w:t>(n</w:t>
            </w:r>
            <w:r w:rsidR="002F1245">
              <w:rPr>
                <w:color w:val="auto"/>
                <w:lang w:val="is-IS"/>
              </w:rPr>
              <w:t> </w:t>
            </w:r>
            <w:r w:rsidR="00700BDC">
              <w:rPr>
                <w:color w:val="auto"/>
                <w:lang w:val="is-IS"/>
              </w:rPr>
              <w:t>=</w:t>
            </w:r>
            <w:r w:rsidR="002F1245">
              <w:rPr>
                <w:color w:val="auto"/>
                <w:lang w:val="is-IS"/>
              </w:rPr>
              <w:t> </w:t>
            </w:r>
            <w:r w:rsidRPr="009F7642">
              <w:rPr>
                <w:color w:val="auto"/>
                <w:lang w:val="is-IS"/>
              </w:rPr>
              <w:t>764)</w:t>
            </w:r>
          </w:p>
        </w:tc>
      </w:tr>
      <w:tr w:rsidR="00DE4076" w:rsidRPr="009F7642" w14:paraId="55C8269A" w14:textId="77777777" w:rsidTr="00DE4076">
        <w:trPr>
          <w:trHeight w:val="92"/>
        </w:trPr>
        <w:tc>
          <w:tcPr>
            <w:tcW w:w="3163" w:type="dxa"/>
            <w:tcBorders>
              <w:top w:val="single" w:sz="4" w:space="0" w:color="auto"/>
              <w:left w:val="single" w:sz="4" w:space="0" w:color="auto"/>
              <w:bottom w:val="single" w:sz="4" w:space="0" w:color="auto"/>
              <w:right w:val="single" w:sz="4" w:space="0" w:color="auto"/>
            </w:tcBorders>
            <w:noWrap/>
            <w:hideMark/>
          </w:tcPr>
          <w:p w14:paraId="09CA72C2" w14:textId="77777777" w:rsidR="00E51035" w:rsidRPr="009F7642" w:rsidRDefault="00E51035" w:rsidP="0073217C">
            <w:pPr>
              <w:suppressAutoHyphens/>
              <w:spacing w:after="0" w:line="240" w:lineRule="auto"/>
              <w:ind w:left="567" w:firstLine="0"/>
              <w:rPr>
                <w:color w:val="auto"/>
                <w:lang w:val="is-IS"/>
              </w:rPr>
            </w:pPr>
            <w:r w:rsidRPr="009F7642">
              <w:rPr>
                <w:color w:val="auto"/>
                <w:lang w:val="is-IS"/>
              </w:rPr>
              <w:t xml:space="preserve">Miðgildi (mánuðir) </w:t>
            </w:r>
          </w:p>
        </w:tc>
        <w:tc>
          <w:tcPr>
            <w:tcW w:w="2522" w:type="dxa"/>
            <w:tcBorders>
              <w:top w:val="single" w:sz="4" w:space="0" w:color="auto"/>
              <w:left w:val="single" w:sz="4" w:space="0" w:color="auto"/>
              <w:bottom w:val="single" w:sz="4" w:space="0" w:color="auto"/>
              <w:right w:val="single" w:sz="4" w:space="0" w:color="auto"/>
            </w:tcBorders>
            <w:noWrap/>
            <w:hideMark/>
          </w:tcPr>
          <w:p w14:paraId="36A1284F" w14:textId="77777777" w:rsidR="00E51035" w:rsidRPr="009F7642" w:rsidRDefault="00E51035" w:rsidP="0073217C">
            <w:pPr>
              <w:suppressAutoHyphens/>
              <w:spacing w:line="240" w:lineRule="auto"/>
              <w:jc w:val="center"/>
              <w:rPr>
                <w:color w:val="auto"/>
                <w:lang w:val="is-IS"/>
              </w:rPr>
            </w:pPr>
            <w:r w:rsidRPr="009F7642">
              <w:rPr>
                <w:color w:val="auto"/>
                <w:lang w:val="is-IS"/>
              </w:rPr>
              <w:t>58,0</w:t>
            </w:r>
          </w:p>
        </w:tc>
        <w:tc>
          <w:tcPr>
            <w:tcW w:w="3261" w:type="dxa"/>
            <w:tcBorders>
              <w:top w:val="single" w:sz="4" w:space="0" w:color="auto"/>
              <w:left w:val="single" w:sz="4" w:space="0" w:color="auto"/>
              <w:bottom w:val="single" w:sz="4" w:space="0" w:color="auto"/>
              <w:right w:val="single" w:sz="4" w:space="0" w:color="auto"/>
            </w:tcBorders>
            <w:noWrap/>
            <w:hideMark/>
          </w:tcPr>
          <w:p w14:paraId="5F944281" w14:textId="77777777" w:rsidR="00E51035" w:rsidRPr="009F7642" w:rsidRDefault="00E51035" w:rsidP="0073217C">
            <w:pPr>
              <w:suppressAutoHyphens/>
              <w:spacing w:line="240" w:lineRule="auto"/>
              <w:jc w:val="center"/>
              <w:rPr>
                <w:color w:val="auto"/>
                <w:lang w:val="is-IS"/>
              </w:rPr>
            </w:pPr>
            <w:r w:rsidRPr="009F7642">
              <w:rPr>
                <w:color w:val="auto"/>
                <w:lang w:val="is-IS"/>
              </w:rPr>
              <w:t>57,4</w:t>
            </w:r>
          </w:p>
        </w:tc>
      </w:tr>
      <w:tr w:rsidR="00DE4076" w:rsidRPr="009F7642" w14:paraId="48094731" w14:textId="77777777" w:rsidTr="00DE4076">
        <w:trPr>
          <w:trHeight w:val="732"/>
        </w:trPr>
        <w:tc>
          <w:tcPr>
            <w:tcW w:w="3163" w:type="dxa"/>
            <w:tcBorders>
              <w:top w:val="single" w:sz="4" w:space="0" w:color="auto"/>
              <w:left w:val="single" w:sz="4" w:space="0" w:color="auto"/>
              <w:bottom w:val="single" w:sz="4" w:space="0" w:color="auto"/>
              <w:right w:val="single" w:sz="4" w:space="0" w:color="auto"/>
            </w:tcBorders>
            <w:noWrap/>
            <w:hideMark/>
          </w:tcPr>
          <w:p w14:paraId="7A7DD6AE" w14:textId="77777777" w:rsidR="00E51035" w:rsidRPr="009F7642" w:rsidRDefault="00E51035" w:rsidP="0073217C">
            <w:pPr>
              <w:suppressAutoHyphens/>
              <w:spacing w:after="0" w:line="240" w:lineRule="auto"/>
              <w:ind w:left="567" w:firstLine="0"/>
              <w:rPr>
                <w:color w:val="auto"/>
                <w:lang w:val="is-IS"/>
              </w:rPr>
            </w:pPr>
            <w:r w:rsidRPr="009F7642">
              <w:rPr>
                <w:color w:val="auto"/>
                <w:lang w:val="is-IS"/>
              </w:rPr>
              <w:t>Áhættuhlutfall [95% CI]</w:t>
            </w:r>
          </w:p>
        </w:tc>
        <w:tc>
          <w:tcPr>
            <w:tcW w:w="5783" w:type="dxa"/>
            <w:gridSpan w:val="2"/>
            <w:tcBorders>
              <w:top w:val="single" w:sz="4" w:space="0" w:color="auto"/>
              <w:left w:val="single" w:sz="4" w:space="0" w:color="auto"/>
              <w:bottom w:val="single" w:sz="4" w:space="0" w:color="auto"/>
              <w:right w:val="single" w:sz="4" w:space="0" w:color="auto"/>
            </w:tcBorders>
            <w:noWrap/>
            <w:hideMark/>
          </w:tcPr>
          <w:p w14:paraId="48A1D143" w14:textId="77777777" w:rsidR="00E51035" w:rsidRPr="009F7642" w:rsidRDefault="00E51035" w:rsidP="0073217C">
            <w:pPr>
              <w:suppressAutoHyphens/>
              <w:spacing w:line="240" w:lineRule="auto"/>
              <w:jc w:val="center"/>
              <w:rPr>
                <w:color w:val="auto"/>
                <w:lang w:val="is-IS"/>
              </w:rPr>
            </w:pPr>
            <w:r w:rsidRPr="009F7642">
              <w:rPr>
                <w:color w:val="auto"/>
                <w:lang w:val="is-IS"/>
              </w:rPr>
              <w:t>0,99 [0,85; 1,15]</w:t>
            </w:r>
          </w:p>
          <w:p w14:paraId="02E5E184" w14:textId="77777777" w:rsidR="00E51035" w:rsidRPr="009F7642" w:rsidRDefault="00E51035" w:rsidP="0073217C">
            <w:pPr>
              <w:suppressAutoHyphens/>
              <w:spacing w:line="240" w:lineRule="auto"/>
              <w:jc w:val="center"/>
              <w:rPr>
                <w:color w:val="auto"/>
                <w:lang w:val="is-IS"/>
              </w:rPr>
            </w:pPr>
            <w:r w:rsidRPr="009F7642">
              <w:rPr>
                <w:color w:val="auto"/>
                <w:lang w:val="is-IS"/>
              </w:rPr>
              <w:t>(p-gildi</w:t>
            </w:r>
            <w:r w:rsidR="002F1245">
              <w:rPr>
                <w:color w:val="auto"/>
                <w:lang w:val="is-IS"/>
              </w:rPr>
              <w:t> </w:t>
            </w:r>
            <w:r w:rsidR="00700BDC">
              <w:rPr>
                <w:color w:val="auto"/>
                <w:lang w:val="is-IS"/>
              </w:rPr>
              <w:t>=</w:t>
            </w:r>
            <w:r w:rsidR="002F1245">
              <w:rPr>
                <w:color w:val="auto"/>
                <w:lang w:val="is-IS"/>
              </w:rPr>
              <w:t> </w:t>
            </w:r>
            <w:r w:rsidRPr="009F7642">
              <w:rPr>
                <w:color w:val="auto"/>
                <w:lang w:val="is-IS"/>
              </w:rPr>
              <w:t>0,8910)</w:t>
            </w:r>
          </w:p>
        </w:tc>
      </w:tr>
    </w:tbl>
    <w:p w14:paraId="26FCEC29" w14:textId="77777777" w:rsidR="006C06D6" w:rsidRPr="00362418" w:rsidRDefault="00564614" w:rsidP="0073217C">
      <w:pPr>
        <w:suppressAutoHyphens/>
        <w:spacing w:after="0" w:line="240" w:lineRule="auto"/>
        <w:ind w:left="567" w:hanging="567"/>
        <w:rPr>
          <w:color w:val="auto"/>
          <w:sz w:val="20"/>
          <w:szCs w:val="20"/>
          <w:lang w:val="is-IS"/>
        </w:rPr>
      </w:pPr>
      <w:r w:rsidRPr="00362418">
        <w:rPr>
          <w:color w:val="auto"/>
          <w:sz w:val="20"/>
          <w:szCs w:val="20"/>
          <w:vertAlign w:val="superscript"/>
          <w:lang w:val="is-IS"/>
        </w:rPr>
        <w:t>1</w:t>
      </w:r>
      <w:r w:rsidR="003D456A" w:rsidRPr="00362418">
        <w:rPr>
          <w:color w:val="auto"/>
          <w:sz w:val="20"/>
          <w:szCs w:val="20"/>
          <w:lang w:val="is-IS"/>
        </w:rPr>
        <w:tab/>
      </w:r>
      <w:r w:rsidRPr="00362418">
        <w:rPr>
          <w:color w:val="auto"/>
          <w:sz w:val="20"/>
          <w:szCs w:val="20"/>
          <w:lang w:val="is-IS"/>
        </w:rPr>
        <w:t>Hjá sjúklingum með mælanlegan sjúkdóm við upphaf rannsóknar</w:t>
      </w:r>
      <w:r w:rsidR="003D456A" w:rsidRPr="00362418">
        <w:rPr>
          <w:color w:val="auto"/>
          <w:sz w:val="20"/>
          <w:szCs w:val="20"/>
          <w:lang w:val="is-IS"/>
        </w:rPr>
        <w:t>.</w:t>
      </w:r>
    </w:p>
    <w:p w14:paraId="4FFCA4B4" w14:textId="02B10519" w:rsidR="006C06D6" w:rsidRPr="00362418" w:rsidRDefault="003D456A" w:rsidP="0073217C">
      <w:pPr>
        <w:suppressAutoHyphens/>
        <w:spacing w:after="0" w:line="240" w:lineRule="auto"/>
        <w:ind w:left="567" w:hanging="567"/>
        <w:rPr>
          <w:color w:val="auto"/>
          <w:sz w:val="20"/>
          <w:szCs w:val="20"/>
          <w:lang w:val="is-IS"/>
        </w:rPr>
      </w:pPr>
      <w:r w:rsidRPr="00362418">
        <w:rPr>
          <w:color w:val="auto"/>
          <w:sz w:val="20"/>
          <w:szCs w:val="20"/>
          <w:vertAlign w:val="superscript"/>
          <w:lang w:val="is-IS"/>
        </w:rPr>
        <w:t>2</w:t>
      </w:r>
      <w:r w:rsidRPr="00362418">
        <w:rPr>
          <w:color w:val="auto"/>
          <w:sz w:val="20"/>
          <w:szCs w:val="20"/>
          <w:lang w:val="is-IS"/>
        </w:rPr>
        <w:tab/>
      </w:r>
      <w:r w:rsidR="00564614" w:rsidRPr="00362418">
        <w:rPr>
          <w:color w:val="auto"/>
          <w:sz w:val="20"/>
          <w:szCs w:val="20"/>
          <w:lang w:val="is-IS"/>
        </w:rPr>
        <w:t xml:space="preserve">Greining á lifun án </w:t>
      </w:r>
      <w:r w:rsidR="00495BB7" w:rsidRPr="00495BB7">
        <w:rPr>
          <w:color w:val="auto"/>
          <w:sz w:val="20"/>
          <w:szCs w:val="20"/>
          <w:lang w:val="is-IS"/>
        </w:rPr>
        <w:t>versnunar</w:t>
      </w:r>
      <w:r w:rsidR="00564614" w:rsidRPr="00362418">
        <w:rPr>
          <w:color w:val="auto"/>
          <w:sz w:val="20"/>
          <w:szCs w:val="20"/>
          <w:lang w:val="is-IS"/>
        </w:rPr>
        <w:t xml:space="preserve"> sjúkdóms að mati rannsakanda, </w:t>
      </w:r>
      <w:r w:rsidR="009828E1">
        <w:rPr>
          <w:sz w:val="20"/>
          <w:lang w:val="is-IS"/>
        </w:rPr>
        <w:t>lokadagur gagnasöfnunar</w:t>
      </w:r>
      <w:r w:rsidR="009828E1" w:rsidRPr="003C5958">
        <w:rPr>
          <w:sz w:val="20"/>
          <w:lang w:val="is-IS"/>
        </w:rPr>
        <w:t xml:space="preserve"> </w:t>
      </w:r>
      <w:r w:rsidR="00564614" w:rsidRPr="00362418">
        <w:rPr>
          <w:color w:val="auto"/>
          <w:sz w:val="20"/>
          <w:szCs w:val="20"/>
          <w:lang w:val="is-IS"/>
        </w:rPr>
        <w:t>30. nóvember 2010</w:t>
      </w:r>
      <w:r w:rsidRPr="00362418">
        <w:rPr>
          <w:color w:val="auto"/>
          <w:sz w:val="20"/>
          <w:szCs w:val="20"/>
          <w:lang w:val="is-IS"/>
        </w:rPr>
        <w:t>.</w:t>
      </w:r>
    </w:p>
    <w:p w14:paraId="2A4775FE" w14:textId="5C1D2FC6" w:rsidR="006C06D6" w:rsidRPr="00362418" w:rsidRDefault="003D456A" w:rsidP="0073217C">
      <w:pPr>
        <w:suppressAutoHyphens/>
        <w:spacing w:after="0" w:line="240" w:lineRule="auto"/>
        <w:ind w:left="567" w:hanging="567"/>
        <w:rPr>
          <w:color w:val="auto"/>
          <w:sz w:val="20"/>
          <w:szCs w:val="20"/>
          <w:lang w:val="is-IS"/>
        </w:rPr>
      </w:pPr>
      <w:r w:rsidRPr="00362418">
        <w:rPr>
          <w:color w:val="auto"/>
          <w:sz w:val="20"/>
          <w:szCs w:val="20"/>
          <w:vertAlign w:val="superscript"/>
          <w:lang w:val="is-IS"/>
        </w:rPr>
        <w:t>3</w:t>
      </w:r>
      <w:r w:rsidRPr="00362418">
        <w:rPr>
          <w:color w:val="auto"/>
          <w:sz w:val="20"/>
          <w:szCs w:val="20"/>
          <w:lang w:val="is-IS"/>
        </w:rPr>
        <w:tab/>
      </w:r>
      <w:r w:rsidR="00564614" w:rsidRPr="00362418">
        <w:rPr>
          <w:color w:val="auto"/>
          <w:sz w:val="20"/>
          <w:szCs w:val="20"/>
          <w:lang w:val="is-IS"/>
        </w:rPr>
        <w:t xml:space="preserve">Lokagreining á heildarlifun framkvæmd þegar 46,7% sjúklinganna höfðu látist, </w:t>
      </w:r>
      <w:r w:rsidR="009828E1">
        <w:rPr>
          <w:sz w:val="20"/>
          <w:lang w:val="is-IS"/>
        </w:rPr>
        <w:t>lokadagur gagnasöfnunar</w:t>
      </w:r>
      <w:r w:rsidR="009828E1" w:rsidRPr="003C5958">
        <w:rPr>
          <w:sz w:val="20"/>
          <w:lang w:val="is-IS"/>
        </w:rPr>
        <w:t xml:space="preserve"> </w:t>
      </w:r>
      <w:r w:rsidR="00564614" w:rsidRPr="00362418">
        <w:rPr>
          <w:color w:val="auto"/>
          <w:sz w:val="20"/>
          <w:szCs w:val="20"/>
          <w:lang w:val="is-IS"/>
        </w:rPr>
        <w:t>31. mars 2013.</w:t>
      </w:r>
    </w:p>
    <w:p w14:paraId="12865AA2" w14:textId="77777777" w:rsidR="005F36F3" w:rsidRPr="009F7642" w:rsidRDefault="005F36F3" w:rsidP="0073217C">
      <w:pPr>
        <w:suppressAutoHyphens/>
        <w:spacing w:after="0" w:line="240" w:lineRule="auto"/>
        <w:ind w:left="0" w:firstLine="0"/>
        <w:rPr>
          <w:color w:val="auto"/>
          <w:lang w:val="is-IS"/>
        </w:rPr>
      </w:pPr>
    </w:p>
    <w:p w14:paraId="474FA5A9" w14:textId="66BEB8C3"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Í frumgreiningu á lifun án </w:t>
      </w:r>
      <w:r w:rsidR="00495BB7" w:rsidRPr="00FE5EE2">
        <w:rPr>
          <w:color w:val="auto"/>
          <w:lang w:val="is-IS"/>
        </w:rPr>
        <w:t>versnunar</w:t>
      </w:r>
      <w:r w:rsidRPr="009F7642">
        <w:rPr>
          <w:color w:val="auto"/>
          <w:lang w:val="is-IS"/>
        </w:rPr>
        <w:t xml:space="preserve"> sjúkdóms samkvæmt mati rannsakanda, sem gerð var á gögnum </w:t>
      </w:r>
      <w:r w:rsidR="009828E1">
        <w:rPr>
          <w:rFonts w:eastAsia="PMingLiU"/>
          <w:lang w:val="is-IS" w:eastAsia="zh-CN"/>
        </w:rPr>
        <w:t>með lokadag gagnasöfnunar</w:t>
      </w:r>
      <w:r w:rsidR="009828E1" w:rsidRPr="003C5958">
        <w:rPr>
          <w:rFonts w:eastAsia="PMingLiU"/>
          <w:lang w:val="is-IS" w:eastAsia="zh-CN"/>
        </w:rPr>
        <w:t xml:space="preserve"> </w:t>
      </w:r>
      <w:r w:rsidRPr="009F7642">
        <w:rPr>
          <w:color w:val="auto"/>
          <w:lang w:val="is-IS"/>
        </w:rPr>
        <w:t>28. febrúar 2010, var ólagskipt áhættuhlutfall (unstratified hazard ratio) 0,79</w:t>
      </w:r>
      <w:r w:rsidR="004C45C4">
        <w:rPr>
          <w:color w:val="auto"/>
          <w:lang w:val="is-IS"/>
        </w:rPr>
        <w:t xml:space="preserve"> (95%</w:t>
      </w:r>
      <w:r w:rsidR="002F1245">
        <w:rPr>
          <w:color w:val="auto"/>
          <w:lang w:val="is-IS"/>
        </w:rPr>
        <w:t> </w:t>
      </w:r>
      <w:r w:rsidR="004C45C4">
        <w:rPr>
          <w:color w:val="auto"/>
          <w:lang w:val="is-IS"/>
        </w:rPr>
        <w:t>CI: 0,68</w:t>
      </w:r>
      <w:r w:rsidR="004C45C4">
        <w:rPr>
          <w:color w:val="auto"/>
          <w:lang w:val="is-IS"/>
        </w:rPr>
        <w:noBreakHyphen/>
      </w:r>
      <w:r w:rsidRPr="009F7642">
        <w:rPr>
          <w:color w:val="auto"/>
          <w:lang w:val="is-IS"/>
        </w:rPr>
        <w:t>0,91, tvíhliða log-rank p-gildi</w:t>
      </w:r>
      <w:r w:rsidR="002F1245">
        <w:rPr>
          <w:color w:val="auto"/>
          <w:lang w:val="is-IS"/>
        </w:rPr>
        <w:t> </w:t>
      </w:r>
      <w:r w:rsidR="00540AC4">
        <w:rPr>
          <w:color w:val="auto"/>
          <w:lang w:val="is-IS"/>
        </w:rPr>
        <w:t>&lt; </w:t>
      </w:r>
      <w:r w:rsidRPr="009F7642">
        <w:rPr>
          <w:color w:val="auto"/>
          <w:lang w:val="is-IS"/>
        </w:rPr>
        <w:t xml:space="preserve">0,0010) og var miðgildi lifunar án </w:t>
      </w:r>
      <w:r w:rsidR="00495BB7" w:rsidRPr="00FE5EE2">
        <w:rPr>
          <w:color w:val="auto"/>
          <w:lang w:val="is-IS"/>
        </w:rPr>
        <w:t>versnunar</w:t>
      </w:r>
      <w:r w:rsidRPr="009F7642">
        <w:rPr>
          <w:color w:val="auto"/>
          <w:lang w:val="is-IS"/>
        </w:rPr>
        <w:t xml:space="preserve"> sjúkdóms 16,0 mánuðir hjá CP hópnum en 18</w:t>
      </w:r>
      <w:r w:rsidR="003C161D" w:rsidRPr="009F7642">
        <w:rPr>
          <w:color w:val="auto"/>
          <w:lang w:val="is-IS"/>
        </w:rPr>
        <w:t>,3 mánuðir hjá CPB7,5+ hópnum.</w:t>
      </w:r>
    </w:p>
    <w:p w14:paraId="55930FB2" w14:textId="77777777" w:rsidR="005F36F3" w:rsidRPr="009F7642" w:rsidRDefault="005F36F3" w:rsidP="0073217C">
      <w:pPr>
        <w:suppressAutoHyphens/>
        <w:spacing w:after="0" w:line="240" w:lineRule="auto"/>
        <w:ind w:left="0" w:firstLine="0"/>
        <w:rPr>
          <w:color w:val="auto"/>
          <w:lang w:val="is-IS"/>
        </w:rPr>
      </w:pPr>
    </w:p>
    <w:p w14:paraId="05CE0E90" w14:textId="6534EC75"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Greining á lifun án </w:t>
      </w:r>
      <w:r w:rsidR="00495BB7" w:rsidRPr="00FE5EE2">
        <w:rPr>
          <w:color w:val="auto"/>
          <w:lang w:val="is-IS"/>
        </w:rPr>
        <w:t>versnunar</w:t>
      </w:r>
      <w:r w:rsidRPr="009F7642">
        <w:rPr>
          <w:color w:val="auto"/>
          <w:lang w:val="is-IS"/>
        </w:rPr>
        <w:t xml:space="preserve"> sjúkdóms hjá undirhópum, sem skilgreindir voru eftir stigun sjúkdóms og hve mikill hluti æxla hafði verið fjarlægður með skurðaðgerð, er sýnd í </w:t>
      </w:r>
      <w:r w:rsidRPr="00363B58">
        <w:rPr>
          <w:color w:val="auto"/>
          <w:lang w:val="is-IS"/>
        </w:rPr>
        <w:t xml:space="preserve">töflu </w:t>
      </w:r>
      <w:r w:rsidR="00BA1F34" w:rsidRPr="00363B58">
        <w:rPr>
          <w:color w:val="auto"/>
          <w:lang w:val="is-IS"/>
        </w:rPr>
        <w:t>1</w:t>
      </w:r>
      <w:r w:rsidR="00781331">
        <w:rPr>
          <w:color w:val="auto"/>
          <w:lang w:val="is-IS"/>
        </w:rPr>
        <w:t>9</w:t>
      </w:r>
      <w:r w:rsidRPr="009F7642">
        <w:rPr>
          <w:color w:val="auto"/>
          <w:lang w:val="is-IS"/>
        </w:rPr>
        <w:t xml:space="preserve">. Niðurstöðurnar sýna styrk frumgreiningar á lifun án </w:t>
      </w:r>
      <w:r w:rsidR="00495BB7" w:rsidRPr="00FE5EE2">
        <w:rPr>
          <w:color w:val="auto"/>
          <w:lang w:val="is-IS"/>
        </w:rPr>
        <w:t>versnunar</w:t>
      </w:r>
      <w:r w:rsidRPr="009F7642">
        <w:rPr>
          <w:color w:val="auto"/>
          <w:lang w:val="is-IS"/>
        </w:rPr>
        <w:t xml:space="preserve"> sjúkdóms sem sýnd er í </w:t>
      </w:r>
      <w:r w:rsidRPr="00363B58">
        <w:rPr>
          <w:color w:val="auto"/>
          <w:lang w:val="is-IS"/>
        </w:rPr>
        <w:t xml:space="preserve">töflu </w:t>
      </w:r>
      <w:r w:rsidR="00BA1F34" w:rsidRPr="00363B58">
        <w:rPr>
          <w:color w:val="auto"/>
          <w:lang w:val="is-IS"/>
        </w:rPr>
        <w:t>1</w:t>
      </w:r>
      <w:r w:rsidR="00781331">
        <w:rPr>
          <w:color w:val="auto"/>
          <w:lang w:val="is-IS"/>
        </w:rPr>
        <w:t>8</w:t>
      </w:r>
      <w:r w:rsidRPr="009F7642">
        <w:rPr>
          <w:color w:val="auto"/>
          <w:lang w:val="is-IS"/>
        </w:rPr>
        <w:t>.</w:t>
      </w:r>
    </w:p>
    <w:p w14:paraId="4D115732" w14:textId="77777777" w:rsidR="005F36F3" w:rsidRPr="009F7642" w:rsidRDefault="005F36F3" w:rsidP="0073217C">
      <w:pPr>
        <w:suppressAutoHyphens/>
        <w:spacing w:after="0" w:line="240" w:lineRule="auto"/>
        <w:ind w:left="0" w:firstLine="0"/>
        <w:rPr>
          <w:color w:val="auto"/>
          <w:lang w:val="is-IS"/>
        </w:rPr>
      </w:pPr>
    </w:p>
    <w:p w14:paraId="2D4AEB70" w14:textId="3A603B91" w:rsidR="005F36F3" w:rsidRPr="00362418" w:rsidRDefault="00E3317D" w:rsidP="00EC3052">
      <w:pPr>
        <w:suppressAutoHyphens/>
        <w:spacing w:after="0" w:line="240" w:lineRule="auto"/>
        <w:ind w:left="0" w:firstLine="0"/>
        <w:rPr>
          <w:b/>
          <w:color w:val="auto"/>
          <w:lang w:val="is-IS"/>
        </w:rPr>
      </w:pPr>
      <w:r w:rsidRPr="00362418">
        <w:rPr>
          <w:b/>
          <w:color w:val="auto"/>
          <w:lang w:val="is-IS"/>
        </w:rPr>
        <w:t xml:space="preserve">Tafla </w:t>
      </w:r>
      <w:r w:rsidR="00BA1F34" w:rsidRPr="00362418">
        <w:rPr>
          <w:b/>
          <w:color w:val="auto"/>
          <w:lang w:val="is-IS"/>
        </w:rPr>
        <w:t>1</w:t>
      </w:r>
      <w:r w:rsidR="00781331">
        <w:rPr>
          <w:b/>
          <w:color w:val="auto"/>
          <w:lang w:val="is-IS"/>
        </w:rPr>
        <w:t>9</w:t>
      </w:r>
      <w:r w:rsidR="00FE7644" w:rsidRPr="00362418">
        <w:rPr>
          <w:b/>
          <w:color w:val="auto"/>
          <w:lang w:val="is-IS"/>
        </w:rPr>
        <w:t>.</w:t>
      </w:r>
      <w:r w:rsidRPr="00362418">
        <w:rPr>
          <w:b/>
          <w:color w:val="auto"/>
          <w:lang w:val="is-IS"/>
        </w:rPr>
        <w:t xml:space="preserve"> </w:t>
      </w:r>
      <w:r w:rsidR="00564614" w:rsidRPr="00362418">
        <w:rPr>
          <w:b/>
          <w:color w:val="auto"/>
          <w:lang w:val="is-IS"/>
        </w:rPr>
        <w:t xml:space="preserve">Niðurstöður varðandi lifun án </w:t>
      </w:r>
      <w:r w:rsidR="00495BB7" w:rsidRPr="00495BB7">
        <w:rPr>
          <w:b/>
          <w:color w:val="auto"/>
          <w:lang w:val="is-IS"/>
        </w:rPr>
        <w:t>versnunar</w:t>
      </w:r>
      <w:r w:rsidR="00564614" w:rsidRPr="00FE6003">
        <w:rPr>
          <w:b/>
          <w:color w:val="auto"/>
          <w:lang w:val="is-IS"/>
        </w:rPr>
        <w:t xml:space="preserve"> sjúkdóms</w:t>
      </w:r>
      <w:r w:rsidR="00564614" w:rsidRPr="00F2274F">
        <w:rPr>
          <w:b/>
          <w:color w:val="auto"/>
          <w:vertAlign w:val="superscript"/>
          <w:lang w:val="is-IS"/>
        </w:rPr>
        <w:t>1</w:t>
      </w:r>
      <w:r w:rsidR="00564614" w:rsidRPr="00362418">
        <w:rPr>
          <w:b/>
          <w:color w:val="auto"/>
          <w:lang w:val="is-IS"/>
        </w:rPr>
        <w:t xml:space="preserve"> í BO17707 (ICON7) rannsókninni, sundurliðaðar eftir stigun sjúkdóms og hve mikill hluti æxla hafði ve</w:t>
      </w:r>
      <w:r w:rsidR="003C161D" w:rsidRPr="00362418">
        <w:rPr>
          <w:b/>
          <w:color w:val="auto"/>
          <w:lang w:val="is-IS"/>
        </w:rPr>
        <w:t>rið fjarlægður með skurðaðgerð</w:t>
      </w:r>
    </w:p>
    <w:p w14:paraId="2E36EC19" w14:textId="77777777" w:rsidR="003D456A" w:rsidRPr="009F7642" w:rsidRDefault="003D456A" w:rsidP="00EC3052">
      <w:pPr>
        <w:suppressAutoHyphens/>
        <w:spacing w:after="0" w:line="240" w:lineRule="auto"/>
        <w:ind w:left="0" w:firstLine="0"/>
        <w:rPr>
          <w:color w:val="auto"/>
          <w:lang w:val="is-IS"/>
        </w:rPr>
      </w:pPr>
    </w:p>
    <w:tbl>
      <w:tblPr>
        <w:tblW w:w="0" w:type="auto"/>
        <w:tblInd w:w="93" w:type="dxa"/>
        <w:tblLook w:val="04A0" w:firstRow="1" w:lastRow="0" w:firstColumn="1" w:lastColumn="0" w:noHBand="0" w:noVBand="1"/>
      </w:tblPr>
      <w:tblGrid>
        <w:gridCol w:w="6099"/>
        <w:gridCol w:w="1416"/>
        <w:gridCol w:w="1572"/>
      </w:tblGrid>
      <w:tr w:rsidR="00B07586" w:rsidRPr="00AD2908" w14:paraId="4F341E24" w14:textId="77777777" w:rsidTr="00B07586">
        <w:trPr>
          <w:trHeight w:val="300"/>
        </w:trPr>
        <w:tc>
          <w:tcPr>
            <w:tcW w:w="9087" w:type="dxa"/>
            <w:gridSpan w:val="3"/>
            <w:tcBorders>
              <w:top w:val="single" w:sz="4" w:space="0" w:color="auto"/>
              <w:left w:val="single" w:sz="4" w:space="0" w:color="auto"/>
              <w:bottom w:val="single" w:sz="4" w:space="0" w:color="auto"/>
              <w:right w:val="single" w:sz="4" w:space="0" w:color="auto"/>
            </w:tcBorders>
            <w:noWrap/>
            <w:vAlign w:val="bottom"/>
            <w:hideMark/>
          </w:tcPr>
          <w:p w14:paraId="0C0C4EB5" w14:textId="77777777" w:rsidR="003D456A" w:rsidRPr="009F7642" w:rsidRDefault="003D456A" w:rsidP="00EC3052">
            <w:pPr>
              <w:suppressAutoHyphens/>
              <w:spacing w:line="249" w:lineRule="auto"/>
              <w:ind w:left="0" w:hanging="10"/>
              <w:rPr>
                <w:color w:val="auto"/>
                <w:lang w:val="is-IS"/>
              </w:rPr>
            </w:pPr>
            <w:r w:rsidRPr="009F7642">
              <w:rPr>
                <w:color w:val="auto"/>
                <w:lang w:val="is-IS"/>
              </w:rPr>
              <w:t>Slembiraðaðir sjúklingar með sjúkdóm á stigi III þar sem meirihluti æxlis hafði verið fjarlægður með skurðaðgerð</w:t>
            </w:r>
            <w:r w:rsidRPr="009F7642">
              <w:rPr>
                <w:color w:val="auto"/>
                <w:vertAlign w:val="superscript"/>
                <w:lang w:val="is-IS"/>
              </w:rPr>
              <w:t>2,3</w:t>
            </w:r>
            <w:r w:rsidRPr="009F7642">
              <w:rPr>
                <w:color w:val="auto"/>
                <w:lang w:val="is-IS"/>
              </w:rPr>
              <w:t xml:space="preserve"> </w:t>
            </w:r>
          </w:p>
        </w:tc>
      </w:tr>
      <w:tr w:rsidR="00D23FD7" w:rsidRPr="009F7642" w14:paraId="1115C806" w14:textId="77777777" w:rsidTr="00B07586">
        <w:trPr>
          <w:trHeight w:val="299"/>
        </w:trPr>
        <w:tc>
          <w:tcPr>
            <w:tcW w:w="6099" w:type="dxa"/>
            <w:tcBorders>
              <w:top w:val="single" w:sz="4" w:space="0" w:color="auto"/>
              <w:left w:val="single" w:sz="4" w:space="0" w:color="auto"/>
              <w:bottom w:val="single" w:sz="4" w:space="0" w:color="auto"/>
              <w:right w:val="single" w:sz="4" w:space="0" w:color="auto"/>
            </w:tcBorders>
            <w:noWrap/>
          </w:tcPr>
          <w:p w14:paraId="1D752140" w14:textId="77777777" w:rsidR="003D456A" w:rsidRPr="009F7642" w:rsidRDefault="003D456A" w:rsidP="00EC3052">
            <w:pPr>
              <w:suppressAutoHyphens/>
              <w:spacing w:line="240" w:lineRule="auto"/>
              <w:ind w:left="0"/>
              <w:rPr>
                <w:color w:val="auto"/>
                <w:lang w:val="is-IS"/>
              </w:rPr>
            </w:pPr>
          </w:p>
        </w:tc>
        <w:tc>
          <w:tcPr>
            <w:tcW w:w="1416" w:type="dxa"/>
            <w:tcBorders>
              <w:top w:val="single" w:sz="4" w:space="0" w:color="auto"/>
              <w:left w:val="single" w:sz="4" w:space="0" w:color="auto"/>
              <w:bottom w:val="single" w:sz="4" w:space="0" w:color="auto"/>
              <w:right w:val="single" w:sz="4" w:space="0" w:color="auto"/>
            </w:tcBorders>
            <w:noWrap/>
            <w:hideMark/>
          </w:tcPr>
          <w:p w14:paraId="31894362" w14:textId="77777777" w:rsidR="003D456A" w:rsidRPr="009F7642" w:rsidRDefault="003D456A" w:rsidP="00EC3052">
            <w:pPr>
              <w:suppressAutoHyphens/>
              <w:spacing w:line="259" w:lineRule="auto"/>
              <w:ind w:left="0"/>
              <w:jc w:val="center"/>
              <w:rPr>
                <w:color w:val="auto"/>
                <w:lang w:val="is-IS"/>
              </w:rPr>
            </w:pPr>
            <w:r w:rsidRPr="009F7642">
              <w:rPr>
                <w:color w:val="auto"/>
                <w:lang w:val="is-IS"/>
              </w:rPr>
              <w:t>CP</w:t>
            </w:r>
          </w:p>
          <w:p w14:paraId="79EAC3BD" w14:textId="77777777" w:rsidR="003D456A" w:rsidRPr="009F7642" w:rsidRDefault="003D456A" w:rsidP="00EC3052">
            <w:pPr>
              <w:suppressAutoHyphens/>
              <w:spacing w:line="259" w:lineRule="auto"/>
              <w:ind w:left="0"/>
              <w:jc w:val="center"/>
              <w:rPr>
                <w:color w:val="auto"/>
                <w:lang w:val="is-IS"/>
              </w:rPr>
            </w:pPr>
            <w:r w:rsidRPr="009F7642">
              <w:rPr>
                <w:color w:val="auto"/>
                <w:lang w:val="is-IS"/>
              </w:rPr>
              <w:t>(n</w:t>
            </w:r>
            <w:r w:rsidR="00CC6129">
              <w:rPr>
                <w:color w:val="auto"/>
                <w:lang w:val="is-IS"/>
              </w:rPr>
              <w:t> </w:t>
            </w:r>
            <w:r w:rsidR="00700BDC">
              <w:rPr>
                <w:color w:val="auto"/>
                <w:lang w:val="is-IS"/>
              </w:rPr>
              <w:t>=</w:t>
            </w:r>
            <w:r w:rsidR="00CC6129">
              <w:rPr>
                <w:color w:val="auto"/>
                <w:lang w:val="is-IS"/>
              </w:rPr>
              <w:t> </w:t>
            </w:r>
            <w:r w:rsidRPr="009F7642">
              <w:rPr>
                <w:color w:val="auto"/>
                <w:lang w:val="is-IS"/>
              </w:rPr>
              <w:t>368)</w:t>
            </w:r>
          </w:p>
        </w:tc>
        <w:tc>
          <w:tcPr>
            <w:tcW w:w="1572" w:type="dxa"/>
            <w:tcBorders>
              <w:top w:val="single" w:sz="4" w:space="0" w:color="auto"/>
              <w:left w:val="single" w:sz="4" w:space="0" w:color="auto"/>
              <w:bottom w:val="single" w:sz="4" w:space="0" w:color="auto"/>
              <w:right w:val="single" w:sz="4" w:space="0" w:color="auto"/>
            </w:tcBorders>
            <w:noWrap/>
            <w:hideMark/>
          </w:tcPr>
          <w:p w14:paraId="3E643241" w14:textId="77777777" w:rsidR="003D456A" w:rsidRPr="009F7642" w:rsidRDefault="003D456A" w:rsidP="00EC3052">
            <w:pPr>
              <w:suppressAutoHyphens/>
              <w:spacing w:after="32" w:line="259" w:lineRule="auto"/>
              <w:ind w:left="0"/>
              <w:jc w:val="center"/>
              <w:rPr>
                <w:color w:val="auto"/>
                <w:lang w:val="is-IS"/>
              </w:rPr>
            </w:pPr>
            <w:r w:rsidRPr="009F7642">
              <w:rPr>
                <w:color w:val="auto"/>
                <w:lang w:val="is-IS"/>
              </w:rPr>
              <w:t>CPB7,5+</w:t>
            </w:r>
          </w:p>
          <w:p w14:paraId="24E8C68D" w14:textId="77777777" w:rsidR="003D456A" w:rsidRPr="009F7642" w:rsidRDefault="003D456A" w:rsidP="00EC3052">
            <w:pPr>
              <w:suppressAutoHyphens/>
              <w:spacing w:line="259" w:lineRule="auto"/>
              <w:ind w:left="0"/>
              <w:jc w:val="center"/>
              <w:rPr>
                <w:color w:val="auto"/>
                <w:lang w:val="is-IS"/>
              </w:rPr>
            </w:pPr>
            <w:r w:rsidRPr="009F7642">
              <w:rPr>
                <w:color w:val="auto"/>
                <w:lang w:val="is-IS"/>
              </w:rPr>
              <w:t>(n</w:t>
            </w:r>
            <w:r w:rsidR="00CC6129">
              <w:rPr>
                <w:color w:val="auto"/>
                <w:lang w:val="is-IS"/>
              </w:rPr>
              <w:t> </w:t>
            </w:r>
            <w:r w:rsidR="00700BDC">
              <w:rPr>
                <w:color w:val="auto"/>
                <w:lang w:val="is-IS"/>
              </w:rPr>
              <w:t>=</w:t>
            </w:r>
            <w:r w:rsidR="00CC6129">
              <w:rPr>
                <w:color w:val="auto"/>
                <w:lang w:val="is-IS"/>
              </w:rPr>
              <w:t> </w:t>
            </w:r>
            <w:r w:rsidRPr="009F7642">
              <w:rPr>
                <w:color w:val="auto"/>
                <w:lang w:val="is-IS"/>
              </w:rPr>
              <w:t>383)</w:t>
            </w:r>
          </w:p>
        </w:tc>
      </w:tr>
      <w:tr w:rsidR="00D23FD7" w:rsidRPr="009F7642" w14:paraId="22EA0309" w14:textId="77777777" w:rsidTr="00B07586">
        <w:trPr>
          <w:trHeight w:val="115"/>
        </w:trPr>
        <w:tc>
          <w:tcPr>
            <w:tcW w:w="6099" w:type="dxa"/>
            <w:tcBorders>
              <w:top w:val="single" w:sz="4" w:space="0" w:color="auto"/>
              <w:left w:val="single" w:sz="4" w:space="0" w:color="auto"/>
              <w:bottom w:val="single" w:sz="4" w:space="0" w:color="auto"/>
              <w:right w:val="single" w:sz="4" w:space="0" w:color="auto"/>
            </w:tcBorders>
            <w:noWrap/>
            <w:hideMark/>
          </w:tcPr>
          <w:p w14:paraId="0BA73585" w14:textId="18D9F535" w:rsidR="003D456A" w:rsidRPr="009F7642" w:rsidRDefault="003D456A" w:rsidP="00EC3052">
            <w:pPr>
              <w:suppressAutoHyphens/>
              <w:spacing w:after="0" w:line="240" w:lineRule="auto"/>
              <w:ind w:left="567" w:firstLine="0"/>
              <w:rPr>
                <w:color w:val="auto"/>
                <w:lang w:val="is-IS"/>
              </w:rPr>
            </w:pPr>
            <w:r w:rsidRPr="009F7642">
              <w:rPr>
                <w:color w:val="auto"/>
                <w:lang w:val="is-IS"/>
              </w:rPr>
              <w:t xml:space="preserve">Miðgildi lifunar án </w:t>
            </w:r>
            <w:r w:rsidR="00495BB7" w:rsidRPr="00FE5EE2">
              <w:rPr>
                <w:color w:val="auto"/>
                <w:lang w:val="is-IS"/>
              </w:rPr>
              <w:t>versnunar</w:t>
            </w:r>
            <w:r w:rsidRPr="009F7642">
              <w:rPr>
                <w:color w:val="auto"/>
                <w:lang w:val="is-IS"/>
              </w:rPr>
              <w:t xml:space="preserve"> sjúkdóms (mánuðir)</w:t>
            </w:r>
            <w:r w:rsidRPr="009F7642">
              <w:rPr>
                <w:rFonts w:eastAsia="Arial"/>
                <w:color w:val="auto"/>
                <w:lang w:val="is-IS"/>
              </w:rPr>
              <w:t xml:space="preserve"> </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28BCF0A8" w14:textId="77777777" w:rsidR="003D456A" w:rsidRPr="009F7642" w:rsidRDefault="003D456A" w:rsidP="00EC3052">
            <w:pPr>
              <w:suppressAutoHyphens/>
              <w:spacing w:line="259" w:lineRule="auto"/>
              <w:ind w:left="49"/>
              <w:jc w:val="center"/>
              <w:rPr>
                <w:color w:val="auto"/>
                <w:lang w:val="is-IS"/>
              </w:rPr>
            </w:pPr>
            <w:r w:rsidRPr="009F7642">
              <w:rPr>
                <w:color w:val="auto"/>
                <w:lang w:val="is-IS"/>
              </w:rPr>
              <w:t>17,7</w:t>
            </w:r>
            <w:r w:rsidRPr="009F7642">
              <w:rPr>
                <w:rFonts w:eastAsia="Arial"/>
                <w:color w:val="auto"/>
                <w:lang w:val="is-IS"/>
              </w:rPr>
              <w:t xml:space="preserve"> </w:t>
            </w:r>
          </w:p>
        </w:tc>
        <w:tc>
          <w:tcPr>
            <w:tcW w:w="1572" w:type="dxa"/>
            <w:tcBorders>
              <w:top w:val="single" w:sz="4" w:space="0" w:color="auto"/>
              <w:left w:val="single" w:sz="4" w:space="0" w:color="auto"/>
              <w:bottom w:val="single" w:sz="4" w:space="0" w:color="auto"/>
              <w:right w:val="single" w:sz="4" w:space="0" w:color="auto"/>
            </w:tcBorders>
            <w:noWrap/>
            <w:vAlign w:val="center"/>
            <w:hideMark/>
          </w:tcPr>
          <w:p w14:paraId="73691F7D" w14:textId="77777777" w:rsidR="003D456A" w:rsidRPr="009F7642" w:rsidRDefault="00BC2763" w:rsidP="00EC3052">
            <w:pPr>
              <w:suppressAutoHyphens/>
              <w:spacing w:line="259" w:lineRule="auto"/>
              <w:ind w:left="51"/>
              <w:jc w:val="center"/>
              <w:rPr>
                <w:color w:val="auto"/>
                <w:lang w:val="is-IS"/>
              </w:rPr>
            </w:pPr>
            <w:r>
              <w:rPr>
                <w:color w:val="auto"/>
                <w:lang w:val="is-IS"/>
              </w:rPr>
              <w:t>19,3</w:t>
            </w:r>
          </w:p>
        </w:tc>
      </w:tr>
      <w:tr w:rsidR="00D23FD7" w:rsidRPr="009F7642" w14:paraId="2F83F271" w14:textId="77777777" w:rsidTr="00B07586">
        <w:trPr>
          <w:trHeight w:val="521"/>
        </w:trPr>
        <w:tc>
          <w:tcPr>
            <w:tcW w:w="6099" w:type="dxa"/>
            <w:tcBorders>
              <w:top w:val="single" w:sz="4" w:space="0" w:color="auto"/>
              <w:left w:val="single" w:sz="4" w:space="0" w:color="auto"/>
              <w:bottom w:val="single" w:sz="4" w:space="0" w:color="auto"/>
              <w:right w:val="single" w:sz="4" w:space="0" w:color="auto"/>
            </w:tcBorders>
            <w:noWrap/>
            <w:hideMark/>
          </w:tcPr>
          <w:p w14:paraId="0683373B" w14:textId="7CA0A953" w:rsidR="003D456A" w:rsidRPr="009F7642" w:rsidRDefault="003D456A" w:rsidP="00EC3052">
            <w:pPr>
              <w:suppressAutoHyphens/>
              <w:spacing w:after="0" w:line="240" w:lineRule="auto"/>
              <w:ind w:left="567" w:firstLine="0"/>
              <w:rPr>
                <w:color w:val="auto"/>
                <w:lang w:val="is-IS"/>
              </w:rPr>
            </w:pPr>
            <w:r w:rsidRPr="009F7642">
              <w:rPr>
                <w:color w:val="auto"/>
                <w:lang w:val="is-IS"/>
              </w:rPr>
              <w:t>Áhættuhlutfall</w:t>
            </w:r>
            <w:r w:rsidR="001038B1">
              <w:rPr>
                <w:color w:val="auto"/>
                <w:lang w:val="is-IS"/>
              </w:rPr>
              <w:t xml:space="preserve"> </w:t>
            </w:r>
            <w:r w:rsidRPr="009F7642">
              <w:rPr>
                <w:color w:val="auto"/>
                <w:lang w:val="is-IS"/>
              </w:rPr>
              <w:t xml:space="preserve">(95% </w:t>
            </w:r>
            <w:r w:rsidR="00495BB7" w:rsidRPr="009F7642">
              <w:rPr>
                <w:color w:val="auto"/>
                <w:lang w:val="is-IS"/>
              </w:rPr>
              <w:t>öryggis</w:t>
            </w:r>
            <w:r w:rsidR="00495BB7">
              <w:rPr>
                <w:color w:val="auto"/>
                <w:lang w:val="is-IS"/>
              </w:rPr>
              <w:t>bil</w:t>
            </w:r>
            <w:r w:rsidRPr="009F7642">
              <w:rPr>
                <w:color w:val="auto"/>
                <w:lang w:val="is-IS"/>
              </w:rPr>
              <w:t>)</w:t>
            </w:r>
            <w:r w:rsidRPr="009F7642">
              <w:rPr>
                <w:color w:val="auto"/>
                <w:vertAlign w:val="superscript"/>
                <w:lang w:val="is-IS"/>
              </w:rPr>
              <w:t>4</w:t>
            </w:r>
            <w:r w:rsidRPr="009F7642">
              <w:rPr>
                <w:rFonts w:eastAsia="Arial"/>
                <w:color w:val="auto"/>
                <w:lang w:val="is-IS"/>
              </w:rPr>
              <w:t xml:space="preserve"> </w:t>
            </w:r>
          </w:p>
        </w:tc>
        <w:tc>
          <w:tcPr>
            <w:tcW w:w="1416" w:type="dxa"/>
            <w:tcBorders>
              <w:top w:val="single" w:sz="4" w:space="0" w:color="auto"/>
              <w:left w:val="single" w:sz="4" w:space="0" w:color="auto"/>
              <w:bottom w:val="single" w:sz="4" w:space="0" w:color="auto"/>
              <w:right w:val="single" w:sz="4" w:space="0" w:color="auto"/>
            </w:tcBorders>
            <w:noWrap/>
            <w:vAlign w:val="center"/>
          </w:tcPr>
          <w:p w14:paraId="72EA866E" w14:textId="77777777" w:rsidR="003D456A" w:rsidRPr="009F7642" w:rsidRDefault="003D456A" w:rsidP="00EC3052">
            <w:pPr>
              <w:suppressAutoHyphens/>
              <w:spacing w:line="259" w:lineRule="auto"/>
              <w:ind w:left="103"/>
              <w:jc w:val="center"/>
              <w:rPr>
                <w:color w:val="auto"/>
                <w:lang w:val="is-IS"/>
              </w:rPr>
            </w:pPr>
          </w:p>
        </w:tc>
        <w:tc>
          <w:tcPr>
            <w:tcW w:w="1572" w:type="dxa"/>
            <w:tcBorders>
              <w:top w:val="single" w:sz="4" w:space="0" w:color="auto"/>
              <w:left w:val="single" w:sz="4" w:space="0" w:color="auto"/>
              <w:bottom w:val="single" w:sz="4" w:space="0" w:color="auto"/>
              <w:right w:val="single" w:sz="4" w:space="0" w:color="auto"/>
            </w:tcBorders>
            <w:noWrap/>
            <w:hideMark/>
          </w:tcPr>
          <w:p w14:paraId="2A342C6A" w14:textId="77777777" w:rsidR="006C06D6" w:rsidRPr="009F7642" w:rsidRDefault="003D456A" w:rsidP="00EC3052">
            <w:pPr>
              <w:suppressAutoHyphens/>
              <w:spacing w:after="32" w:line="259" w:lineRule="auto"/>
              <w:ind w:left="52"/>
              <w:jc w:val="center"/>
              <w:rPr>
                <w:rFonts w:eastAsia="Arial"/>
                <w:color w:val="auto"/>
                <w:lang w:val="is-IS"/>
              </w:rPr>
            </w:pPr>
            <w:r w:rsidRPr="009F7642">
              <w:rPr>
                <w:color w:val="auto"/>
                <w:lang w:val="is-IS"/>
              </w:rPr>
              <w:t>0,89</w:t>
            </w:r>
          </w:p>
          <w:p w14:paraId="2E989B20" w14:textId="77777777" w:rsidR="003D456A" w:rsidRPr="009F7642" w:rsidRDefault="003D456A" w:rsidP="00EC3052">
            <w:pPr>
              <w:suppressAutoHyphens/>
              <w:spacing w:line="259" w:lineRule="auto"/>
              <w:ind w:left="49"/>
              <w:jc w:val="center"/>
              <w:rPr>
                <w:color w:val="auto"/>
                <w:lang w:val="is-IS"/>
              </w:rPr>
            </w:pPr>
            <w:r w:rsidRPr="009F7642">
              <w:rPr>
                <w:color w:val="auto"/>
                <w:lang w:val="is-IS"/>
              </w:rPr>
              <w:t xml:space="preserve">(0,74; 1,07) </w:t>
            </w:r>
          </w:p>
        </w:tc>
      </w:tr>
      <w:tr w:rsidR="00B07586" w:rsidRPr="009F7642" w14:paraId="26472E43" w14:textId="77777777" w:rsidTr="00B07586">
        <w:trPr>
          <w:trHeight w:val="300"/>
        </w:trPr>
        <w:tc>
          <w:tcPr>
            <w:tcW w:w="9087" w:type="dxa"/>
            <w:gridSpan w:val="3"/>
            <w:tcBorders>
              <w:top w:val="single" w:sz="4" w:space="0" w:color="auto"/>
              <w:left w:val="single" w:sz="4" w:space="0" w:color="auto"/>
              <w:bottom w:val="single" w:sz="4" w:space="0" w:color="auto"/>
              <w:right w:val="single" w:sz="4" w:space="0" w:color="auto"/>
            </w:tcBorders>
            <w:noWrap/>
            <w:vAlign w:val="bottom"/>
          </w:tcPr>
          <w:p w14:paraId="73F8AE64" w14:textId="77777777" w:rsidR="003D456A" w:rsidRPr="009F7642" w:rsidRDefault="003D456A" w:rsidP="0073217C">
            <w:pPr>
              <w:keepNext/>
              <w:keepLines/>
              <w:suppressAutoHyphens/>
              <w:spacing w:after="0" w:line="240" w:lineRule="auto"/>
              <w:ind w:left="0" w:firstLine="0"/>
              <w:rPr>
                <w:color w:val="auto"/>
                <w:lang w:val="is-IS"/>
              </w:rPr>
            </w:pPr>
            <w:r w:rsidRPr="009F7642">
              <w:rPr>
                <w:color w:val="auto"/>
                <w:lang w:val="is-IS"/>
              </w:rPr>
              <w:lastRenderedPageBreak/>
              <w:t>Slembiraðaðir sjúklingar með sjúkdóm á stigi III þar sem hluti æxlis hafði verið fjarlægður með skurðaðgerð</w:t>
            </w:r>
            <w:r w:rsidRPr="009F7642">
              <w:rPr>
                <w:color w:val="auto"/>
                <w:vertAlign w:val="superscript"/>
                <w:lang w:val="is-IS"/>
              </w:rPr>
              <w:t>3</w:t>
            </w:r>
          </w:p>
        </w:tc>
      </w:tr>
      <w:tr w:rsidR="00D23FD7" w:rsidRPr="009F7642" w14:paraId="0BAB348A" w14:textId="77777777" w:rsidTr="00B07586">
        <w:trPr>
          <w:trHeight w:val="299"/>
        </w:trPr>
        <w:tc>
          <w:tcPr>
            <w:tcW w:w="6099" w:type="dxa"/>
            <w:tcBorders>
              <w:top w:val="single" w:sz="4" w:space="0" w:color="auto"/>
              <w:left w:val="single" w:sz="4" w:space="0" w:color="auto"/>
              <w:bottom w:val="single" w:sz="4" w:space="0" w:color="auto"/>
              <w:right w:val="single" w:sz="4" w:space="0" w:color="auto"/>
            </w:tcBorders>
            <w:noWrap/>
          </w:tcPr>
          <w:p w14:paraId="13C6849A" w14:textId="77777777" w:rsidR="003D456A" w:rsidRPr="009F7642" w:rsidRDefault="003D456A" w:rsidP="0073217C">
            <w:pPr>
              <w:keepNext/>
              <w:keepLines/>
              <w:suppressAutoHyphens/>
              <w:spacing w:line="240" w:lineRule="auto"/>
              <w:rPr>
                <w:color w:val="auto"/>
                <w:lang w:val="is-IS"/>
              </w:rPr>
            </w:pPr>
          </w:p>
        </w:tc>
        <w:tc>
          <w:tcPr>
            <w:tcW w:w="1416" w:type="dxa"/>
            <w:tcBorders>
              <w:top w:val="single" w:sz="4" w:space="0" w:color="auto"/>
              <w:left w:val="single" w:sz="4" w:space="0" w:color="auto"/>
              <w:bottom w:val="single" w:sz="4" w:space="0" w:color="auto"/>
              <w:right w:val="single" w:sz="4" w:space="0" w:color="auto"/>
            </w:tcBorders>
            <w:noWrap/>
            <w:hideMark/>
          </w:tcPr>
          <w:p w14:paraId="41D9CDA1" w14:textId="77777777" w:rsidR="006C06D6" w:rsidRPr="009F7642" w:rsidRDefault="003D456A" w:rsidP="0073217C">
            <w:pPr>
              <w:keepNext/>
              <w:keepLines/>
              <w:suppressAutoHyphens/>
              <w:spacing w:line="259" w:lineRule="auto"/>
              <w:ind w:left="46"/>
              <w:jc w:val="center"/>
              <w:rPr>
                <w:rFonts w:eastAsia="Arial"/>
                <w:color w:val="auto"/>
                <w:lang w:val="is-IS"/>
              </w:rPr>
            </w:pPr>
            <w:r w:rsidRPr="009F7642">
              <w:rPr>
                <w:color w:val="auto"/>
                <w:lang w:val="is-IS"/>
              </w:rPr>
              <w:t>CP</w:t>
            </w:r>
          </w:p>
          <w:p w14:paraId="5BB2707B" w14:textId="77777777" w:rsidR="003D456A" w:rsidRPr="009F7642" w:rsidRDefault="003D456A" w:rsidP="0073217C">
            <w:pPr>
              <w:keepNext/>
              <w:keepLines/>
              <w:suppressAutoHyphens/>
              <w:spacing w:line="259" w:lineRule="auto"/>
              <w:ind w:left="47"/>
              <w:jc w:val="center"/>
              <w:rPr>
                <w:color w:val="auto"/>
                <w:lang w:val="is-IS"/>
              </w:rPr>
            </w:pPr>
            <w:r w:rsidRPr="009F7642">
              <w:rPr>
                <w:color w:val="auto"/>
                <w:lang w:val="is-IS"/>
              </w:rPr>
              <w:t>(n</w:t>
            </w:r>
            <w:r w:rsidR="00CC6129">
              <w:rPr>
                <w:color w:val="auto"/>
                <w:lang w:val="is-IS"/>
              </w:rPr>
              <w:t> </w:t>
            </w:r>
            <w:r w:rsidR="00700BDC">
              <w:rPr>
                <w:color w:val="auto"/>
                <w:lang w:val="is-IS"/>
              </w:rPr>
              <w:t>=</w:t>
            </w:r>
            <w:r w:rsidR="00CC6129">
              <w:rPr>
                <w:color w:val="auto"/>
                <w:lang w:val="is-IS"/>
              </w:rPr>
              <w:t> </w:t>
            </w:r>
            <w:r w:rsidRPr="009F7642">
              <w:rPr>
                <w:color w:val="auto"/>
                <w:lang w:val="is-IS"/>
              </w:rPr>
              <w:t>154)</w:t>
            </w:r>
            <w:r w:rsidRPr="009F7642">
              <w:rPr>
                <w:rFonts w:eastAsia="Arial"/>
                <w:color w:val="auto"/>
                <w:lang w:val="is-IS"/>
              </w:rPr>
              <w:t xml:space="preserve"> </w:t>
            </w:r>
          </w:p>
        </w:tc>
        <w:tc>
          <w:tcPr>
            <w:tcW w:w="1572" w:type="dxa"/>
            <w:tcBorders>
              <w:top w:val="single" w:sz="4" w:space="0" w:color="auto"/>
              <w:left w:val="single" w:sz="4" w:space="0" w:color="auto"/>
              <w:bottom w:val="single" w:sz="4" w:space="0" w:color="auto"/>
              <w:right w:val="single" w:sz="4" w:space="0" w:color="auto"/>
            </w:tcBorders>
            <w:noWrap/>
            <w:hideMark/>
          </w:tcPr>
          <w:p w14:paraId="6791F41A" w14:textId="77777777" w:rsidR="006C06D6" w:rsidRPr="009F7642" w:rsidRDefault="003D456A" w:rsidP="0073217C">
            <w:pPr>
              <w:keepNext/>
              <w:keepLines/>
              <w:suppressAutoHyphens/>
              <w:spacing w:after="9" w:line="259" w:lineRule="auto"/>
              <w:ind w:left="50"/>
              <w:jc w:val="center"/>
              <w:rPr>
                <w:rFonts w:eastAsia="Arial"/>
                <w:color w:val="auto"/>
                <w:lang w:val="is-IS"/>
              </w:rPr>
            </w:pPr>
            <w:r w:rsidRPr="009F7642">
              <w:rPr>
                <w:color w:val="auto"/>
                <w:lang w:val="is-IS"/>
              </w:rPr>
              <w:t>CPB7,5+</w:t>
            </w:r>
          </w:p>
          <w:p w14:paraId="654E65FB" w14:textId="77777777" w:rsidR="003D456A" w:rsidRPr="009F7642" w:rsidRDefault="003D456A" w:rsidP="0073217C">
            <w:pPr>
              <w:keepNext/>
              <w:keepLines/>
              <w:suppressAutoHyphens/>
              <w:spacing w:line="259" w:lineRule="auto"/>
              <w:ind w:left="52"/>
              <w:jc w:val="center"/>
              <w:rPr>
                <w:color w:val="auto"/>
                <w:lang w:val="is-IS"/>
              </w:rPr>
            </w:pPr>
            <w:r w:rsidRPr="009F7642">
              <w:rPr>
                <w:color w:val="auto"/>
                <w:lang w:val="is-IS"/>
              </w:rPr>
              <w:t>(n</w:t>
            </w:r>
            <w:r w:rsidR="00CC6129">
              <w:rPr>
                <w:color w:val="auto"/>
                <w:lang w:val="is-IS"/>
              </w:rPr>
              <w:t> </w:t>
            </w:r>
            <w:r w:rsidR="00700BDC">
              <w:rPr>
                <w:color w:val="auto"/>
                <w:lang w:val="is-IS"/>
              </w:rPr>
              <w:t>=</w:t>
            </w:r>
            <w:r w:rsidR="00CC6129">
              <w:rPr>
                <w:color w:val="auto"/>
                <w:lang w:val="is-IS"/>
              </w:rPr>
              <w:t> </w:t>
            </w:r>
            <w:r w:rsidRPr="009F7642">
              <w:rPr>
                <w:color w:val="auto"/>
                <w:lang w:val="is-IS"/>
              </w:rPr>
              <w:t>140)</w:t>
            </w:r>
          </w:p>
        </w:tc>
      </w:tr>
      <w:tr w:rsidR="00D23FD7" w:rsidRPr="009F7642" w14:paraId="6AD6E437" w14:textId="77777777" w:rsidTr="00B07586">
        <w:trPr>
          <w:trHeight w:val="300"/>
        </w:trPr>
        <w:tc>
          <w:tcPr>
            <w:tcW w:w="6099" w:type="dxa"/>
            <w:tcBorders>
              <w:top w:val="single" w:sz="4" w:space="0" w:color="auto"/>
              <w:left w:val="single" w:sz="4" w:space="0" w:color="auto"/>
              <w:bottom w:val="single" w:sz="4" w:space="0" w:color="auto"/>
              <w:right w:val="single" w:sz="4" w:space="0" w:color="auto"/>
            </w:tcBorders>
            <w:noWrap/>
            <w:hideMark/>
          </w:tcPr>
          <w:p w14:paraId="420B4A41" w14:textId="3A8CC266" w:rsidR="003D456A" w:rsidRPr="009F7642" w:rsidRDefault="003D456A" w:rsidP="0073217C">
            <w:pPr>
              <w:keepNext/>
              <w:keepLines/>
              <w:suppressAutoHyphens/>
              <w:spacing w:after="0" w:line="240" w:lineRule="auto"/>
              <w:ind w:left="567" w:firstLine="0"/>
              <w:rPr>
                <w:color w:val="auto"/>
                <w:lang w:val="is-IS"/>
              </w:rPr>
            </w:pPr>
            <w:r w:rsidRPr="009F7642">
              <w:rPr>
                <w:color w:val="auto"/>
                <w:lang w:val="is-IS"/>
              </w:rPr>
              <w:t xml:space="preserve">Miðgildi lifunar án </w:t>
            </w:r>
            <w:r w:rsidR="00495BB7" w:rsidRPr="00FE5EE2">
              <w:rPr>
                <w:color w:val="auto"/>
                <w:lang w:val="is-IS"/>
              </w:rPr>
              <w:t>versnunar</w:t>
            </w:r>
            <w:r w:rsidRPr="009F7642">
              <w:rPr>
                <w:color w:val="auto"/>
                <w:lang w:val="is-IS"/>
              </w:rPr>
              <w:t xml:space="preserve"> sjúkdóms (mánuðir)</w:t>
            </w:r>
            <w:r w:rsidRPr="009F7642">
              <w:rPr>
                <w:rFonts w:eastAsia="Arial"/>
                <w:color w:val="auto"/>
                <w:lang w:val="is-IS"/>
              </w:rPr>
              <w:t xml:space="preserve"> </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462C7B53" w14:textId="77777777" w:rsidR="003D456A" w:rsidRPr="009F7642" w:rsidRDefault="003D456A" w:rsidP="0073217C">
            <w:pPr>
              <w:keepNext/>
              <w:keepLines/>
              <w:suppressAutoHyphens/>
              <w:spacing w:line="259" w:lineRule="auto"/>
              <w:ind w:left="49"/>
              <w:jc w:val="center"/>
              <w:rPr>
                <w:color w:val="auto"/>
                <w:lang w:val="is-IS"/>
              </w:rPr>
            </w:pPr>
            <w:r w:rsidRPr="009F7642">
              <w:rPr>
                <w:color w:val="auto"/>
                <w:lang w:val="is-IS"/>
              </w:rPr>
              <w:t>10,1</w:t>
            </w:r>
            <w:r w:rsidRPr="009F7642">
              <w:rPr>
                <w:rFonts w:eastAsia="Arial"/>
                <w:color w:val="auto"/>
                <w:lang w:val="is-IS"/>
              </w:rPr>
              <w:t xml:space="preserve"> </w:t>
            </w:r>
          </w:p>
        </w:tc>
        <w:tc>
          <w:tcPr>
            <w:tcW w:w="1572" w:type="dxa"/>
            <w:tcBorders>
              <w:top w:val="single" w:sz="4" w:space="0" w:color="auto"/>
              <w:left w:val="single" w:sz="4" w:space="0" w:color="auto"/>
              <w:bottom w:val="single" w:sz="4" w:space="0" w:color="auto"/>
              <w:right w:val="single" w:sz="4" w:space="0" w:color="auto"/>
            </w:tcBorders>
            <w:noWrap/>
            <w:vAlign w:val="center"/>
            <w:hideMark/>
          </w:tcPr>
          <w:p w14:paraId="33840595" w14:textId="77777777" w:rsidR="003D456A" w:rsidRPr="009F7642" w:rsidRDefault="003D456A" w:rsidP="0073217C">
            <w:pPr>
              <w:keepNext/>
              <w:keepLines/>
              <w:suppressAutoHyphens/>
              <w:spacing w:line="259" w:lineRule="auto"/>
              <w:ind w:left="51"/>
              <w:jc w:val="center"/>
              <w:rPr>
                <w:color w:val="auto"/>
                <w:lang w:val="is-IS"/>
              </w:rPr>
            </w:pPr>
            <w:r w:rsidRPr="009F7642">
              <w:rPr>
                <w:color w:val="auto"/>
                <w:lang w:val="is-IS"/>
              </w:rPr>
              <w:t xml:space="preserve">16,9 </w:t>
            </w:r>
          </w:p>
        </w:tc>
      </w:tr>
      <w:tr w:rsidR="00D23FD7" w:rsidRPr="009F7642" w14:paraId="7AE52333" w14:textId="77777777" w:rsidTr="00B07586">
        <w:trPr>
          <w:trHeight w:val="577"/>
        </w:trPr>
        <w:tc>
          <w:tcPr>
            <w:tcW w:w="6099" w:type="dxa"/>
            <w:tcBorders>
              <w:top w:val="single" w:sz="4" w:space="0" w:color="auto"/>
              <w:left w:val="single" w:sz="4" w:space="0" w:color="auto"/>
              <w:bottom w:val="single" w:sz="4" w:space="0" w:color="auto"/>
              <w:right w:val="single" w:sz="4" w:space="0" w:color="auto"/>
            </w:tcBorders>
            <w:noWrap/>
            <w:hideMark/>
          </w:tcPr>
          <w:p w14:paraId="50FE0FEF" w14:textId="450A969A" w:rsidR="003D456A" w:rsidRPr="009F7642" w:rsidRDefault="003D456A" w:rsidP="0073217C">
            <w:pPr>
              <w:suppressAutoHyphens/>
              <w:spacing w:after="0" w:line="240" w:lineRule="auto"/>
              <w:ind w:left="567" w:firstLine="0"/>
              <w:rPr>
                <w:color w:val="auto"/>
                <w:lang w:val="is-IS"/>
              </w:rPr>
            </w:pPr>
            <w:r w:rsidRPr="009F7642">
              <w:rPr>
                <w:color w:val="auto"/>
                <w:lang w:val="is-IS"/>
              </w:rPr>
              <w:t>Áhættuhlutfall</w:t>
            </w:r>
            <w:r w:rsidR="001038B1">
              <w:rPr>
                <w:color w:val="auto"/>
                <w:lang w:val="is-IS"/>
              </w:rPr>
              <w:t xml:space="preserve"> </w:t>
            </w:r>
            <w:r w:rsidRPr="009F7642">
              <w:rPr>
                <w:color w:val="auto"/>
                <w:lang w:val="is-IS"/>
              </w:rPr>
              <w:t xml:space="preserve">(95% </w:t>
            </w:r>
            <w:r w:rsidR="00495BB7" w:rsidRPr="009F7642">
              <w:rPr>
                <w:color w:val="auto"/>
                <w:lang w:val="is-IS"/>
              </w:rPr>
              <w:t>öryggis</w:t>
            </w:r>
            <w:r w:rsidR="00495BB7">
              <w:rPr>
                <w:color w:val="auto"/>
                <w:lang w:val="is-IS"/>
              </w:rPr>
              <w:t>bil</w:t>
            </w:r>
            <w:r w:rsidRPr="009F7642">
              <w:rPr>
                <w:color w:val="auto"/>
                <w:lang w:val="is-IS"/>
              </w:rPr>
              <w:t>)</w:t>
            </w:r>
            <w:r w:rsidRPr="009F7642">
              <w:rPr>
                <w:color w:val="auto"/>
                <w:vertAlign w:val="superscript"/>
                <w:lang w:val="is-IS"/>
              </w:rPr>
              <w:t>4</w:t>
            </w:r>
            <w:r w:rsidRPr="009F7642">
              <w:rPr>
                <w:rFonts w:eastAsia="Arial"/>
                <w:color w:val="auto"/>
                <w:lang w:val="is-IS"/>
              </w:rPr>
              <w:t xml:space="preserve"> </w:t>
            </w:r>
          </w:p>
        </w:tc>
        <w:tc>
          <w:tcPr>
            <w:tcW w:w="1416" w:type="dxa"/>
            <w:tcBorders>
              <w:top w:val="single" w:sz="4" w:space="0" w:color="auto"/>
              <w:left w:val="single" w:sz="4" w:space="0" w:color="auto"/>
              <w:bottom w:val="single" w:sz="4" w:space="0" w:color="auto"/>
              <w:right w:val="single" w:sz="4" w:space="0" w:color="auto"/>
            </w:tcBorders>
            <w:noWrap/>
            <w:vAlign w:val="center"/>
          </w:tcPr>
          <w:p w14:paraId="3DB62AB4" w14:textId="77777777" w:rsidR="003D456A" w:rsidRPr="009F7642" w:rsidRDefault="003D456A" w:rsidP="0073217C">
            <w:pPr>
              <w:suppressAutoHyphens/>
              <w:spacing w:line="259" w:lineRule="auto"/>
              <w:ind w:left="103"/>
              <w:jc w:val="center"/>
              <w:rPr>
                <w:color w:val="auto"/>
                <w:lang w:val="is-IS"/>
              </w:rPr>
            </w:pPr>
          </w:p>
        </w:tc>
        <w:tc>
          <w:tcPr>
            <w:tcW w:w="1572" w:type="dxa"/>
            <w:tcBorders>
              <w:top w:val="single" w:sz="4" w:space="0" w:color="auto"/>
              <w:left w:val="single" w:sz="4" w:space="0" w:color="auto"/>
              <w:bottom w:val="single" w:sz="4" w:space="0" w:color="auto"/>
              <w:right w:val="single" w:sz="4" w:space="0" w:color="auto"/>
            </w:tcBorders>
            <w:noWrap/>
            <w:hideMark/>
          </w:tcPr>
          <w:p w14:paraId="1090FDEE" w14:textId="77777777" w:rsidR="006C06D6" w:rsidRPr="009F7642" w:rsidRDefault="003D456A" w:rsidP="0073217C">
            <w:pPr>
              <w:suppressAutoHyphens/>
              <w:spacing w:after="32" w:line="259" w:lineRule="auto"/>
              <w:ind w:left="52"/>
              <w:jc w:val="center"/>
              <w:rPr>
                <w:rFonts w:eastAsia="Arial"/>
                <w:color w:val="auto"/>
                <w:lang w:val="is-IS"/>
              </w:rPr>
            </w:pPr>
            <w:r w:rsidRPr="009F7642">
              <w:rPr>
                <w:color w:val="auto"/>
                <w:lang w:val="is-IS"/>
              </w:rPr>
              <w:t>0,67</w:t>
            </w:r>
          </w:p>
          <w:p w14:paraId="256A5254" w14:textId="77777777" w:rsidR="003D456A" w:rsidRPr="009F7642" w:rsidRDefault="003D456A" w:rsidP="0073217C">
            <w:pPr>
              <w:suppressAutoHyphens/>
              <w:spacing w:line="259" w:lineRule="auto"/>
              <w:ind w:left="49"/>
              <w:jc w:val="center"/>
              <w:rPr>
                <w:color w:val="auto"/>
                <w:lang w:val="is-IS"/>
              </w:rPr>
            </w:pPr>
            <w:r w:rsidRPr="009F7642">
              <w:rPr>
                <w:color w:val="auto"/>
                <w:lang w:val="is-IS"/>
              </w:rPr>
              <w:t xml:space="preserve">(0,52; 0,87) </w:t>
            </w:r>
          </w:p>
        </w:tc>
      </w:tr>
      <w:tr w:rsidR="00B07586" w:rsidRPr="009F7642" w14:paraId="45CBBD2F" w14:textId="77777777" w:rsidTr="00B07586">
        <w:trPr>
          <w:trHeight w:val="300"/>
        </w:trPr>
        <w:tc>
          <w:tcPr>
            <w:tcW w:w="9087" w:type="dxa"/>
            <w:gridSpan w:val="3"/>
            <w:tcBorders>
              <w:top w:val="single" w:sz="4" w:space="0" w:color="auto"/>
              <w:left w:val="single" w:sz="4" w:space="0" w:color="auto"/>
              <w:bottom w:val="single" w:sz="4" w:space="0" w:color="auto"/>
              <w:right w:val="single" w:sz="4" w:space="0" w:color="auto"/>
            </w:tcBorders>
            <w:noWrap/>
            <w:vAlign w:val="bottom"/>
            <w:hideMark/>
          </w:tcPr>
          <w:p w14:paraId="43844EB1" w14:textId="77777777" w:rsidR="003D456A" w:rsidRPr="009F7642" w:rsidRDefault="003D456A" w:rsidP="0073217C">
            <w:pPr>
              <w:suppressAutoHyphens/>
              <w:spacing w:after="0" w:line="240" w:lineRule="auto"/>
              <w:ind w:left="0" w:firstLine="0"/>
              <w:rPr>
                <w:color w:val="auto"/>
                <w:lang w:val="is-IS"/>
              </w:rPr>
            </w:pPr>
            <w:r w:rsidRPr="009F7642">
              <w:rPr>
                <w:color w:val="auto"/>
                <w:lang w:val="is-IS"/>
              </w:rPr>
              <w:t xml:space="preserve">Slembiraðaðir sjúklingar með sjúkdóm á stigi IV </w:t>
            </w:r>
          </w:p>
        </w:tc>
      </w:tr>
      <w:tr w:rsidR="00D23FD7" w:rsidRPr="009F7642" w14:paraId="0307A049" w14:textId="77777777" w:rsidTr="00B07586">
        <w:trPr>
          <w:trHeight w:val="401"/>
        </w:trPr>
        <w:tc>
          <w:tcPr>
            <w:tcW w:w="6099" w:type="dxa"/>
            <w:tcBorders>
              <w:top w:val="single" w:sz="4" w:space="0" w:color="auto"/>
              <w:left w:val="single" w:sz="4" w:space="0" w:color="auto"/>
              <w:bottom w:val="single" w:sz="4" w:space="0" w:color="auto"/>
              <w:right w:val="single" w:sz="4" w:space="0" w:color="auto"/>
            </w:tcBorders>
            <w:noWrap/>
          </w:tcPr>
          <w:p w14:paraId="34258898" w14:textId="77777777" w:rsidR="003D456A" w:rsidRPr="009F7642" w:rsidRDefault="003D456A" w:rsidP="0073217C">
            <w:pPr>
              <w:suppressAutoHyphens/>
              <w:spacing w:line="240" w:lineRule="auto"/>
              <w:rPr>
                <w:color w:val="auto"/>
                <w:lang w:val="is-IS"/>
              </w:rPr>
            </w:pPr>
          </w:p>
        </w:tc>
        <w:tc>
          <w:tcPr>
            <w:tcW w:w="1416" w:type="dxa"/>
            <w:tcBorders>
              <w:top w:val="single" w:sz="4" w:space="0" w:color="auto"/>
              <w:left w:val="single" w:sz="4" w:space="0" w:color="auto"/>
              <w:bottom w:val="single" w:sz="4" w:space="0" w:color="auto"/>
              <w:right w:val="single" w:sz="4" w:space="0" w:color="auto"/>
            </w:tcBorders>
            <w:noWrap/>
            <w:hideMark/>
          </w:tcPr>
          <w:p w14:paraId="1EF604DD" w14:textId="77777777" w:rsidR="006C06D6" w:rsidRPr="009F7642" w:rsidRDefault="003D456A" w:rsidP="0073217C">
            <w:pPr>
              <w:suppressAutoHyphens/>
              <w:spacing w:line="259" w:lineRule="auto"/>
              <w:ind w:left="32"/>
              <w:jc w:val="center"/>
              <w:rPr>
                <w:color w:val="auto"/>
                <w:lang w:val="is-IS"/>
              </w:rPr>
            </w:pPr>
            <w:r w:rsidRPr="009F7642">
              <w:rPr>
                <w:color w:val="auto"/>
                <w:lang w:val="is-IS"/>
              </w:rPr>
              <w:t>CP</w:t>
            </w:r>
          </w:p>
          <w:p w14:paraId="5F255D5D" w14:textId="77777777" w:rsidR="003D456A" w:rsidRPr="009F7642" w:rsidRDefault="003D456A" w:rsidP="0073217C">
            <w:pPr>
              <w:suppressAutoHyphens/>
              <w:spacing w:line="259" w:lineRule="auto"/>
              <w:ind w:left="33"/>
              <w:jc w:val="center"/>
              <w:rPr>
                <w:color w:val="auto"/>
                <w:lang w:val="is-IS"/>
              </w:rPr>
            </w:pPr>
            <w:r w:rsidRPr="009F7642">
              <w:rPr>
                <w:color w:val="auto"/>
                <w:lang w:val="is-IS"/>
              </w:rPr>
              <w:t>(n</w:t>
            </w:r>
            <w:r w:rsidR="00CC6129">
              <w:rPr>
                <w:color w:val="auto"/>
                <w:lang w:val="is-IS"/>
              </w:rPr>
              <w:t> </w:t>
            </w:r>
            <w:r w:rsidR="00700BDC">
              <w:rPr>
                <w:color w:val="auto"/>
                <w:lang w:val="is-IS"/>
              </w:rPr>
              <w:t>=</w:t>
            </w:r>
            <w:r w:rsidR="00CC6129">
              <w:rPr>
                <w:color w:val="auto"/>
                <w:lang w:val="is-IS"/>
              </w:rPr>
              <w:t> </w:t>
            </w:r>
            <w:r w:rsidRPr="009F7642">
              <w:rPr>
                <w:color w:val="auto"/>
                <w:lang w:val="is-IS"/>
              </w:rPr>
              <w:t>97)</w:t>
            </w:r>
            <w:r w:rsidRPr="009F7642">
              <w:rPr>
                <w:rFonts w:eastAsia="Arial"/>
                <w:color w:val="auto"/>
                <w:lang w:val="is-IS"/>
              </w:rPr>
              <w:t xml:space="preserve"> </w:t>
            </w:r>
          </w:p>
        </w:tc>
        <w:tc>
          <w:tcPr>
            <w:tcW w:w="1572" w:type="dxa"/>
            <w:tcBorders>
              <w:top w:val="single" w:sz="4" w:space="0" w:color="auto"/>
              <w:left w:val="single" w:sz="4" w:space="0" w:color="auto"/>
              <w:bottom w:val="single" w:sz="4" w:space="0" w:color="auto"/>
              <w:right w:val="single" w:sz="4" w:space="0" w:color="auto"/>
            </w:tcBorders>
            <w:noWrap/>
            <w:hideMark/>
          </w:tcPr>
          <w:p w14:paraId="377B92C6" w14:textId="77777777" w:rsidR="006C06D6" w:rsidRPr="009F7642" w:rsidRDefault="003D456A" w:rsidP="0073217C">
            <w:pPr>
              <w:suppressAutoHyphens/>
              <w:spacing w:after="32" w:line="259" w:lineRule="auto"/>
              <w:ind w:left="36"/>
              <w:jc w:val="center"/>
              <w:rPr>
                <w:color w:val="auto"/>
                <w:lang w:val="is-IS"/>
              </w:rPr>
            </w:pPr>
            <w:r w:rsidRPr="009F7642">
              <w:rPr>
                <w:color w:val="auto"/>
                <w:lang w:val="is-IS"/>
              </w:rPr>
              <w:t>CPB7,5+</w:t>
            </w:r>
          </w:p>
          <w:p w14:paraId="1ABA958A" w14:textId="77777777" w:rsidR="003D456A" w:rsidRPr="009F7642" w:rsidRDefault="003D456A" w:rsidP="0073217C">
            <w:pPr>
              <w:suppressAutoHyphens/>
              <w:spacing w:line="259" w:lineRule="auto"/>
              <w:ind w:left="35"/>
              <w:jc w:val="center"/>
              <w:rPr>
                <w:color w:val="auto"/>
                <w:lang w:val="is-IS"/>
              </w:rPr>
            </w:pPr>
            <w:r w:rsidRPr="009F7642">
              <w:rPr>
                <w:color w:val="auto"/>
                <w:lang w:val="is-IS"/>
              </w:rPr>
              <w:t>(n</w:t>
            </w:r>
            <w:r w:rsidR="00CC6129">
              <w:rPr>
                <w:color w:val="auto"/>
                <w:lang w:val="is-IS"/>
              </w:rPr>
              <w:t> </w:t>
            </w:r>
            <w:r w:rsidR="00700BDC">
              <w:rPr>
                <w:color w:val="auto"/>
                <w:lang w:val="is-IS"/>
              </w:rPr>
              <w:t>=</w:t>
            </w:r>
            <w:r w:rsidR="00CC6129">
              <w:rPr>
                <w:color w:val="auto"/>
                <w:lang w:val="is-IS"/>
              </w:rPr>
              <w:t> </w:t>
            </w:r>
            <w:r w:rsidRPr="009F7642">
              <w:rPr>
                <w:color w:val="auto"/>
                <w:lang w:val="is-IS"/>
              </w:rPr>
              <w:t xml:space="preserve">104) </w:t>
            </w:r>
          </w:p>
        </w:tc>
      </w:tr>
      <w:tr w:rsidR="00D23FD7" w:rsidRPr="009F7642" w14:paraId="24C2527A" w14:textId="77777777" w:rsidTr="00B07586">
        <w:trPr>
          <w:trHeight w:val="172"/>
        </w:trPr>
        <w:tc>
          <w:tcPr>
            <w:tcW w:w="6099" w:type="dxa"/>
            <w:tcBorders>
              <w:top w:val="single" w:sz="4" w:space="0" w:color="auto"/>
              <w:left w:val="single" w:sz="4" w:space="0" w:color="auto"/>
              <w:bottom w:val="single" w:sz="4" w:space="0" w:color="auto"/>
              <w:right w:val="single" w:sz="4" w:space="0" w:color="auto"/>
            </w:tcBorders>
            <w:noWrap/>
            <w:hideMark/>
          </w:tcPr>
          <w:p w14:paraId="569CB921" w14:textId="424059BA" w:rsidR="003D456A" w:rsidRPr="009F7642" w:rsidRDefault="003D456A" w:rsidP="0073217C">
            <w:pPr>
              <w:suppressAutoHyphens/>
              <w:spacing w:after="0" w:line="240" w:lineRule="auto"/>
              <w:ind w:left="567" w:firstLine="0"/>
              <w:rPr>
                <w:color w:val="auto"/>
                <w:lang w:val="is-IS"/>
              </w:rPr>
            </w:pPr>
            <w:r w:rsidRPr="009F7642">
              <w:rPr>
                <w:color w:val="auto"/>
                <w:lang w:val="is-IS"/>
              </w:rPr>
              <w:t xml:space="preserve">Miðgildi lifunar án </w:t>
            </w:r>
            <w:r w:rsidR="00495BB7" w:rsidRPr="00FE5EE2">
              <w:rPr>
                <w:color w:val="auto"/>
                <w:lang w:val="is-IS"/>
              </w:rPr>
              <w:t>versnunar</w:t>
            </w:r>
            <w:r w:rsidRPr="009F7642">
              <w:rPr>
                <w:color w:val="auto"/>
                <w:lang w:val="is-IS"/>
              </w:rPr>
              <w:t xml:space="preserve"> sjúkdóms (mánuðir)</w:t>
            </w:r>
            <w:r w:rsidRPr="009F7642">
              <w:rPr>
                <w:rFonts w:eastAsia="Arial"/>
                <w:color w:val="auto"/>
                <w:lang w:val="is-IS"/>
              </w:rPr>
              <w:t xml:space="preserve"> </w:t>
            </w:r>
          </w:p>
        </w:tc>
        <w:tc>
          <w:tcPr>
            <w:tcW w:w="1416" w:type="dxa"/>
            <w:tcBorders>
              <w:top w:val="single" w:sz="4" w:space="0" w:color="auto"/>
              <w:left w:val="single" w:sz="4" w:space="0" w:color="auto"/>
              <w:bottom w:val="single" w:sz="4" w:space="0" w:color="auto"/>
              <w:right w:val="single" w:sz="4" w:space="0" w:color="auto"/>
            </w:tcBorders>
            <w:noWrap/>
            <w:vAlign w:val="center"/>
            <w:hideMark/>
          </w:tcPr>
          <w:p w14:paraId="55771210" w14:textId="77777777" w:rsidR="003D456A" w:rsidRPr="009F7642" w:rsidRDefault="003D456A" w:rsidP="0073217C">
            <w:pPr>
              <w:suppressAutoHyphens/>
              <w:spacing w:line="259" w:lineRule="auto"/>
              <w:ind w:left="35"/>
              <w:jc w:val="center"/>
              <w:rPr>
                <w:color w:val="auto"/>
                <w:lang w:val="is-IS"/>
              </w:rPr>
            </w:pPr>
            <w:r w:rsidRPr="009F7642">
              <w:rPr>
                <w:color w:val="auto"/>
                <w:lang w:val="is-IS"/>
              </w:rPr>
              <w:t>10,1</w:t>
            </w:r>
            <w:r w:rsidRPr="009F7642">
              <w:rPr>
                <w:rFonts w:eastAsia="Arial"/>
                <w:color w:val="auto"/>
                <w:lang w:val="is-IS"/>
              </w:rPr>
              <w:t xml:space="preserve"> </w:t>
            </w:r>
          </w:p>
        </w:tc>
        <w:tc>
          <w:tcPr>
            <w:tcW w:w="1572" w:type="dxa"/>
            <w:tcBorders>
              <w:top w:val="single" w:sz="4" w:space="0" w:color="auto"/>
              <w:left w:val="single" w:sz="4" w:space="0" w:color="auto"/>
              <w:bottom w:val="single" w:sz="4" w:space="0" w:color="auto"/>
              <w:right w:val="single" w:sz="4" w:space="0" w:color="auto"/>
            </w:tcBorders>
            <w:noWrap/>
            <w:vAlign w:val="center"/>
            <w:hideMark/>
          </w:tcPr>
          <w:p w14:paraId="53FCCFF2" w14:textId="77777777" w:rsidR="003D456A" w:rsidRPr="009F7642" w:rsidRDefault="003D456A" w:rsidP="0073217C">
            <w:pPr>
              <w:suppressAutoHyphens/>
              <w:spacing w:line="259" w:lineRule="auto"/>
              <w:ind w:left="37"/>
              <w:jc w:val="center"/>
              <w:rPr>
                <w:color w:val="auto"/>
                <w:lang w:val="is-IS"/>
              </w:rPr>
            </w:pPr>
            <w:r w:rsidRPr="009F7642">
              <w:rPr>
                <w:color w:val="auto"/>
                <w:lang w:val="is-IS"/>
              </w:rPr>
              <w:t>13,5</w:t>
            </w:r>
            <w:r w:rsidRPr="009F7642">
              <w:rPr>
                <w:rFonts w:eastAsia="Arial"/>
                <w:color w:val="auto"/>
                <w:lang w:val="is-IS"/>
              </w:rPr>
              <w:t xml:space="preserve"> </w:t>
            </w:r>
          </w:p>
        </w:tc>
      </w:tr>
      <w:tr w:rsidR="00D23FD7" w:rsidRPr="009F7642" w14:paraId="7DEC7686" w14:textId="77777777" w:rsidTr="00B07586">
        <w:trPr>
          <w:trHeight w:val="668"/>
        </w:trPr>
        <w:tc>
          <w:tcPr>
            <w:tcW w:w="6099" w:type="dxa"/>
            <w:tcBorders>
              <w:top w:val="single" w:sz="4" w:space="0" w:color="auto"/>
              <w:left w:val="single" w:sz="4" w:space="0" w:color="auto"/>
              <w:bottom w:val="single" w:sz="4" w:space="0" w:color="auto"/>
              <w:right w:val="single" w:sz="4" w:space="0" w:color="auto"/>
            </w:tcBorders>
            <w:noWrap/>
            <w:hideMark/>
          </w:tcPr>
          <w:p w14:paraId="4DE2EACF" w14:textId="39BF0EDC" w:rsidR="003D456A" w:rsidRPr="009F7642" w:rsidRDefault="003D456A" w:rsidP="0073217C">
            <w:pPr>
              <w:suppressAutoHyphens/>
              <w:spacing w:after="0" w:line="240" w:lineRule="auto"/>
              <w:ind w:left="567" w:firstLine="0"/>
              <w:rPr>
                <w:color w:val="auto"/>
                <w:lang w:val="is-IS"/>
              </w:rPr>
            </w:pPr>
            <w:r w:rsidRPr="009F7642">
              <w:rPr>
                <w:color w:val="auto"/>
                <w:lang w:val="is-IS"/>
              </w:rPr>
              <w:t>Áhættuhlutfall</w:t>
            </w:r>
            <w:r w:rsidR="001038B1">
              <w:rPr>
                <w:color w:val="auto"/>
                <w:lang w:val="is-IS"/>
              </w:rPr>
              <w:t xml:space="preserve"> </w:t>
            </w:r>
            <w:r w:rsidRPr="009F7642">
              <w:rPr>
                <w:color w:val="auto"/>
                <w:lang w:val="is-IS"/>
              </w:rPr>
              <w:t xml:space="preserve">(95% </w:t>
            </w:r>
            <w:r w:rsidR="00495BB7" w:rsidRPr="009F7642">
              <w:rPr>
                <w:color w:val="auto"/>
                <w:lang w:val="is-IS"/>
              </w:rPr>
              <w:t>öryggis</w:t>
            </w:r>
            <w:r w:rsidR="00495BB7">
              <w:rPr>
                <w:color w:val="auto"/>
                <w:lang w:val="is-IS"/>
              </w:rPr>
              <w:t>bil</w:t>
            </w:r>
            <w:r w:rsidRPr="009F7642">
              <w:rPr>
                <w:color w:val="auto"/>
                <w:lang w:val="is-IS"/>
              </w:rPr>
              <w:t>)</w:t>
            </w:r>
            <w:r w:rsidRPr="009F7642">
              <w:rPr>
                <w:color w:val="auto"/>
                <w:vertAlign w:val="superscript"/>
                <w:lang w:val="is-IS"/>
              </w:rPr>
              <w:t>4</w:t>
            </w:r>
            <w:r w:rsidRPr="009F7642">
              <w:rPr>
                <w:rFonts w:eastAsia="Arial"/>
                <w:color w:val="auto"/>
                <w:lang w:val="is-IS"/>
              </w:rPr>
              <w:t xml:space="preserve"> </w:t>
            </w:r>
          </w:p>
        </w:tc>
        <w:tc>
          <w:tcPr>
            <w:tcW w:w="1416" w:type="dxa"/>
            <w:tcBorders>
              <w:top w:val="single" w:sz="4" w:space="0" w:color="auto"/>
              <w:left w:val="single" w:sz="4" w:space="0" w:color="auto"/>
              <w:bottom w:val="single" w:sz="4" w:space="0" w:color="auto"/>
              <w:right w:val="single" w:sz="4" w:space="0" w:color="auto"/>
            </w:tcBorders>
            <w:noWrap/>
            <w:vAlign w:val="center"/>
          </w:tcPr>
          <w:p w14:paraId="1556F4E6" w14:textId="77777777" w:rsidR="003D456A" w:rsidRPr="009F7642" w:rsidRDefault="003D456A" w:rsidP="0073217C">
            <w:pPr>
              <w:suppressAutoHyphens/>
              <w:spacing w:line="259" w:lineRule="auto"/>
              <w:ind w:left="89"/>
              <w:jc w:val="center"/>
              <w:rPr>
                <w:color w:val="auto"/>
                <w:lang w:val="is-IS"/>
              </w:rPr>
            </w:pPr>
          </w:p>
        </w:tc>
        <w:tc>
          <w:tcPr>
            <w:tcW w:w="1572" w:type="dxa"/>
            <w:tcBorders>
              <w:top w:val="single" w:sz="4" w:space="0" w:color="auto"/>
              <w:left w:val="single" w:sz="4" w:space="0" w:color="auto"/>
              <w:bottom w:val="single" w:sz="4" w:space="0" w:color="auto"/>
              <w:right w:val="single" w:sz="4" w:space="0" w:color="auto"/>
            </w:tcBorders>
            <w:noWrap/>
            <w:hideMark/>
          </w:tcPr>
          <w:p w14:paraId="43FDCC09" w14:textId="77777777" w:rsidR="006C06D6" w:rsidRPr="009F7642" w:rsidRDefault="003D456A" w:rsidP="0073217C">
            <w:pPr>
              <w:suppressAutoHyphens/>
              <w:spacing w:line="259" w:lineRule="auto"/>
              <w:ind w:left="32"/>
              <w:jc w:val="center"/>
              <w:rPr>
                <w:rFonts w:eastAsia="Arial"/>
                <w:color w:val="auto"/>
                <w:lang w:val="is-IS"/>
              </w:rPr>
            </w:pPr>
            <w:r w:rsidRPr="009F7642">
              <w:rPr>
                <w:color w:val="auto"/>
                <w:lang w:val="is-IS"/>
              </w:rPr>
              <w:t xml:space="preserve">0,74 </w:t>
            </w:r>
          </w:p>
          <w:p w14:paraId="7A893CBF" w14:textId="77777777" w:rsidR="003D456A" w:rsidRPr="009F7642" w:rsidRDefault="003D456A" w:rsidP="0073217C">
            <w:pPr>
              <w:suppressAutoHyphens/>
              <w:spacing w:line="259" w:lineRule="auto"/>
              <w:ind w:left="35"/>
              <w:jc w:val="center"/>
              <w:rPr>
                <w:color w:val="auto"/>
                <w:lang w:val="is-IS"/>
              </w:rPr>
            </w:pPr>
            <w:r w:rsidRPr="009F7642">
              <w:rPr>
                <w:color w:val="auto"/>
                <w:lang w:val="is-IS"/>
              </w:rPr>
              <w:t>(0,55; 1,01)</w:t>
            </w:r>
            <w:r w:rsidRPr="009F7642">
              <w:rPr>
                <w:rFonts w:eastAsia="Arial"/>
                <w:color w:val="auto"/>
                <w:lang w:val="is-IS"/>
              </w:rPr>
              <w:t xml:space="preserve"> </w:t>
            </w:r>
          </w:p>
        </w:tc>
      </w:tr>
    </w:tbl>
    <w:p w14:paraId="738BFEB8" w14:textId="3DC30F05" w:rsidR="005F36F3" w:rsidRPr="00E05E3D" w:rsidRDefault="00EF1779" w:rsidP="0073217C">
      <w:pPr>
        <w:suppressAutoHyphens/>
        <w:spacing w:after="0" w:line="240" w:lineRule="auto"/>
        <w:ind w:left="567" w:hanging="567"/>
        <w:rPr>
          <w:color w:val="auto"/>
          <w:sz w:val="20"/>
          <w:szCs w:val="20"/>
          <w:lang w:val="is-IS"/>
        </w:rPr>
      </w:pPr>
      <w:r w:rsidRPr="00E05E3D">
        <w:rPr>
          <w:color w:val="auto"/>
          <w:sz w:val="20"/>
          <w:szCs w:val="20"/>
          <w:vertAlign w:val="superscript"/>
          <w:lang w:val="is-IS"/>
        </w:rPr>
        <w:t>1</w:t>
      </w:r>
      <w:r w:rsidRPr="00E05E3D">
        <w:rPr>
          <w:color w:val="auto"/>
          <w:sz w:val="20"/>
          <w:szCs w:val="20"/>
          <w:lang w:val="is-IS"/>
        </w:rPr>
        <w:tab/>
      </w:r>
      <w:r w:rsidR="00564614" w:rsidRPr="00E05E3D">
        <w:rPr>
          <w:color w:val="auto"/>
          <w:sz w:val="20"/>
          <w:szCs w:val="20"/>
          <w:lang w:val="is-IS"/>
        </w:rPr>
        <w:t xml:space="preserve">Greining á mati rannsakanda á lifun án </w:t>
      </w:r>
      <w:r w:rsidR="00495BB7" w:rsidRPr="00495BB7">
        <w:rPr>
          <w:color w:val="auto"/>
          <w:sz w:val="20"/>
          <w:szCs w:val="20"/>
          <w:lang w:val="is-IS"/>
        </w:rPr>
        <w:t>versnunar</w:t>
      </w:r>
      <w:r w:rsidR="00564614" w:rsidRPr="00E05E3D">
        <w:rPr>
          <w:color w:val="auto"/>
          <w:sz w:val="20"/>
          <w:szCs w:val="20"/>
          <w:lang w:val="is-IS"/>
        </w:rPr>
        <w:t xml:space="preserve"> sjúkdóms, </w:t>
      </w:r>
      <w:r w:rsidR="009828E1">
        <w:rPr>
          <w:rFonts w:eastAsia="PMingLiU"/>
          <w:sz w:val="20"/>
          <w:lang w:val="is-IS" w:eastAsia="zh-CN"/>
        </w:rPr>
        <w:t>lokadagur gagnasöfnunar</w:t>
      </w:r>
      <w:r w:rsidR="009828E1" w:rsidRPr="003C5958">
        <w:rPr>
          <w:rFonts w:eastAsia="PMingLiU"/>
          <w:sz w:val="20"/>
          <w:lang w:val="is-IS" w:eastAsia="zh-CN"/>
        </w:rPr>
        <w:t xml:space="preserve"> </w:t>
      </w:r>
      <w:r w:rsidRPr="00E05E3D">
        <w:rPr>
          <w:color w:val="auto"/>
          <w:sz w:val="20"/>
          <w:szCs w:val="20"/>
          <w:lang w:val="is-IS"/>
        </w:rPr>
        <w:t>30. nóvember 2010.</w:t>
      </w:r>
    </w:p>
    <w:p w14:paraId="5CB7C56A" w14:textId="77777777" w:rsidR="006C06D6" w:rsidRPr="00E05E3D" w:rsidRDefault="00EF1779" w:rsidP="0073217C">
      <w:pPr>
        <w:suppressAutoHyphens/>
        <w:spacing w:after="0" w:line="240" w:lineRule="auto"/>
        <w:ind w:left="567" w:hanging="567"/>
        <w:rPr>
          <w:color w:val="auto"/>
          <w:sz w:val="20"/>
          <w:szCs w:val="20"/>
          <w:lang w:val="is-IS"/>
        </w:rPr>
      </w:pPr>
      <w:r w:rsidRPr="00E05E3D">
        <w:rPr>
          <w:color w:val="auto"/>
          <w:sz w:val="20"/>
          <w:szCs w:val="20"/>
          <w:vertAlign w:val="superscript"/>
          <w:lang w:val="is-IS"/>
        </w:rPr>
        <w:t>2</w:t>
      </w:r>
      <w:r w:rsidRPr="00E05E3D">
        <w:rPr>
          <w:color w:val="auto"/>
          <w:sz w:val="20"/>
          <w:szCs w:val="20"/>
          <w:lang w:val="is-IS"/>
        </w:rPr>
        <w:tab/>
      </w:r>
      <w:r w:rsidR="00564614" w:rsidRPr="00E05E3D">
        <w:rPr>
          <w:color w:val="auto"/>
          <w:sz w:val="20"/>
          <w:szCs w:val="20"/>
          <w:lang w:val="is-IS"/>
        </w:rPr>
        <w:t>Með eða án talsverðra eftirstöðva sjúkdóms.</w:t>
      </w:r>
    </w:p>
    <w:p w14:paraId="111D54FE" w14:textId="77777777" w:rsidR="005F36F3" w:rsidRPr="00E05E3D" w:rsidRDefault="00EF1779" w:rsidP="0073217C">
      <w:pPr>
        <w:suppressAutoHyphens/>
        <w:spacing w:after="0" w:line="240" w:lineRule="auto"/>
        <w:ind w:left="567" w:hanging="567"/>
        <w:rPr>
          <w:color w:val="auto"/>
          <w:sz w:val="20"/>
          <w:szCs w:val="20"/>
          <w:lang w:val="is-IS"/>
        </w:rPr>
      </w:pPr>
      <w:r w:rsidRPr="00E05E3D">
        <w:rPr>
          <w:color w:val="auto"/>
          <w:sz w:val="20"/>
          <w:szCs w:val="20"/>
          <w:vertAlign w:val="superscript"/>
          <w:lang w:val="is-IS"/>
        </w:rPr>
        <w:t>3</w:t>
      </w:r>
      <w:r w:rsidRPr="00E05E3D">
        <w:rPr>
          <w:color w:val="auto"/>
          <w:sz w:val="20"/>
          <w:szCs w:val="20"/>
          <w:lang w:val="is-IS"/>
        </w:rPr>
        <w:tab/>
      </w:r>
      <w:r w:rsidR="00564614" w:rsidRPr="00E05E3D">
        <w:rPr>
          <w:color w:val="auto"/>
          <w:sz w:val="20"/>
          <w:szCs w:val="20"/>
          <w:lang w:val="is-IS"/>
        </w:rPr>
        <w:t xml:space="preserve">5,8% af öllum slembiröðuðum sjúklingum </w:t>
      </w:r>
      <w:r w:rsidR="003C161D" w:rsidRPr="00E05E3D">
        <w:rPr>
          <w:color w:val="auto"/>
          <w:sz w:val="20"/>
          <w:szCs w:val="20"/>
          <w:lang w:val="is-IS"/>
        </w:rPr>
        <w:t>voru með sjúkdóm á stigi IIIB.</w:t>
      </w:r>
    </w:p>
    <w:p w14:paraId="2D5253D0" w14:textId="77777777" w:rsidR="006C06D6" w:rsidRPr="00E05E3D" w:rsidRDefault="00EF1779" w:rsidP="0073217C">
      <w:pPr>
        <w:suppressAutoHyphens/>
        <w:spacing w:after="0" w:line="240" w:lineRule="auto"/>
        <w:ind w:left="567" w:hanging="567"/>
        <w:rPr>
          <w:color w:val="auto"/>
          <w:sz w:val="20"/>
          <w:szCs w:val="20"/>
          <w:lang w:val="is-IS"/>
        </w:rPr>
      </w:pPr>
      <w:r w:rsidRPr="00E05E3D">
        <w:rPr>
          <w:color w:val="auto"/>
          <w:sz w:val="20"/>
          <w:szCs w:val="20"/>
          <w:vertAlign w:val="superscript"/>
          <w:lang w:val="is-IS"/>
        </w:rPr>
        <w:t>4</w:t>
      </w:r>
      <w:r w:rsidRPr="00E05E3D">
        <w:rPr>
          <w:color w:val="auto"/>
          <w:sz w:val="20"/>
          <w:szCs w:val="20"/>
          <w:lang w:val="is-IS"/>
        </w:rPr>
        <w:tab/>
      </w:r>
      <w:r w:rsidR="00564614" w:rsidRPr="00E05E3D">
        <w:rPr>
          <w:color w:val="auto"/>
          <w:sz w:val="20"/>
          <w:szCs w:val="20"/>
          <w:lang w:val="is-IS"/>
        </w:rPr>
        <w:t>Miðað við samanburðarhópinn.</w:t>
      </w:r>
    </w:p>
    <w:p w14:paraId="4A662D9A" w14:textId="77777777" w:rsidR="005F36F3" w:rsidRPr="009F7642" w:rsidRDefault="005F36F3" w:rsidP="0073217C">
      <w:pPr>
        <w:suppressAutoHyphens/>
        <w:spacing w:after="0" w:line="240" w:lineRule="auto"/>
        <w:ind w:left="0" w:firstLine="0"/>
        <w:rPr>
          <w:color w:val="auto"/>
          <w:lang w:val="is-IS"/>
        </w:rPr>
      </w:pPr>
    </w:p>
    <w:p w14:paraId="4CF03B05"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t>Endurkomið krabbamein í eggjastokkum</w:t>
      </w:r>
    </w:p>
    <w:p w14:paraId="371512FF" w14:textId="77777777" w:rsidR="005F36F3" w:rsidRPr="009F7642" w:rsidRDefault="005F36F3" w:rsidP="0073217C">
      <w:pPr>
        <w:keepNext/>
        <w:suppressAutoHyphens/>
        <w:spacing w:after="0" w:line="240" w:lineRule="auto"/>
        <w:ind w:left="0" w:firstLine="0"/>
        <w:rPr>
          <w:color w:val="auto"/>
          <w:lang w:val="is-IS"/>
        </w:rPr>
      </w:pPr>
    </w:p>
    <w:p w14:paraId="3E8694DB"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Öryggi og verkun </w:t>
      </w:r>
      <w:r w:rsidR="00690564" w:rsidRPr="00F2274F">
        <w:rPr>
          <w:lang w:val="is-IS"/>
        </w:rPr>
        <w:t>bevacízúmab</w:t>
      </w:r>
      <w:r w:rsidR="00B60473" w:rsidRPr="00F2274F">
        <w:rPr>
          <w:lang w:val="is-IS"/>
        </w:rPr>
        <w:t>s</w:t>
      </w:r>
      <w:r w:rsidRPr="009F7642">
        <w:rPr>
          <w:color w:val="auto"/>
          <w:lang w:val="is-IS"/>
        </w:rPr>
        <w:t xml:space="preserve"> í meðferð við endurkomnu þekjufrumukrabbameins í eggjastokkum, krabbameins í eggjaleiðurum og frumkomins krabbameins í lífhimnu var rannsakað í þremur III. stigs klínískum rannsóknum (AVF4095g, MO22224 og GOG-0213) með mismunandi sjúklingahópum og meðferðaráætlunum.</w:t>
      </w:r>
    </w:p>
    <w:p w14:paraId="4C0975B1" w14:textId="77777777" w:rsidR="005F36F3" w:rsidRPr="009F7642" w:rsidRDefault="005F36F3" w:rsidP="0073217C">
      <w:pPr>
        <w:suppressAutoHyphens/>
        <w:spacing w:after="0" w:line="240" w:lineRule="auto"/>
        <w:ind w:left="0" w:firstLine="0"/>
        <w:rPr>
          <w:color w:val="auto"/>
          <w:lang w:val="is-IS"/>
        </w:rPr>
      </w:pPr>
    </w:p>
    <w:p w14:paraId="21F4E2DE" w14:textId="77777777" w:rsidR="006C06D6" w:rsidRPr="009F7642" w:rsidRDefault="00564614" w:rsidP="0073217C">
      <w:pPr>
        <w:numPr>
          <w:ilvl w:val="0"/>
          <w:numId w:val="12"/>
        </w:numPr>
        <w:suppressAutoHyphens/>
        <w:spacing w:after="0" w:line="240" w:lineRule="auto"/>
        <w:ind w:left="567" w:hanging="567"/>
        <w:rPr>
          <w:color w:val="auto"/>
          <w:lang w:val="is-IS"/>
        </w:rPr>
      </w:pPr>
      <w:r w:rsidRPr="009F7642">
        <w:rPr>
          <w:color w:val="auto"/>
          <w:lang w:val="is-IS"/>
        </w:rPr>
        <w:t>Í AVF4095g-rannsókninni var lagt mat á verkun og öryggi bevacízúmabs ásamt carboplatíni og gemcítabíni, sem fylgt var eftir með einlyfjameðferð með bevacízúmabi, hjá sjúklingum með þekjufrumukrabbamein í eggjastokkum, krabbamein í eggjaleiðurum og frumkomnu krabbameini í lífhimnu sem var næmt fyrir platínusamböndum.</w:t>
      </w:r>
    </w:p>
    <w:p w14:paraId="4AB010C6" w14:textId="77777777" w:rsidR="006C06D6" w:rsidRPr="009F7642" w:rsidRDefault="00564614" w:rsidP="0073217C">
      <w:pPr>
        <w:numPr>
          <w:ilvl w:val="0"/>
          <w:numId w:val="12"/>
        </w:numPr>
        <w:suppressAutoHyphens/>
        <w:spacing w:after="0" w:line="240" w:lineRule="auto"/>
        <w:ind w:left="567" w:hanging="567"/>
        <w:rPr>
          <w:color w:val="auto"/>
          <w:lang w:val="is-IS"/>
        </w:rPr>
      </w:pPr>
      <w:r w:rsidRPr="009F7642">
        <w:rPr>
          <w:color w:val="auto"/>
          <w:lang w:val="is-IS"/>
        </w:rPr>
        <w:t>Í GOG-0213-rannsókninni var lagt mat á verkun og öryggi bevacízúmabs ásamt carboplatíni og paklítaxeli, sem fylgt var eftir með einlyfjameðferð með bevacízúmabi, hjá sjúklingum með endurkomið þekjufrumukrabbamein í eggjastokkum, krabbamein í eggjaleiðurum eða frumkomið krabbamein í lífhimnu, sem var næmt fyrir platínusamböndum.</w:t>
      </w:r>
    </w:p>
    <w:p w14:paraId="5F8069A0" w14:textId="77777777" w:rsidR="006C06D6" w:rsidRPr="009F7642" w:rsidRDefault="00564614" w:rsidP="0073217C">
      <w:pPr>
        <w:numPr>
          <w:ilvl w:val="0"/>
          <w:numId w:val="12"/>
        </w:numPr>
        <w:suppressAutoHyphens/>
        <w:spacing w:after="0" w:line="240" w:lineRule="auto"/>
        <w:ind w:left="567" w:hanging="567"/>
        <w:rPr>
          <w:color w:val="auto"/>
          <w:lang w:val="is-IS"/>
        </w:rPr>
      </w:pPr>
      <w:r w:rsidRPr="009F7642">
        <w:rPr>
          <w:color w:val="auto"/>
          <w:lang w:val="is-IS"/>
        </w:rPr>
        <w:t>Í MO22224-rannsókninni var lagt mat á verkun og öryggi bevacízúmabs ásamt paklítaxeli, tópótekani eða pegýleruðu doxórúbicíni í lípósómum hjá sjúklingum með þekjufrumukrabbamein í eggjastokkum, krabbamein í eggjaleiðurum og frumkomið krabbamein í lífhimnu sem var ónæmt fyrir platínusamböndum.</w:t>
      </w:r>
    </w:p>
    <w:p w14:paraId="5C60F5F7" w14:textId="77777777" w:rsidR="005F36F3" w:rsidRPr="009F7642" w:rsidRDefault="005F36F3" w:rsidP="0073217C">
      <w:pPr>
        <w:suppressAutoHyphens/>
        <w:spacing w:after="0" w:line="240" w:lineRule="auto"/>
        <w:ind w:left="0" w:firstLine="0"/>
        <w:rPr>
          <w:color w:val="auto"/>
          <w:lang w:val="is-IS"/>
        </w:rPr>
      </w:pPr>
    </w:p>
    <w:p w14:paraId="0EC8F294" w14:textId="77777777" w:rsidR="006C06D6" w:rsidRPr="009F7642" w:rsidRDefault="00564614" w:rsidP="00DC27F3">
      <w:pPr>
        <w:keepNext/>
        <w:suppressAutoHyphens/>
        <w:spacing w:after="0" w:line="240" w:lineRule="auto"/>
        <w:ind w:left="0" w:firstLine="0"/>
        <w:rPr>
          <w:i/>
          <w:color w:val="auto"/>
          <w:lang w:val="is-IS"/>
        </w:rPr>
      </w:pPr>
      <w:r w:rsidRPr="009F7642">
        <w:rPr>
          <w:i/>
          <w:color w:val="auto"/>
          <w:lang w:val="is-IS"/>
        </w:rPr>
        <w:t>AVF4095g</w:t>
      </w:r>
    </w:p>
    <w:p w14:paraId="4E0ED62E" w14:textId="1D77DDA9"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Öruggi og verkun </w:t>
      </w:r>
      <w:r w:rsidR="00690564" w:rsidRPr="00F2274F">
        <w:rPr>
          <w:rFonts w:eastAsia="Calibri"/>
          <w:lang w:val="is-IS"/>
        </w:rPr>
        <w:t>bevacízúmab</w:t>
      </w:r>
      <w:r w:rsidR="00B35E36" w:rsidRPr="00F2274F">
        <w:rPr>
          <w:rFonts w:eastAsia="Calibri"/>
          <w:lang w:val="is-IS"/>
        </w:rPr>
        <w:t>s</w:t>
      </w:r>
      <w:r w:rsidRPr="009F7642">
        <w:rPr>
          <w:color w:val="auto"/>
          <w:lang w:val="is-IS"/>
        </w:rPr>
        <w:t xml:space="preserve"> við meðferð sjúklinga með endurkomið þekjufrumukrabbamein í eggjastokkum, krabbamein í eggjaleiðurum eða krabbamein í lífhimnu, sem var næmt fyrir platínusamböndum, og sem hvorki höfðu fengið aðra krabbameinsmeðferð eftir að meinið tók sig upp á ný né fyrri meðferð með bevacízúmabi, var rannsakað í slembiraðaðri, tvíblindri III. stigs klínískri rannsókn með samanburði við lyfleysu (AVF4095g). Í rannsókninni voru áhrif þess að bæta </w:t>
      </w:r>
      <w:r w:rsidR="00690564" w:rsidRPr="00F2274F">
        <w:rPr>
          <w:rFonts w:eastAsia="Calibri"/>
          <w:lang w:val="is-IS"/>
        </w:rPr>
        <w:t>bevacízúmab</w:t>
      </w:r>
      <w:r w:rsidR="00B60473" w:rsidRPr="00F2274F">
        <w:rPr>
          <w:rFonts w:eastAsia="Calibri"/>
          <w:lang w:val="is-IS"/>
        </w:rPr>
        <w:t>i</w:t>
      </w:r>
      <w:r w:rsidRPr="009F7642">
        <w:rPr>
          <w:color w:val="auto"/>
          <w:lang w:val="is-IS"/>
        </w:rPr>
        <w:t xml:space="preserve"> við krabbameinsmeðferð með carboplatíni og gemcítabíni og halda síðan áfram meðferð með </w:t>
      </w:r>
      <w:r w:rsidR="00690564" w:rsidRPr="00F2274F">
        <w:rPr>
          <w:rFonts w:eastAsia="Calibri"/>
          <w:lang w:val="is-IS"/>
        </w:rPr>
        <w:t>bevacízúmab</w:t>
      </w:r>
      <w:r w:rsidR="00B60473" w:rsidRPr="00F2274F">
        <w:rPr>
          <w:rFonts w:eastAsia="Calibri"/>
          <w:lang w:val="is-IS"/>
        </w:rPr>
        <w:t>i</w:t>
      </w:r>
      <w:r w:rsidRPr="009F7642">
        <w:rPr>
          <w:color w:val="auto"/>
          <w:lang w:val="is-IS"/>
        </w:rPr>
        <w:t xml:space="preserve"> eingöngu þar til vart varð við </w:t>
      </w:r>
      <w:r w:rsidR="00495BB7">
        <w:rPr>
          <w:color w:val="auto"/>
          <w:lang w:val="is-IS"/>
        </w:rPr>
        <w:t>versnun</w:t>
      </w:r>
      <w:r w:rsidR="00495BB7" w:rsidRPr="009F7642">
        <w:rPr>
          <w:color w:val="auto"/>
          <w:lang w:val="is-IS"/>
        </w:rPr>
        <w:t xml:space="preserve"> </w:t>
      </w:r>
      <w:r w:rsidRPr="009F7642">
        <w:rPr>
          <w:color w:val="auto"/>
          <w:lang w:val="is-IS"/>
        </w:rPr>
        <w:t>sjúkdómsins borin saman við áhrif af krabbameinsmeðferð með carbop</w:t>
      </w:r>
      <w:r w:rsidR="003C161D" w:rsidRPr="009F7642">
        <w:rPr>
          <w:color w:val="auto"/>
          <w:lang w:val="is-IS"/>
        </w:rPr>
        <w:t>latíni og gemcítabíni eingöngu.</w:t>
      </w:r>
    </w:p>
    <w:p w14:paraId="2A3B8851" w14:textId="77777777" w:rsidR="005F36F3" w:rsidRPr="009F7642" w:rsidRDefault="005F36F3" w:rsidP="0073217C">
      <w:pPr>
        <w:suppressAutoHyphens/>
        <w:spacing w:after="0" w:line="240" w:lineRule="auto"/>
        <w:ind w:left="0" w:firstLine="0"/>
        <w:rPr>
          <w:color w:val="auto"/>
          <w:lang w:val="is-IS"/>
        </w:rPr>
      </w:pPr>
    </w:p>
    <w:p w14:paraId="48E94A97"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Gjaldgengir til þátttöku í rannsókninni voru eingöngu sjúklingar með vefjafræðilega staðfest krabbamein í eggjastokkum, lífhimnu eða eggjaleiðurum, sem hafði komið upp á ný </w:t>
      </w:r>
      <w:r w:rsidR="009F75ED">
        <w:rPr>
          <w:color w:val="auto"/>
          <w:lang w:val="is-IS"/>
        </w:rPr>
        <w:t>&gt; </w:t>
      </w:r>
      <w:r w:rsidRPr="009F7642">
        <w:rPr>
          <w:color w:val="auto"/>
          <w:lang w:val="is-IS"/>
        </w:rPr>
        <w:t>6</w:t>
      </w:r>
      <w:r w:rsidR="00CC6129">
        <w:rPr>
          <w:color w:val="auto"/>
          <w:lang w:val="is-IS"/>
        </w:rPr>
        <w:t> </w:t>
      </w:r>
      <w:r w:rsidRPr="009F7642">
        <w:rPr>
          <w:color w:val="auto"/>
          <w:lang w:val="is-IS"/>
        </w:rPr>
        <w:t>mánuðum eftir krabbameinsmeðferð með platínusamböndum, og sem hvorki höfðu fengið aðra krabbameinsmeðferð eftir að meinið tók sig upp á ný né fyrri meðferð með bevacízúmabi eða öðrum VEGF hemlum eða lyfjum sem beinast að VEGF viðtökum.</w:t>
      </w:r>
    </w:p>
    <w:p w14:paraId="38DF616A" w14:textId="77777777" w:rsidR="005F36F3" w:rsidRPr="009F7642" w:rsidRDefault="005F36F3" w:rsidP="0073217C">
      <w:pPr>
        <w:suppressAutoHyphens/>
        <w:spacing w:after="0" w:line="240" w:lineRule="auto"/>
        <w:ind w:left="0" w:firstLine="0"/>
        <w:rPr>
          <w:color w:val="auto"/>
          <w:lang w:val="is-IS"/>
        </w:rPr>
      </w:pPr>
    </w:p>
    <w:p w14:paraId="6CA90230" w14:textId="77777777" w:rsidR="006C06D6" w:rsidRPr="009F7642" w:rsidRDefault="00564614" w:rsidP="0073217C">
      <w:pPr>
        <w:keepNext/>
        <w:suppressAutoHyphens/>
        <w:spacing w:after="0" w:line="240" w:lineRule="auto"/>
        <w:ind w:left="0" w:firstLine="0"/>
        <w:rPr>
          <w:color w:val="auto"/>
          <w:lang w:val="is-IS"/>
        </w:rPr>
      </w:pPr>
      <w:r w:rsidRPr="009F7642">
        <w:rPr>
          <w:color w:val="auto"/>
          <w:lang w:val="is-IS"/>
        </w:rPr>
        <w:lastRenderedPageBreak/>
        <w:t>Alls var 484 sjúklingum með mælanlegan sjúkdóm slembiraðað í hlutföllunum 1:1 til að fá annað hvort:</w:t>
      </w:r>
    </w:p>
    <w:p w14:paraId="2AC5CDBF" w14:textId="1A7F6CF2" w:rsidR="005F36F3" w:rsidRPr="009F7642" w:rsidRDefault="00564614" w:rsidP="0073217C">
      <w:pPr>
        <w:numPr>
          <w:ilvl w:val="0"/>
          <w:numId w:val="13"/>
        </w:numPr>
        <w:suppressAutoHyphens/>
        <w:spacing w:after="0" w:line="240" w:lineRule="auto"/>
        <w:ind w:left="567" w:hanging="567"/>
        <w:rPr>
          <w:color w:val="auto"/>
          <w:lang w:val="is-IS"/>
        </w:rPr>
      </w:pPr>
      <w:r w:rsidRPr="009F7642">
        <w:rPr>
          <w:color w:val="auto"/>
          <w:lang w:val="is-IS"/>
        </w:rPr>
        <w:t>Carboplatín (AUC</w:t>
      </w:r>
      <w:r w:rsidR="009C428B" w:rsidRPr="009F7642">
        <w:rPr>
          <w:color w:val="auto"/>
          <w:lang w:val="is-IS"/>
        </w:rPr>
        <w:t>4, dagur 1) og gemcitabín (1</w:t>
      </w:r>
      <w:r w:rsidR="00DA16E4" w:rsidRPr="009F7642">
        <w:rPr>
          <w:color w:val="auto"/>
          <w:lang w:val="is-IS"/>
        </w:rPr>
        <w:t>.</w:t>
      </w:r>
      <w:r w:rsidR="009C428B" w:rsidRPr="009F7642">
        <w:rPr>
          <w:color w:val="auto"/>
          <w:lang w:val="is-IS"/>
        </w:rPr>
        <w:t>000 </w:t>
      </w:r>
      <w:r w:rsidRPr="009F7642">
        <w:rPr>
          <w:color w:val="auto"/>
          <w:lang w:val="is-IS"/>
        </w:rPr>
        <w:t>mg/m</w:t>
      </w:r>
      <w:r w:rsidRPr="009F7642">
        <w:rPr>
          <w:color w:val="auto"/>
          <w:vertAlign w:val="superscript"/>
          <w:lang w:val="is-IS"/>
        </w:rPr>
        <w:t>2</w:t>
      </w:r>
      <w:r w:rsidRPr="009F7642">
        <w:rPr>
          <w:color w:val="auto"/>
          <w:lang w:val="is-IS"/>
        </w:rPr>
        <w:t xml:space="preserve"> á dögum 1 og 8) ásamt lyfleysu á 3</w:t>
      </w:r>
      <w:r w:rsidR="00CC6129">
        <w:rPr>
          <w:color w:val="auto"/>
          <w:lang w:val="is-IS"/>
        </w:rPr>
        <w:t> </w:t>
      </w:r>
      <w:r w:rsidRPr="009F7642">
        <w:rPr>
          <w:color w:val="auto"/>
          <w:lang w:val="is-IS"/>
        </w:rPr>
        <w:t xml:space="preserve">vikna fresti í 6 og allt að 10 meðferðarlotur, sem síðan var fylgt eftir með lyfleysu (á þriggja vikna fresti) eingöngu þar til vart varð við </w:t>
      </w:r>
      <w:r w:rsidR="00495BB7">
        <w:rPr>
          <w:color w:val="auto"/>
          <w:lang w:val="is-IS"/>
        </w:rPr>
        <w:t>versnun</w:t>
      </w:r>
      <w:r w:rsidR="00495BB7" w:rsidRPr="009F7642">
        <w:rPr>
          <w:color w:val="auto"/>
          <w:lang w:val="is-IS"/>
        </w:rPr>
        <w:t xml:space="preserve"> </w:t>
      </w:r>
      <w:r w:rsidRPr="009F7642">
        <w:rPr>
          <w:color w:val="auto"/>
          <w:lang w:val="is-IS"/>
        </w:rPr>
        <w:t>sjúkdómsins eða óá</w:t>
      </w:r>
      <w:r w:rsidR="003C161D" w:rsidRPr="009F7642">
        <w:rPr>
          <w:color w:val="auto"/>
          <w:lang w:val="is-IS"/>
        </w:rPr>
        <w:t>sættanleg eituráhrif komu fram</w:t>
      </w:r>
      <w:r w:rsidR="00DA16E4" w:rsidRPr="009F7642">
        <w:rPr>
          <w:color w:val="auto"/>
          <w:lang w:val="is-IS"/>
        </w:rPr>
        <w:t>.</w:t>
      </w:r>
    </w:p>
    <w:p w14:paraId="0172D7DB" w14:textId="25833D82" w:rsidR="005F36F3" w:rsidRPr="009F7642" w:rsidRDefault="00564614" w:rsidP="0073217C">
      <w:pPr>
        <w:numPr>
          <w:ilvl w:val="0"/>
          <w:numId w:val="13"/>
        </w:numPr>
        <w:suppressAutoHyphens/>
        <w:spacing w:after="0" w:line="240" w:lineRule="auto"/>
        <w:ind w:left="567" w:hanging="567"/>
        <w:rPr>
          <w:color w:val="auto"/>
          <w:lang w:val="is-IS"/>
        </w:rPr>
      </w:pPr>
      <w:r w:rsidRPr="009F7642">
        <w:rPr>
          <w:color w:val="auto"/>
          <w:lang w:val="is-IS"/>
        </w:rPr>
        <w:t>Carboplatín (AUC</w:t>
      </w:r>
      <w:r w:rsidR="009C428B" w:rsidRPr="009F7642">
        <w:rPr>
          <w:color w:val="auto"/>
          <w:lang w:val="is-IS"/>
        </w:rPr>
        <w:t>4, dagur 1) og gemcitabín (1</w:t>
      </w:r>
      <w:r w:rsidR="00DA16E4" w:rsidRPr="009F7642">
        <w:rPr>
          <w:color w:val="auto"/>
          <w:lang w:val="is-IS"/>
        </w:rPr>
        <w:t>.</w:t>
      </w:r>
      <w:r w:rsidR="009C428B" w:rsidRPr="009F7642">
        <w:rPr>
          <w:color w:val="auto"/>
          <w:lang w:val="is-IS"/>
        </w:rPr>
        <w:t>000 </w:t>
      </w:r>
      <w:r w:rsidRPr="009F7642">
        <w:rPr>
          <w:color w:val="auto"/>
          <w:lang w:val="is-IS"/>
        </w:rPr>
        <w:t>mg/m</w:t>
      </w:r>
      <w:r w:rsidRPr="009F7642">
        <w:rPr>
          <w:color w:val="auto"/>
          <w:vertAlign w:val="superscript"/>
          <w:lang w:val="is-IS"/>
        </w:rPr>
        <w:t>2</w:t>
      </w:r>
      <w:r w:rsidRPr="009F7642">
        <w:rPr>
          <w:color w:val="auto"/>
          <w:lang w:val="is-IS"/>
        </w:rPr>
        <w:t xml:space="preserve"> á </w:t>
      </w:r>
      <w:r w:rsidR="009C428B" w:rsidRPr="009F7642">
        <w:rPr>
          <w:color w:val="auto"/>
          <w:lang w:val="is-IS"/>
        </w:rPr>
        <w:t xml:space="preserve">dögum 1 og 8) ásamt </w:t>
      </w:r>
      <w:r w:rsidR="00690564" w:rsidRPr="00F2274F">
        <w:rPr>
          <w:rFonts w:eastAsia="Calibri"/>
          <w:lang w:val="is-IS"/>
        </w:rPr>
        <w:t>bevacízúmab</w:t>
      </w:r>
      <w:r w:rsidR="00E5105C" w:rsidRPr="00F2274F">
        <w:rPr>
          <w:rFonts w:eastAsia="Calibri"/>
          <w:lang w:val="is-IS"/>
        </w:rPr>
        <w:t>i</w:t>
      </w:r>
      <w:r w:rsidR="009C428B" w:rsidRPr="009F7642">
        <w:rPr>
          <w:color w:val="auto"/>
          <w:lang w:val="is-IS"/>
        </w:rPr>
        <w:t xml:space="preserve"> (15 </w:t>
      </w:r>
      <w:r w:rsidRPr="009F7642">
        <w:rPr>
          <w:color w:val="auto"/>
          <w:lang w:val="is-IS"/>
        </w:rPr>
        <w:t>mg/kg á degi 1) á 3 vikna fresti í 6 og allt að 10 meðferðarlotur, sem síðan var fylgt</w:t>
      </w:r>
      <w:r w:rsidR="009C428B" w:rsidRPr="009F7642">
        <w:rPr>
          <w:color w:val="auto"/>
          <w:lang w:val="is-IS"/>
        </w:rPr>
        <w:t xml:space="preserve"> eftir með </w:t>
      </w:r>
      <w:r w:rsidR="00690564" w:rsidRPr="00F2274F">
        <w:rPr>
          <w:rFonts w:eastAsia="Calibri"/>
          <w:lang w:val="is-IS"/>
        </w:rPr>
        <w:t>bevacízúmab</w:t>
      </w:r>
      <w:r w:rsidR="00E5105C" w:rsidRPr="00F2274F">
        <w:rPr>
          <w:rFonts w:eastAsia="Calibri"/>
          <w:lang w:val="is-IS"/>
        </w:rPr>
        <w:t>i</w:t>
      </w:r>
      <w:r w:rsidR="009C428B" w:rsidRPr="009F7642">
        <w:rPr>
          <w:color w:val="auto"/>
          <w:lang w:val="is-IS"/>
        </w:rPr>
        <w:t xml:space="preserve"> eingöngu (15 </w:t>
      </w:r>
      <w:r w:rsidRPr="009F7642">
        <w:rPr>
          <w:color w:val="auto"/>
          <w:lang w:val="is-IS"/>
        </w:rPr>
        <w:t xml:space="preserve">mg/kg á 3 vikna fresti) þar til vart varð við </w:t>
      </w:r>
      <w:r w:rsidR="00495BB7">
        <w:rPr>
          <w:color w:val="auto"/>
          <w:lang w:val="is-IS"/>
        </w:rPr>
        <w:t>versnun</w:t>
      </w:r>
      <w:r w:rsidR="00495BB7" w:rsidRPr="009F7642">
        <w:rPr>
          <w:color w:val="auto"/>
          <w:lang w:val="is-IS"/>
        </w:rPr>
        <w:t xml:space="preserve"> </w:t>
      </w:r>
      <w:r w:rsidRPr="009F7642">
        <w:rPr>
          <w:color w:val="auto"/>
          <w:lang w:val="is-IS"/>
        </w:rPr>
        <w:t>sjúkdómsins eða óá</w:t>
      </w:r>
      <w:r w:rsidR="003C161D" w:rsidRPr="009F7642">
        <w:rPr>
          <w:color w:val="auto"/>
          <w:lang w:val="is-IS"/>
        </w:rPr>
        <w:t>sættanleg eituráhrif komu fram</w:t>
      </w:r>
      <w:r w:rsidR="00DA16E4" w:rsidRPr="009F7642">
        <w:rPr>
          <w:color w:val="auto"/>
          <w:lang w:val="is-IS"/>
        </w:rPr>
        <w:t>.</w:t>
      </w:r>
    </w:p>
    <w:p w14:paraId="2DCF9A44" w14:textId="77777777" w:rsidR="005F36F3" w:rsidRPr="009F7642" w:rsidRDefault="005F36F3" w:rsidP="0073217C">
      <w:pPr>
        <w:suppressAutoHyphens/>
        <w:spacing w:after="0" w:line="240" w:lineRule="auto"/>
        <w:ind w:left="0" w:firstLine="0"/>
        <w:rPr>
          <w:color w:val="auto"/>
          <w:lang w:val="is-IS"/>
        </w:rPr>
      </w:pPr>
    </w:p>
    <w:p w14:paraId="105DF4E7"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Aðalendapunkturinn var lifun án versnunar sjúkdóms að mati rannsakanda, samkvæmt breyttu RECIST 1</w:t>
      </w:r>
      <w:r w:rsidR="004177CA">
        <w:rPr>
          <w:color w:val="auto"/>
          <w:lang w:val="is-IS"/>
        </w:rPr>
        <w:t>.</w:t>
      </w:r>
      <w:r w:rsidRPr="009F7642">
        <w:rPr>
          <w:color w:val="auto"/>
          <w:lang w:val="is-IS"/>
        </w:rPr>
        <w:t>0. Aðrir endapunktar voru m.a. hlutlæg svörun, lengd svörunar, heildarlifun og öryggi. Til viðbótar var óháð mat lagt á aðalendapunktinn.</w:t>
      </w:r>
    </w:p>
    <w:p w14:paraId="7F890ADB" w14:textId="77777777" w:rsidR="005F36F3" w:rsidRPr="009F7642" w:rsidRDefault="005F36F3" w:rsidP="0073217C">
      <w:pPr>
        <w:suppressAutoHyphens/>
        <w:spacing w:after="0" w:line="240" w:lineRule="auto"/>
        <w:ind w:left="0" w:firstLine="0"/>
        <w:rPr>
          <w:color w:val="auto"/>
          <w:lang w:val="is-IS"/>
        </w:rPr>
      </w:pPr>
    </w:p>
    <w:p w14:paraId="47728050"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Niðurstöður rannsóknarinnar eru teknar saman í </w:t>
      </w:r>
      <w:r w:rsidRPr="00504296">
        <w:rPr>
          <w:color w:val="auto"/>
          <w:lang w:val="is-IS"/>
        </w:rPr>
        <w:t xml:space="preserve">töflu </w:t>
      </w:r>
      <w:r w:rsidR="00781331">
        <w:rPr>
          <w:color w:val="auto"/>
          <w:lang w:val="is-IS"/>
        </w:rPr>
        <w:t>20</w:t>
      </w:r>
      <w:r w:rsidRPr="009F7642">
        <w:rPr>
          <w:color w:val="auto"/>
          <w:lang w:val="is-IS"/>
        </w:rPr>
        <w:t>.</w:t>
      </w:r>
    </w:p>
    <w:p w14:paraId="0EB14BF7" w14:textId="77777777" w:rsidR="005F36F3" w:rsidRPr="009F7642" w:rsidRDefault="005F36F3" w:rsidP="0073217C">
      <w:pPr>
        <w:suppressAutoHyphens/>
        <w:spacing w:after="0" w:line="240" w:lineRule="auto"/>
        <w:ind w:left="0" w:firstLine="0"/>
        <w:rPr>
          <w:color w:val="auto"/>
          <w:lang w:val="is-IS"/>
        </w:rPr>
      </w:pPr>
    </w:p>
    <w:p w14:paraId="42BC0079" w14:textId="20F5F1E4" w:rsidR="006C06D6" w:rsidRPr="00E05E3D" w:rsidRDefault="00BF4F58" w:rsidP="0073217C">
      <w:pPr>
        <w:keepNext/>
        <w:suppressAutoHyphens/>
        <w:spacing w:after="0" w:line="240" w:lineRule="auto"/>
        <w:ind w:left="0" w:firstLine="0"/>
        <w:rPr>
          <w:b/>
          <w:color w:val="auto"/>
          <w:lang w:val="is-IS"/>
        </w:rPr>
      </w:pPr>
      <w:r w:rsidRPr="00504296">
        <w:rPr>
          <w:b/>
          <w:color w:val="auto"/>
          <w:lang w:val="is-IS"/>
        </w:rPr>
        <w:t xml:space="preserve">Tafla </w:t>
      </w:r>
      <w:r w:rsidR="00781331">
        <w:rPr>
          <w:b/>
          <w:color w:val="auto"/>
          <w:lang w:val="is-IS"/>
        </w:rPr>
        <w:t>20</w:t>
      </w:r>
      <w:r w:rsidR="00BA1F34" w:rsidRPr="00E05E3D">
        <w:rPr>
          <w:b/>
          <w:color w:val="auto"/>
          <w:lang w:val="is-IS"/>
        </w:rPr>
        <w:t xml:space="preserve"> </w:t>
      </w:r>
      <w:r w:rsidR="00564614" w:rsidRPr="00E05E3D">
        <w:rPr>
          <w:b/>
          <w:color w:val="auto"/>
          <w:lang w:val="is-IS"/>
        </w:rPr>
        <w:t>Niðurstöður varðandi verkun úr AVF4095</w:t>
      </w:r>
      <w:r w:rsidR="00B73B36">
        <w:rPr>
          <w:b/>
          <w:color w:val="auto"/>
          <w:lang w:val="is-IS"/>
        </w:rPr>
        <w:t>g</w:t>
      </w:r>
      <w:r w:rsidR="00564614" w:rsidRPr="00E05E3D">
        <w:rPr>
          <w:b/>
          <w:color w:val="auto"/>
          <w:lang w:val="is-IS"/>
        </w:rPr>
        <w:t xml:space="preserve"> rannsókninni</w:t>
      </w:r>
    </w:p>
    <w:p w14:paraId="416AEF35" w14:textId="77777777" w:rsidR="005F36F3" w:rsidRPr="009F7642" w:rsidRDefault="005F36F3" w:rsidP="0073217C">
      <w:pPr>
        <w:keepNext/>
        <w:suppressAutoHyphens/>
        <w:spacing w:after="0" w:line="240" w:lineRule="auto"/>
        <w:ind w:left="0" w:firstLine="0"/>
        <w:rPr>
          <w:color w:val="auto"/>
          <w:lang w:val="is-I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76"/>
        <w:gridCol w:w="1554"/>
        <w:gridCol w:w="1499"/>
        <w:gridCol w:w="1477"/>
      </w:tblGrid>
      <w:tr w:rsidR="00E05E3D" w:rsidRPr="001038B1" w14:paraId="29B85E6A" w14:textId="77777777" w:rsidTr="00D10853">
        <w:trPr>
          <w:trHeight w:val="300"/>
        </w:trPr>
        <w:tc>
          <w:tcPr>
            <w:tcW w:w="8552" w:type="dxa"/>
            <w:gridSpan w:val="5"/>
            <w:tcBorders>
              <w:top w:val="single" w:sz="4" w:space="0" w:color="auto"/>
              <w:left w:val="single" w:sz="4" w:space="0" w:color="auto"/>
              <w:bottom w:val="single" w:sz="4" w:space="0" w:color="auto"/>
              <w:right w:val="single" w:sz="4" w:space="0" w:color="auto"/>
            </w:tcBorders>
            <w:noWrap/>
            <w:vAlign w:val="bottom"/>
            <w:hideMark/>
          </w:tcPr>
          <w:p w14:paraId="3E67A882" w14:textId="36DB638B" w:rsidR="00577087" w:rsidRPr="001038B1" w:rsidRDefault="00577087" w:rsidP="0073217C">
            <w:pPr>
              <w:suppressAutoHyphens/>
              <w:spacing w:line="240" w:lineRule="auto"/>
              <w:ind w:hanging="11"/>
              <w:rPr>
                <w:color w:val="auto"/>
                <w:lang w:val="is-IS"/>
              </w:rPr>
            </w:pPr>
            <w:bookmarkStart w:id="3" w:name="_Hlk490312851"/>
            <w:r w:rsidRPr="001038B1">
              <w:rPr>
                <w:color w:val="auto"/>
                <w:u w:color="000000"/>
                <w:lang w:val="is-IS"/>
              </w:rPr>
              <w:t xml:space="preserve">Lifun án </w:t>
            </w:r>
            <w:r w:rsidR="00495BB7" w:rsidRPr="00495BB7">
              <w:rPr>
                <w:color w:val="auto"/>
                <w:u w:color="000000"/>
                <w:lang w:val="is-IS"/>
              </w:rPr>
              <w:t>versnunar</w:t>
            </w:r>
            <w:r w:rsidRPr="001038B1">
              <w:rPr>
                <w:color w:val="auto"/>
                <w:u w:color="000000"/>
                <w:lang w:val="is-IS"/>
              </w:rPr>
              <w:t xml:space="preserve"> sjúkdóms</w:t>
            </w:r>
          </w:p>
        </w:tc>
      </w:tr>
      <w:tr w:rsidR="00E05E3D" w:rsidRPr="001038B1" w14:paraId="17394539"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210AE486" w14:textId="77777777" w:rsidR="00577087" w:rsidRPr="001038B1" w:rsidRDefault="00577087" w:rsidP="0073217C">
            <w:pPr>
              <w:suppressAutoHyphens/>
              <w:ind w:hanging="11"/>
              <w:rPr>
                <w:color w:val="auto"/>
                <w:lang w:val="is-IS"/>
              </w:rPr>
            </w:pPr>
          </w:p>
        </w:tc>
        <w:tc>
          <w:tcPr>
            <w:tcW w:w="2690" w:type="dxa"/>
            <w:gridSpan w:val="2"/>
            <w:tcBorders>
              <w:top w:val="single" w:sz="4" w:space="0" w:color="auto"/>
              <w:left w:val="single" w:sz="4" w:space="0" w:color="auto"/>
              <w:bottom w:val="single" w:sz="4" w:space="0" w:color="auto"/>
              <w:right w:val="single" w:sz="4" w:space="0" w:color="auto"/>
            </w:tcBorders>
            <w:noWrap/>
            <w:vAlign w:val="bottom"/>
            <w:hideMark/>
          </w:tcPr>
          <w:p w14:paraId="39ED9E41" w14:textId="77777777" w:rsidR="00577087" w:rsidRPr="001038B1" w:rsidRDefault="00577087" w:rsidP="0073217C">
            <w:pPr>
              <w:suppressAutoHyphens/>
              <w:spacing w:line="240" w:lineRule="auto"/>
              <w:ind w:hanging="11"/>
              <w:jc w:val="center"/>
              <w:rPr>
                <w:color w:val="auto"/>
                <w:lang w:val="is-IS"/>
              </w:rPr>
            </w:pPr>
            <w:r w:rsidRPr="001038B1">
              <w:rPr>
                <w:color w:val="auto"/>
                <w:lang w:val="is-IS"/>
              </w:rPr>
              <w:t>Mat rannsakanda</w:t>
            </w:r>
          </w:p>
        </w:tc>
        <w:tc>
          <w:tcPr>
            <w:tcW w:w="2743" w:type="dxa"/>
            <w:gridSpan w:val="2"/>
            <w:tcBorders>
              <w:top w:val="single" w:sz="4" w:space="0" w:color="auto"/>
              <w:left w:val="single" w:sz="4" w:space="0" w:color="auto"/>
              <w:bottom w:val="single" w:sz="4" w:space="0" w:color="auto"/>
              <w:right w:val="single" w:sz="4" w:space="0" w:color="auto"/>
            </w:tcBorders>
            <w:noWrap/>
            <w:vAlign w:val="bottom"/>
            <w:hideMark/>
          </w:tcPr>
          <w:p w14:paraId="6BDCF894" w14:textId="77777777" w:rsidR="00577087" w:rsidRPr="001038B1" w:rsidRDefault="00577087" w:rsidP="0073217C">
            <w:pPr>
              <w:suppressAutoHyphens/>
              <w:spacing w:line="240" w:lineRule="auto"/>
              <w:ind w:hanging="11"/>
              <w:jc w:val="center"/>
              <w:rPr>
                <w:color w:val="auto"/>
                <w:lang w:val="is-IS"/>
              </w:rPr>
            </w:pPr>
            <w:r w:rsidRPr="001038B1">
              <w:rPr>
                <w:color w:val="auto"/>
                <w:lang w:val="is-IS"/>
              </w:rPr>
              <w:t>Mat óháðrar matsnefndar</w:t>
            </w:r>
          </w:p>
        </w:tc>
      </w:tr>
      <w:tr w:rsidR="00D10853" w:rsidRPr="001038B1" w14:paraId="1DEC21DD" w14:textId="77777777" w:rsidTr="00D10853">
        <w:trPr>
          <w:trHeight w:val="693"/>
        </w:trPr>
        <w:tc>
          <w:tcPr>
            <w:tcW w:w="3119" w:type="dxa"/>
            <w:tcBorders>
              <w:top w:val="single" w:sz="4" w:space="0" w:color="auto"/>
              <w:left w:val="single" w:sz="4" w:space="0" w:color="auto"/>
              <w:bottom w:val="single" w:sz="4" w:space="0" w:color="auto"/>
              <w:right w:val="single" w:sz="4" w:space="0" w:color="auto"/>
            </w:tcBorders>
            <w:noWrap/>
            <w:hideMark/>
          </w:tcPr>
          <w:p w14:paraId="0B214E23" w14:textId="77777777" w:rsidR="00577087" w:rsidRPr="001038B1" w:rsidRDefault="00577087" w:rsidP="0073217C">
            <w:pPr>
              <w:suppressAutoHyphens/>
              <w:ind w:hanging="11"/>
              <w:jc w:val="center"/>
              <w:rPr>
                <w:color w:val="auto"/>
                <w:lang w:val="is-IS"/>
              </w:rPr>
            </w:pPr>
          </w:p>
        </w:tc>
        <w:tc>
          <w:tcPr>
            <w:tcW w:w="1176" w:type="dxa"/>
            <w:tcBorders>
              <w:top w:val="single" w:sz="4" w:space="0" w:color="auto"/>
              <w:left w:val="single" w:sz="4" w:space="0" w:color="auto"/>
              <w:bottom w:val="single" w:sz="4" w:space="0" w:color="auto"/>
              <w:right w:val="single" w:sz="4" w:space="0" w:color="auto"/>
            </w:tcBorders>
            <w:noWrap/>
            <w:hideMark/>
          </w:tcPr>
          <w:p w14:paraId="17BF518F" w14:textId="77777777" w:rsidR="00E46FA2" w:rsidRPr="001038B1" w:rsidRDefault="00577087" w:rsidP="0073217C">
            <w:pPr>
              <w:suppressAutoHyphens/>
              <w:spacing w:line="240" w:lineRule="auto"/>
              <w:ind w:hanging="11"/>
              <w:jc w:val="center"/>
              <w:rPr>
                <w:color w:val="auto"/>
                <w:lang w:val="is-IS"/>
              </w:rPr>
            </w:pPr>
            <w:r w:rsidRPr="001038B1">
              <w:rPr>
                <w:color w:val="auto"/>
                <w:lang w:val="is-IS"/>
              </w:rPr>
              <w:t xml:space="preserve">Lyfleysa+ C/G </w:t>
            </w:r>
          </w:p>
          <w:p w14:paraId="21A8A14F" w14:textId="77777777" w:rsidR="00577087" w:rsidRPr="001038B1" w:rsidRDefault="00577087" w:rsidP="0073217C">
            <w:pPr>
              <w:suppressAutoHyphens/>
              <w:spacing w:line="240" w:lineRule="auto"/>
              <w:ind w:hanging="11"/>
              <w:jc w:val="center"/>
              <w:rPr>
                <w:color w:val="auto"/>
                <w:lang w:val="is-IS"/>
              </w:rPr>
            </w:pPr>
            <w:r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Pr="001038B1">
              <w:rPr>
                <w:color w:val="auto"/>
                <w:lang w:val="is-IS"/>
              </w:rPr>
              <w:t>242)</w:t>
            </w:r>
          </w:p>
        </w:tc>
        <w:tc>
          <w:tcPr>
            <w:tcW w:w="1514" w:type="dxa"/>
            <w:tcBorders>
              <w:top w:val="single" w:sz="4" w:space="0" w:color="auto"/>
              <w:left w:val="single" w:sz="4" w:space="0" w:color="auto"/>
              <w:bottom w:val="single" w:sz="4" w:space="0" w:color="auto"/>
              <w:right w:val="single" w:sz="4" w:space="0" w:color="auto"/>
            </w:tcBorders>
            <w:noWrap/>
            <w:hideMark/>
          </w:tcPr>
          <w:p w14:paraId="5D411CAE" w14:textId="77777777" w:rsidR="00E46FA2" w:rsidRPr="001038B1" w:rsidRDefault="00690564" w:rsidP="0073217C">
            <w:pPr>
              <w:suppressAutoHyphens/>
              <w:spacing w:line="240" w:lineRule="auto"/>
              <w:ind w:hanging="11"/>
              <w:jc w:val="center"/>
              <w:rPr>
                <w:color w:val="auto"/>
                <w:lang w:val="is-IS"/>
              </w:rPr>
            </w:pPr>
            <w:proofErr w:type="spellStart"/>
            <w:r>
              <w:t>Bevacízúmab</w:t>
            </w:r>
            <w:proofErr w:type="spellEnd"/>
            <w:r w:rsidR="00577087" w:rsidRPr="001038B1">
              <w:rPr>
                <w:color w:val="auto"/>
                <w:lang w:val="is-IS"/>
              </w:rPr>
              <w:t xml:space="preserve"> + C/G </w:t>
            </w:r>
          </w:p>
          <w:p w14:paraId="25F615E8" w14:textId="77777777" w:rsidR="00577087" w:rsidRPr="001038B1" w:rsidRDefault="00577087" w:rsidP="0073217C">
            <w:pPr>
              <w:suppressAutoHyphens/>
              <w:spacing w:line="240" w:lineRule="auto"/>
              <w:ind w:hanging="11"/>
              <w:jc w:val="center"/>
              <w:rPr>
                <w:color w:val="auto"/>
                <w:lang w:val="is-IS"/>
              </w:rPr>
            </w:pPr>
            <w:r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Pr="001038B1">
              <w:rPr>
                <w:color w:val="auto"/>
                <w:lang w:val="is-IS"/>
              </w:rPr>
              <w:t>242)</w:t>
            </w:r>
          </w:p>
        </w:tc>
        <w:tc>
          <w:tcPr>
            <w:tcW w:w="1499" w:type="dxa"/>
            <w:tcBorders>
              <w:top w:val="single" w:sz="4" w:space="0" w:color="auto"/>
              <w:left w:val="single" w:sz="4" w:space="0" w:color="auto"/>
              <w:bottom w:val="single" w:sz="4" w:space="0" w:color="auto"/>
              <w:right w:val="single" w:sz="4" w:space="0" w:color="auto"/>
            </w:tcBorders>
            <w:noWrap/>
            <w:hideMark/>
          </w:tcPr>
          <w:p w14:paraId="6CB31ED3" w14:textId="77777777" w:rsidR="00992A02" w:rsidRPr="001038B1" w:rsidRDefault="00577087" w:rsidP="0073217C">
            <w:pPr>
              <w:suppressAutoHyphens/>
              <w:spacing w:line="240" w:lineRule="auto"/>
              <w:ind w:hanging="11"/>
              <w:jc w:val="center"/>
              <w:rPr>
                <w:color w:val="auto"/>
                <w:lang w:val="is-IS"/>
              </w:rPr>
            </w:pPr>
            <w:r w:rsidRPr="001038B1">
              <w:rPr>
                <w:color w:val="auto"/>
                <w:lang w:val="is-IS"/>
              </w:rPr>
              <w:t>Lyfleysa + C/G</w:t>
            </w:r>
          </w:p>
          <w:p w14:paraId="2EB271AD" w14:textId="77777777" w:rsidR="00577087" w:rsidRPr="001038B1" w:rsidRDefault="00577087" w:rsidP="0073217C">
            <w:pPr>
              <w:suppressAutoHyphens/>
              <w:spacing w:line="240" w:lineRule="auto"/>
              <w:ind w:hanging="11"/>
              <w:jc w:val="center"/>
              <w:rPr>
                <w:color w:val="auto"/>
                <w:lang w:val="is-IS"/>
              </w:rPr>
            </w:pPr>
            <w:r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Pr="001038B1">
              <w:rPr>
                <w:color w:val="auto"/>
                <w:lang w:val="is-IS"/>
              </w:rPr>
              <w:t>242)</w:t>
            </w:r>
          </w:p>
        </w:tc>
        <w:tc>
          <w:tcPr>
            <w:tcW w:w="1244" w:type="dxa"/>
            <w:tcBorders>
              <w:top w:val="single" w:sz="4" w:space="0" w:color="auto"/>
              <w:left w:val="single" w:sz="4" w:space="0" w:color="auto"/>
              <w:bottom w:val="single" w:sz="4" w:space="0" w:color="auto"/>
              <w:right w:val="single" w:sz="4" w:space="0" w:color="auto"/>
            </w:tcBorders>
            <w:noWrap/>
            <w:hideMark/>
          </w:tcPr>
          <w:p w14:paraId="0EBFB86B" w14:textId="77777777" w:rsidR="00992A02" w:rsidRPr="001038B1" w:rsidRDefault="00690564" w:rsidP="0073217C">
            <w:pPr>
              <w:suppressAutoHyphens/>
              <w:spacing w:line="240" w:lineRule="auto"/>
              <w:ind w:hanging="11"/>
              <w:jc w:val="center"/>
              <w:rPr>
                <w:color w:val="auto"/>
                <w:lang w:val="is-IS"/>
              </w:rPr>
            </w:pPr>
            <w:proofErr w:type="spellStart"/>
            <w:r>
              <w:t>Bevacízúmab</w:t>
            </w:r>
            <w:proofErr w:type="spellEnd"/>
            <w:r w:rsidR="00577087" w:rsidRPr="001038B1">
              <w:rPr>
                <w:color w:val="auto"/>
                <w:lang w:val="is-IS"/>
              </w:rPr>
              <w:t xml:space="preserve"> + C/G</w:t>
            </w:r>
          </w:p>
          <w:p w14:paraId="6C1287AE" w14:textId="77777777" w:rsidR="00577087" w:rsidRPr="001038B1" w:rsidRDefault="00577087" w:rsidP="0073217C">
            <w:pPr>
              <w:suppressAutoHyphens/>
              <w:spacing w:line="240" w:lineRule="auto"/>
              <w:ind w:hanging="11"/>
              <w:jc w:val="center"/>
              <w:rPr>
                <w:color w:val="auto"/>
                <w:lang w:val="is-IS"/>
              </w:rPr>
            </w:pPr>
            <w:r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Pr="001038B1">
              <w:rPr>
                <w:color w:val="auto"/>
                <w:lang w:val="is-IS"/>
              </w:rPr>
              <w:t>242)</w:t>
            </w:r>
          </w:p>
        </w:tc>
      </w:tr>
      <w:tr w:rsidR="00780FA1" w:rsidRPr="00AD2908" w14:paraId="3A6C96F1" w14:textId="77777777" w:rsidTr="00D10853">
        <w:trPr>
          <w:trHeight w:val="300"/>
        </w:trPr>
        <w:tc>
          <w:tcPr>
            <w:tcW w:w="8552" w:type="dxa"/>
            <w:gridSpan w:val="5"/>
            <w:tcBorders>
              <w:top w:val="single" w:sz="4" w:space="0" w:color="auto"/>
              <w:left w:val="single" w:sz="4" w:space="0" w:color="auto"/>
              <w:bottom w:val="single" w:sz="4" w:space="0" w:color="auto"/>
              <w:right w:val="single" w:sz="4" w:space="0" w:color="auto"/>
            </w:tcBorders>
            <w:noWrap/>
            <w:vAlign w:val="bottom"/>
            <w:hideMark/>
          </w:tcPr>
          <w:p w14:paraId="06DBD44F" w14:textId="77777777" w:rsidR="00780FA1" w:rsidRPr="001038B1" w:rsidRDefault="00780FA1" w:rsidP="0073217C">
            <w:pPr>
              <w:suppressAutoHyphens/>
              <w:spacing w:line="240" w:lineRule="auto"/>
              <w:ind w:hanging="11"/>
              <w:rPr>
                <w:color w:val="auto"/>
                <w:lang w:val="is-IS"/>
              </w:rPr>
            </w:pPr>
            <w:r w:rsidRPr="001038B1">
              <w:rPr>
                <w:color w:val="auto"/>
                <w:lang w:val="is-IS"/>
              </w:rPr>
              <w:t>Ekki leiðrétt með tilliti til meðferðar utan rannsóknaráætlunar</w:t>
            </w:r>
          </w:p>
        </w:tc>
      </w:tr>
      <w:tr w:rsidR="00D10853" w:rsidRPr="001038B1" w14:paraId="1466ED1F"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72E776E3" w14:textId="198691A2" w:rsidR="00577087" w:rsidRPr="001038B1" w:rsidRDefault="00577087" w:rsidP="0073217C">
            <w:pPr>
              <w:suppressAutoHyphens/>
              <w:spacing w:after="0" w:line="240" w:lineRule="auto"/>
              <w:ind w:left="567" w:firstLine="0"/>
              <w:rPr>
                <w:color w:val="auto"/>
                <w:lang w:val="is-IS"/>
              </w:rPr>
            </w:pPr>
            <w:r w:rsidRPr="001038B1">
              <w:rPr>
                <w:color w:val="auto"/>
                <w:lang w:val="is-IS"/>
              </w:rPr>
              <w:t xml:space="preserve">Miðgildi lifunar án </w:t>
            </w:r>
            <w:r w:rsidR="00495BB7" w:rsidRPr="00FE5EE2">
              <w:rPr>
                <w:color w:val="auto"/>
                <w:lang w:val="is-IS"/>
              </w:rPr>
              <w:t>versnunar</w:t>
            </w:r>
            <w:r w:rsidRPr="001038B1">
              <w:rPr>
                <w:color w:val="auto"/>
                <w:lang w:val="is-IS"/>
              </w:rPr>
              <w:t xml:space="preserve"> sjúkdóms (mánuðir) </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34C8CC6A" w14:textId="77777777" w:rsidR="00577087" w:rsidRPr="001038B1" w:rsidRDefault="00577087" w:rsidP="0073217C">
            <w:pPr>
              <w:suppressAutoHyphens/>
              <w:spacing w:line="259" w:lineRule="auto"/>
              <w:ind w:right="62" w:hanging="11"/>
              <w:jc w:val="center"/>
              <w:rPr>
                <w:color w:val="auto"/>
                <w:lang w:val="is-IS"/>
              </w:rPr>
            </w:pPr>
            <w:r w:rsidRPr="001038B1">
              <w:rPr>
                <w:color w:val="auto"/>
                <w:lang w:val="is-IS"/>
              </w:rPr>
              <w:t xml:space="preserve">8,4 </w:t>
            </w:r>
          </w:p>
        </w:tc>
        <w:tc>
          <w:tcPr>
            <w:tcW w:w="1514" w:type="dxa"/>
            <w:tcBorders>
              <w:top w:val="single" w:sz="4" w:space="0" w:color="auto"/>
              <w:left w:val="single" w:sz="4" w:space="0" w:color="auto"/>
              <w:bottom w:val="single" w:sz="4" w:space="0" w:color="auto"/>
              <w:right w:val="single" w:sz="4" w:space="0" w:color="auto"/>
            </w:tcBorders>
            <w:noWrap/>
            <w:vAlign w:val="center"/>
            <w:hideMark/>
          </w:tcPr>
          <w:p w14:paraId="1656D25B" w14:textId="77777777" w:rsidR="00577087" w:rsidRPr="001038B1" w:rsidRDefault="00577087" w:rsidP="0073217C">
            <w:pPr>
              <w:suppressAutoHyphens/>
              <w:spacing w:line="259" w:lineRule="auto"/>
              <w:ind w:right="62" w:hanging="11"/>
              <w:jc w:val="center"/>
              <w:rPr>
                <w:color w:val="auto"/>
                <w:lang w:val="is-IS"/>
              </w:rPr>
            </w:pPr>
            <w:r w:rsidRPr="001038B1">
              <w:rPr>
                <w:color w:val="auto"/>
                <w:lang w:val="is-IS"/>
              </w:rPr>
              <w:t xml:space="preserve">12,4 </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1BD0AA5A" w14:textId="77777777" w:rsidR="00577087" w:rsidRPr="001038B1" w:rsidRDefault="00577087" w:rsidP="0073217C">
            <w:pPr>
              <w:suppressAutoHyphens/>
              <w:spacing w:line="259" w:lineRule="auto"/>
              <w:ind w:right="67" w:hanging="11"/>
              <w:jc w:val="center"/>
              <w:rPr>
                <w:color w:val="auto"/>
                <w:lang w:val="is-IS"/>
              </w:rPr>
            </w:pPr>
            <w:r w:rsidRPr="001038B1">
              <w:rPr>
                <w:color w:val="auto"/>
                <w:lang w:val="is-IS"/>
              </w:rPr>
              <w:t xml:space="preserve">8,6 </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2F240880" w14:textId="77777777" w:rsidR="00577087" w:rsidRPr="001038B1" w:rsidRDefault="00577087" w:rsidP="0073217C">
            <w:pPr>
              <w:suppressAutoHyphens/>
              <w:spacing w:line="259" w:lineRule="auto"/>
              <w:ind w:right="58" w:hanging="11"/>
              <w:jc w:val="center"/>
              <w:rPr>
                <w:color w:val="auto"/>
                <w:lang w:val="is-IS"/>
              </w:rPr>
            </w:pPr>
            <w:r w:rsidRPr="001038B1">
              <w:rPr>
                <w:color w:val="auto"/>
                <w:lang w:val="is-IS"/>
              </w:rPr>
              <w:t xml:space="preserve">12,3 </w:t>
            </w:r>
          </w:p>
        </w:tc>
      </w:tr>
      <w:tr w:rsidR="00E05E3D" w:rsidRPr="001038B1" w14:paraId="746D59DB"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4BA370D7" w14:textId="5A8DA7ED" w:rsidR="00577087" w:rsidRPr="001038B1" w:rsidRDefault="00577087" w:rsidP="0073217C">
            <w:pPr>
              <w:suppressAutoHyphens/>
              <w:spacing w:after="0" w:line="240" w:lineRule="auto"/>
              <w:ind w:left="567" w:firstLine="0"/>
              <w:rPr>
                <w:color w:val="auto"/>
                <w:lang w:val="is-IS"/>
              </w:rPr>
            </w:pPr>
            <w:r w:rsidRPr="001038B1">
              <w:rPr>
                <w:color w:val="auto"/>
                <w:lang w:val="is-IS"/>
              </w:rPr>
              <w:t xml:space="preserve">Áhættuhlutfall (95% </w:t>
            </w:r>
            <w:r w:rsidR="00495BB7" w:rsidRPr="001038B1">
              <w:rPr>
                <w:color w:val="auto"/>
                <w:lang w:val="is-IS"/>
              </w:rPr>
              <w:t>öryggis</w:t>
            </w:r>
            <w:r w:rsidR="00495BB7">
              <w:rPr>
                <w:color w:val="auto"/>
                <w:lang w:val="is-IS"/>
              </w:rPr>
              <w:t>bil</w:t>
            </w:r>
            <w:r w:rsidRPr="001038B1">
              <w:rPr>
                <w:color w:val="auto"/>
                <w:lang w:val="is-IS"/>
              </w:rPr>
              <w:t xml:space="preserve">) </w:t>
            </w:r>
          </w:p>
        </w:tc>
        <w:tc>
          <w:tcPr>
            <w:tcW w:w="2690" w:type="dxa"/>
            <w:gridSpan w:val="2"/>
            <w:tcBorders>
              <w:top w:val="single" w:sz="4" w:space="0" w:color="auto"/>
              <w:left w:val="single" w:sz="4" w:space="0" w:color="auto"/>
              <w:bottom w:val="single" w:sz="4" w:space="0" w:color="auto"/>
              <w:right w:val="single" w:sz="4" w:space="0" w:color="auto"/>
            </w:tcBorders>
            <w:noWrap/>
            <w:vAlign w:val="center"/>
            <w:hideMark/>
          </w:tcPr>
          <w:p w14:paraId="582CB2E2" w14:textId="77777777" w:rsidR="00577087" w:rsidRPr="001038B1" w:rsidRDefault="00577087" w:rsidP="0073217C">
            <w:pPr>
              <w:suppressAutoHyphens/>
              <w:spacing w:line="259" w:lineRule="auto"/>
              <w:ind w:right="61" w:hanging="11"/>
              <w:jc w:val="center"/>
              <w:rPr>
                <w:color w:val="auto"/>
                <w:lang w:val="is-IS"/>
              </w:rPr>
            </w:pPr>
            <w:r w:rsidRPr="001038B1">
              <w:rPr>
                <w:color w:val="auto"/>
                <w:lang w:val="is-IS"/>
              </w:rPr>
              <w:t xml:space="preserve">0,524 [0,425; 0,645] </w:t>
            </w:r>
          </w:p>
        </w:tc>
        <w:tc>
          <w:tcPr>
            <w:tcW w:w="2743" w:type="dxa"/>
            <w:gridSpan w:val="2"/>
            <w:tcBorders>
              <w:top w:val="single" w:sz="4" w:space="0" w:color="auto"/>
              <w:left w:val="single" w:sz="4" w:space="0" w:color="auto"/>
              <w:bottom w:val="single" w:sz="4" w:space="0" w:color="auto"/>
              <w:right w:val="single" w:sz="4" w:space="0" w:color="auto"/>
            </w:tcBorders>
            <w:noWrap/>
            <w:vAlign w:val="center"/>
            <w:hideMark/>
          </w:tcPr>
          <w:p w14:paraId="45D76C95" w14:textId="77777777" w:rsidR="00577087" w:rsidRPr="001038B1" w:rsidRDefault="00577087" w:rsidP="0073217C">
            <w:pPr>
              <w:suppressAutoHyphens/>
              <w:spacing w:line="259" w:lineRule="auto"/>
              <w:ind w:right="66" w:hanging="11"/>
              <w:jc w:val="center"/>
              <w:rPr>
                <w:color w:val="auto"/>
                <w:lang w:val="is-IS"/>
              </w:rPr>
            </w:pPr>
            <w:r w:rsidRPr="001038B1">
              <w:rPr>
                <w:color w:val="auto"/>
                <w:lang w:val="is-IS"/>
              </w:rPr>
              <w:t xml:space="preserve">0,480 [0,377; 0,613] </w:t>
            </w:r>
          </w:p>
        </w:tc>
      </w:tr>
      <w:tr w:rsidR="00E05E3D" w:rsidRPr="001038B1" w14:paraId="0B7C23BA"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221D1C93" w14:textId="77777777" w:rsidR="00577087" w:rsidRPr="001038B1" w:rsidRDefault="00577087" w:rsidP="0073217C">
            <w:pPr>
              <w:suppressAutoHyphens/>
              <w:spacing w:after="0" w:line="240" w:lineRule="auto"/>
              <w:ind w:left="567" w:firstLine="0"/>
              <w:rPr>
                <w:color w:val="auto"/>
                <w:lang w:val="is-IS"/>
              </w:rPr>
            </w:pPr>
            <w:r w:rsidRPr="001038B1">
              <w:rPr>
                <w:color w:val="auto"/>
                <w:lang w:val="is-IS"/>
              </w:rPr>
              <w:t xml:space="preserve">p-gildi </w:t>
            </w:r>
          </w:p>
        </w:tc>
        <w:tc>
          <w:tcPr>
            <w:tcW w:w="2690" w:type="dxa"/>
            <w:gridSpan w:val="2"/>
            <w:tcBorders>
              <w:top w:val="single" w:sz="4" w:space="0" w:color="auto"/>
              <w:left w:val="single" w:sz="4" w:space="0" w:color="auto"/>
              <w:bottom w:val="single" w:sz="4" w:space="0" w:color="auto"/>
              <w:right w:val="single" w:sz="4" w:space="0" w:color="auto"/>
            </w:tcBorders>
            <w:noWrap/>
            <w:hideMark/>
          </w:tcPr>
          <w:p w14:paraId="51DDEA2D" w14:textId="77777777" w:rsidR="00577087" w:rsidRPr="001038B1" w:rsidRDefault="00577087" w:rsidP="0073217C">
            <w:pPr>
              <w:suppressAutoHyphens/>
              <w:spacing w:line="259" w:lineRule="auto"/>
              <w:ind w:right="60" w:hanging="11"/>
              <w:jc w:val="center"/>
              <w:rPr>
                <w:color w:val="auto"/>
                <w:lang w:val="is-IS"/>
              </w:rPr>
            </w:pPr>
            <w:r w:rsidRPr="001038B1">
              <w:rPr>
                <w:color w:val="auto"/>
                <w:lang w:val="is-IS"/>
              </w:rPr>
              <w:t>&lt;</w:t>
            </w:r>
            <w:r w:rsidR="00D14DCD">
              <w:rPr>
                <w:color w:val="auto"/>
                <w:lang w:val="is-IS"/>
              </w:rPr>
              <w:t> </w:t>
            </w:r>
            <w:r w:rsidRPr="001038B1">
              <w:rPr>
                <w:color w:val="auto"/>
                <w:lang w:val="is-IS"/>
              </w:rPr>
              <w:t xml:space="preserve">0,0001 </w:t>
            </w:r>
          </w:p>
        </w:tc>
        <w:tc>
          <w:tcPr>
            <w:tcW w:w="2743" w:type="dxa"/>
            <w:gridSpan w:val="2"/>
            <w:tcBorders>
              <w:top w:val="single" w:sz="4" w:space="0" w:color="auto"/>
              <w:left w:val="single" w:sz="4" w:space="0" w:color="auto"/>
              <w:bottom w:val="single" w:sz="4" w:space="0" w:color="auto"/>
              <w:right w:val="single" w:sz="4" w:space="0" w:color="auto"/>
            </w:tcBorders>
            <w:noWrap/>
            <w:hideMark/>
          </w:tcPr>
          <w:p w14:paraId="496D91B8" w14:textId="77777777" w:rsidR="00577087" w:rsidRPr="001038B1" w:rsidRDefault="00577087" w:rsidP="0073217C">
            <w:pPr>
              <w:suppressAutoHyphens/>
              <w:spacing w:line="259" w:lineRule="auto"/>
              <w:ind w:right="62" w:hanging="11"/>
              <w:jc w:val="center"/>
              <w:rPr>
                <w:color w:val="auto"/>
                <w:lang w:val="is-IS"/>
              </w:rPr>
            </w:pPr>
            <w:r w:rsidRPr="001038B1">
              <w:rPr>
                <w:color w:val="auto"/>
                <w:lang w:val="is-IS"/>
              </w:rPr>
              <w:t>&lt;</w:t>
            </w:r>
            <w:r w:rsidR="00D14DCD">
              <w:rPr>
                <w:color w:val="auto"/>
                <w:lang w:val="is-IS"/>
              </w:rPr>
              <w:t> </w:t>
            </w:r>
            <w:r w:rsidRPr="001038B1">
              <w:rPr>
                <w:color w:val="auto"/>
                <w:lang w:val="is-IS"/>
              </w:rPr>
              <w:t xml:space="preserve">0,0001 </w:t>
            </w:r>
          </w:p>
        </w:tc>
      </w:tr>
      <w:tr w:rsidR="00780FA1" w:rsidRPr="00AD2908" w14:paraId="46A757A0" w14:textId="77777777" w:rsidTr="00D10853">
        <w:trPr>
          <w:trHeight w:val="300"/>
        </w:trPr>
        <w:tc>
          <w:tcPr>
            <w:tcW w:w="8552" w:type="dxa"/>
            <w:gridSpan w:val="5"/>
            <w:tcBorders>
              <w:top w:val="single" w:sz="4" w:space="0" w:color="auto"/>
              <w:left w:val="single" w:sz="4" w:space="0" w:color="auto"/>
              <w:bottom w:val="single" w:sz="4" w:space="0" w:color="auto"/>
              <w:right w:val="single" w:sz="4" w:space="0" w:color="auto"/>
            </w:tcBorders>
            <w:noWrap/>
            <w:vAlign w:val="bottom"/>
            <w:hideMark/>
          </w:tcPr>
          <w:p w14:paraId="34734EEB" w14:textId="77777777" w:rsidR="00780FA1" w:rsidRPr="001038B1" w:rsidRDefault="00780FA1" w:rsidP="0073217C">
            <w:pPr>
              <w:suppressAutoHyphens/>
              <w:spacing w:line="240" w:lineRule="auto"/>
              <w:ind w:hanging="11"/>
              <w:rPr>
                <w:color w:val="auto"/>
                <w:lang w:val="is-IS"/>
              </w:rPr>
            </w:pPr>
            <w:r w:rsidRPr="001038B1">
              <w:rPr>
                <w:color w:val="auto"/>
                <w:lang w:val="is-IS"/>
              </w:rPr>
              <w:t>Leiðrétt með tilliti til meðferðar utan rannsóknaráætlunar</w:t>
            </w:r>
          </w:p>
        </w:tc>
      </w:tr>
      <w:tr w:rsidR="00D10853" w:rsidRPr="001038B1" w14:paraId="3C3CBC43"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1CD96F31" w14:textId="07701228" w:rsidR="00577087" w:rsidRPr="001038B1" w:rsidRDefault="00577087" w:rsidP="0073217C">
            <w:pPr>
              <w:suppressAutoHyphens/>
              <w:spacing w:after="0" w:line="240" w:lineRule="auto"/>
              <w:ind w:left="567" w:firstLine="0"/>
              <w:rPr>
                <w:color w:val="auto"/>
                <w:lang w:val="is-IS"/>
              </w:rPr>
            </w:pPr>
            <w:r w:rsidRPr="001038B1">
              <w:rPr>
                <w:color w:val="auto"/>
                <w:lang w:val="is-IS"/>
              </w:rPr>
              <w:t xml:space="preserve">Miðgildi lifunar án </w:t>
            </w:r>
            <w:r w:rsidR="00495BB7" w:rsidRPr="00FE5EE2">
              <w:rPr>
                <w:color w:val="auto"/>
                <w:lang w:val="is-IS"/>
              </w:rPr>
              <w:t>versnunar</w:t>
            </w:r>
            <w:r w:rsidRPr="001038B1">
              <w:rPr>
                <w:color w:val="auto"/>
                <w:lang w:val="is-IS"/>
              </w:rPr>
              <w:t xml:space="preserve"> sjúkdóms (mánuðir) </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5C8B6B03" w14:textId="77777777" w:rsidR="00577087" w:rsidRPr="001038B1" w:rsidRDefault="00577087" w:rsidP="0073217C">
            <w:pPr>
              <w:suppressAutoHyphens/>
              <w:spacing w:line="259" w:lineRule="auto"/>
              <w:ind w:right="62" w:hanging="11"/>
              <w:jc w:val="center"/>
              <w:rPr>
                <w:color w:val="auto"/>
                <w:lang w:val="is-IS"/>
              </w:rPr>
            </w:pPr>
            <w:r w:rsidRPr="001038B1">
              <w:rPr>
                <w:color w:val="auto"/>
                <w:lang w:val="is-IS"/>
              </w:rPr>
              <w:t xml:space="preserve">8,4 </w:t>
            </w:r>
          </w:p>
        </w:tc>
        <w:tc>
          <w:tcPr>
            <w:tcW w:w="1514" w:type="dxa"/>
            <w:tcBorders>
              <w:top w:val="single" w:sz="4" w:space="0" w:color="auto"/>
              <w:left w:val="single" w:sz="4" w:space="0" w:color="auto"/>
              <w:bottom w:val="single" w:sz="4" w:space="0" w:color="auto"/>
              <w:right w:val="single" w:sz="4" w:space="0" w:color="auto"/>
            </w:tcBorders>
            <w:noWrap/>
            <w:vAlign w:val="center"/>
            <w:hideMark/>
          </w:tcPr>
          <w:p w14:paraId="6B95457A" w14:textId="77777777" w:rsidR="00577087" w:rsidRPr="001038B1" w:rsidRDefault="00577087" w:rsidP="0073217C">
            <w:pPr>
              <w:suppressAutoHyphens/>
              <w:spacing w:line="259" w:lineRule="auto"/>
              <w:ind w:right="62" w:hanging="11"/>
              <w:jc w:val="center"/>
              <w:rPr>
                <w:color w:val="auto"/>
                <w:lang w:val="is-IS"/>
              </w:rPr>
            </w:pPr>
            <w:r w:rsidRPr="001038B1">
              <w:rPr>
                <w:color w:val="auto"/>
                <w:lang w:val="is-IS"/>
              </w:rPr>
              <w:t xml:space="preserve">12,4 </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58974F08" w14:textId="77777777" w:rsidR="00577087" w:rsidRPr="001038B1" w:rsidRDefault="00577087" w:rsidP="0073217C">
            <w:pPr>
              <w:suppressAutoHyphens/>
              <w:spacing w:line="259" w:lineRule="auto"/>
              <w:ind w:right="67" w:hanging="11"/>
              <w:jc w:val="center"/>
              <w:rPr>
                <w:color w:val="auto"/>
                <w:lang w:val="is-IS"/>
              </w:rPr>
            </w:pPr>
            <w:r w:rsidRPr="001038B1">
              <w:rPr>
                <w:color w:val="auto"/>
                <w:lang w:val="is-IS"/>
              </w:rPr>
              <w:t xml:space="preserve">8,6 </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3FBFCD88" w14:textId="77777777" w:rsidR="00577087" w:rsidRPr="001038B1" w:rsidRDefault="00577087" w:rsidP="0073217C">
            <w:pPr>
              <w:suppressAutoHyphens/>
              <w:spacing w:line="259" w:lineRule="auto"/>
              <w:ind w:right="58" w:hanging="11"/>
              <w:jc w:val="center"/>
              <w:rPr>
                <w:color w:val="auto"/>
                <w:lang w:val="is-IS"/>
              </w:rPr>
            </w:pPr>
            <w:r w:rsidRPr="001038B1">
              <w:rPr>
                <w:color w:val="auto"/>
                <w:lang w:val="is-IS"/>
              </w:rPr>
              <w:t xml:space="preserve">12,3 </w:t>
            </w:r>
          </w:p>
        </w:tc>
      </w:tr>
      <w:tr w:rsidR="00E05E3D" w:rsidRPr="001038B1" w14:paraId="0F02DF15"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010F38BA" w14:textId="717540F3" w:rsidR="00577087" w:rsidRPr="001038B1" w:rsidRDefault="00577087" w:rsidP="0073217C">
            <w:pPr>
              <w:suppressAutoHyphens/>
              <w:spacing w:after="0" w:line="240" w:lineRule="auto"/>
              <w:ind w:left="567" w:firstLine="0"/>
              <w:rPr>
                <w:color w:val="auto"/>
                <w:lang w:val="is-IS"/>
              </w:rPr>
            </w:pPr>
            <w:r w:rsidRPr="001038B1">
              <w:rPr>
                <w:color w:val="auto"/>
                <w:lang w:val="is-IS"/>
              </w:rPr>
              <w:t xml:space="preserve">Áhættuhlutfall (95% </w:t>
            </w:r>
            <w:r w:rsidR="00495BB7" w:rsidRPr="001038B1">
              <w:rPr>
                <w:color w:val="auto"/>
                <w:lang w:val="is-IS"/>
              </w:rPr>
              <w:t>öryggis</w:t>
            </w:r>
            <w:r w:rsidR="00495BB7">
              <w:rPr>
                <w:color w:val="auto"/>
                <w:lang w:val="is-IS"/>
              </w:rPr>
              <w:t>bil</w:t>
            </w:r>
            <w:r w:rsidRPr="001038B1">
              <w:rPr>
                <w:color w:val="auto"/>
                <w:lang w:val="is-IS"/>
              </w:rPr>
              <w:t xml:space="preserve">) </w:t>
            </w:r>
          </w:p>
        </w:tc>
        <w:tc>
          <w:tcPr>
            <w:tcW w:w="2690" w:type="dxa"/>
            <w:gridSpan w:val="2"/>
            <w:tcBorders>
              <w:top w:val="single" w:sz="4" w:space="0" w:color="auto"/>
              <w:left w:val="single" w:sz="4" w:space="0" w:color="auto"/>
              <w:bottom w:val="single" w:sz="4" w:space="0" w:color="auto"/>
              <w:right w:val="single" w:sz="4" w:space="0" w:color="auto"/>
            </w:tcBorders>
            <w:noWrap/>
            <w:vAlign w:val="center"/>
            <w:hideMark/>
          </w:tcPr>
          <w:p w14:paraId="3FFFD7A4" w14:textId="77777777" w:rsidR="00577087" w:rsidRPr="001038B1" w:rsidRDefault="00577087" w:rsidP="0073217C">
            <w:pPr>
              <w:suppressAutoHyphens/>
              <w:spacing w:line="259" w:lineRule="auto"/>
              <w:ind w:right="61" w:hanging="11"/>
              <w:jc w:val="center"/>
              <w:rPr>
                <w:color w:val="auto"/>
                <w:lang w:val="is-IS"/>
              </w:rPr>
            </w:pPr>
            <w:r w:rsidRPr="001038B1">
              <w:rPr>
                <w:color w:val="auto"/>
                <w:lang w:val="is-IS"/>
              </w:rPr>
              <w:t xml:space="preserve">0,484 [0,388; 0,605] </w:t>
            </w:r>
          </w:p>
        </w:tc>
        <w:tc>
          <w:tcPr>
            <w:tcW w:w="2743" w:type="dxa"/>
            <w:gridSpan w:val="2"/>
            <w:tcBorders>
              <w:top w:val="single" w:sz="4" w:space="0" w:color="auto"/>
              <w:left w:val="single" w:sz="4" w:space="0" w:color="auto"/>
              <w:bottom w:val="single" w:sz="4" w:space="0" w:color="auto"/>
              <w:right w:val="single" w:sz="4" w:space="0" w:color="auto"/>
            </w:tcBorders>
            <w:noWrap/>
            <w:vAlign w:val="center"/>
            <w:hideMark/>
          </w:tcPr>
          <w:p w14:paraId="55007E87" w14:textId="77777777" w:rsidR="00577087" w:rsidRPr="001038B1" w:rsidRDefault="00577087" w:rsidP="0073217C">
            <w:pPr>
              <w:suppressAutoHyphens/>
              <w:spacing w:line="259" w:lineRule="auto"/>
              <w:ind w:right="66" w:hanging="11"/>
              <w:jc w:val="center"/>
              <w:rPr>
                <w:color w:val="auto"/>
                <w:lang w:val="is-IS"/>
              </w:rPr>
            </w:pPr>
            <w:r w:rsidRPr="001038B1">
              <w:rPr>
                <w:color w:val="auto"/>
                <w:lang w:val="is-IS"/>
              </w:rPr>
              <w:t xml:space="preserve">0,451 [0,351; 0,580] </w:t>
            </w:r>
          </w:p>
        </w:tc>
      </w:tr>
      <w:tr w:rsidR="00E05E3D" w:rsidRPr="001038B1" w14:paraId="782BEBBD"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7C34DA87" w14:textId="77777777" w:rsidR="00577087" w:rsidRPr="001038B1" w:rsidRDefault="00577087" w:rsidP="0073217C">
            <w:pPr>
              <w:suppressAutoHyphens/>
              <w:spacing w:after="0" w:line="240" w:lineRule="auto"/>
              <w:ind w:left="567" w:firstLine="0"/>
              <w:rPr>
                <w:color w:val="auto"/>
                <w:lang w:val="is-IS"/>
              </w:rPr>
            </w:pPr>
            <w:r w:rsidRPr="001038B1">
              <w:rPr>
                <w:color w:val="auto"/>
                <w:lang w:val="is-IS"/>
              </w:rPr>
              <w:t xml:space="preserve">p-gildi </w:t>
            </w:r>
          </w:p>
        </w:tc>
        <w:tc>
          <w:tcPr>
            <w:tcW w:w="2690" w:type="dxa"/>
            <w:gridSpan w:val="2"/>
            <w:tcBorders>
              <w:top w:val="single" w:sz="4" w:space="0" w:color="auto"/>
              <w:left w:val="single" w:sz="4" w:space="0" w:color="auto"/>
              <w:bottom w:val="single" w:sz="4" w:space="0" w:color="auto"/>
              <w:right w:val="single" w:sz="4" w:space="0" w:color="auto"/>
            </w:tcBorders>
            <w:noWrap/>
            <w:hideMark/>
          </w:tcPr>
          <w:p w14:paraId="12B06C33" w14:textId="3A49A1DD" w:rsidR="00577087" w:rsidRPr="001038B1" w:rsidRDefault="00577087" w:rsidP="0073217C">
            <w:pPr>
              <w:suppressAutoHyphens/>
              <w:spacing w:line="259" w:lineRule="auto"/>
              <w:ind w:right="60" w:hanging="11"/>
              <w:jc w:val="center"/>
              <w:rPr>
                <w:color w:val="auto"/>
                <w:lang w:val="is-IS"/>
              </w:rPr>
            </w:pPr>
            <w:r w:rsidRPr="001038B1">
              <w:rPr>
                <w:color w:val="auto"/>
                <w:lang w:val="is-IS"/>
              </w:rPr>
              <w:t>&lt;</w:t>
            </w:r>
            <w:r w:rsidR="00D14DCD">
              <w:rPr>
                <w:color w:val="auto"/>
                <w:lang w:val="is-IS"/>
              </w:rPr>
              <w:t> </w:t>
            </w:r>
            <w:r w:rsidRPr="001038B1">
              <w:rPr>
                <w:color w:val="auto"/>
                <w:lang w:val="is-IS"/>
              </w:rPr>
              <w:t xml:space="preserve">0,0001 </w:t>
            </w:r>
          </w:p>
        </w:tc>
        <w:tc>
          <w:tcPr>
            <w:tcW w:w="2743" w:type="dxa"/>
            <w:gridSpan w:val="2"/>
            <w:tcBorders>
              <w:top w:val="single" w:sz="4" w:space="0" w:color="auto"/>
              <w:left w:val="single" w:sz="4" w:space="0" w:color="auto"/>
              <w:bottom w:val="single" w:sz="4" w:space="0" w:color="auto"/>
              <w:right w:val="single" w:sz="4" w:space="0" w:color="auto"/>
            </w:tcBorders>
            <w:noWrap/>
            <w:hideMark/>
          </w:tcPr>
          <w:p w14:paraId="15339D72" w14:textId="77777777" w:rsidR="00577087" w:rsidRPr="001038B1" w:rsidRDefault="00577087" w:rsidP="0073217C">
            <w:pPr>
              <w:suppressAutoHyphens/>
              <w:spacing w:line="259" w:lineRule="auto"/>
              <w:ind w:right="62" w:hanging="11"/>
              <w:jc w:val="center"/>
              <w:rPr>
                <w:color w:val="auto"/>
                <w:lang w:val="is-IS"/>
              </w:rPr>
            </w:pPr>
            <w:r w:rsidRPr="001038B1">
              <w:rPr>
                <w:color w:val="auto"/>
                <w:lang w:val="is-IS"/>
              </w:rPr>
              <w:t>&lt;</w:t>
            </w:r>
            <w:r w:rsidR="00D14DCD">
              <w:rPr>
                <w:color w:val="auto"/>
                <w:lang w:val="is-IS"/>
              </w:rPr>
              <w:t> </w:t>
            </w:r>
            <w:r w:rsidRPr="001038B1">
              <w:rPr>
                <w:color w:val="auto"/>
                <w:lang w:val="is-IS"/>
              </w:rPr>
              <w:t xml:space="preserve">0,0001 </w:t>
            </w:r>
          </w:p>
        </w:tc>
      </w:tr>
      <w:tr w:rsidR="00E05E3D" w:rsidRPr="001038B1" w14:paraId="3432613F" w14:textId="77777777" w:rsidTr="00D10853">
        <w:trPr>
          <w:trHeight w:val="300"/>
        </w:trPr>
        <w:tc>
          <w:tcPr>
            <w:tcW w:w="8552" w:type="dxa"/>
            <w:gridSpan w:val="5"/>
            <w:tcBorders>
              <w:top w:val="single" w:sz="4" w:space="0" w:color="auto"/>
              <w:left w:val="single" w:sz="4" w:space="0" w:color="auto"/>
              <w:bottom w:val="single" w:sz="4" w:space="0" w:color="auto"/>
              <w:right w:val="single" w:sz="4" w:space="0" w:color="auto"/>
            </w:tcBorders>
            <w:noWrap/>
            <w:vAlign w:val="bottom"/>
            <w:hideMark/>
          </w:tcPr>
          <w:p w14:paraId="47FF9CE2" w14:textId="77777777" w:rsidR="00577087" w:rsidRPr="001038B1" w:rsidRDefault="00577087" w:rsidP="0073217C">
            <w:pPr>
              <w:keepNext/>
              <w:keepLines/>
              <w:suppressAutoHyphens/>
              <w:spacing w:line="240" w:lineRule="auto"/>
              <w:ind w:hanging="11"/>
              <w:rPr>
                <w:color w:val="auto"/>
                <w:lang w:val="is-IS"/>
              </w:rPr>
            </w:pPr>
            <w:r w:rsidRPr="001038B1">
              <w:rPr>
                <w:color w:val="auto"/>
                <w:lang w:val="is-IS"/>
              </w:rPr>
              <w:t>Hlutlæg svörun</w:t>
            </w:r>
          </w:p>
        </w:tc>
      </w:tr>
      <w:tr w:rsidR="00E05E3D" w:rsidRPr="001038B1" w14:paraId="23AF942C"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BC96AE2" w14:textId="77777777" w:rsidR="00577087" w:rsidRPr="001038B1" w:rsidRDefault="00577087" w:rsidP="0073217C">
            <w:pPr>
              <w:keepNext/>
              <w:keepLines/>
              <w:suppressAutoHyphens/>
              <w:ind w:hanging="11"/>
              <w:rPr>
                <w:color w:val="auto"/>
                <w:lang w:val="is-IS"/>
              </w:rPr>
            </w:pPr>
          </w:p>
        </w:tc>
        <w:tc>
          <w:tcPr>
            <w:tcW w:w="2690" w:type="dxa"/>
            <w:gridSpan w:val="2"/>
            <w:tcBorders>
              <w:top w:val="single" w:sz="4" w:space="0" w:color="auto"/>
              <w:left w:val="single" w:sz="4" w:space="0" w:color="auto"/>
              <w:bottom w:val="single" w:sz="4" w:space="0" w:color="auto"/>
              <w:right w:val="single" w:sz="4" w:space="0" w:color="auto"/>
            </w:tcBorders>
            <w:noWrap/>
            <w:hideMark/>
          </w:tcPr>
          <w:p w14:paraId="49160E08" w14:textId="77777777" w:rsidR="00577087" w:rsidRPr="001038B1" w:rsidRDefault="00577087" w:rsidP="0073217C">
            <w:pPr>
              <w:keepNext/>
              <w:keepLines/>
              <w:suppressAutoHyphens/>
              <w:spacing w:line="259" w:lineRule="auto"/>
              <w:ind w:right="60" w:hanging="11"/>
              <w:jc w:val="center"/>
              <w:rPr>
                <w:color w:val="auto"/>
                <w:lang w:val="is-IS"/>
              </w:rPr>
            </w:pPr>
            <w:r w:rsidRPr="001038B1">
              <w:rPr>
                <w:color w:val="auto"/>
                <w:lang w:val="is-IS"/>
              </w:rPr>
              <w:t xml:space="preserve">Mat rannsakanda </w:t>
            </w:r>
          </w:p>
        </w:tc>
        <w:tc>
          <w:tcPr>
            <w:tcW w:w="2743" w:type="dxa"/>
            <w:gridSpan w:val="2"/>
            <w:tcBorders>
              <w:top w:val="single" w:sz="4" w:space="0" w:color="auto"/>
              <w:left w:val="single" w:sz="4" w:space="0" w:color="auto"/>
              <w:bottom w:val="single" w:sz="4" w:space="0" w:color="auto"/>
              <w:right w:val="single" w:sz="4" w:space="0" w:color="auto"/>
            </w:tcBorders>
            <w:noWrap/>
            <w:hideMark/>
          </w:tcPr>
          <w:p w14:paraId="6E253001" w14:textId="77777777" w:rsidR="00577087" w:rsidRPr="001038B1" w:rsidRDefault="00577087" w:rsidP="0073217C">
            <w:pPr>
              <w:keepNext/>
              <w:keepLines/>
              <w:suppressAutoHyphens/>
              <w:spacing w:line="259" w:lineRule="auto"/>
              <w:ind w:right="65" w:hanging="11"/>
              <w:jc w:val="center"/>
              <w:rPr>
                <w:color w:val="auto"/>
                <w:lang w:val="is-IS"/>
              </w:rPr>
            </w:pPr>
            <w:r w:rsidRPr="001038B1">
              <w:rPr>
                <w:color w:val="auto"/>
                <w:lang w:val="is-IS"/>
              </w:rPr>
              <w:t xml:space="preserve">Mat óháðrar matsnefndar </w:t>
            </w:r>
          </w:p>
        </w:tc>
      </w:tr>
      <w:tr w:rsidR="00D10853" w:rsidRPr="001038B1" w14:paraId="6AFB65E2"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21D40E90" w14:textId="77777777" w:rsidR="00577087" w:rsidRPr="001038B1" w:rsidRDefault="00577087" w:rsidP="0073217C">
            <w:pPr>
              <w:keepNext/>
              <w:keepLines/>
              <w:suppressAutoHyphens/>
              <w:ind w:hanging="11"/>
              <w:rPr>
                <w:color w:val="auto"/>
                <w:lang w:val="is-IS"/>
              </w:rPr>
            </w:pPr>
          </w:p>
        </w:tc>
        <w:tc>
          <w:tcPr>
            <w:tcW w:w="1176" w:type="dxa"/>
            <w:tcBorders>
              <w:top w:val="single" w:sz="4" w:space="0" w:color="auto"/>
              <w:left w:val="single" w:sz="4" w:space="0" w:color="auto"/>
              <w:bottom w:val="single" w:sz="4" w:space="0" w:color="auto"/>
              <w:right w:val="single" w:sz="4" w:space="0" w:color="auto"/>
            </w:tcBorders>
            <w:noWrap/>
            <w:hideMark/>
          </w:tcPr>
          <w:p w14:paraId="5F3F7517" w14:textId="77777777" w:rsidR="00E46FA2" w:rsidRPr="001038B1" w:rsidRDefault="00577087" w:rsidP="0073217C">
            <w:pPr>
              <w:keepNext/>
              <w:keepLines/>
              <w:suppressAutoHyphens/>
              <w:spacing w:line="259" w:lineRule="auto"/>
              <w:ind w:hanging="11"/>
              <w:jc w:val="center"/>
              <w:rPr>
                <w:color w:val="auto"/>
                <w:lang w:val="is-IS"/>
              </w:rPr>
            </w:pPr>
            <w:r w:rsidRPr="001038B1">
              <w:rPr>
                <w:color w:val="auto"/>
                <w:lang w:val="is-IS"/>
              </w:rPr>
              <w:t xml:space="preserve">Lyfleysa + C/G </w:t>
            </w:r>
          </w:p>
          <w:p w14:paraId="207BD7D6" w14:textId="77777777" w:rsidR="00577087" w:rsidRPr="001038B1" w:rsidRDefault="00577087" w:rsidP="0073217C">
            <w:pPr>
              <w:keepNext/>
              <w:keepLines/>
              <w:suppressAutoHyphens/>
              <w:spacing w:line="259" w:lineRule="auto"/>
              <w:ind w:hanging="11"/>
              <w:jc w:val="center"/>
              <w:rPr>
                <w:color w:val="auto"/>
                <w:lang w:val="is-IS"/>
              </w:rPr>
            </w:pPr>
            <w:r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00E46FA2" w:rsidRPr="001038B1">
              <w:rPr>
                <w:color w:val="auto"/>
                <w:lang w:val="is-IS"/>
              </w:rPr>
              <w:t>242)</w:t>
            </w:r>
          </w:p>
        </w:tc>
        <w:tc>
          <w:tcPr>
            <w:tcW w:w="1514" w:type="dxa"/>
            <w:tcBorders>
              <w:top w:val="single" w:sz="4" w:space="0" w:color="auto"/>
              <w:left w:val="single" w:sz="4" w:space="0" w:color="auto"/>
              <w:bottom w:val="single" w:sz="4" w:space="0" w:color="auto"/>
              <w:right w:val="single" w:sz="4" w:space="0" w:color="auto"/>
            </w:tcBorders>
            <w:noWrap/>
            <w:hideMark/>
          </w:tcPr>
          <w:p w14:paraId="4A13F679" w14:textId="77777777" w:rsidR="00E46FA2" w:rsidRPr="001038B1" w:rsidRDefault="00690564" w:rsidP="0073217C">
            <w:pPr>
              <w:keepNext/>
              <w:keepLines/>
              <w:suppressAutoHyphens/>
              <w:spacing w:line="259" w:lineRule="auto"/>
              <w:ind w:left="97" w:right="54" w:hanging="11"/>
              <w:jc w:val="center"/>
              <w:rPr>
                <w:color w:val="auto"/>
                <w:lang w:val="is-IS"/>
              </w:rPr>
            </w:pPr>
            <w:proofErr w:type="spellStart"/>
            <w:r>
              <w:t>Bevacízúmab</w:t>
            </w:r>
            <w:proofErr w:type="spellEnd"/>
            <w:r w:rsidR="00577087" w:rsidRPr="001038B1">
              <w:rPr>
                <w:color w:val="auto"/>
                <w:lang w:val="is-IS"/>
              </w:rPr>
              <w:t xml:space="preserve"> + C/G </w:t>
            </w:r>
          </w:p>
          <w:p w14:paraId="7AE34F9A" w14:textId="77777777" w:rsidR="00577087" w:rsidRPr="001038B1" w:rsidRDefault="00577087" w:rsidP="0073217C">
            <w:pPr>
              <w:keepNext/>
              <w:keepLines/>
              <w:suppressAutoHyphens/>
              <w:spacing w:line="259" w:lineRule="auto"/>
              <w:ind w:left="97" w:right="54" w:hanging="11"/>
              <w:jc w:val="center"/>
              <w:rPr>
                <w:color w:val="auto"/>
                <w:lang w:val="is-IS"/>
              </w:rPr>
            </w:pPr>
            <w:r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00E46FA2" w:rsidRPr="001038B1">
              <w:rPr>
                <w:color w:val="auto"/>
                <w:lang w:val="is-IS"/>
              </w:rPr>
              <w:t>242)</w:t>
            </w:r>
          </w:p>
        </w:tc>
        <w:tc>
          <w:tcPr>
            <w:tcW w:w="1499" w:type="dxa"/>
            <w:tcBorders>
              <w:top w:val="single" w:sz="4" w:space="0" w:color="auto"/>
              <w:left w:val="single" w:sz="4" w:space="0" w:color="auto"/>
              <w:bottom w:val="single" w:sz="4" w:space="0" w:color="auto"/>
              <w:right w:val="single" w:sz="4" w:space="0" w:color="auto"/>
            </w:tcBorders>
            <w:noWrap/>
            <w:hideMark/>
          </w:tcPr>
          <w:p w14:paraId="7D71CA5E" w14:textId="77777777" w:rsidR="00E46FA2" w:rsidRPr="001038B1" w:rsidRDefault="00577087" w:rsidP="0073217C">
            <w:pPr>
              <w:keepNext/>
              <w:keepLines/>
              <w:suppressAutoHyphens/>
              <w:spacing w:line="259" w:lineRule="auto"/>
              <w:ind w:hanging="11"/>
              <w:jc w:val="center"/>
              <w:rPr>
                <w:color w:val="auto"/>
                <w:lang w:val="is-IS"/>
              </w:rPr>
            </w:pPr>
            <w:r w:rsidRPr="001038B1">
              <w:rPr>
                <w:color w:val="auto"/>
                <w:lang w:val="is-IS"/>
              </w:rPr>
              <w:t xml:space="preserve">Lyfleysa + C/G </w:t>
            </w:r>
          </w:p>
          <w:p w14:paraId="116D6912" w14:textId="77777777" w:rsidR="00577087" w:rsidRPr="001038B1" w:rsidRDefault="00577087" w:rsidP="0073217C">
            <w:pPr>
              <w:keepNext/>
              <w:keepLines/>
              <w:suppressAutoHyphens/>
              <w:spacing w:line="259" w:lineRule="auto"/>
              <w:ind w:hanging="11"/>
              <w:jc w:val="center"/>
              <w:rPr>
                <w:color w:val="auto"/>
                <w:lang w:val="is-IS"/>
              </w:rPr>
            </w:pPr>
            <w:r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00E46FA2" w:rsidRPr="001038B1">
              <w:rPr>
                <w:color w:val="auto"/>
                <w:lang w:val="is-IS"/>
              </w:rPr>
              <w:t>242)</w:t>
            </w:r>
          </w:p>
        </w:tc>
        <w:tc>
          <w:tcPr>
            <w:tcW w:w="1244" w:type="dxa"/>
            <w:tcBorders>
              <w:top w:val="single" w:sz="4" w:space="0" w:color="auto"/>
              <w:left w:val="single" w:sz="4" w:space="0" w:color="auto"/>
              <w:bottom w:val="single" w:sz="4" w:space="0" w:color="auto"/>
              <w:right w:val="single" w:sz="4" w:space="0" w:color="auto"/>
            </w:tcBorders>
            <w:noWrap/>
            <w:hideMark/>
          </w:tcPr>
          <w:p w14:paraId="2D6480D3" w14:textId="77777777" w:rsidR="006C06D6" w:rsidRPr="001038B1" w:rsidRDefault="00690564" w:rsidP="0073217C">
            <w:pPr>
              <w:keepNext/>
              <w:keepLines/>
              <w:suppressAutoHyphens/>
              <w:spacing w:after="2" w:line="259" w:lineRule="auto"/>
              <w:ind w:right="64" w:hanging="11"/>
              <w:jc w:val="center"/>
              <w:rPr>
                <w:color w:val="auto"/>
                <w:lang w:val="is-IS"/>
              </w:rPr>
            </w:pPr>
            <w:proofErr w:type="spellStart"/>
            <w:r>
              <w:t>Bevacízúmab</w:t>
            </w:r>
            <w:proofErr w:type="spellEnd"/>
            <w:r w:rsidR="00E46FA2" w:rsidRPr="001038B1">
              <w:rPr>
                <w:color w:val="auto"/>
                <w:lang w:val="is-IS"/>
              </w:rPr>
              <w:t xml:space="preserve"> + C/G</w:t>
            </w:r>
          </w:p>
          <w:p w14:paraId="03AEFBB8" w14:textId="77777777" w:rsidR="00577087" w:rsidRPr="001038B1" w:rsidRDefault="00577087" w:rsidP="0073217C">
            <w:pPr>
              <w:keepNext/>
              <w:keepLines/>
              <w:suppressAutoHyphens/>
              <w:spacing w:line="259" w:lineRule="auto"/>
              <w:ind w:right="63" w:hanging="11"/>
              <w:jc w:val="center"/>
              <w:rPr>
                <w:color w:val="auto"/>
                <w:lang w:val="is-IS"/>
              </w:rPr>
            </w:pPr>
            <w:r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00E46FA2" w:rsidRPr="001038B1">
              <w:rPr>
                <w:color w:val="auto"/>
                <w:lang w:val="is-IS"/>
              </w:rPr>
              <w:t>242)</w:t>
            </w:r>
          </w:p>
        </w:tc>
      </w:tr>
      <w:tr w:rsidR="00D10853" w:rsidRPr="001038B1" w14:paraId="2E9B7D70"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4980771A" w14:textId="77777777" w:rsidR="00577087" w:rsidRPr="001038B1" w:rsidRDefault="00577087" w:rsidP="0073217C">
            <w:pPr>
              <w:suppressAutoHyphens/>
              <w:spacing w:after="0" w:line="240" w:lineRule="auto"/>
              <w:ind w:left="567" w:firstLine="0"/>
              <w:rPr>
                <w:color w:val="auto"/>
                <w:lang w:val="is-IS"/>
              </w:rPr>
            </w:pPr>
            <w:r w:rsidRPr="001038B1">
              <w:rPr>
                <w:color w:val="auto"/>
                <w:lang w:val="is-IS"/>
              </w:rPr>
              <w:t xml:space="preserve">% sjúklinga með hlutlæga svörun </w:t>
            </w:r>
          </w:p>
        </w:tc>
        <w:tc>
          <w:tcPr>
            <w:tcW w:w="1176" w:type="dxa"/>
            <w:tcBorders>
              <w:top w:val="single" w:sz="4" w:space="0" w:color="auto"/>
              <w:left w:val="single" w:sz="4" w:space="0" w:color="auto"/>
              <w:bottom w:val="single" w:sz="4" w:space="0" w:color="auto"/>
              <w:right w:val="single" w:sz="4" w:space="0" w:color="auto"/>
            </w:tcBorders>
            <w:noWrap/>
            <w:vAlign w:val="center"/>
            <w:hideMark/>
          </w:tcPr>
          <w:p w14:paraId="6065FEC7" w14:textId="77777777" w:rsidR="00577087" w:rsidRPr="001038B1" w:rsidRDefault="00577087" w:rsidP="0073217C">
            <w:pPr>
              <w:suppressAutoHyphens/>
              <w:spacing w:line="259" w:lineRule="auto"/>
              <w:ind w:right="61" w:hanging="11"/>
              <w:jc w:val="center"/>
              <w:rPr>
                <w:color w:val="auto"/>
                <w:lang w:val="is-IS"/>
              </w:rPr>
            </w:pPr>
            <w:r w:rsidRPr="001038B1">
              <w:rPr>
                <w:color w:val="auto"/>
                <w:lang w:val="is-IS"/>
              </w:rPr>
              <w:t xml:space="preserve">57,4% </w:t>
            </w:r>
          </w:p>
        </w:tc>
        <w:tc>
          <w:tcPr>
            <w:tcW w:w="1514" w:type="dxa"/>
            <w:tcBorders>
              <w:top w:val="single" w:sz="4" w:space="0" w:color="auto"/>
              <w:left w:val="single" w:sz="4" w:space="0" w:color="auto"/>
              <w:bottom w:val="single" w:sz="4" w:space="0" w:color="auto"/>
              <w:right w:val="single" w:sz="4" w:space="0" w:color="auto"/>
            </w:tcBorders>
            <w:noWrap/>
            <w:vAlign w:val="center"/>
            <w:hideMark/>
          </w:tcPr>
          <w:p w14:paraId="43EC0C6F" w14:textId="77777777" w:rsidR="00577087" w:rsidRPr="001038B1" w:rsidRDefault="00577087" w:rsidP="0073217C">
            <w:pPr>
              <w:suppressAutoHyphens/>
              <w:spacing w:line="259" w:lineRule="auto"/>
              <w:ind w:right="61" w:hanging="11"/>
              <w:jc w:val="center"/>
              <w:rPr>
                <w:color w:val="auto"/>
                <w:lang w:val="is-IS"/>
              </w:rPr>
            </w:pPr>
            <w:r w:rsidRPr="001038B1">
              <w:rPr>
                <w:color w:val="auto"/>
                <w:lang w:val="is-IS"/>
              </w:rPr>
              <w:t xml:space="preserve">78,5% </w:t>
            </w:r>
          </w:p>
        </w:tc>
        <w:tc>
          <w:tcPr>
            <w:tcW w:w="1499" w:type="dxa"/>
            <w:tcBorders>
              <w:top w:val="single" w:sz="4" w:space="0" w:color="auto"/>
              <w:left w:val="single" w:sz="4" w:space="0" w:color="auto"/>
              <w:bottom w:val="single" w:sz="4" w:space="0" w:color="auto"/>
              <w:right w:val="single" w:sz="4" w:space="0" w:color="auto"/>
            </w:tcBorders>
            <w:noWrap/>
            <w:vAlign w:val="center"/>
            <w:hideMark/>
          </w:tcPr>
          <w:p w14:paraId="51A5C6A1" w14:textId="77777777" w:rsidR="00577087" w:rsidRPr="001038B1" w:rsidRDefault="00577087" w:rsidP="0073217C">
            <w:pPr>
              <w:suppressAutoHyphens/>
              <w:spacing w:line="259" w:lineRule="auto"/>
              <w:ind w:right="65" w:hanging="11"/>
              <w:jc w:val="center"/>
              <w:rPr>
                <w:color w:val="auto"/>
                <w:lang w:val="is-IS"/>
              </w:rPr>
            </w:pPr>
            <w:r w:rsidRPr="001038B1">
              <w:rPr>
                <w:color w:val="auto"/>
                <w:lang w:val="is-IS"/>
              </w:rPr>
              <w:t xml:space="preserve">53,7% </w:t>
            </w:r>
          </w:p>
        </w:tc>
        <w:tc>
          <w:tcPr>
            <w:tcW w:w="1244" w:type="dxa"/>
            <w:tcBorders>
              <w:top w:val="single" w:sz="4" w:space="0" w:color="auto"/>
              <w:left w:val="single" w:sz="4" w:space="0" w:color="auto"/>
              <w:bottom w:val="single" w:sz="4" w:space="0" w:color="auto"/>
              <w:right w:val="single" w:sz="4" w:space="0" w:color="auto"/>
            </w:tcBorders>
            <w:noWrap/>
            <w:vAlign w:val="center"/>
            <w:hideMark/>
          </w:tcPr>
          <w:p w14:paraId="5FC1F331" w14:textId="77777777" w:rsidR="00577087" w:rsidRPr="001038B1" w:rsidRDefault="00577087" w:rsidP="0073217C">
            <w:pPr>
              <w:suppressAutoHyphens/>
              <w:spacing w:line="259" w:lineRule="auto"/>
              <w:ind w:right="66" w:hanging="11"/>
              <w:jc w:val="center"/>
              <w:rPr>
                <w:color w:val="auto"/>
                <w:lang w:val="is-IS"/>
              </w:rPr>
            </w:pPr>
            <w:r w:rsidRPr="001038B1">
              <w:rPr>
                <w:color w:val="auto"/>
                <w:lang w:val="is-IS"/>
              </w:rPr>
              <w:t xml:space="preserve">74,8% </w:t>
            </w:r>
          </w:p>
        </w:tc>
      </w:tr>
      <w:tr w:rsidR="00E05E3D" w:rsidRPr="001038B1" w14:paraId="2981A035"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1E27F4FA" w14:textId="77777777" w:rsidR="00577087" w:rsidRPr="001038B1" w:rsidRDefault="00577087" w:rsidP="0073217C">
            <w:pPr>
              <w:suppressAutoHyphens/>
              <w:spacing w:after="0" w:line="240" w:lineRule="auto"/>
              <w:ind w:left="567" w:firstLine="0"/>
              <w:rPr>
                <w:color w:val="auto"/>
                <w:lang w:val="is-IS"/>
              </w:rPr>
            </w:pPr>
            <w:r w:rsidRPr="001038B1">
              <w:rPr>
                <w:color w:val="auto"/>
                <w:lang w:val="is-IS"/>
              </w:rPr>
              <w:t xml:space="preserve">p-gildi </w:t>
            </w:r>
          </w:p>
        </w:tc>
        <w:tc>
          <w:tcPr>
            <w:tcW w:w="2690" w:type="dxa"/>
            <w:gridSpan w:val="2"/>
            <w:tcBorders>
              <w:top w:val="single" w:sz="4" w:space="0" w:color="auto"/>
              <w:left w:val="single" w:sz="4" w:space="0" w:color="auto"/>
              <w:bottom w:val="single" w:sz="4" w:space="0" w:color="auto"/>
              <w:right w:val="single" w:sz="4" w:space="0" w:color="auto"/>
            </w:tcBorders>
            <w:noWrap/>
            <w:hideMark/>
          </w:tcPr>
          <w:p w14:paraId="7DEDD2A3" w14:textId="77777777" w:rsidR="00577087" w:rsidRPr="001038B1" w:rsidRDefault="00577087" w:rsidP="0073217C">
            <w:pPr>
              <w:suppressAutoHyphens/>
              <w:spacing w:line="259" w:lineRule="auto"/>
              <w:ind w:right="62" w:hanging="11"/>
              <w:jc w:val="center"/>
              <w:rPr>
                <w:color w:val="auto"/>
                <w:lang w:val="is-IS"/>
              </w:rPr>
            </w:pPr>
            <w:r w:rsidRPr="001038B1">
              <w:rPr>
                <w:color w:val="auto"/>
                <w:lang w:val="is-IS"/>
              </w:rPr>
              <w:t>&lt;</w:t>
            </w:r>
            <w:r w:rsidR="00D14DCD">
              <w:rPr>
                <w:color w:val="auto"/>
                <w:lang w:val="is-IS"/>
              </w:rPr>
              <w:t> </w:t>
            </w:r>
            <w:r w:rsidRPr="001038B1">
              <w:rPr>
                <w:color w:val="auto"/>
                <w:lang w:val="is-IS"/>
              </w:rPr>
              <w:t xml:space="preserve">0,0001 </w:t>
            </w:r>
          </w:p>
        </w:tc>
        <w:tc>
          <w:tcPr>
            <w:tcW w:w="2743" w:type="dxa"/>
            <w:gridSpan w:val="2"/>
            <w:tcBorders>
              <w:top w:val="single" w:sz="4" w:space="0" w:color="auto"/>
              <w:left w:val="single" w:sz="4" w:space="0" w:color="auto"/>
              <w:bottom w:val="single" w:sz="4" w:space="0" w:color="auto"/>
              <w:right w:val="single" w:sz="4" w:space="0" w:color="auto"/>
            </w:tcBorders>
            <w:noWrap/>
            <w:hideMark/>
          </w:tcPr>
          <w:p w14:paraId="27B6C3C8" w14:textId="77777777" w:rsidR="00577087" w:rsidRPr="001038B1" w:rsidRDefault="00577087" w:rsidP="0073217C">
            <w:pPr>
              <w:suppressAutoHyphens/>
              <w:spacing w:line="259" w:lineRule="auto"/>
              <w:ind w:right="62" w:hanging="11"/>
              <w:jc w:val="center"/>
              <w:rPr>
                <w:color w:val="auto"/>
                <w:lang w:val="is-IS"/>
              </w:rPr>
            </w:pPr>
            <w:r w:rsidRPr="001038B1">
              <w:rPr>
                <w:color w:val="auto"/>
                <w:lang w:val="is-IS"/>
              </w:rPr>
              <w:t>&lt;</w:t>
            </w:r>
            <w:r w:rsidR="00D14DCD">
              <w:rPr>
                <w:color w:val="auto"/>
                <w:lang w:val="is-IS"/>
              </w:rPr>
              <w:t> </w:t>
            </w:r>
            <w:r w:rsidRPr="001038B1">
              <w:rPr>
                <w:color w:val="auto"/>
                <w:lang w:val="is-IS"/>
              </w:rPr>
              <w:t xml:space="preserve">0,0001 </w:t>
            </w:r>
          </w:p>
        </w:tc>
      </w:tr>
      <w:tr w:rsidR="00E05E3D" w:rsidRPr="001038B1" w14:paraId="2D6B1A26" w14:textId="77777777" w:rsidTr="00D10853">
        <w:trPr>
          <w:trHeight w:val="300"/>
        </w:trPr>
        <w:tc>
          <w:tcPr>
            <w:tcW w:w="8552" w:type="dxa"/>
            <w:gridSpan w:val="5"/>
            <w:tcBorders>
              <w:top w:val="single" w:sz="4" w:space="0" w:color="auto"/>
              <w:left w:val="single" w:sz="4" w:space="0" w:color="auto"/>
              <w:bottom w:val="single" w:sz="4" w:space="0" w:color="auto"/>
              <w:right w:val="single" w:sz="4" w:space="0" w:color="auto"/>
            </w:tcBorders>
            <w:noWrap/>
            <w:vAlign w:val="bottom"/>
            <w:hideMark/>
          </w:tcPr>
          <w:p w14:paraId="6CEBCED8" w14:textId="77777777" w:rsidR="00577087" w:rsidRPr="001038B1" w:rsidRDefault="00577087" w:rsidP="0073217C">
            <w:pPr>
              <w:keepNext/>
              <w:keepLines/>
              <w:suppressAutoHyphens/>
              <w:spacing w:line="240" w:lineRule="auto"/>
              <w:ind w:hanging="11"/>
              <w:rPr>
                <w:color w:val="auto"/>
                <w:lang w:val="is-IS"/>
              </w:rPr>
            </w:pPr>
            <w:r w:rsidRPr="001038B1">
              <w:rPr>
                <w:color w:val="auto"/>
                <w:lang w:val="is-IS"/>
              </w:rPr>
              <w:t>Heildarlifun</w:t>
            </w:r>
          </w:p>
        </w:tc>
      </w:tr>
      <w:tr w:rsidR="00E05E3D" w:rsidRPr="001038B1" w14:paraId="213CC28B"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00D6EA04" w14:textId="77777777" w:rsidR="00577087" w:rsidRPr="001038B1" w:rsidRDefault="00577087" w:rsidP="0073217C">
            <w:pPr>
              <w:keepNext/>
              <w:keepLines/>
              <w:suppressAutoHyphens/>
              <w:ind w:hanging="11"/>
              <w:rPr>
                <w:color w:val="auto"/>
                <w:lang w:val="is-IS"/>
              </w:rPr>
            </w:pPr>
          </w:p>
        </w:tc>
        <w:tc>
          <w:tcPr>
            <w:tcW w:w="2690" w:type="dxa"/>
            <w:gridSpan w:val="2"/>
            <w:tcBorders>
              <w:top w:val="single" w:sz="4" w:space="0" w:color="auto"/>
              <w:left w:val="single" w:sz="4" w:space="0" w:color="auto"/>
              <w:bottom w:val="single" w:sz="4" w:space="0" w:color="auto"/>
              <w:right w:val="single" w:sz="4" w:space="0" w:color="auto"/>
            </w:tcBorders>
            <w:noWrap/>
            <w:hideMark/>
          </w:tcPr>
          <w:p w14:paraId="4FDC567F" w14:textId="77777777" w:rsidR="00DC27F3" w:rsidRDefault="00577087" w:rsidP="00DC27F3">
            <w:pPr>
              <w:keepNext/>
              <w:keepLines/>
              <w:suppressAutoHyphens/>
              <w:spacing w:after="0" w:line="240" w:lineRule="auto"/>
              <w:ind w:left="0" w:firstLine="0"/>
              <w:jc w:val="center"/>
              <w:rPr>
                <w:color w:val="auto"/>
                <w:lang w:val="is-IS"/>
              </w:rPr>
            </w:pPr>
            <w:r w:rsidRPr="001038B1">
              <w:rPr>
                <w:color w:val="auto"/>
                <w:lang w:val="is-IS"/>
              </w:rPr>
              <w:t>Lyfleysa + C/G</w:t>
            </w:r>
          </w:p>
          <w:p w14:paraId="52EF2512" w14:textId="77777777" w:rsidR="00577087" w:rsidRPr="001038B1" w:rsidRDefault="00DC27F3" w:rsidP="00DC27F3">
            <w:pPr>
              <w:keepNext/>
              <w:keepLines/>
              <w:suppressAutoHyphens/>
              <w:spacing w:after="0" w:line="240" w:lineRule="auto"/>
              <w:ind w:left="0" w:firstLine="0"/>
              <w:jc w:val="center"/>
              <w:rPr>
                <w:color w:val="auto"/>
                <w:lang w:val="is-IS"/>
              </w:rPr>
            </w:pPr>
            <w:r>
              <w:rPr>
                <w:color w:val="auto"/>
                <w:lang w:val="is-IS"/>
              </w:rPr>
              <w:t>(</w:t>
            </w:r>
            <w:r w:rsidR="00577087"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00577087" w:rsidRPr="001038B1">
              <w:rPr>
                <w:color w:val="auto"/>
                <w:lang w:val="is-IS"/>
              </w:rPr>
              <w:t xml:space="preserve">42) </w:t>
            </w:r>
          </w:p>
        </w:tc>
        <w:tc>
          <w:tcPr>
            <w:tcW w:w="2743" w:type="dxa"/>
            <w:gridSpan w:val="2"/>
            <w:tcBorders>
              <w:top w:val="single" w:sz="4" w:space="0" w:color="auto"/>
              <w:left w:val="single" w:sz="4" w:space="0" w:color="auto"/>
              <w:bottom w:val="single" w:sz="4" w:space="0" w:color="auto"/>
              <w:right w:val="single" w:sz="4" w:space="0" w:color="auto"/>
            </w:tcBorders>
            <w:noWrap/>
            <w:hideMark/>
          </w:tcPr>
          <w:p w14:paraId="3B6E0E2A" w14:textId="77777777" w:rsidR="00DC27F3" w:rsidRDefault="00690564" w:rsidP="00DC27F3">
            <w:pPr>
              <w:keepNext/>
              <w:keepLines/>
              <w:suppressAutoHyphens/>
              <w:spacing w:after="0" w:line="240" w:lineRule="auto"/>
              <w:ind w:left="0" w:firstLine="0"/>
              <w:jc w:val="center"/>
              <w:rPr>
                <w:color w:val="auto"/>
                <w:lang w:val="is-IS"/>
              </w:rPr>
            </w:pPr>
            <w:proofErr w:type="spellStart"/>
            <w:r>
              <w:t>Bevacízúmab</w:t>
            </w:r>
            <w:proofErr w:type="spellEnd"/>
            <w:r w:rsidR="00DC27F3">
              <w:rPr>
                <w:color w:val="auto"/>
                <w:lang w:val="is-IS"/>
              </w:rPr>
              <w:t xml:space="preserve"> + C/G</w:t>
            </w:r>
          </w:p>
          <w:p w14:paraId="082226F2" w14:textId="77777777" w:rsidR="00577087" w:rsidRPr="001038B1" w:rsidRDefault="00577087" w:rsidP="00DC27F3">
            <w:pPr>
              <w:keepNext/>
              <w:keepLines/>
              <w:suppressAutoHyphens/>
              <w:spacing w:after="0" w:line="240" w:lineRule="auto"/>
              <w:ind w:left="0" w:firstLine="0"/>
              <w:jc w:val="center"/>
              <w:rPr>
                <w:color w:val="auto"/>
                <w:lang w:val="is-IS"/>
              </w:rPr>
            </w:pPr>
            <w:r w:rsidRPr="001038B1">
              <w:rPr>
                <w:color w:val="auto"/>
                <w:lang w:val="is-IS"/>
              </w:rPr>
              <w:t>(n</w:t>
            </w:r>
            <w:r w:rsidR="00D14DCD">
              <w:rPr>
                <w:color w:val="auto"/>
                <w:lang w:val="is-IS"/>
              </w:rPr>
              <w:t> </w:t>
            </w:r>
            <w:r w:rsidR="00700BDC" w:rsidRPr="001038B1">
              <w:rPr>
                <w:color w:val="auto"/>
                <w:lang w:val="is-IS"/>
              </w:rPr>
              <w:t>=</w:t>
            </w:r>
            <w:r w:rsidR="00D14DCD">
              <w:rPr>
                <w:color w:val="auto"/>
                <w:lang w:val="is-IS"/>
              </w:rPr>
              <w:t> </w:t>
            </w:r>
            <w:r w:rsidR="00DC27F3">
              <w:rPr>
                <w:color w:val="auto"/>
                <w:lang w:val="is-IS"/>
              </w:rPr>
              <w:t>242)</w:t>
            </w:r>
          </w:p>
        </w:tc>
      </w:tr>
      <w:tr w:rsidR="00E05E3D" w:rsidRPr="001038B1" w14:paraId="78FCB950"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330023EA" w14:textId="77777777" w:rsidR="00577087" w:rsidRPr="001038B1" w:rsidRDefault="00577087" w:rsidP="0073217C">
            <w:pPr>
              <w:keepNext/>
              <w:keepLines/>
              <w:suppressAutoHyphens/>
              <w:spacing w:after="0" w:line="240" w:lineRule="auto"/>
              <w:ind w:left="567" w:firstLine="0"/>
              <w:rPr>
                <w:color w:val="auto"/>
                <w:lang w:val="is-IS"/>
              </w:rPr>
            </w:pPr>
            <w:r w:rsidRPr="001038B1">
              <w:rPr>
                <w:color w:val="auto"/>
                <w:lang w:val="is-IS"/>
              </w:rPr>
              <w:t xml:space="preserve">Miðgildi heildarlifunar (mánuðir) </w:t>
            </w:r>
          </w:p>
        </w:tc>
        <w:tc>
          <w:tcPr>
            <w:tcW w:w="2690" w:type="dxa"/>
            <w:gridSpan w:val="2"/>
            <w:tcBorders>
              <w:top w:val="single" w:sz="4" w:space="0" w:color="auto"/>
              <w:left w:val="single" w:sz="4" w:space="0" w:color="auto"/>
              <w:bottom w:val="single" w:sz="4" w:space="0" w:color="auto"/>
              <w:right w:val="single" w:sz="4" w:space="0" w:color="auto"/>
            </w:tcBorders>
            <w:noWrap/>
            <w:vAlign w:val="center"/>
            <w:hideMark/>
          </w:tcPr>
          <w:p w14:paraId="276EA48C" w14:textId="77777777" w:rsidR="00577087" w:rsidRPr="001038B1" w:rsidRDefault="00577087" w:rsidP="0073217C">
            <w:pPr>
              <w:keepNext/>
              <w:keepLines/>
              <w:suppressAutoHyphens/>
              <w:spacing w:line="259" w:lineRule="auto"/>
              <w:ind w:right="62" w:hanging="11"/>
              <w:jc w:val="center"/>
              <w:rPr>
                <w:color w:val="auto"/>
                <w:lang w:val="is-IS"/>
              </w:rPr>
            </w:pPr>
            <w:r w:rsidRPr="001038B1">
              <w:rPr>
                <w:color w:val="auto"/>
                <w:lang w:val="is-IS"/>
              </w:rPr>
              <w:t xml:space="preserve">32,9 </w:t>
            </w:r>
          </w:p>
        </w:tc>
        <w:tc>
          <w:tcPr>
            <w:tcW w:w="2743" w:type="dxa"/>
            <w:gridSpan w:val="2"/>
            <w:tcBorders>
              <w:top w:val="single" w:sz="4" w:space="0" w:color="auto"/>
              <w:left w:val="single" w:sz="4" w:space="0" w:color="auto"/>
              <w:bottom w:val="single" w:sz="4" w:space="0" w:color="auto"/>
              <w:right w:val="single" w:sz="4" w:space="0" w:color="auto"/>
            </w:tcBorders>
            <w:noWrap/>
            <w:vAlign w:val="center"/>
            <w:hideMark/>
          </w:tcPr>
          <w:p w14:paraId="5AAB4ED9" w14:textId="77777777" w:rsidR="00577087" w:rsidRPr="001038B1" w:rsidRDefault="00577087" w:rsidP="0073217C">
            <w:pPr>
              <w:keepNext/>
              <w:keepLines/>
              <w:suppressAutoHyphens/>
              <w:spacing w:line="259" w:lineRule="auto"/>
              <w:ind w:right="62" w:hanging="11"/>
              <w:jc w:val="center"/>
              <w:rPr>
                <w:color w:val="auto"/>
                <w:lang w:val="is-IS"/>
              </w:rPr>
            </w:pPr>
            <w:r w:rsidRPr="001038B1">
              <w:rPr>
                <w:color w:val="auto"/>
                <w:lang w:val="is-IS"/>
              </w:rPr>
              <w:t xml:space="preserve">33,6 </w:t>
            </w:r>
          </w:p>
        </w:tc>
      </w:tr>
      <w:tr w:rsidR="00E05E3D" w:rsidRPr="001038B1" w14:paraId="66828F87"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125E3424" w14:textId="35D3713B" w:rsidR="00577087" w:rsidRPr="001038B1" w:rsidRDefault="00577087" w:rsidP="0073217C">
            <w:pPr>
              <w:keepNext/>
              <w:keepLines/>
              <w:suppressAutoHyphens/>
              <w:spacing w:after="0" w:line="240" w:lineRule="auto"/>
              <w:ind w:left="567" w:firstLine="0"/>
              <w:rPr>
                <w:color w:val="auto"/>
                <w:lang w:val="is-IS"/>
              </w:rPr>
            </w:pPr>
            <w:r w:rsidRPr="001038B1">
              <w:rPr>
                <w:color w:val="auto"/>
                <w:lang w:val="is-IS"/>
              </w:rPr>
              <w:t>Áhættuhlutfall</w:t>
            </w:r>
            <w:r w:rsidR="00780FA1" w:rsidRPr="001038B1">
              <w:rPr>
                <w:color w:val="auto"/>
                <w:lang w:val="is-IS"/>
              </w:rPr>
              <w:t xml:space="preserve"> </w:t>
            </w:r>
            <w:r w:rsidRPr="001038B1">
              <w:rPr>
                <w:color w:val="auto"/>
                <w:lang w:val="is-IS"/>
              </w:rPr>
              <w:t xml:space="preserve">(95% </w:t>
            </w:r>
            <w:r w:rsidR="00495BB7" w:rsidRPr="001038B1">
              <w:rPr>
                <w:color w:val="auto"/>
                <w:lang w:val="is-IS"/>
              </w:rPr>
              <w:t>öryggis</w:t>
            </w:r>
            <w:r w:rsidR="00495BB7">
              <w:rPr>
                <w:color w:val="auto"/>
                <w:lang w:val="is-IS"/>
              </w:rPr>
              <w:t>bil</w:t>
            </w:r>
            <w:r w:rsidRPr="001038B1">
              <w:rPr>
                <w:color w:val="auto"/>
                <w:lang w:val="is-IS"/>
              </w:rPr>
              <w:t xml:space="preserve">) </w:t>
            </w:r>
          </w:p>
        </w:tc>
        <w:tc>
          <w:tcPr>
            <w:tcW w:w="5433" w:type="dxa"/>
            <w:gridSpan w:val="4"/>
            <w:tcBorders>
              <w:top w:val="single" w:sz="4" w:space="0" w:color="auto"/>
              <w:left w:val="single" w:sz="4" w:space="0" w:color="auto"/>
              <w:bottom w:val="single" w:sz="4" w:space="0" w:color="auto"/>
              <w:right w:val="single" w:sz="4" w:space="0" w:color="auto"/>
            </w:tcBorders>
            <w:noWrap/>
            <w:vAlign w:val="center"/>
            <w:hideMark/>
          </w:tcPr>
          <w:p w14:paraId="43030924" w14:textId="77777777" w:rsidR="00577087" w:rsidRPr="001038B1" w:rsidRDefault="00577087" w:rsidP="0073217C">
            <w:pPr>
              <w:keepNext/>
              <w:keepLines/>
              <w:suppressAutoHyphens/>
              <w:spacing w:line="259" w:lineRule="auto"/>
              <w:ind w:right="63" w:hanging="11"/>
              <w:jc w:val="center"/>
              <w:rPr>
                <w:color w:val="auto"/>
                <w:lang w:val="is-IS"/>
              </w:rPr>
            </w:pPr>
            <w:r w:rsidRPr="001038B1">
              <w:rPr>
                <w:color w:val="auto"/>
                <w:lang w:val="is-IS"/>
              </w:rPr>
              <w:t xml:space="preserve">0,952 [0,771; 1,176] </w:t>
            </w:r>
          </w:p>
        </w:tc>
      </w:tr>
      <w:bookmarkEnd w:id="3"/>
      <w:tr w:rsidR="00E05E3D" w:rsidRPr="001038B1" w14:paraId="0BAEF69F" w14:textId="77777777" w:rsidTr="00D10853">
        <w:trPr>
          <w:trHeight w:val="300"/>
        </w:trPr>
        <w:tc>
          <w:tcPr>
            <w:tcW w:w="3119" w:type="dxa"/>
            <w:tcBorders>
              <w:top w:val="single" w:sz="4" w:space="0" w:color="auto"/>
              <w:left w:val="single" w:sz="4" w:space="0" w:color="auto"/>
              <w:bottom w:val="single" w:sz="4" w:space="0" w:color="auto"/>
              <w:right w:val="single" w:sz="4" w:space="0" w:color="auto"/>
            </w:tcBorders>
            <w:noWrap/>
            <w:hideMark/>
          </w:tcPr>
          <w:p w14:paraId="39C92C00" w14:textId="77777777" w:rsidR="00577087" w:rsidRPr="001038B1" w:rsidRDefault="00577087" w:rsidP="0073217C">
            <w:pPr>
              <w:suppressAutoHyphens/>
              <w:spacing w:after="0" w:line="240" w:lineRule="auto"/>
              <w:ind w:left="567" w:firstLine="0"/>
              <w:rPr>
                <w:color w:val="auto"/>
                <w:lang w:val="is-IS"/>
              </w:rPr>
            </w:pPr>
            <w:r w:rsidRPr="001038B1">
              <w:rPr>
                <w:color w:val="auto"/>
                <w:lang w:val="is-IS"/>
              </w:rPr>
              <w:t xml:space="preserve">p-gildi </w:t>
            </w:r>
          </w:p>
        </w:tc>
        <w:tc>
          <w:tcPr>
            <w:tcW w:w="5433" w:type="dxa"/>
            <w:gridSpan w:val="4"/>
            <w:tcBorders>
              <w:top w:val="single" w:sz="4" w:space="0" w:color="auto"/>
              <w:left w:val="single" w:sz="4" w:space="0" w:color="auto"/>
              <w:bottom w:val="single" w:sz="4" w:space="0" w:color="auto"/>
              <w:right w:val="single" w:sz="4" w:space="0" w:color="auto"/>
            </w:tcBorders>
            <w:noWrap/>
            <w:hideMark/>
          </w:tcPr>
          <w:p w14:paraId="75A9BC6F" w14:textId="77777777" w:rsidR="00577087" w:rsidRPr="001038B1" w:rsidRDefault="00577087" w:rsidP="0073217C">
            <w:pPr>
              <w:suppressAutoHyphens/>
              <w:spacing w:line="259" w:lineRule="auto"/>
              <w:ind w:right="62" w:hanging="11"/>
              <w:jc w:val="center"/>
              <w:rPr>
                <w:color w:val="auto"/>
                <w:lang w:val="is-IS"/>
              </w:rPr>
            </w:pPr>
            <w:r w:rsidRPr="001038B1">
              <w:rPr>
                <w:color w:val="auto"/>
                <w:lang w:val="is-IS"/>
              </w:rPr>
              <w:t xml:space="preserve">0,6479 </w:t>
            </w:r>
          </w:p>
        </w:tc>
      </w:tr>
    </w:tbl>
    <w:p w14:paraId="5237F4D2" w14:textId="77777777" w:rsidR="005F36F3" w:rsidRPr="009F7642" w:rsidRDefault="005F36F3" w:rsidP="0073217C">
      <w:pPr>
        <w:suppressAutoHyphens/>
        <w:spacing w:after="0" w:line="240" w:lineRule="auto"/>
        <w:ind w:left="0" w:firstLine="0"/>
        <w:rPr>
          <w:color w:val="auto"/>
          <w:lang w:val="is-IS"/>
        </w:rPr>
      </w:pPr>
    </w:p>
    <w:p w14:paraId="47B80BEF" w14:textId="74AF3AAE"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Greining á lifun án </w:t>
      </w:r>
      <w:r w:rsidR="00495BB7" w:rsidRPr="00FE5EE2">
        <w:rPr>
          <w:color w:val="auto"/>
          <w:lang w:val="is-IS"/>
        </w:rPr>
        <w:t>versnunar</w:t>
      </w:r>
      <w:r w:rsidRPr="009F7642">
        <w:rPr>
          <w:color w:val="auto"/>
          <w:lang w:val="is-IS"/>
        </w:rPr>
        <w:t xml:space="preserve"> sjúkdóms eftir því hve langur tími leið frá síðustu meðferð með platínusamböndum þar til sjúkdómurinn tók sig upp á</w:t>
      </w:r>
      <w:r w:rsidR="003C161D" w:rsidRPr="009F7642">
        <w:rPr>
          <w:color w:val="auto"/>
          <w:lang w:val="is-IS"/>
        </w:rPr>
        <w:t xml:space="preserve"> ný er tekin saman í </w:t>
      </w:r>
      <w:r w:rsidR="003C161D" w:rsidRPr="00504296">
        <w:rPr>
          <w:color w:val="auto"/>
          <w:lang w:val="is-IS"/>
        </w:rPr>
        <w:t xml:space="preserve">töflu </w:t>
      </w:r>
      <w:r w:rsidR="00781331">
        <w:rPr>
          <w:color w:val="auto"/>
          <w:lang w:val="is-IS"/>
        </w:rPr>
        <w:t>2</w:t>
      </w:r>
      <w:r w:rsidR="00BA1F34">
        <w:rPr>
          <w:color w:val="auto"/>
          <w:lang w:val="is-IS"/>
        </w:rPr>
        <w:t>1</w:t>
      </w:r>
      <w:r w:rsidR="003C161D" w:rsidRPr="009F7642">
        <w:rPr>
          <w:color w:val="auto"/>
          <w:lang w:val="is-IS"/>
        </w:rPr>
        <w:t>.</w:t>
      </w:r>
    </w:p>
    <w:p w14:paraId="7AAE9C06" w14:textId="77777777" w:rsidR="005F36F3" w:rsidRPr="009F7642" w:rsidRDefault="005F36F3" w:rsidP="0073217C">
      <w:pPr>
        <w:suppressAutoHyphens/>
        <w:spacing w:after="0" w:line="240" w:lineRule="auto"/>
        <w:ind w:left="0" w:firstLine="0"/>
        <w:rPr>
          <w:color w:val="auto"/>
          <w:lang w:val="is-IS"/>
        </w:rPr>
      </w:pPr>
    </w:p>
    <w:p w14:paraId="17A487F8" w14:textId="016B0EA4" w:rsidR="006C06D6" w:rsidRPr="00853796" w:rsidRDefault="00564614" w:rsidP="0073217C">
      <w:pPr>
        <w:keepNext/>
        <w:suppressAutoHyphens/>
        <w:spacing w:after="0" w:line="240" w:lineRule="auto"/>
        <w:ind w:left="0" w:firstLine="0"/>
        <w:rPr>
          <w:b/>
          <w:color w:val="auto"/>
          <w:lang w:val="is-IS"/>
        </w:rPr>
      </w:pPr>
      <w:r w:rsidRPr="00504296">
        <w:rPr>
          <w:b/>
          <w:color w:val="auto"/>
          <w:lang w:val="is-IS"/>
        </w:rPr>
        <w:t xml:space="preserve">Tafla </w:t>
      </w:r>
      <w:r w:rsidR="00781331">
        <w:rPr>
          <w:b/>
          <w:color w:val="auto"/>
          <w:lang w:val="is-IS"/>
        </w:rPr>
        <w:t>2</w:t>
      </w:r>
      <w:r w:rsidR="00BA1F34">
        <w:rPr>
          <w:b/>
          <w:color w:val="auto"/>
          <w:lang w:val="is-IS"/>
        </w:rPr>
        <w:t>1</w:t>
      </w:r>
      <w:r w:rsidR="00FE7644" w:rsidRPr="00853796">
        <w:rPr>
          <w:b/>
          <w:color w:val="auto"/>
          <w:lang w:val="is-IS"/>
        </w:rPr>
        <w:t>.</w:t>
      </w:r>
      <w:r w:rsidRPr="00853796">
        <w:rPr>
          <w:b/>
          <w:color w:val="auto"/>
          <w:lang w:val="is-IS"/>
        </w:rPr>
        <w:t xml:space="preserve"> Lifun án </w:t>
      </w:r>
      <w:r w:rsidR="00495BB7" w:rsidRPr="00495BB7">
        <w:rPr>
          <w:b/>
          <w:color w:val="auto"/>
          <w:lang w:val="is-IS"/>
        </w:rPr>
        <w:t>versnunar</w:t>
      </w:r>
      <w:r w:rsidRPr="00853796">
        <w:rPr>
          <w:b/>
          <w:color w:val="auto"/>
          <w:lang w:val="is-IS"/>
        </w:rPr>
        <w:t xml:space="preserve"> sjúkdóms eftir tíma frá síðustu meðferð með platínusamböndum til endurkomu sjúkdóms</w:t>
      </w:r>
    </w:p>
    <w:p w14:paraId="1E00FD41" w14:textId="77777777" w:rsidR="005F36F3" w:rsidRPr="009F7642" w:rsidRDefault="005F36F3" w:rsidP="0073217C">
      <w:pPr>
        <w:keepNext/>
        <w:suppressAutoHyphens/>
        <w:spacing w:after="0" w:line="240" w:lineRule="auto"/>
        <w:ind w:left="0" w:firstLine="0"/>
        <w:rPr>
          <w:color w:val="auto"/>
          <w:lang w:val="is-IS"/>
        </w:rPr>
      </w:pPr>
    </w:p>
    <w:tbl>
      <w:tblPr>
        <w:tblW w:w="0" w:type="auto"/>
        <w:tblInd w:w="93" w:type="dxa"/>
        <w:tblLook w:val="04A0" w:firstRow="1" w:lastRow="0" w:firstColumn="1" w:lastColumn="0" w:noHBand="0" w:noVBand="1"/>
      </w:tblPr>
      <w:tblGrid>
        <w:gridCol w:w="5285"/>
        <w:gridCol w:w="1847"/>
        <w:gridCol w:w="1835"/>
      </w:tblGrid>
      <w:tr w:rsidR="003714D4" w:rsidRPr="009F7642" w14:paraId="38804E6A" w14:textId="77777777" w:rsidTr="007566FC">
        <w:trPr>
          <w:trHeight w:val="300"/>
        </w:trPr>
        <w:tc>
          <w:tcPr>
            <w:tcW w:w="5285" w:type="dxa"/>
            <w:tcBorders>
              <w:top w:val="single" w:sz="4" w:space="0" w:color="auto"/>
              <w:left w:val="single" w:sz="4" w:space="0" w:color="auto"/>
              <w:bottom w:val="single" w:sz="4" w:space="0" w:color="auto"/>
              <w:right w:val="single" w:sz="4" w:space="0" w:color="auto"/>
            </w:tcBorders>
            <w:noWrap/>
            <w:vAlign w:val="bottom"/>
            <w:hideMark/>
          </w:tcPr>
          <w:p w14:paraId="27005705" w14:textId="77777777" w:rsidR="00544723" w:rsidRPr="00F2274F" w:rsidRDefault="00544723" w:rsidP="0073217C">
            <w:pPr>
              <w:suppressAutoHyphens/>
              <w:spacing w:line="240" w:lineRule="auto"/>
              <w:rPr>
                <w:b/>
                <w:color w:val="auto"/>
                <w:lang w:val="is-IS"/>
              </w:rPr>
            </w:pPr>
          </w:p>
        </w:tc>
        <w:tc>
          <w:tcPr>
            <w:tcW w:w="3682" w:type="dxa"/>
            <w:gridSpan w:val="2"/>
            <w:tcBorders>
              <w:top w:val="single" w:sz="4" w:space="0" w:color="auto"/>
              <w:left w:val="single" w:sz="4" w:space="0" w:color="auto"/>
              <w:bottom w:val="single" w:sz="4" w:space="0" w:color="auto"/>
              <w:right w:val="single" w:sz="4" w:space="0" w:color="auto"/>
            </w:tcBorders>
            <w:noWrap/>
            <w:vAlign w:val="bottom"/>
            <w:hideMark/>
          </w:tcPr>
          <w:p w14:paraId="53171B54" w14:textId="77777777" w:rsidR="00544723" w:rsidRPr="00D80F10" w:rsidRDefault="00544723" w:rsidP="0073217C">
            <w:pPr>
              <w:suppressAutoHyphens/>
              <w:spacing w:line="240" w:lineRule="auto"/>
              <w:jc w:val="center"/>
              <w:rPr>
                <w:b/>
                <w:color w:val="auto"/>
                <w:lang w:val="is-IS"/>
              </w:rPr>
            </w:pPr>
            <w:r w:rsidRPr="00D80F10">
              <w:rPr>
                <w:b/>
                <w:color w:val="auto"/>
                <w:lang w:val="is-IS"/>
              </w:rPr>
              <w:t>Mat rannsakanda</w:t>
            </w:r>
          </w:p>
        </w:tc>
      </w:tr>
      <w:tr w:rsidR="003714D4" w:rsidRPr="009F7642" w14:paraId="78D77F79" w14:textId="77777777" w:rsidTr="007566FC">
        <w:trPr>
          <w:trHeight w:val="600"/>
        </w:trPr>
        <w:tc>
          <w:tcPr>
            <w:tcW w:w="5285" w:type="dxa"/>
            <w:tcBorders>
              <w:top w:val="single" w:sz="4" w:space="0" w:color="auto"/>
              <w:left w:val="single" w:sz="4" w:space="0" w:color="auto"/>
              <w:bottom w:val="single" w:sz="4" w:space="0" w:color="auto"/>
              <w:right w:val="single" w:sz="4" w:space="0" w:color="auto"/>
            </w:tcBorders>
            <w:noWrap/>
            <w:vAlign w:val="bottom"/>
            <w:hideMark/>
          </w:tcPr>
          <w:p w14:paraId="2D4D1DBD" w14:textId="77777777" w:rsidR="00544723" w:rsidRPr="00F2274F" w:rsidRDefault="00544723" w:rsidP="0073217C">
            <w:pPr>
              <w:suppressAutoHyphens/>
              <w:spacing w:after="0" w:line="240" w:lineRule="auto"/>
              <w:ind w:left="0" w:firstLine="0"/>
              <w:rPr>
                <w:b/>
                <w:color w:val="auto"/>
                <w:lang w:val="is-IS"/>
              </w:rPr>
            </w:pPr>
            <w:r w:rsidRPr="00F2274F">
              <w:rPr>
                <w:b/>
                <w:color w:val="auto"/>
                <w:lang w:val="is-IS"/>
              </w:rPr>
              <w:t xml:space="preserve">Tími frá síðustu meðferð með platínusamböndum þar til sjúkdómurinn tók sig upp á ný </w:t>
            </w:r>
          </w:p>
        </w:tc>
        <w:tc>
          <w:tcPr>
            <w:tcW w:w="1847" w:type="dxa"/>
            <w:tcBorders>
              <w:top w:val="single" w:sz="4" w:space="0" w:color="auto"/>
              <w:left w:val="single" w:sz="4" w:space="0" w:color="auto"/>
              <w:bottom w:val="single" w:sz="4" w:space="0" w:color="auto"/>
              <w:right w:val="single" w:sz="4" w:space="0" w:color="auto"/>
            </w:tcBorders>
            <w:noWrap/>
            <w:vAlign w:val="bottom"/>
            <w:hideMark/>
          </w:tcPr>
          <w:p w14:paraId="027A9E5A" w14:textId="77777777" w:rsidR="006C06D6" w:rsidRPr="00F2274F" w:rsidRDefault="00544723" w:rsidP="0073217C">
            <w:pPr>
              <w:suppressAutoHyphens/>
              <w:spacing w:line="259" w:lineRule="auto"/>
              <w:ind w:left="59"/>
              <w:jc w:val="center"/>
              <w:rPr>
                <w:b/>
                <w:color w:val="auto"/>
                <w:lang w:val="is-IS"/>
              </w:rPr>
            </w:pPr>
            <w:r w:rsidRPr="00F2274F">
              <w:rPr>
                <w:b/>
                <w:color w:val="auto"/>
                <w:lang w:val="is-IS"/>
              </w:rPr>
              <w:t>Lyfleysa + C/G</w:t>
            </w:r>
          </w:p>
          <w:p w14:paraId="35198922" w14:textId="77777777" w:rsidR="00544723" w:rsidRPr="00F2274F" w:rsidRDefault="00544723" w:rsidP="0073217C">
            <w:pPr>
              <w:suppressAutoHyphens/>
              <w:spacing w:line="240" w:lineRule="auto"/>
              <w:jc w:val="center"/>
              <w:rPr>
                <w:b/>
                <w:color w:val="auto"/>
                <w:lang w:val="is-IS"/>
              </w:rPr>
            </w:pPr>
            <w:r w:rsidRPr="00F2274F">
              <w:rPr>
                <w:b/>
                <w:color w:val="auto"/>
                <w:lang w:val="is-IS"/>
              </w:rPr>
              <w:t>(n</w:t>
            </w:r>
            <w:r w:rsidR="00700BDC" w:rsidRPr="00F2274F">
              <w:rPr>
                <w:b/>
                <w:color w:val="auto"/>
                <w:lang w:val="is-IS"/>
              </w:rPr>
              <w:t xml:space="preserve"> = </w:t>
            </w:r>
            <w:r w:rsidRPr="00F2274F">
              <w:rPr>
                <w:b/>
                <w:color w:val="auto"/>
                <w:lang w:val="is-IS"/>
              </w:rPr>
              <w:t>242)</w:t>
            </w: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2FAEBE2A" w14:textId="77777777" w:rsidR="00544723" w:rsidRPr="00F2274F" w:rsidRDefault="00AD2376" w:rsidP="0073217C">
            <w:pPr>
              <w:suppressAutoHyphens/>
              <w:spacing w:line="240" w:lineRule="auto"/>
              <w:jc w:val="center"/>
              <w:rPr>
                <w:b/>
                <w:color w:val="auto"/>
                <w:lang w:val="is-IS"/>
              </w:rPr>
            </w:pPr>
            <w:proofErr w:type="spellStart"/>
            <w:r w:rsidRPr="00F2274F">
              <w:rPr>
                <w:b/>
              </w:rPr>
              <w:t>Bevacízúmab</w:t>
            </w:r>
            <w:proofErr w:type="spellEnd"/>
            <w:r w:rsidR="00544723" w:rsidRPr="00F2274F">
              <w:rPr>
                <w:b/>
                <w:color w:val="auto"/>
                <w:lang w:val="is-IS"/>
              </w:rPr>
              <w:t xml:space="preserve"> + C/G</w:t>
            </w:r>
          </w:p>
          <w:p w14:paraId="5DC20F72" w14:textId="77777777" w:rsidR="00544723" w:rsidRPr="00F2274F" w:rsidRDefault="00544723" w:rsidP="0073217C">
            <w:pPr>
              <w:suppressAutoHyphens/>
              <w:spacing w:line="240" w:lineRule="auto"/>
              <w:jc w:val="center"/>
              <w:rPr>
                <w:b/>
                <w:color w:val="auto"/>
                <w:lang w:val="is-IS"/>
              </w:rPr>
            </w:pPr>
            <w:r w:rsidRPr="00F2274F">
              <w:rPr>
                <w:b/>
                <w:color w:val="auto"/>
                <w:lang w:val="is-IS"/>
              </w:rPr>
              <w:t>(n</w:t>
            </w:r>
            <w:r w:rsidR="00700BDC" w:rsidRPr="00F2274F">
              <w:rPr>
                <w:b/>
                <w:color w:val="auto"/>
                <w:lang w:val="is-IS"/>
              </w:rPr>
              <w:t xml:space="preserve"> = </w:t>
            </w:r>
            <w:r w:rsidRPr="00F2274F">
              <w:rPr>
                <w:b/>
                <w:color w:val="auto"/>
                <w:lang w:val="is-IS"/>
              </w:rPr>
              <w:t>242)</w:t>
            </w:r>
          </w:p>
        </w:tc>
      </w:tr>
      <w:tr w:rsidR="003714D4" w:rsidRPr="009F7642" w14:paraId="0A5EA68C" w14:textId="77777777" w:rsidTr="007566FC">
        <w:trPr>
          <w:trHeight w:val="300"/>
        </w:trPr>
        <w:tc>
          <w:tcPr>
            <w:tcW w:w="5285" w:type="dxa"/>
            <w:tcBorders>
              <w:top w:val="single" w:sz="4" w:space="0" w:color="auto"/>
              <w:left w:val="single" w:sz="4" w:space="0" w:color="auto"/>
              <w:bottom w:val="single" w:sz="4" w:space="0" w:color="auto"/>
              <w:right w:val="single" w:sz="4" w:space="0" w:color="auto"/>
            </w:tcBorders>
            <w:noWrap/>
            <w:vAlign w:val="bottom"/>
            <w:hideMark/>
          </w:tcPr>
          <w:p w14:paraId="7E4236D8" w14:textId="77777777" w:rsidR="00544723" w:rsidRPr="009F7642" w:rsidRDefault="00544723" w:rsidP="0073217C">
            <w:pPr>
              <w:suppressAutoHyphens/>
              <w:spacing w:after="0" w:line="240" w:lineRule="auto"/>
              <w:ind w:left="0" w:firstLine="0"/>
              <w:rPr>
                <w:color w:val="auto"/>
                <w:lang w:val="is-IS"/>
              </w:rPr>
            </w:pPr>
            <w:r w:rsidRPr="009F7642">
              <w:rPr>
                <w:color w:val="auto"/>
                <w:lang w:val="is-IS"/>
              </w:rPr>
              <w:t>6 - 12 mánuðir (n</w:t>
            </w:r>
            <w:r w:rsidR="00700BDC">
              <w:rPr>
                <w:color w:val="auto"/>
                <w:lang w:val="is-IS"/>
              </w:rPr>
              <w:t xml:space="preserve"> = </w:t>
            </w:r>
            <w:r w:rsidRPr="009F7642">
              <w:rPr>
                <w:color w:val="auto"/>
                <w:lang w:val="is-IS"/>
              </w:rPr>
              <w:t>202)</w:t>
            </w:r>
          </w:p>
        </w:tc>
        <w:tc>
          <w:tcPr>
            <w:tcW w:w="1847" w:type="dxa"/>
            <w:tcBorders>
              <w:top w:val="single" w:sz="4" w:space="0" w:color="auto"/>
              <w:left w:val="single" w:sz="4" w:space="0" w:color="auto"/>
              <w:bottom w:val="single" w:sz="4" w:space="0" w:color="auto"/>
              <w:right w:val="single" w:sz="4" w:space="0" w:color="auto"/>
            </w:tcBorders>
            <w:noWrap/>
            <w:vAlign w:val="bottom"/>
            <w:hideMark/>
          </w:tcPr>
          <w:p w14:paraId="4D3F0044" w14:textId="77777777" w:rsidR="00544723" w:rsidRPr="009F7642" w:rsidRDefault="00544723" w:rsidP="0073217C">
            <w:pPr>
              <w:suppressAutoHyphens/>
              <w:rPr>
                <w:color w:val="auto"/>
                <w:lang w:val="is-IS"/>
              </w:rPr>
            </w:pP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04FA1E07" w14:textId="77777777" w:rsidR="00544723" w:rsidRPr="009F7642" w:rsidRDefault="00544723" w:rsidP="0073217C">
            <w:pPr>
              <w:suppressAutoHyphens/>
              <w:spacing w:line="240" w:lineRule="auto"/>
              <w:rPr>
                <w:rFonts w:eastAsia="SimSun"/>
                <w:color w:val="auto"/>
                <w:lang w:val="is-IS" w:eastAsia="en-IN"/>
              </w:rPr>
            </w:pPr>
          </w:p>
        </w:tc>
      </w:tr>
      <w:tr w:rsidR="003714D4" w:rsidRPr="009F7642" w14:paraId="15EBBF5E" w14:textId="77777777" w:rsidTr="007566FC">
        <w:trPr>
          <w:trHeight w:val="300"/>
        </w:trPr>
        <w:tc>
          <w:tcPr>
            <w:tcW w:w="5285" w:type="dxa"/>
            <w:tcBorders>
              <w:top w:val="single" w:sz="4" w:space="0" w:color="auto"/>
              <w:left w:val="single" w:sz="4" w:space="0" w:color="auto"/>
              <w:bottom w:val="single" w:sz="4" w:space="0" w:color="auto"/>
              <w:right w:val="single" w:sz="4" w:space="0" w:color="auto"/>
            </w:tcBorders>
            <w:noWrap/>
            <w:vAlign w:val="bottom"/>
            <w:hideMark/>
          </w:tcPr>
          <w:p w14:paraId="6C27FE95" w14:textId="77777777" w:rsidR="00544723" w:rsidRPr="009F7642" w:rsidRDefault="00544723" w:rsidP="0073217C">
            <w:pPr>
              <w:suppressAutoHyphens/>
              <w:spacing w:after="0" w:line="240" w:lineRule="auto"/>
              <w:ind w:left="567" w:firstLine="0"/>
              <w:rPr>
                <w:color w:val="auto"/>
                <w:lang w:val="is-IS"/>
              </w:rPr>
            </w:pPr>
            <w:r w:rsidRPr="009F7642">
              <w:rPr>
                <w:color w:val="auto"/>
                <w:lang w:val="is-IS"/>
              </w:rPr>
              <w:t>Miðgildi</w:t>
            </w:r>
          </w:p>
        </w:tc>
        <w:tc>
          <w:tcPr>
            <w:tcW w:w="1847" w:type="dxa"/>
            <w:tcBorders>
              <w:top w:val="single" w:sz="4" w:space="0" w:color="auto"/>
              <w:left w:val="single" w:sz="4" w:space="0" w:color="auto"/>
              <w:bottom w:val="single" w:sz="4" w:space="0" w:color="auto"/>
              <w:right w:val="single" w:sz="4" w:space="0" w:color="auto"/>
            </w:tcBorders>
            <w:noWrap/>
            <w:vAlign w:val="bottom"/>
            <w:hideMark/>
          </w:tcPr>
          <w:p w14:paraId="555E7D09" w14:textId="77777777" w:rsidR="00544723" w:rsidRPr="009F7642" w:rsidRDefault="00544723" w:rsidP="0073217C">
            <w:pPr>
              <w:suppressAutoHyphens/>
              <w:spacing w:line="240" w:lineRule="auto"/>
              <w:jc w:val="center"/>
              <w:rPr>
                <w:color w:val="auto"/>
                <w:lang w:val="is-IS"/>
              </w:rPr>
            </w:pPr>
            <w:r w:rsidRPr="009F7642">
              <w:rPr>
                <w:color w:val="auto"/>
                <w:lang w:val="is-IS"/>
              </w:rPr>
              <w:t>8,0</w:t>
            </w: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24EF931E" w14:textId="77777777" w:rsidR="00544723" w:rsidRPr="009F7642" w:rsidRDefault="00544723" w:rsidP="0073217C">
            <w:pPr>
              <w:suppressAutoHyphens/>
              <w:spacing w:line="240" w:lineRule="auto"/>
              <w:jc w:val="center"/>
              <w:rPr>
                <w:color w:val="auto"/>
                <w:lang w:val="is-IS"/>
              </w:rPr>
            </w:pPr>
            <w:r w:rsidRPr="009F7642">
              <w:rPr>
                <w:color w:val="auto"/>
                <w:lang w:val="is-IS"/>
              </w:rPr>
              <w:t>11,9</w:t>
            </w:r>
          </w:p>
        </w:tc>
      </w:tr>
      <w:tr w:rsidR="003714D4" w:rsidRPr="009F7642" w14:paraId="4CECAE27" w14:textId="77777777" w:rsidTr="007566FC">
        <w:trPr>
          <w:trHeight w:val="300"/>
        </w:trPr>
        <w:tc>
          <w:tcPr>
            <w:tcW w:w="5285" w:type="dxa"/>
            <w:tcBorders>
              <w:top w:val="single" w:sz="4" w:space="0" w:color="auto"/>
              <w:left w:val="single" w:sz="4" w:space="0" w:color="auto"/>
              <w:bottom w:val="single" w:sz="4" w:space="0" w:color="auto"/>
              <w:right w:val="single" w:sz="4" w:space="0" w:color="auto"/>
            </w:tcBorders>
            <w:noWrap/>
            <w:vAlign w:val="bottom"/>
            <w:hideMark/>
          </w:tcPr>
          <w:p w14:paraId="101927FB" w14:textId="77777777" w:rsidR="006C06D6" w:rsidRPr="009F7642" w:rsidRDefault="00544723" w:rsidP="0073217C">
            <w:pPr>
              <w:suppressAutoHyphens/>
              <w:spacing w:after="0" w:line="240" w:lineRule="auto"/>
              <w:ind w:left="567" w:firstLine="0"/>
              <w:rPr>
                <w:color w:val="auto"/>
                <w:lang w:val="is-IS"/>
              </w:rPr>
            </w:pPr>
            <w:r w:rsidRPr="009F7642">
              <w:rPr>
                <w:color w:val="auto"/>
                <w:lang w:val="is-IS"/>
              </w:rPr>
              <w:t>Áhættuhlutfall</w:t>
            </w:r>
          </w:p>
          <w:p w14:paraId="301F8FD1" w14:textId="031D4C93" w:rsidR="00544723" w:rsidRPr="009F7642" w:rsidRDefault="00544723" w:rsidP="0073217C">
            <w:pPr>
              <w:suppressAutoHyphens/>
              <w:spacing w:line="240" w:lineRule="auto"/>
              <w:ind w:left="567"/>
              <w:rPr>
                <w:color w:val="auto"/>
                <w:lang w:val="is-IS"/>
              </w:rPr>
            </w:pPr>
            <w:r w:rsidRPr="009F7642">
              <w:rPr>
                <w:color w:val="auto"/>
                <w:lang w:val="is-IS"/>
              </w:rPr>
              <w:t xml:space="preserve">(95% </w:t>
            </w:r>
            <w:r w:rsidR="00495BB7" w:rsidRPr="009F7642">
              <w:rPr>
                <w:color w:val="auto"/>
                <w:lang w:val="is-IS"/>
              </w:rPr>
              <w:t>öryggis</w:t>
            </w:r>
            <w:r w:rsidR="00495BB7">
              <w:rPr>
                <w:color w:val="auto"/>
                <w:lang w:val="is-IS"/>
              </w:rPr>
              <w:t>bil</w:t>
            </w:r>
            <w:r w:rsidRPr="009F7642">
              <w:rPr>
                <w:color w:val="auto"/>
                <w:lang w:val="is-IS"/>
              </w:rPr>
              <w:t>)</w:t>
            </w:r>
          </w:p>
        </w:tc>
        <w:tc>
          <w:tcPr>
            <w:tcW w:w="3682" w:type="dxa"/>
            <w:gridSpan w:val="2"/>
            <w:tcBorders>
              <w:top w:val="single" w:sz="4" w:space="0" w:color="auto"/>
              <w:left w:val="single" w:sz="4" w:space="0" w:color="auto"/>
              <w:bottom w:val="single" w:sz="4" w:space="0" w:color="auto"/>
              <w:right w:val="single" w:sz="4" w:space="0" w:color="auto"/>
            </w:tcBorders>
            <w:noWrap/>
            <w:vAlign w:val="bottom"/>
            <w:hideMark/>
          </w:tcPr>
          <w:p w14:paraId="45DD1147" w14:textId="77777777" w:rsidR="00544723" w:rsidRPr="009F7642" w:rsidRDefault="00544723" w:rsidP="0073217C">
            <w:pPr>
              <w:suppressAutoHyphens/>
              <w:spacing w:line="240" w:lineRule="auto"/>
              <w:jc w:val="center"/>
              <w:rPr>
                <w:color w:val="auto"/>
                <w:lang w:val="is-IS"/>
              </w:rPr>
            </w:pPr>
            <w:r w:rsidRPr="009F7642">
              <w:rPr>
                <w:color w:val="auto"/>
                <w:lang w:val="is-IS"/>
              </w:rPr>
              <w:t>0,41 (0,29</w:t>
            </w:r>
            <w:r w:rsidR="00707DF7">
              <w:rPr>
                <w:color w:val="auto"/>
                <w:lang w:val="is-IS"/>
              </w:rPr>
              <w:t xml:space="preserve"> </w:t>
            </w:r>
            <w:r w:rsidRPr="009F7642">
              <w:rPr>
                <w:color w:val="auto"/>
                <w:lang w:val="is-IS"/>
              </w:rPr>
              <w:noBreakHyphen/>
            </w:r>
            <w:r w:rsidR="00707DF7">
              <w:rPr>
                <w:color w:val="auto"/>
                <w:lang w:val="is-IS"/>
              </w:rPr>
              <w:t xml:space="preserve"> </w:t>
            </w:r>
            <w:r w:rsidRPr="009F7642">
              <w:rPr>
                <w:color w:val="auto"/>
                <w:lang w:val="is-IS"/>
              </w:rPr>
              <w:t>0,58)</w:t>
            </w:r>
          </w:p>
        </w:tc>
      </w:tr>
      <w:tr w:rsidR="003714D4" w:rsidRPr="009F7642" w14:paraId="32FA554D" w14:textId="77777777" w:rsidTr="007566FC">
        <w:trPr>
          <w:trHeight w:val="300"/>
        </w:trPr>
        <w:tc>
          <w:tcPr>
            <w:tcW w:w="5285" w:type="dxa"/>
            <w:tcBorders>
              <w:top w:val="single" w:sz="4" w:space="0" w:color="auto"/>
              <w:left w:val="single" w:sz="4" w:space="0" w:color="auto"/>
              <w:bottom w:val="single" w:sz="4" w:space="0" w:color="auto"/>
              <w:right w:val="single" w:sz="4" w:space="0" w:color="auto"/>
            </w:tcBorders>
            <w:noWrap/>
            <w:vAlign w:val="bottom"/>
            <w:hideMark/>
          </w:tcPr>
          <w:p w14:paraId="2EE1F472" w14:textId="77777777" w:rsidR="00544723" w:rsidRPr="009F7642" w:rsidRDefault="009F75ED" w:rsidP="0073217C">
            <w:pPr>
              <w:suppressAutoHyphens/>
              <w:spacing w:after="0" w:line="240" w:lineRule="auto"/>
              <w:ind w:left="0" w:firstLine="0"/>
              <w:rPr>
                <w:color w:val="auto"/>
                <w:lang w:val="is-IS"/>
              </w:rPr>
            </w:pPr>
            <w:r>
              <w:rPr>
                <w:color w:val="auto"/>
                <w:lang w:val="is-IS"/>
              </w:rPr>
              <w:t>&gt;</w:t>
            </w:r>
            <w:r w:rsidR="00D14DCD">
              <w:rPr>
                <w:color w:val="auto"/>
                <w:lang w:val="is-IS"/>
              </w:rPr>
              <w:t> </w:t>
            </w:r>
            <w:r w:rsidR="00544723" w:rsidRPr="009F7642">
              <w:rPr>
                <w:color w:val="auto"/>
                <w:lang w:val="is-IS"/>
              </w:rPr>
              <w:t>12 mánuðir (n</w:t>
            </w:r>
            <w:r w:rsidR="00700BDC">
              <w:rPr>
                <w:color w:val="auto"/>
                <w:lang w:val="is-IS"/>
              </w:rPr>
              <w:t xml:space="preserve"> = </w:t>
            </w:r>
            <w:r w:rsidR="00544723" w:rsidRPr="009F7642">
              <w:rPr>
                <w:color w:val="auto"/>
                <w:lang w:val="is-IS"/>
              </w:rPr>
              <w:t>282)</w:t>
            </w:r>
          </w:p>
        </w:tc>
        <w:tc>
          <w:tcPr>
            <w:tcW w:w="1847" w:type="dxa"/>
            <w:tcBorders>
              <w:top w:val="single" w:sz="4" w:space="0" w:color="auto"/>
              <w:left w:val="single" w:sz="4" w:space="0" w:color="auto"/>
              <w:bottom w:val="single" w:sz="4" w:space="0" w:color="auto"/>
              <w:right w:val="single" w:sz="4" w:space="0" w:color="auto"/>
            </w:tcBorders>
            <w:noWrap/>
            <w:vAlign w:val="bottom"/>
            <w:hideMark/>
          </w:tcPr>
          <w:p w14:paraId="2D6B90EF" w14:textId="77777777" w:rsidR="00544723" w:rsidRPr="009F7642" w:rsidRDefault="00544723" w:rsidP="0073217C">
            <w:pPr>
              <w:suppressAutoHyphens/>
              <w:rPr>
                <w:color w:val="auto"/>
                <w:lang w:val="is-IS"/>
              </w:rPr>
            </w:pP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12A3DA4C" w14:textId="77777777" w:rsidR="00544723" w:rsidRPr="009F7642" w:rsidRDefault="00544723" w:rsidP="0073217C">
            <w:pPr>
              <w:suppressAutoHyphens/>
              <w:spacing w:line="240" w:lineRule="auto"/>
              <w:rPr>
                <w:rFonts w:eastAsia="SimSun"/>
                <w:color w:val="auto"/>
                <w:lang w:val="is-IS" w:eastAsia="en-IN"/>
              </w:rPr>
            </w:pPr>
          </w:p>
        </w:tc>
      </w:tr>
      <w:tr w:rsidR="003714D4" w:rsidRPr="009F7642" w14:paraId="683AF4CE" w14:textId="77777777" w:rsidTr="007566FC">
        <w:trPr>
          <w:trHeight w:val="300"/>
        </w:trPr>
        <w:tc>
          <w:tcPr>
            <w:tcW w:w="5285" w:type="dxa"/>
            <w:tcBorders>
              <w:top w:val="single" w:sz="4" w:space="0" w:color="auto"/>
              <w:left w:val="single" w:sz="4" w:space="0" w:color="auto"/>
              <w:bottom w:val="single" w:sz="4" w:space="0" w:color="auto"/>
              <w:right w:val="single" w:sz="4" w:space="0" w:color="auto"/>
            </w:tcBorders>
            <w:noWrap/>
            <w:vAlign w:val="bottom"/>
            <w:hideMark/>
          </w:tcPr>
          <w:p w14:paraId="48A72D95" w14:textId="77777777" w:rsidR="00544723" w:rsidRPr="009F7642" w:rsidRDefault="00544723" w:rsidP="0073217C">
            <w:pPr>
              <w:suppressAutoHyphens/>
              <w:spacing w:after="0" w:line="240" w:lineRule="auto"/>
              <w:ind w:left="567" w:firstLine="0"/>
              <w:rPr>
                <w:color w:val="auto"/>
                <w:lang w:val="is-IS"/>
              </w:rPr>
            </w:pPr>
            <w:r w:rsidRPr="009F7642">
              <w:rPr>
                <w:color w:val="auto"/>
                <w:lang w:val="is-IS"/>
              </w:rPr>
              <w:t>Miðgildi</w:t>
            </w:r>
          </w:p>
        </w:tc>
        <w:tc>
          <w:tcPr>
            <w:tcW w:w="1847" w:type="dxa"/>
            <w:tcBorders>
              <w:top w:val="single" w:sz="4" w:space="0" w:color="auto"/>
              <w:left w:val="single" w:sz="4" w:space="0" w:color="auto"/>
              <w:bottom w:val="single" w:sz="4" w:space="0" w:color="auto"/>
              <w:right w:val="single" w:sz="4" w:space="0" w:color="auto"/>
            </w:tcBorders>
            <w:noWrap/>
            <w:vAlign w:val="bottom"/>
            <w:hideMark/>
          </w:tcPr>
          <w:p w14:paraId="508C9953" w14:textId="77777777" w:rsidR="00544723" w:rsidRPr="009F7642" w:rsidRDefault="00544723" w:rsidP="0073217C">
            <w:pPr>
              <w:suppressAutoHyphens/>
              <w:spacing w:line="240" w:lineRule="auto"/>
              <w:jc w:val="center"/>
              <w:rPr>
                <w:color w:val="auto"/>
                <w:lang w:val="is-IS"/>
              </w:rPr>
            </w:pPr>
            <w:r w:rsidRPr="009F7642">
              <w:rPr>
                <w:color w:val="auto"/>
                <w:lang w:val="is-IS"/>
              </w:rPr>
              <w:t>9,7</w:t>
            </w:r>
          </w:p>
        </w:tc>
        <w:tc>
          <w:tcPr>
            <w:tcW w:w="1835" w:type="dxa"/>
            <w:tcBorders>
              <w:top w:val="single" w:sz="4" w:space="0" w:color="auto"/>
              <w:left w:val="single" w:sz="4" w:space="0" w:color="auto"/>
              <w:bottom w:val="single" w:sz="4" w:space="0" w:color="auto"/>
              <w:right w:val="single" w:sz="4" w:space="0" w:color="auto"/>
            </w:tcBorders>
            <w:noWrap/>
            <w:vAlign w:val="bottom"/>
            <w:hideMark/>
          </w:tcPr>
          <w:p w14:paraId="3CE2EA15" w14:textId="77777777" w:rsidR="00544723" w:rsidRPr="009F7642" w:rsidRDefault="00544723" w:rsidP="0073217C">
            <w:pPr>
              <w:suppressAutoHyphens/>
              <w:spacing w:line="240" w:lineRule="auto"/>
              <w:jc w:val="center"/>
              <w:rPr>
                <w:color w:val="auto"/>
                <w:lang w:val="is-IS"/>
              </w:rPr>
            </w:pPr>
            <w:r w:rsidRPr="009F7642">
              <w:rPr>
                <w:color w:val="auto"/>
                <w:lang w:val="is-IS"/>
              </w:rPr>
              <w:t>12,4</w:t>
            </w:r>
          </w:p>
        </w:tc>
      </w:tr>
      <w:tr w:rsidR="003714D4" w:rsidRPr="009F7642" w14:paraId="40E99C4E" w14:textId="77777777" w:rsidTr="007566FC">
        <w:trPr>
          <w:trHeight w:val="300"/>
        </w:trPr>
        <w:tc>
          <w:tcPr>
            <w:tcW w:w="5285" w:type="dxa"/>
            <w:tcBorders>
              <w:top w:val="single" w:sz="4" w:space="0" w:color="auto"/>
              <w:left w:val="single" w:sz="4" w:space="0" w:color="auto"/>
              <w:bottom w:val="single" w:sz="4" w:space="0" w:color="auto"/>
              <w:right w:val="single" w:sz="4" w:space="0" w:color="auto"/>
            </w:tcBorders>
            <w:noWrap/>
            <w:vAlign w:val="bottom"/>
            <w:hideMark/>
          </w:tcPr>
          <w:p w14:paraId="38CE601F" w14:textId="77777777" w:rsidR="006C06D6" w:rsidRPr="009F7642" w:rsidRDefault="00544723" w:rsidP="0073217C">
            <w:pPr>
              <w:suppressAutoHyphens/>
              <w:spacing w:after="0" w:line="240" w:lineRule="auto"/>
              <w:ind w:left="567" w:firstLine="0"/>
              <w:rPr>
                <w:color w:val="auto"/>
                <w:lang w:val="is-IS"/>
              </w:rPr>
            </w:pPr>
            <w:r w:rsidRPr="009F7642">
              <w:rPr>
                <w:color w:val="auto"/>
                <w:lang w:val="is-IS"/>
              </w:rPr>
              <w:t>Áhættuhlutfall</w:t>
            </w:r>
          </w:p>
          <w:p w14:paraId="604A6492" w14:textId="160F5037" w:rsidR="00544723" w:rsidRPr="009F7642" w:rsidRDefault="00544723" w:rsidP="0073217C">
            <w:pPr>
              <w:suppressAutoHyphens/>
              <w:spacing w:line="240" w:lineRule="auto"/>
              <w:ind w:left="567"/>
              <w:rPr>
                <w:color w:val="auto"/>
                <w:lang w:val="is-IS"/>
              </w:rPr>
            </w:pPr>
            <w:r w:rsidRPr="009F7642">
              <w:rPr>
                <w:color w:val="auto"/>
                <w:lang w:val="is-IS"/>
              </w:rPr>
              <w:t xml:space="preserve">(95% </w:t>
            </w:r>
            <w:r w:rsidR="00495BB7" w:rsidRPr="009F7642">
              <w:rPr>
                <w:color w:val="auto"/>
                <w:lang w:val="is-IS"/>
              </w:rPr>
              <w:t>öryggis</w:t>
            </w:r>
            <w:r w:rsidR="00495BB7">
              <w:rPr>
                <w:color w:val="auto"/>
                <w:lang w:val="is-IS"/>
              </w:rPr>
              <w:t>bil</w:t>
            </w:r>
            <w:r w:rsidRPr="009F7642">
              <w:rPr>
                <w:color w:val="auto"/>
                <w:lang w:val="is-IS"/>
              </w:rPr>
              <w:t>)</w:t>
            </w:r>
          </w:p>
        </w:tc>
        <w:tc>
          <w:tcPr>
            <w:tcW w:w="3682" w:type="dxa"/>
            <w:gridSpan w:val="2"/>
            <w:tcBorders>
              <w:top w:val="single" w:sz="4" w:space="0" w:color="auto"/>
              <w:left w:val="single" w:sz="4" w:space="0" w:color="auto"/>
              <w:bottom w:val="single" w:sz="4" w:space="0" w:color="auto"/>
              <w:right w:val="single" w:sz="4" w:space="0" w:color="auto"/>
            </w:tcBorders>
            <w:noWrap/>
            <w:vAlign w:val="bottom"/>
            <w:hideMark/>
          </w:tcPr>
          <w:p w14:paraId="210110AE" w14:textId="77777777" w:rsidR="00544723" w:rsidRPr="009F7642" w:rsidRDefault="00544723" w:rsidP="0073217C">
            <w:pPr>
              <w:suppressAutoHyphens/>
              <w:spacing w:line="240" w:lineRule="auto"/>
              <w:jc w:val="center"/>
              <w:rPr>
                <w:color w:val="auto"/>
                <w:lang w:val="is-IS"/>
              </w:rPr>
            </w:pPr>
            <w:r w:rsidRPr="009F7642">
              <w:rPr>
                <w:color w:val="auto"/>
                <w:lang w:val="is-IS"/>
              </w:rPr>
              <w:t>0,55 (0,41</w:t>
            </w:r>
            <w:r w:rsidR="00707DF7">
              <w:rPr>
                <w:color w:val="auto"/>
                <w:lang w:val="is-IS"/>
              </w:rPr>
              <w:t xml:space="preserve"> </w:t>
            </w:r>
            <w:r w:rsidRPr="009F7642">
              <w:rPr>
                <w:color w:val="auto"/>
                <w:lang w:val="is-IS"/>
              </w:rPr>
              <w:t>-</w:t>
            </w:r>
            <w:r w:rsidR="00707DF7">
              <w:rPr>
                <w:color w:val="auto"/>
                <w:lang w:val="is-IS"/>
              </w:rPr>
              <w:t xml:space="preserve"> </w:t>
            </w:r>
            <w:r w:rsidRPr="009F7642">
              <w:rPr>
                <w:color w:val="auto"/>
                <w:lang w:val="is-IS"/>
              </w:rPr>
              <w:t>0,73)</w:t>
            </w:r>
          </w:p>
        </w:tc>
      </w:tr>
    </w:tbl>
    <w:p w14:paraId="5D1E45E9" w14:textId="77777777" w:rsidR="005F36F3" w:rsidRPr="009F7642" w:rsidRDefault="005F36F3" w:rsidP="0073217C">
      <w:pPr>
        <w:suppressAutoHyphens/>
        <w:spacing w:after="0" w:line="240" w:lineRule="auto"/>
        <w:ind w:left="0" w:firstLine="0"/>
        <w:rPr>
          <w:color w:val="auto"/>
          <w:lang w:val="is-IS"/>
        </w:rPr>
      </w:pPr>
    </w:p>
    <w:p w14:paraId="6D6CD2DC" w14:textId="77777777" w:rsidR="006C06D6" w:rsidRPr="009F7642" w:rsidRDefault="00564614" w:rsidP="0073217C">
      <w:pPr>
        <w:suppressAutoHyphens/>
        <w:spacing w:after="0" w:line="240" w:lineRule="auto"/>
        <w:ind w:left="0" w:firstLine="0"/>
        <w:rPr>
          <w:i/>
          <w:color w:val="auto"/>
          <w:lang w:val="is-IS"/>
        </w:rPr>
      </w:pPr>
      <w:r w:rsidRPr="009F7642">
        <w:rPr>
          <w:i/>
          <w:color w:val="auto"/>
          <w:lang w:val="is-IS"/>
        </w:rPr>
        <w:t>GOG-0213</w:t>
      </w:r>
    </w:p>
    <w:p w14:paraId="02E22C40" w14:textId="77777777" w:rsidR="006C06D6" w:rsidRPr="009F7642" w:rsidRDefault="00564614" w:rsidP="0073217C">
      <w:pPr>
        <w:suppressAutoHyphens/>
        <w:spacing w:after="0" w:line="240" w:lineRule="auto"/>
        <w:ind w:left="0" w:firstLine="0"/>
        <w:rPr>
          <w:i/>
          <w:color w:val="auto"/>
          <w:lang w:val="is-IS"/>
        </w:rPr>
      </w:pPr>
      <w:r w:rsidRPr="009F7642">
        <w:rPr>
          <w:color w:val="auto"/>
          <w:lang w:val="is-IS"/>
        </w:rPr>
        <w:t xml:space="preserve">GOG-0213 var slembiröðuð og opin III. stigs samanburðarrannsókn á öryggi og verkun </w:t>
      </w:r>
      <w:r w:rsidR="00690564" w:rsidRPr="00F2274F">
        <w:rPr>
          <w:lang w:val="is-IS"/>
        </w:rPr>
        <w:t>bevacízúmab</w:t>
      </w:r>
      <w:r w:rsidR="00994821" w:rsidRPr="00F2274F">
        <w:rPr>
          <w:lang w:val="is-IS"/>
        </w:rPr>
        <w:t>s</w:t>
      </w:r>
      <w:r w:rsidRPr="009F7642">
        <w:rPr>
          <w:color w:val="auto"/>
          <w:lang w:val="is-IS"/>
        </w:rPr>
        <w:t xml:space="preserve"> við meðferð hjá sjúklingum með endurkomið þekjufrumukrabbamein í eggjastokkum, krabbamein í eggjaleiðurum eða frumkomið krabbamein í lífhimnu sem var næmt fyrir platínusamböndum, sem ekki höfðu áður fengið krabbameinslyfjameðferð við endurkomnu krabbameini. Sjúklingar voru ekki útilokaðir frá þátttöku í rannsókninni þó þeir hefðu áður fengið meðferð sem beindist gegn nýmyndun æða. Í rannsókninni voru metin áhrif af því að bæta </w:t>
      </w:r>
      <w:r w:rsidR="00690564" w:rsidRPr="00F2274F">
        <w:rPr>
          <w:color w:val="auto"/>
          <w:lang w:val="is-IS"/>
        </w:rPr>
        <w:t>bevacízúmab</w:t>
      </w:r>
      <w:r w:rsidR="00994821" w:rsidRPr="00F2274F">
        <w:rPr>
          <w:color w:val="auto"/>
          <w:lang w:val="is-IS"/>
        </w:rPr>
        <w:t>i</w:t>
      </w:r>
      <w:r w:rsidRPr="009F7642">
        <w:rPr>
          <w:color w:val="auto"/>
          <w:lang w:val="is-IS"/>
        </w:rPr>
        <w:t xml:space="preserve"> við carboplatín + paklítaxel og halda síðan áfram með einlyfjameðferð með </w:t>
      </w:r>
      <w:r w:rsidR="00690564" w:rsidRPr="00F2274F">
        <w:rPr>
          <w:lang w:val="is-IS"/>
        </w:rPr>
        <w:t>bevacízúmab</w:t>
      </w:r>
      <w:r w:rsidR="00994821" w:rsidRPr="00F2274F">
        <w:rPr>
          <w:lang w:val="is-IS"/>
        </w:rPr>
        <w:t>i</w:t>
      </w:r>
      <w:r w:rsidRPr="009F7642">
        <w:rPr>
          <w:color w:val="auto"/>
          <w:lang w:val="is-IS"/>
        </w:rPr>
        <w:t xml:space="preserve"> þar til sjúkdómurinn versnaði eða eituráhrif yrðu óásættanleg, borið saman við carboplatín + paklítaxel eingöngu.</w:t>
      </w:r>
    </w:p>
    <w:p w14:paraId="39C83D23" w14:textId="77777777" w:rsidR="005F36F3" w:rsidRPr="009F7642" w:rsidRDefault="005F36F3" w:rsidP="0073217C">
      <w:pPr>
        <w:suppressAutoHyphens/>
        <w:spacing w:after="0" w:line="240" w:lineRule="auto"/>
        <w:ind w:left="0" w:firstLine="0"/>
        <w:rPr>
          <w:color w:val="auto"/>
          <w:lang w:val="is-IS"/>
        </w:rPr>
      </w:pPr>
    </w:p>
    <w:p w14:paraId="51DE2FCC" w14:textId="77777777" w:rsidR="005F36F3" w:rsidRPr="009F7642" w:rsidRDefault="00564614" w:rsidP="0073217C">
      <w:pPr>
        <w:keepNext/>
        <w:suppressAutoHyphens/>
        <w:spacing w:after="0" w:line="240" w:lineRule="auto"/>
        <w:ind w:left="0" w:firstLine="0"/>
        <w:rPr>
          <w:color w:val="auto"/>
          <w:lang w:val="is-IS"/>
        </w:rPr>
      </w:pPr>
      <w:r w:rsidRPr="009F7642">
        <w:rPr>
          <w:color w:val="auto"/>
          <w:lang w:val="is-IS"/>
        </w:rPr>
        <w:t>Alls var 673 sjúklingum slembiraðað í jöfnum hlutföl</w:t>
      </w:r>
      <w:r w:rsidR="000E42E1" w:rsidRPr="009F7642">
        <w:rPr>
          <w:color w:val="auto"/>
          <w:lang w:val="is-IS"/>
        </w:rPr>
        <w:t>lum í eftirtalda meðferðarhópa:</w:t>
      </w:r>
    </w:p>
    <w:p w14:paraId="53DC8BE9" w14:textId="77777777" w:rsidR="005F36F3" w:rsidRPr="009F7642" w:rsidRDefault="00564614" w:rsidP="0073217C">
      <w:pPr>
        <w:numPr>
          <w:ilvl w:val="0"/>
          <w:numId w:val="14"/>
        </w:numPr>
        <w:suppressAutoHyphens/>
        <w:spacing w:after="0" w:line="240" w:lineRule="auto"/>
        <w:ind w:left="567" w:hanging="567"/>
        <w:rPr>
          <w:color w:val="auto"/>
          <w:lang w:val="is-IS"/>
        </w:rPr>
      </w:pPr>
      <w:r w:rsidRPr="009F7642">
        <w:rPr>
          <w:color w:val="auto"/>
          <w:lang w:val="is-IS"/>
        </w:rPr>
        <w:t>CP-hópur: Carbop</w:t>
      </w:r>
      <w:r w:rsidR="009C428B" w:rsidRPr="009F7642">
        <w:rPr>
          <w:color w:val="auto"/>
          <w:lang w:val="is-IS"/>
        </w:rPr>
        <w:t>latín (AUC5) og paklítaxel (175 </w:t>
      </w:r>
      <w:r w:rsidRPr="009F7642">
        <w:rPr>
          <w:color w:val="auto"/>
          <w:lang w:val="is-IS"/>
        </w:rPr>
        <w:t>mg/m</w:t>
      </w:r>
      <w:r w:rsidRPr="009F7642">
        <w:rPr>
          <w:color w:val="auto"/>
          <w:vertAlign w:val="superscript"/>
          <w:lang w:val="is-IS"/>
        </w:rPr>
        <w:t>2</w:t>
      </w:r>
      <w:r w:rsidRPr="009F7642">
        <w:rPr>
          <w:color w:val="auto"/>
          <w:lang w:val="is-IS"/>
        </w:rPr>
        <w:t xml:space="preserve"> í bláæð) á 3 vikna fresti í a.m.k. 6 og allt</w:t>
      </w:r>
      <w:r w:rsidR="000E42E1" w:rsidRPr="009F7642">
        <w:rPr>
          <w:color w:val="auto"/>
          <w:lang w:val="is-IS"/>
        </w:rPr>
        <w:t xml:space="preserve"> að 8 meðferðarlotur.</w:t>
      </w:r>
    </w:p>
    <w:p w14:paraId="4EF04B93" w14:textId="77777777" w:rsidR="005F36F3" w:rsidRPr="009F7642" w:rsidRDefault="00564614" w:rsidP="0073217C">
      <w:pPr>
        <w:numPr>
          <w:ilvl w:val="0"/>
          <w:numId w:val="14"/>
        </w:numPr>
        <w:suppressAutoHyphens/>
        <w:spacing w:after="0" w:line="240" w:lineRule="auto"/>
        <w:ind w:left="567" w:hanging="567"/>
        <w:rPr>
          <w:color w:val="auto"/>
          <w:lang w:val="is-IS"/>
        </w:rPr>
      </w:pPr>
      <w:r w:rsidRPr="009F7642">
        <w:rPr>
          <w:color w:val="auto"/>
          <w:lang w:val="is-IS"/>
        </w:rPr>
        <w:t>CPB-hópur: Carboplat</w:t>
      </w:r>
      <w:r w:rsidR="009C428B" w:rsidRPr="009F7642">
        <w:rPr>
          <w:color w:val="auto"/>
          <w:lang w:val="is-IS"/>
        </w:rPr>
        <w:t>ín (AUC5) og paklítaxel (175 </w:t>
      </w:r>
      <w:r w:rsidRPr="009F7642">
        <w:rPr>
          <w:color w:val="auto"/>
          <w:lang w:val="is-IS"/>
        </w:rPr>
        <w:t>mg/m</w:t>
      </w:r>
      <w:r w:rsidRPr="009F7642">
        <w:rPr>
          <w:color w:val="auto"/>
          <w:vertAlign w:val="superscript"/>
          <w:lang w:val="is-IS"/>
        </w:rPr>
        <w:t>2</w:t>
      </w:r>
      <w:r w:rsidR="009C428B" w:rsidRPr="009F7642">
        <w:rPr>
          <w:color w:val="auto"/>
          <w:lang w:val="is-IS"/>
        </w:rPr>
        <w:t xml:space="preserve"> í bláæð) ásamt </w:t>
      </w:r>
      <w:r w:rsidR="00690564" w:rsidRPr="00F2274F">
        <w:rPr>
          <w:lang w:val="is-IS"/>
        </w:rPr>
        <w:t>bevacízúmab</w:t>
      </w:r>
      <w:r w:rsidR="00994821" w:rsidRPr="00F2274F">
        <w:rPr>
          <w:lang w:val="is-IS"/>
        </w:rPr>
        <w:t>i</w:t>
      </w:r>
      <w:r w:rsidR="009C428B" w:rsidRPr="009F7642">
        <w:rPr>
          <w:color w:val="auto"/>
          <w:lang w:val="is-IS"/>
        </w:rPr>
        <w:t xml:space="preserve"> (15 </w:t>
      </w:r>
      <w:r w:rsidRPr="009F7642">
        <w:rPr>
          <w:color w:val="auto"/>
          <w:lang w:val="is-IS"/>
        </w:rPr>
        <w:t>mg/kg) á 3 vikna fresti í a.m.k. 6 og allt að 8 meðferðarlot</w:t>
      </w:r>
      <w:r w:rsidR="009C428B" w:rsidRPr="009F7642">
        <w:rPr>
          <w:color w:val="auto"/>
          <w:lang w:val="is-IS"/>
        </w:rPr>
        <w:t xml:space="preserve">ur, fylgt eftir með </w:t>
      </w:r>
      <w:r w:rsidR="00690564" w:rsidRPr="00F2274F">
        <w:rPr>
          <w:lang w:val="is-IS"/>
        </w:rPr>
        <w:t>bevacízúmab</w:t>
      </w:r>
      <w:r w:rsidR="00994821" w:rsidRPr="00F2274F">
        <w:rPr>
          <w:lang w:val="is-IS"/>
        </w:rPr>
        <w:t>i</w:t>
      </w:r>
      <w:r w:rsidR="009C428B" w:rsidRPr="009F7642">
        <w:rPr>
          <w:color w:val="auto"/>
          <w:lang w:val="is-IS"/>
        </w:rPr>
        <w:t xml:space="preserve"> (15 </w:t>
      </w:r>
      <w:r w:rsidRPr="009F7642">
        <w:rPr>
          <w:color w:val="auto"/>
          <w:lang w:val="is-IS"/>
        </w:rPr>
        <w:t>mg/kg á 3 vikna fresti) einu sér þar til sjúkdómurinn versnaði e</w:t>
      </w:r>
      <w:r w:rsidR="000E42E1" w:rsidRPr="009F7642">
        <w:rPr>
          <w:color w:val="auto"/>
          <w:lang w:val="is-IS"/>
        </w:rPr>
        <w:t>ða eituráhrif yrðu óásættanleg.</w:t>
      </w:r>
    </w:p>
    <w:p w14:paraId="73902FC0" w14:textId="77777777" w:rsidR="005F36F3" w:rsidRPr="009F7642" w:rsidRDefault="005F36F3" w:rsidP="0073217C">
      <w:pPr>
        <w:suppressAutoHyphens/>
        <w:spacing w:after="0" w:line="240" w:lineRule="auto"/>
        <w:ind w:left="0" w:firstLine="0"/>
        <w:rPr>
          <w:color w:val="auto"/>
          <w:lang w:val="is-IS"/>
        </w:rPr>
      </w:pPr>
    </w:p>
    <w:p w14:paraId="7D84C16C"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Flestir sjúklingar í CP-hópnum (80,4%) og CPB-hópnum (78,9%) voru af hvítum kynstofni. Miðgildi aldurs var 60,0 ár í CP-hópnum og 59,0 ár í CPB-hópnum. Meirihluti sjúklinga (CP: 64,6%; CPB: 68,8%) var </w:t>
      </w:r>
      <w:r w:rsidR="00540AC4">
        <w:rPr>
          <w:color w:val="auto"/>
          <w:lang w:val="is-IS"/>
        </w:rPr>
        <w:t>&lt; </w:t>
      </w:r>
      <w:r w:rsidRPr="009F7642">
        <w:rPr>
          <w:color w:val="auto"/>
          <w:lang w:val="is-IS"/>
        </w:rPr>
        <w:t>65 ára. Í upphafi rannsóknarinnar voru flestir sjúklingar í báðum hópunum með GOG færnistuðulinn 0 (CP: 82,4%; CPB: 80,7%) eða 1 (CP: 16,7%; CPB: 18,1%). Tilkynnt var um GOG færnistuðulinn 2 í upphafi meðferðar hjá 0,9% sjúklinga í CP-hópnum og 1,2% sjúklinga í CPB-hópnum.</w:t>
      </w:r>
    </w:p>
    <w:p w14:paraId="68FD42FE" w14:textId="77777777" w:rsidR="005F36F3" w:rsidRPr="009F7642" w:rsidRDefault="005F36F3" w:rsidP="0073217C">
      <w:pPr>
        <w:suppressAutoHyphens/>
        <w:spacing w:after="0" w:line="240" w:lineRule="auto"/>
        <w:ind w:left="0" w:firstLine="0"/>
        <w:rPr>
          <w:color w:val="auto"/>
          <w:lang w:val="is-IS"/>
        </w:rPr>
      </w:pPr>
    </w:p>
    <w:p w14:paraId="570006BA" w14:textId="6484FE6B"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Aðalendapunktur fyrir verkun var heildarlifun. Helsti viðbótarendapunktur var lifun án </w:t>
      </w:r>
      <w:r w:rsidR="00495BB7" w:rsidRPr="00FE5EE2">
        <w:rPr>
          <w:color w:val="auto"/>
          <w:lang w:val="is-IS"/>
        </w:rPr>
        <w:t>versnunar</w:t>
      </w:r>
      <w:r w:rsidRPr="009F7642">
        <w:rPr>
          <w:color w:val="auto"/>
          <w:lang w:val="is-IS"/>
        </w:rPr>
        <w:t xml:space="preserve"> sjúkdóms. Niðurstöður eru sýndar í </w:t>
      </w:r>
      <w:r w:rsidRPr="00504296">
        <w:rPr>
          <w:color w:val="auto"/>
          <w:lang w:val="is-IS"/>
        </w:rPr>
        <w:t xml:space="preserve">töflu </w:t>
      </w:r>
      <w:r w:rsidR="00BA1F34" w:rsidRPr="00504296">
        <w:rPr>
          <w:color w:val="auto"/>
          <w:lang w:val="is-IS"/>
        </w:rPr>
        <w:t>2</w:t>
      </w:r>
      <w:r w:rsidR="00781331">
        <w:rPr>
          <w:color w:val="auto"/>
          <w:lang w:val="is-IS"/>
        </w:rPr>
        <w:t>2</w:t>
      </w:r>
      <w:r w:rsidRPr="009F7642">
        <w:rPr>
          <w:color w:val="auto"/>
          <w:lang w:val="is-IS"/>
        </w:rPr>
        <w:t>.</w:t>
      </w:r>
    </w:p>
    <w:p w14:paraId="370F0276" w14:textId="77777777" w:rsidR="005F36F3" w:rsidRPr="009F7642" w:rsidRDefault="005F36F3" w:rsidP="0073217C">
      <w:pPr>
        <w:suppressAutoHyphens/>
        <w:spacing w:after="0" w:line="240" w:lineRule="auto"/>
        <w:ind w:left="0" w:firstLine="0"/>
        <w:rPr>
          <w:color w:val="auto"/>
          <w:lang w:val="is-IS"/>
        </w:rPr>
      </w:pPr>
    </w:p>
    <w:p w14:paraId="55DE2A21" w14:textId="77777777" w:rsidR="006C06D6" w:rsidRPr="003714D4" w:rsidRDefault="00E3317D" w:rsidP="00011C3B">
      <w:pPr>
        <w:keepNext/>
        <w:suppressAutoHyphens/>
        <w:spacing w:after="0" w:line="240" w:lineRule="auto"/>
        <w:ind w:left="0" w:firstLine="0"/>
        <w:rPr>
          <w:b/>
          <w:color w:val="auto"/>
          <w:lang w:val="is-IS"/>
        </w:rPr>
      </w:pPr>
      <w:r w:rsidRPr="00504296">
        <w:rPr>
          <w:b/>
          <w:color w:val="auto"/>
          <w:lang w:val="is-IS"/>
        </w:rPr>
        <w:lastRenderedPageBreak/>
        <w:t xml:space="preserve">Tafla </w:t>
      </w:r>
      <w:r w:rsidR="00BA1F34" w:rsidRPr="00504296">
        <w:rPr>
          <w:b/>
          <w:color w:val="auto"/>
          <w:lang w:val="is-IS"/>
        </w:rPr>
        <w:t>2</w:t>
      </w:r>
      <w:r w:rsidR="00781331">
        <w:rPr>
          <w:b/>
          <w:color w:val="auto"/>
          <w:lang w:val="is-IS"/>
        </w:rPr>
        <w:t>2</w:t>
      </w:r>
      <w:r w:rsidR="00FE7644" w:rsidRPr="003714D4">
        <w:rPr>
          <w:b/>
          <w:color w:val="auto"/>
          <w:lang w:val="is-IS"/>
        </w:rPr>
        <w:t>.</w:t>
      </w:r>
      <w:r w:rsidRPr="003714D4">
        <w:rPr>
          <w:b/>
          <w:color w:val="auto"/>
          <w:lang w:val="is-IS"/>
        </w:rPr>
        <w:t xml:space="preserve"> </w:t>
      </w:r>
      <w:r w:rsidR="00564614" w:rsidRPr="003714D4">
        <w:rPr>
          <w:b/>
          <w:color w:val="auto"/>
          <w:lang w:val="is-IS"/>
        </w:rPr>
        <w:t>Niðurstöður varðandi verkun</w:t>
      </w:r>
      <w:r w:rsidR="00564614" w:rsidRPr="008973DE">
        <w:rPr>
          <w:b/>
          <w:color w:val="auto"/>
          <w:vertAlign w:val="superscript"/>
          <w:lang w:val="is-IS"/>
        </w:rPr>
        <w:t>1,2</w:t>
      </w:r>
      <w:r w:rsidR="00564614" w:rsidRPr="003714D4">
        <w:rPr>
          <w:b/>
          <w:color w:val="auto"/>
          <w:lang w:val="is-IS"/>
        </w:rPr>
        <w:t xml:space="preserve"> úr GOG-0213 rannsókninni</w:t>
      </w:r>
    </w:p>
    <w:p w14:paraId="470315D8" w14:textId="77777777" w:rsidR="0058771A" w:rsidRPr="009F7642" w:rsidRDefault="0058771A" w:rsidP="000F725F">
      <w:pPr>
        <w:keepNext/>
        <w:suppressAutoHyphens/>
        <w:spacing w:after="0" w:line="240" w:lineRule="auto"/>
        <w:ind w:left="0" w:firstLine="0"/>
        <w:rPr>
          <w:color w:val="auto"/>
          <w:lang w:val="is-IS"/>
        </w:rPr>
      </w:pPr>
    </w:p>
    <w:tbl>
      <w:tblPr>
        <w:tblW w:w="8916" w:type="dxa"/>
        <w:tblInd w:w="78" w:type="dxa"/>
        <w:tblCellMar>
          <w:top w:w="50" w:type="dxa"/>
          <w:right w:w="91" w:type="dxa"/>
        </w:tblCellMar>
        <w:tblLook w:val="04A0" w:firstRow="1" w:lastRow="0" w:firstColumn="1" w:lastColumn="0" w:noHBand="0" w:noVBand="1"/>
      </w:tblPr>
      <w:tblGrid>
        <w:gridCol w:w="4099"/>
        <w:gridCol w:w="2249"/>
        <w:gridCol w:w="2568"/>
      </w:tblGrid>
      <w:tr w:rsidR="005F36F3" w:rsidRPr="009F7642" w14:paraId="52ABA670" w14:textId="77777777" w:rsidTr="00AB78A8">
        <w:trPr>
          <w:trHeight w:val="461"/>
        </w:trPr>
        <w:tc>
          <w:tcPr>
            <w:tcW w:w="4099" w:type="dxa"/>
            <w:tcBorders>
              <w:top w:val="single" w:sz="4" w:space="0" w:color="000000"/>
              <w:left w:val="single" w:sz="4" w:space="0" w:color="000000"/>
              <w:bottom w:val="single" w:sz="4" w:space="0" w:color="000000"/>
              <w:right w:val="nil"/>
            </w:tcBorders>
          </w:tcPr>
          <w:p w14:paraId="5C69E1D9" w14:textId="77777777" w:rsidR="005F36F3" w:rsidRPr="009F7642" w:rsidRDefault="00564614" w:rsidP="00EC3052">
            <w:pPr>
              <w:keepNext/>
              <w:suppressAutoHyphens/>
              <w:spacing w:after="0" w:line="259" w:lineRule="auto"/>
              <w:ind w:left="0" w:firstLine="0"/>
              <w:rPr>
                <w:color w:val="auto"/>
                <w:lang w:val="is-IS"/>
              </w:rPr>
            </w:pPr>
            <w:r w:rsidRPr="009F7642">
              <w:rPr>
                <w:color w:val="auto"/>
                <w:lang w:val="is-IS"/>
              </w:rPr>
              <w:t xml:space="preserve">Aðalendapunktur </w:t>
            </w:r>
          </w:p>
        </w:tc>
        <w:tc>
          <w:tcPr>
            <w:tcW w:w="4817" w:type="dxa"/>
            <w:gridSpan w:val="2"/>
            <w:tcBorders>
              <w:top w:val="single" w:sz="4" w:space="0" w:color="000000"/>
              <w:left w:val="nil"/>
              <w:bottom w:val="single" w:sz="4" w:space="0" w:color="000000"/>
              <w:right w:val="single" w:sz="4" w:space="0" w:color="000000"/>
            </w:tcBorders>
          </w:tcPr>
          <w:p w14:paraId="650A2EA0" w14:textId="77777777" w:rsidR="005F36F3" w:rsidRPr="009F7642" w:rsidRDefault="005F36F3" w:rsidP="00EC3052">
            <w:pPr>
              <w:keepNext/>
              <w:suppressAutoHyphens/>
              <w:spacing w:after="160" w:line="259" w:lineRule="auto"/>
              <w:ind w:left="0" w:firstLine="0"/>
              <w:rPr>
                <w:color w:val="auto"/>
                <w:lang w:val="is-IS"/>
              </w:rPr>
            </w:pPr>
          </w:p>
        </w:tc>
      </w:tr>
      <w:tr w:rsidR="005F36F3" w:rsidRPr="009F7642" w14:paraId="52CC6C0F" w14:textId="77777777" w:rsidTr="0057466D">
        <w:trPr>
          <w:trHeight w:val="737"/>
        </w:trPr>
        <w:tc>
          <w:tcPr>
            <w:tcW w:w="4099" w:type="dxa"/>
            <w:tcBorders>
              <w:top w:val="single" w:sz="4" w:space="0" w:color="000000"/>
              <w:left w:val="single" w:sz="4" w:space="0" w:color="000000"/>
              <w:bottom w:val="single" w:sz="4" w:space="0" w:color="000000"/>
              <w:right w:val="single" w:sz="4" w:space="0" w:color="000000"/>
            </w:tcBorders>
          </w:tcPr>
          <w:p w14:paraId="1E1CE943" w14:textId="77777777" w:rsidR="005F36F3" w:rsidRPr="009F7642" w:rsidRDefault="00564614" w:rsidP="00EC3052">
            <w:pPr>
              <w:keepNext/>
              <w:suppressAutoHyphens/>
              <w:spacing w:after="0" w:line="240" w:lineRule="auto"/>
              <w:ind w:left="567" w:firstLine="0"/>
              <w:rPr>
                <w:color w:val="auto"/>
                <w:lang w:val="is-IS"/>
              </w:rPr>
            </w:pPr>
            <w:r w:rsidRPr="009F7642">
              <w:rPr>
                <w:color w:val="auto"/>
                <w:lang w:val="is-IS"/>
              </w:rPr>
              <w:t xml:space="preserve">Heildarlifun </w:t>
            </w:r>
          </w:p>
        </w:tc>
        <w:tc>
          <w:tcPr>
            <w:tcW w:w="2249" w:type="dxa"/>
            <w:tcBorders>
              <w:top w:val="single" w:sz="4" w:space="0" w:color="000000"/>
              <w:left w:val="single" w:sz="4" w:space="0" w:color="000000"/>
              <w:bottom w:val="single" w:sz="4" w:space="0" w:color="000000"/>
              <w:right w:val="single" w:sz="4" w:space="0" w:color="000000"/>
            </w:tcBorders>
          </w:tcPr>
          <w:p w14:paraId="562D6942" w14:textId="77777777" w:rsidR="006C06D6" w:rsidRPr="009F7642" w:rsidRDefault="00564614" w:rsidP="00EC3052">
            <w:pPr>
              <w:keepNext/>
              <w:suppressAutoHyphens/>
              <w:spacing w:after="173" w:line="259" w:lineRule="auto"/>
              <w:ind w:left="0" w:right="23" w:firstLine="0"/>
              <w:jc w:val="center"/>
              <w:rPr>
                <w:color w:val="auto"/>
                <w:lang w:val="is-IS"/>
              </w:rPr>
            </w:pPr>
            <w:r w:rsidRPr="009F7642">
              <w:rPr>
                <w:color w:val="auto"/>
                <w:lang w:val="is-IS"/>
              </w:rPr>
              <w:t>CP-hópur</w:t>
            </w:r>
          </w:p>
          <w:p w14:paraId="272BF27A" w14:textId="77777777" w:rsidR="005F36F3" w:rsidRPr="009F7642" w:rsidRDefault="00564614" w:rsidP="00EC3052">
            <w:pPr>
              <w:keepNext/>
              <w:suppressAutoHyphens/>
              <w:spacing w:after="0" w:line="259" w:lineRule="auto"/>
              <w:ind w:left="0" w:right="23" w:firstLine="0"/>
              <w:jc w:val="center"/>
              <w:rPr>
                <w:color w:val="auto"/>
                <w:lang w:val="is-IS"/>
              </w:rPr>
            </w:pPr>
            <w:r w:rsidRPr="009F7642">
              <w:rPr>
                <w:color w:val="auto"/>
                <w:lang w:val="is-IS"/>
              </w:rPr>
              <w:t>(n</w:t>
            </w:r>
            <w:r w:rsidR="00D14DCD">
              <w:rPr>
                <w:color w:val="auto"/>
                <w:lang w:val="is-IS"/>
              </w:rPr>
              <w:t> </w:t>
            </w:r>
            <w:r w:rsidR="00700BDC">
              <w:rPr>
                <w:color w:val="auto"/>
                <w:lang w:val="is-IS"/>
              </w:rPr>
              <w:t>=</w:t>
            </w:r>
            <w:r w:rsidR="00D14DCD">
              <w:rPr>
                <w:color w:val="auto"/>
                <w:lang w:val="is-IS"/>
              </w:rPr>
              <w:t> </w:t>
            </w:r>
            <w:r w:rsidRPr="009F7642">
              <w:rPr>
                <w:color w:val="auto"/>
                <w:lang w:val="is-IS"/>
              </w:rPr>
              <w:t>336)</w:t>
            </w:r>
          </w:p>
        </w:tc>
        <w:tc>
          <w:tcPr>
            <w:tcW w:w="2568" w:type="dxa"/>
            <w:tcBorders>
              <w:top w:val="single" w:sz="4" w:space="0" w:color="000000"/>
              <w:left w:val="single" w:sz="4" w:space="0" w:color="000000"/>
              <w:bottom w:val="single" w:sz="4" w:space="0" w:color="000000"/>
              <w:right w:val="single" w:sz="4" w:space="0" w:color="000000"/>
            </w:tcBorders>
          </w:tcPr>
          <w:p w14:paraId="5C020291" w14:textId="77777777" w:rsidR="006C06D6" w:rsidRPr="009F7642" w:rsidRDefault="00564614" w:rsidP="00EC3052">
            <w:pPr>
              <w:keepNext/>
              <w:suppressAutoHyphens/>
              <w:spacing w:after="173" w:line="259" w:lineRule="auto"/>
              <w:ind w:left="0" w:right="18" w:firstLine="0"/>
              <w:jc w:val="center"/>
              <w:rPr>
                <w:color w:val="auto"/>
                <w:lang w:val="is-IS"/>
              </w:rPr>
            </w:pPr>
            <w:r w:rsidRPr="009F7642">
              <w:rPr>
                <w:color w:val="auto"/>
                <w:lang w:val="is-IS"/>
              </w:rPr>
              <w:t>CPB-hópur</w:t>
            </w:r>
          </w:p>
          <w:p w14:paraId="5429631F" w14:textId="77777777" w:rsidR="005F36F3" w:rsidRPr="009F7642" w:rsidRDefault="00564614" w:rsidP="00EC3052">
            <w:pPr>
              <w:keepNext/>
              <w:suppressAutoHyphens/>
              <w:spacing w:after="0" w:line="259" w:lineRule="auto"/>
              <w:ind w:left="0" w:right="16" w:firstLine="0"/>
              <w:jc w:val="center"/>
              <w:rPr>
                <w:color w:val="auto"/>
                <w:lang w:val="is-IS"/>
              </w:rPr>
            </w:pPr>
            <w:r w:rsidRPr="009F7642">
              <w:rPr>
                <w:color w:val="auto"/>
                <w:lang w:val="is-IS"/>
              </w:rPr>
              <w:t>(n</w:t>
            </w:r>
            <w:r w:rsidR="00D14DCD">
              <w:rPr>
                <w:color w:val="auto"/>
                <w:lang w:val="is-IS"/>
              </w:rPr>
              <w:t> </w:t>
            </w:r>
            <w:r w:rsidR="00700BDC">
              <w:rPr>
                <w:color w:val="auto"/>
                <w:lang w:val="is-IS"/>
              </w:rPr>
              <w:t>=</w:t>
            </w:r>
            <w:r w:rsidR="00D14DCD">
              <w:rPr>
                <w:color w:val="auto"/>
                <w:lang w:val="is-IS"/>
              </w:rPr>
              <w:t> </w:t>
            </w:r>
            <w:r w:rsidRPr="009F7642">
              <w:rPr>
                <w:color w:val="auto"/>
                <w:lang w:val="is-IS"/>
              </w:rPr>
              <w:t>337)</w:t>
            </w:r>
          </w:p>
        </w:tc>
      </w:tr>
      <w:tr w:rsidR="005F36F3" w:rsidRPr="009F7642" w14:paraId="44D4747B" w14:textId="77777777" w:rsidTr="00AB78A8">
        <w:trPr>
          <w:trHeight w:val="350"/>
        </w:trPr>
        <w:tc>
          <w:tcPr>
            <w:tcW w:w="4099" w:type="dxa"/>
            <w:tcBorders>
              <w:top w:val="single" w:sz="4" w:space="0" w:color="000000"/>
              <w:left w:val="single" w:sz="4" w:space="0" w:color="000000"/>
              <w:bottom w:val="single" w:sz="4" w:space="0" w:color="000000"/>
              <w:right w:val="single" w:sz="4" w:space="0" w:color="000000"/>
            </w:tcBorders>
          </w:tcPr>
          <w:p w14:paraId="075A6673" w14:textId="77777777" w:rsidR="005F36F3" w:rsidRPr="009F7642" w:rsidRDefault="00564614" w:rsidP="00EC3052">
            <w:pPr>
              <w:keepNext/>
              <w:suppressAutoHyphens/>
              <w:spacing w:after="0" w:line="240" w:lineRule="auto"/>
              <w:ind w:left="567" w:firstLine="0"/>
              <w:rPr>
                <w:color w:val="auto"/>
                <w:lang w:val="is-IS"/>
              </w:rPr>
            </w:pPr>
            <w:r w:rsidRPr="009F7642">
              <w:rPr>
                <w:color w:val="auto"/>
                <w:lang w:val="is-IS"/>
              </w:rPr>
              <w:t xml:space="preserve">Miðgildi heildarlifunar (mánuðir) </w:t>
            </w:r>
          </w:p>
        </w:tc>
        <w:tc>
          <w:tcPr>
            <w:tcW w:w="2249" w:type="dxa"/>
            <w:tcBorders>
              <w:top w:val="single" w:sz="4" w:space="0" w:color="000000"/>
              <w:left w:val="single" w:sz="4" w:space="0" w:color="000000"/>
              <w:bottom w:val="single" w:sz="4" w:space="0" w:color="000000"/>
              <w:right w:val="single" w:sz="4" w:space="0" w:color="000000"/>
            </w:tcBorders>
          </w:tcPr>
          <w:p w14:paraId="32190BF1" w14:textId="77777777" w:rsidR="005F36F3" w:rsidRPr="009F7642" w:rsidRDefault="00564614" w:rsidP="00EC3052">
            <w:pPr>
              <w:keepNext/>
              <w:suppressAutoHyphens/>
              <w:spacing w:after="0" w:line="259" w:lineRule="auto"/>
              <w:ind w:left="0" w:right="22" w:firstLine="0"/>
              <w:jc w:val="center"/>
              <w:rPr>
                <w:color w:val="auto"/>
                <w:lang w:val="is-IS"/>
              </w:rPr>
            </w:pPr>
            <w:r w:rsidRPr="009F7642">
              <w:rPr>
                <w:color w:val="auto"/>
                <w:lang w:val="is-IS"/>
              </w:rPr>
              <w:t xml:space="preserve">37,3 </w:t>
            </w:r>
          </w:p>
        </w:tc>
        <w:tc>
          <w:tcPr>
            <w:tcW w:w="2568" w:type="dxa"/>
            <w:tcBorders>
              <w:top w:val="single" w:sz="4" w:space="0" w:color="000000"/>
              <w:left w:val="single" w:sz="4" w:space="0" w:color="000000"/>
              <w:bottom w:val="single" w:sz="4" w:space="0" w:color="000000"/>
              <w:right w:val="single" w:sz="4" w:space="0" w:color="000000"/>
            </w:tcBorders>
          </w:tcPr>
          <w:p w14:paraId="05EBDEF1" w14:textId="77777777" w:rsidR="005F36F3" w:rsidRPr="009F7642" w:rsidRDefault="00564614" w:rsidP="00EC3052">
            <w:pPr>
              <w:keepNext/>
              <w:suppressAutoHyphens/>
              <w:spacing w:after="0" w:line="259" w:lineRule="auto"/>
              <w:ind w:left="0" w:right="15" w:firstLine="0"/>
              <w:jc w:val="center"/>
              <w:rPr>
                <w:color w:val="auto"/>
                <w:lang w:val="is-IS"/>
              </w:rPr>
            </w:pPr>
            <w:r w:rsidRPr="009F7642">
              <w:rPr>
                <w:color w:val="auto"/>
                <w:lang w:val="is-IS"/>
              </w:rPr>
              <w:t xml:space="preserve">42,6 </w:t>
            </w:r>
          </w:p>
        </w:tc>
      </w:tr>
      <w:tr w:rsidR="005F36F3" w:rsidRPr="009F7642" w14:paraId="29F35FD8" w14:textId="77777777" w:rsidTr="00AB78A8">
        <w:trPr>
          <w:trHeight w:val="348"/>
        </w:trPr>
        <w:tc>
          <w:tcPr>
            <w:tcW w:w="4099" w:type="dxa"/>
            <w:tcBorders>
              <w:top w:val="single" w:sz="4" w:space="0" w:color="000000"/>
              <w:left w:val="single" w:sz="4" w:space="0" w:color="000000"/>
              <w:bottom w:val="single" w:sz="4" w:space="0" w:color="000000"/>
              <w:right w:val="single" w:sz="4" w:space="0" w:color="000000"/>
            </w:tcBorders>
          </w:tcPr>
          <w:p w14:paraId="25855D9D" w14:textId="5D213569" w:rsidR="005F36F3" w:rsidRPr="009F7642" w:rsidRDefault="00564614" w:rsidP="0073217C">
            <w:pPr>
              <w:suppressAutoHyphens/>
              <w:spacing w:after="0" w:line="240" w:lineRule="auto"/>
              <w:ind w:left="567" w:firstLine="0"/>
              <w:rPr>
                <w:color w:val="auto"/>
                <w:lang w:val="is-IS"/>
              </w:rPr>
            </w:pPr>
            <w:r w:rsidRPr="009F7642">
              <w:rPr>
                <w:color w:val="auto"/>
                <w:lang w:val="is-IS"/>
              </w:rPr>
              <w:t xml:space="preserve">Áhættuhlutfall (95% </w:t>
            </w:r>
            <w:r w:rsidR="00495BB7" w:rsidRPr="009F7642">
              <w:rPr>
                <w:color w:val="auto"/>
                <w:lang w:val="is-IS"/>
              </w:rPr>
              <w:t>öryggis</w:t>
            </w:r>
            <w:r w:rsidR="00495BB7">
              <w:rPr>
                <w:color w:val="auto"/>
                <w:lang w:val="is-IS"/>
              </w:rPr>
              <w:t>bil</w:t>
            </w:r>
            <w:r w:rsidRPr="009F7642">
              <w:rPr>
                <w:color w:val="auto"/>
                <w:lang w:val="is-IS"/>
              </w:rPr>
              <w:t>) (eCRF)</w:t>
            </w:r>
            <w:r w:rsidRPr="009F7642">
              <w:rPr>
                <w:color w:val="auto"/>
                <w:vertAlign w:val="superscript"/>
                <w:lang w:val="is-IS"/>
              </w:rPr>
              <w:t>a</w:t>
            </w:r>
            <w:r w:rsidRPr="009F7642">
              <w:rPr>
                <w:color w:val="auto"/>
                <w:lang w:val="is-IS"/>
              </w:rPr>
              <w:t xml:space="preserve"> </w:t>
            </w:r>
          </w:p>
        </w:tc>
        <w:tc>
          <w:tcPr>
            <w:tcW w:w="4817" w:type="dxa"/>
            <w:gridSpan w:val="2"/>
            <w:tcBorders>
              <w:top w:val="single" w:sz="4" w:space="0" w:color="000000"/>
              <w:left w:val="single" w:sz="4" w:space="0" w:color="000000"/>
              <w:bottom w:val="single" w:sz="4" w:space="0" w:color="000000"/>
              <w:right w:val="single" w:sz="4" w:space="0" w:color="000000"/>
            </w:tcBorders>
          </w:tcPr>
          <w:p w14:paraId="08651C17" w14:textId="5E0AD9E7" w:rsidR="005F36F3" w:rsidRPr="009F7642" w:rsidRDefault="00564614" w:rsidP="0073217C">
            <w:pPr>
              <w:suppressAutoHyphens/>
              <w:spacing w:after="0" w:line="259" w:lineRule="auto"/>
              <w:ind w:left="0" w:right="18" w:firstLine="0"/>
              <w:jc w:val="center"/>
              <w:rPr>
                <w:color w:val="auto"/>
                <w:lang w:val="is-IS"/>
              </w:rPr>
            </w:pPr>
            <w:r w:rsidRPr="009F7642">
              <w:rPr>
                <w:color w:val="auto"/>
                <w:lang w:val="is-IS"/>
              </w:rPr>
              <w:t>0,823 [</w:t>
            </w:r>
            <w:r w:rsidR="00916159" w:rsidRPr="009F7642">
              <w:rPr>
                <w:color w:val="auto"/>
                <w:lang w:val="is-IS"/>
              </w:rPr>
              <w:t>öryggis</w:t>
            </w:r>
            <w:r w:rsidR="00916159">
              <w:rPr>
                <w:color w:val="auto"/>
                <w:lang w:val="is-IS"/>
              </w:rPr>
              <w:t>bil</w:t>
            </w:r>
            <w:r w:rsidRPr="009F7642">
              <w:rPr>
                <w:color w:val="auto"/>
                <w:lang w:val="is-IS"/>
              </w:rPr>
              <w:t xml:space="preserve">: 0,680; 0,996] </w:t>
            </w:r>
          </w:p>
        </w:tc>
      </w:tr>
      <w:tr w:rsidR="005F36F3" w:rsidRPr="009F7642" w14:paraId="1729D2AE" w14:textId="77777777" w:rsidTr="00AB78A8">
        <w:trPr>
          <w:trHeight w:val="350"/>
        </w:trPr>
        <w:tc>
          <w:tcPr>
            <w:tcW w:w="4099" w:type="dxa"/>
            <w:tcBorders>
              <w:top w:val="single" w:sz="4" w:space="0" w:color="000000"/>
              <w:left w:val="single" w:sz="4" w:space="0" w:color="000000"/>
              <w:bottom w:val="single" w:sz="4" w:space="0" w:color="000000"/>
              <w:right w:val="single" w:sz="4" w:space="0" w:color="000000"/>
            </w:tcBorders>
          </w:tcPr>
          <w:p w14:paraId="78B0B1DD" w14:textId="77777777" w:rsidR="005F36F3" w:rsidRPr="009F7642" w:rsidRDefault="00564614" w:rsidP="0073217C">
            <w:pPr>
              <w:suppressAutoHyphens/>
              <w:spacing w:after="0" w:line="240" w:lineRule="auto"/>
              <w:ind w:left="567" w:firstLine="0"/>
              <w:rPr>
                <w:color w:val="auto"/>
                <w:lang w:val="is-IS"/>
              </w:rPr>
            </w:pPr>
            <w:r w:rsidRPr="009F7642">
              <w:rPr>
                <w:color w:val="auto"/>
                <w:lang w:val="is-IS"/>
              </w:rPr>
              <w:t>p-gildi</w:t>
            </w:r>
            <w:r w:rsidRPr="009F7642">
              <w:rPr>
                <w:b/>
                <w:color w:val="auto"/>
                <w:lang w:val="is-IS"/>
              </w:rPr>
              <w:t xml:space="preserve"> </w:t>
            </w:r>
          </w:p>
        </w:tc>
        <w:tc>
          <w:tcPr>
            <w:tcW w:w="4817" w:type="dxa"/>
            <w:gridSpan w:val="2"/>
            <w:tcBorders>
              <w:top w:val="single" w:sz="4" w:space="0" w:color="000000"/>
              <w:left w:val="single" w:sz="4" w:space="0" w:color="000000"/>
              <w:bottom w:val="single" w:sz="4" w:space="0" w:color="000000"/>
              <w:right w:val="single" w:sz="4" w:space="0" w:color="000000"/>
            </w:tcBorders>
          </w:tcPr>
          <w:p w14:paraId="2DA467AB" w14:textId="77777777" w:rsidR="005F36F3" w:rsidRPr="009F7642" w:rsidRDefault="00564614" w:rsidP="0073217C">
            <w:pPr>
              <w:suppressAutoHyphens/>
              <w:spacing w:after="0" w:line="259" w:lineRule="auto"/>
              <w:ind w:left="0" w:right="17" w:firstLine="0"/>
              <w:jc w:val="center"/>
              <w:rPr>
                <w:color w:val="auto"/>
                <w:lang w:val="is-IS"/>
              </w:rPr>
            </w:pPr>
            <w:r w:rsidRPr="009F7642">
              <w:rPr>
                <w:color w:val="auto"/>
                <w:lang w:val="is-IS"/>
              </w:rPr>
              <w:t>0,0447</w:t>
            </w:r>
          </w:p>
        </w:tc>
      </w:tr>
      <w:tr w:rsidR="005F36F3" w:rsidRPr="009F7642" w14:paraId="1EE472EF" w14:textId="77777777" w:rsidTr="00AB78A8">
        <w:trPr>
          <w:trHeight w:val="590"/>
        </w:trPr>
        <w:tc>
          <w:tcPr>
            <w:tcW w:w="4099" w:type="dxa"/>
            <w:tcBorders>
              <w:top w:val="single" w:sz="4" w:space="0" w:color="000000"/>
              <w:left w:val="single" w:sz="4" w:space="0" w:color="000000"/>
              <w:bottom w:val="single" w:sz="4" w:space="0" w:color="000000"/>
              <w:right w:val="single" w:sz="4" w:space="0" w:color="000000"/>
            </w:tcBorders>
          </w:tcPr>
          <w:p w14:paraId="3A842298" w14:textId="61566E2C" w:rsidR="005F36F3" w:rsidRPr="009F7642" w:rsidRDefault="00564614" w:rsidP="0073217C">
            <w:pPr>
              <w:suppressAutoHyphens/>
              <w:spacing w:after="0" w:line="240" w:lineRule="auto"/>
              <w:ind w:left="567" w:firstLine="0"/>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 (skráningarblað)</w:t>
            </w:r>
            <w:r w:rsidRPr="009F7642">
              <w:rPr>
                <w:color w:val="auto"/>
                <w:vertAlign w:val="superscript"/>
                <w:lang w:val="is-IS"/>
              </w:rPr>
              <w:t>b</w:t>
            </w:r>
            <w:r w:rsidRPr="009F7642">
              <w:rPr>
                <w:color w:val="auto"/>
                <w:lang w:val="is-IS"/>
              </w:rPr>
              <w:t xml:space="preserve"> </w:t>
            </w:r>
          </w:p>
        </w:tc>
        <w:tc>
          <w:tcPr>
            <w:tcW w:w="4817" w:type="dxa"/>
            <w:gridSpan w:val="2"/>
            <w:tcBorders>
              <w:top w:val="single" w:sz="4" w:space="0" w:color="000000"/>
              <w:left w:val="single" w:sz="4" w:space="0" w:color="000000"/>
              <w:bottom w:val="single" w:sz="4" w:space="0" w:color="000000"/>
              <w:right w:val="single" w:sz="4" w:space="0" w:color="000000"/>
            </w:tcBorders>
          </w:tcPr>
          <w:p w14:paraId="7A3002B2" w14:textId="4BCD8678" w:rsidR="005F36F3" w:rsidRPr="009F7642" w:rsidRDefault="00564614" w:rsidP="0073217C">
            <w:pPr>
              <w:suppressAutoHyphens/>
              <w:spacing w:after="0" w:line="259" w:lineRule="auto"/>
              <w:ind w:left="0" w:right="17" w:firstLine="0"/>
              <w:jc w:val="center"/>
              <w:rPr>
                <w:color w:val="auto"/>
                <w:lang w:val="is-IS"/>
              </w:rPr>
            </w:pPr>
            <w:r w:rsidRPr="009F7642">
              <w:rPr>
                <w:color w:val="auto"/>
                <w:lang w:val="is-IS"/>
              </w:rPr>
              <w:t>0,838 [</w:t>
            </w:r>
            <w:r w:rsidR="00916159" w:rsidRPr="009F7642">
              <w:rPr>
                <w:color w:val="auto"/>
                <w:lang w:val="is-IS"/>
              </w:rPr>
              <w:t>öryggis</w:t>
            </w:r>
            <w:r w:rsidR="00916159">
              <w:rPr>
                <w:color w:val="auto"/>
                <w:lang w:val="is-IS"/>
              </w:rPr>
              <w:t>bil</w:t>
            </w:r>
            <w:r w:rsidRPr="009F7642">
              <w:rPr>
                <w:color w:val="auto"/>
                <w:lang w:val="is-IS"/>
              </w:rPr>
              <w:t xml:space="preserve">: 0,693; 1,014] </w:t>
            </w:r>
          </w:p>
        </w:tc>
      </w:tr>
      <w:tr w:rsidR="005F36F3" w:rsidRPr="009F7642" w14:paraId="24F91E95" w14:textId="77777777" w:rsidTr="00AB78A8">
        <w:trPr>
          <w:trHeight w:val="350"/>
        </w:trPr>
        <w:tc>
          <w:tcPr>
            <w:tcW w:w="4099" w:type="dxa"/>
            <w:tcBorders>
              <w:top w:val="single" w:sz="4" w:space="0" w:color="000000"/>
              <w:left w:val="single" w:sz="4" w:space="0" w:color="000000"/>
              <w:bottom w:val="single" w:sz="4" w:space="0" w:color="000000"/>
              <w:right w:val="single" w:sz="4" w:space="0" w:color="000000"/>
            </w:tcBorders>
          </w:tcPr>
          <w:p w14:paraId="3D19EF80" w14:textId="77777777" w:rsidR="005F36F3" w:rsidRPr="009F7642" w:rsidRDefault="00564614" w:rsidP="0073217C">
            <w:pPr>
              <w:suppressAutoHyphens/>
              <w:spacing w:after="0" w:line="240" w:lineRule="auto"/>
              <w:ind w:left="567" w:firstLine="0"/>
              <w:rPr>
                <w:color w:val="auto"/>
                <w:lang w:val="is-IS"/>
              </w:rPr>
            </w:pPr>
            <w:r w:rsidRPr="009F7642">
              <w:rPr>
                <w:color w:val="auto"/>
                <w:lang w:val="is-IS"/>
              </w:rPr>
              <w:t xml:space="preserve">p-gildi </w:t>
            </w:r>
          </w:p>
        </w:tc>
        <w:tc>
          <w:tcPr>
            <w:tcW w:w="4817" w:type="dxa"/>
            <w:gridSpan w:val="2"/>
            <w:tcBorders>
              <w:top w:val="single" w:sz="4" w:space="0" w:color="000000"/>
              <w:left w:val="single" w:sz="4" w:space="0" w:color="000000"/>
              <w:bottom w:val="single" w:sz="4" w:space="0" w:color="000000"/>
              <w:right w:val="single" w:sz="4" w:space="0" w:color="000000"/>
            </w:tcBorders>
          </w:tcPr>
          <w:p w14:paraId="2705CF94" w14:textId="77777777" w:rsidR="005F36F3" w:rsidRPr="009F7642" w:rsidRDefault="00564614" w:rsidP="0073217C">
            <w:pPr>
              <w:suppressAutoHyphens/>
              <w:spacing w:after="0" w:line="259" w:lineRule="auto"/>
              <w:ind w:left="0" w:right="17" w:firstLine="0"/>
              <w:jc w:val="center"/>
              <w:rPr>
                <w:color w:val="auto"/>
                <w:lang w:val="is-IS"/>
              </w:rPr>
            </w:pPr>
            <w:r w:rsidRPr="009F7642">
              <w:rPr>
                <w:color w:val="auto"/>
                <w:lang w:val="is-IS"/>
              </w:rPr>
              <w:t xml:space="preserve">0,0683 </w:t>
            </w:r>
          </w:p>
        </w:tc>
      </w:tr>
      <w:tr w:rsidR="005F36F3" w:rsidRPr="009F7642" w14:paraId="05184CCC" w14:textId="77777777" w:rsidTr="00AB78A8">
        <w:trPr>
          <w:trHeight w:val="461"/>
        </w:trPr>
        <w:tc>
          <w:tcPr>
            <w:tcW w:w="4099" w:type="dxa"/>
            <w:tcBorders>
              <w:top w:val="single" w:sz="4" w:space="0" w:color="000000"/>
              <w:left w:val="single" w:sz="4" w:space="0" w:color="000000"/>
              <w:bottom w:val="single" w:sz="4" w:space="0" w:color="000000"/>
              <w:right w:val="nil"/>
            </w:tcBorders>
          </w:tcPr>
          <w:p w14:paraId="04170E5A" w14:textId="77777777" w:rsidR="005F36F3" w:rsidRPr="009F7642" w:rsidRDefault="00564614" w:rsidP="0073217C">
            <w:pPr>
              <w:suppressAutoHyphens/>
              <w:spacing w:after="0" w:line="259" w:lineRule="auto"/>
              <w:ind w:left="0" w:firstLine="0"/>
              <w:rPr>
                <w:color w:val="auto"/>
                <w:lang w:val="is-IS"/>
              </w:rPr>
            </w:pPr>
            <w:r w:rsidRPr="009F7642">
              <w:rPr>
                <w:color w:val="auto"/>
                <w:lang w:val="is-IS"/>
              </w:rPr>
              <w:t xml:space="preserve">Viðbótarendapunktur </w:t>
            </w:r>
          </w:p>
        </w:tc>
        <w:tc>
          <w:tcPr>
            <w:tcW w:w="4817" w:type="dxa"/>
            <w:gridSpan w:val="2"/>
            <w:tcBorders>
              <w:top w:val="single" w:sz="4" w:space="0" w:color="000000"/>
              <w:left w:val="nil"/>
              <w:bottom w:val="single" w:sz="4" w:space="0" w:color="000000"/>
              <w:right w:val="single" w:sz="4" w:space="0" w:color="000000"/>
            </w:tcBorders>
          </w:tcPr>
          <w:p w14:paraId="038E4C78" w14:textId="77777777" w:rsidR="005F36F3" w:rsidRPr="009F7642" w:rsidRDefault="005F36F3" w:rsidP="0073217C">
            <w:pPr>
              <w:suppressAutoHyphens/>
              <w:spacing w:after="160" w:line="259" w:lineRule="auto"/>
              <w:ind w:left="0" w:firstLine="0"/>
              <w:rPr>
                <w:color w:val="auto"/>
                <w:lang w:val="is-IS"/>
              </w:rPr>
            </w:pPr>
          </w:p>
        </w:tc>
      </w:tr>
      <w:tr w:rsidR="005F36F3" w:rsidRPr="009F7642" w14:paraId="4F6E004C" w14:textId="77777777" w:rsidTr="00C32E07">
        <w:trPr>
          <w:trHeight w:val="794"/>
        </w:trPr>
        <w:tc>
          <w:tcPr>
            <w:tcW w:w="4099" w:type="dxa"/>
            <w:tcBorders>
              <w:top w:val="single" w:sz="4" w:space="0" w:color="000000"/>
              <w:left w:val="single" w:sz="4" w:space="0" w:color="000000"/>
              <w:bottom w:val="single" w:sz="4" w:space="0" w:color="000000"/>
              <w:right w:val="single" w:sz="4" w:space="0" w:color="000000"/>
            </w:tcBorders>
          </w:tcPr>
          <w:p w14:paraId="1046E03D" w14:textId="26AC866F" w:rsidR="005F36F3" w:rsidRPr="009F7642" w:rsidRDefault="00564614" w:rsidP="0073217C">
            <w:pPr>
              <w:suppressAutoHyphens/>
              <w:spacing w:after="0" w:line="240" w:lineRule="auto"/>
              <w:ind w:left="567" w:firstLine="0"/>
              <w:rPr>
                <w:color w:val="auto"/>
                <w:lang w:val="is-IS"/>
              </w:rPr>
            </w:pPr>
            <w:r w:rsidRPr="009F7642">
              <w:rPr>
                <w:color w:val="auto"/>
                <w:lang w:val="is-IS"/>
              </w:rPr>
              <w:t xml:space="preserve">Lifun án </w:t>
            </w:r>
            <w:r w:rsidR="00916159" w:rsidRPr="00FE5EE2">
              <w:rPr>
                <w:color w:val="auto"/>
                <w:lang w:val="is-IS"/>
              </w:rPr>
              <w:t>versnunar</w:t>
            </w:r>
            <w:r w:rsidRPr="009F7642">
              <w:rPr>
                <w:color w:val="auto"/>
                <w:lang w:val="is-IS"/>
              </w:rPr>
              <w:t xml:space="preserve"> sjúkdóms </w:t>
            </w:r>
          </w:p>
        </w:tc>
        <w:tc>
          <w:tcPr>
            <w:tcW w:w="2249" w:type="dxa"/>
            <w:tcBorders>
              <w:top w:val="single" w:sz="4" w:space="0" w:color="000000"/>
              <w:left w:val="single" w:sz="4" w:space="0" w:color="000000"/>
              <w:bottom w:val="single" w:sz="4" w:space="0" w:color="000000"/>
              <w:right w:val="single" w:sz="4" w:space="0" w:color="000000"/>
            </w:tcBorders>
          </w:tcPr>
          <w:p w14:paraId="0A154B7F" w14:textId="77777777" w:rsidR="006C06D6" w:rsidRPr="009F7642" w:rsidRDefault="00564614" w:rsidP="0073217C">
            <w:pPr>
              <w:suppressAutoHyphens/>
              <w:spacing w:after="173" w:line="259" w:lineRule="auto"/>
              <w:ind w:left="0" w:right="23" w:firstLine="0"/>
              <w:jc w:val="center"/>
              <w:rPr>
                <w:color w:val="auto"/>
                <w:lang w:val="is-IS"/>
              </w:rPr>
            </w:pPr>
            <w:r w:rsidRPr="009F7642">
              <w:rPr>
                <w:color w:val="auto"/>
                <w:lang w:val="is-IS"/>
              </w:rPr>
              <w:t>CP-hópur</w:t>
            </w:r>
          </w:p>
          <w:p w14:paraId="6DFDF79D" w14:textId="77777777" w:rsidR="005F36F3" w:rsidRPr="009F7642" w:rsidRDefault="00564614" w:rsidP="0073217C">
            <w:pPr>
              <w:suppressAutoHyphens/>
              <w:spacing w:after="0" w:line="259" w:lineRule="auto"/>
              <w:ind w:left="0" w:right="23" w:firstLine="0"/>
              <w:jc w:val="center"/>
              <w:rPr>
                <w:color w:val="auto"/>
                <w:lang w:val="is-IS"/>
              </w:rPr>
            </w:pPr>
            <w:r w:rsidRPr="009F7642">
              <w:rPr>
                <w:color w:val="auto"/>
                <w:lang w:val="is-IS"/>
              </w:rPr>
              <w:t>(n</w:t>
            </w:r>
            <w:r w:rsidR="00D14DCD">
              <w:rPr>
                <w:color w:val="auto"/>
                <w:lang w:val="is-IS"/>
              </w:rPr>
              <w:t> </w:t>
            </w:r>
            <w:r w:rsidR="00700BDC">
              <w:rPr>
                <w:color w:val="auto"/>
                <w:lang w:val="is-IS"/>
              </w:rPr>
              <w:t>=</w:t>
            </w:r>
            <w:r w:rsidR="00D14DCD">
              <w:rPr>
                <w:color w:val="auto"/>
                <w:lang w:val="is-IS"/>
              </w:rPr>
              <w:t> </w:t>
            </w:r>
            <w:r w:rsidRPr="009F7642">
              <w:rPr>
                <w:color w:val="auto"/>
                <w:lang w:val="is-IS"/>
              </w:rPr>
              <w:t xml:space="preserve">336) </w:t>
            </w:r>
          </w:p>
        </w:tc>
        <w:tc>
          <w:tcPr>
            <w:tcW w:w="2568" w:type="dxa"/>
            <w:tcBorders>
              <w:top w:val="single" w:sz="4" w:space="0" w:color="000000"/>
              <w:left w:val="single" w:sz="4" w:space="0" w:color="000000"/>
              <w:bottom w:val="single" w:sz="4" w:space="0" w:color="000000"/>
              <w:right w:val="single" w:sz="4" w:space="0" w:color="000000"/>
            </w:tcBorders>
          </w:tcPr>
          <w:p w14:paraId="43112FE1" w14:textId="77777777" w:rsidR="006C06D6" w:rsidRPr="009F7642" w:rsidRDefault="00564614" w:rsidP="0073217C">
            <w:pPr>
              <w:suppressAutoHyphens/>
              <w:spacing w:after="173" w:line="259" w:lineRule="auto"/>
              <w:ind w:left="0" w:right="18" w:firstLine="0"/>
              <w:jc w:val="center"/>
              <w:rPr>
                <w:color w:val="auto"/>
                <w:lang w:val="is-IS"/>
              </w:rPr>
            </w:pPr>
            <w:r w:rsidRPr="009F7642">
              <w:rPr>
                <w:color w:val="auto"/>
                <w:lang w:val="is-IS"/>
              </w:rPr>
              <w:t>CPB-hópur</w:t>
            </w:r>
          </w:p>
          <w:p w14:paraId="0566AFAC" w14:textId="77777777" w:rsidR="005F36F3" w:rsidRPr="009F7642" w:rsidRDefault="00564614" w:rsidP="0073217C">
            <w:pPr>
              <w:suppressAutoHyphens/>
              <w:spacing w:after="0" w:line="259" w:lineRule="auto"/>
              <w:ind w:left="0" w:right="16" w:firstLine="0"/>
              <w:jc w:val="center"/>
              <w:rPr>
                <w:color w:val="auto"/>
                <w:lang w:val="is-IS"/>
              </w:rPr>
            </w:pPr>
            <w:r w:rsidRPr="009F7642">
              <w:rPr>
                <w:color w:val="auto"/>
                <w:lang w:val="is-IS"/>
              </w:rPr>
              <w:t>(n</w:t>
            </w:r>
            <w:r w:rsidR="00D14DCD">
              <w:rPr>
                <w:color w:val="auto"/>
                <w:lang w:val="is-IS"/>
              </w:rPr>
              <w:t> </w:t>
            </w:r>
            <w:r w:rsidR="00700BDC">
              <w:rPr>
                <w:color w:val="auto"/>
                <w:lang w:val="is-IS"/>
              </w:rPr>
              <w:t>=</w:t>
            </w:r>
            <w:r w:rsidR="00D14DCD">
              <w:rPr>
                <w:color w:val="auto"/>
                <w:lang w:val="is-IS"/>
              </w:rPr>
              <w:t> </w:t>
            </w:r>
            <w:r w:rsidRPr="009F7642">
              <w:rPr>
                <w:color w:val="auto"/>
                <w:lang w:val="is-IS"/>
              </w:rPr>
              <w:t xml:space="preserve">337) </w:t>
            </w:r>
          </w:p>
        </w:tc>
      </w:tr>
      <w:tr w:rsidR="005F36F3" w:rsidRPr="009F7642" w14:paraId="09F5B02D" w14:textId="77777777" w:rsidTr="00AB78A8">
        <w:trPr>
          <w:trHeight w:val="590"/>
        </w:trPr>
        <w:tc>
          <w:tcPr>
            <w:tcW w:w="4099" w:type="dxa"/>
            <w:tcBorders>
              <w:top w:val="single" w:sz="4" w:space="0" w:color="000000"/>
              <w:left w:val="single" w:sz="4" w:space="0" w:color="000000"/>
              <w:bottom w:val="single" w:sz="4" w:space="0" w:color="000000"/>
              <w:right w:val="single" w:sz="4" w:space="0" w:color="000000"/>
            </w:tcBorders>
          </w:tcPr>
          <w:p w14:paraId="4A0E40E5" w14:textId="43AE05D3" w:rsidR="005F36F3" w:rsidRPr="009F7642" w:rsidRDefault="00564614" w:rsidP="0073217C">
            <w:pPr>
              <w:suppressAutoHyphens/>
              <w:spacing w:after="0" w:line="240" w:lineRule="auto"/>
              <w:ind w:left="567" w:firstLine="0"/>
              <w:rPr>
                <w:color w:val="auto"/>
                <w:lang w:val="is-IS"/>
              </w:rPr>
            </w:pPr>
            <w:r w:rsidRPr="009F7642">
              <w:rPr>
                <w:color w:val="auto"/>
                <w:lang w:val="is-IS"/>
              </w:rPr>
              <w:t xml:space="preserve">Miðgildi lifunar án </w:t>
            </w:r>
            <w:r w:rsidR="00916159" w:rsidRPr="00FE5EE2">
              <w:rPr>
                <w:color w:val="auto"/>
                <w:lang w:val="is-IS"/>
              </w:rPr>
              <w:t>versnunar</w:t>
            </w:r>
            <w:r w:rsidRPr="009F7642">
              <w:rPr>
                <w:color w:val="auto"/>
                <w:lang w:val="is-IS"/>
              </w:rPr>
              <w:t xml:space="preserve"> sjúkdóms (mánuðir) </w:t>
            </w:r>
          </w:p>
        </w:tc>
        <w:tc>
          <w:tcPr>
            <w:tcW w:w="2249" w:type="dxa"/>
            <w:tcBorders>
              <w:top w:val="single" w:sz="4" w:space="0" w:color="000000"/>
              <w:left w:val="single" w:sz="4" w:space="0" w:color="000000"/>
              <w:bottom w:val="single" w:sz="4" w:space="0" w:color="000000"/>
              <w:right w:val="single" w:sz="4" w:space="0" w:color="000000"/>
            </w:tcBorders>
          </w:tcPr>
          <w:p w14:paraId="1FDC7081" w14:textId="77777777" w:rsidR="005F36F3" w:rsidRPr="009F7642" w:rsidRDefault="00564614" w:rsidP="0073217C">
            <w:pPr>
              <w:suppressAutoHyphens/>
              <w:spacing w:after="0" w:line="259" w:lineRule="auto"/>
              <w:ind w:left="0" w:right="22" w:firstLine="0"/>
              <w:jc w:val="center"/>
              <w:rPr>
                <w:color w:val="auto"/>
                <w:lang w:val="is-IS"/>
              </w:rPr>
            </w:pPr>
            <w:r w:rsidRPr="009F7642">
              <w:rPr>
                <w:color w:val="auto"/>
                <w:lang w:val="is-IS"/>
              </w:rPr>
              <w:t xml:space="preserve">10,2 </w:t>
            </w:r>
          </w:p>
        </w:tc>
        <w:tc>
          <w:tcPr>
            <w:tcW w:w="2568" w:type="dxa"/>
            <w:tcBorders>
              <w:top w:val="single" w:sz="4" w:space="0" w:color="000000"/>
              <w:left w:val="single" w:sz="4" w:space="0" w:color="000000"/>
              <w:bottom w:val="single" w:sz="4" w:space="0" w:color="000000"/>
              <w:right w:val="single" w:sz="4" w:space="0" w:color="000000"/>
            </w:tcBorders>
          </w:tcPr>
          <w:p w14:paraId="66D4BA23" w14:textId="77777777" w:rsidR="005F36F3" w:rsidRPr="009F7642" w:rsidRDefault="00564614" w:rsidP="0073217C">
            <w:pPr>
              <w:suppressAutoHyphens/>
              <w:spacing w:after="0" w:line="259" w:lineRule="auto"/>
              <w:ind w:left="0" w:right="15" w:firstLine="0"/>
              <w:jc w:val="center"/>
              <w:rPr>
                <w:color w:val="auto"/>
                <w:lang w:val="is-IS"/>
              </w:rPr>
            </w:pPr>
            <w:r w:rsidRPr="009F7642">
              <w:rPr>
                <w:color w:val="auto"/>
                <w:lang w:val="is-IS"/>
              </w:rPr>
              <w:t xml:space="preserve">13,8 </w:t>
            </w:r>
          </w:p>
        </w:tc>
      </w:tr>
      <w:tr w:rsidR="005F36F3" w:rsidRPr="009F7642" w14:paraId="279DFF95" w14:textId="77777777" w:rsidTr="00AB78A8">
        <w:trPr>
          <w:trHeight w:val="458"/>
        </w:trPr>
        <w:tc>
          <w:tcPr>
            <w:tcW w:w="4099" w:type="dxa"/>
            <w:tcBorders>
              <w:top w:val="single" w:sz="4" w:space="0" w:color="000000"/>
              <w:left w:val="single" w:sz="4" w:space="0" w:color="000000"/>
              <w:bottom w:val="single" w:sz="4" w:space="0" w:color="000000"/>
              <w:right w:val="single" w:sz="4" w:space="0" w:color="000000"/>
            </w:tcBorders>
          </w:tcPr>
          <w:p w14:paraId="3174718F" w14:textId="06223DA8" w:rsidR="005F36F3" w:rsidRPr="009F7642" w:rsidRDefault="00564614" w:rsidP="0073217C">
            <w:pPr>
              <w:suppressAutoHyphens/>
              <w:spacing w:after="0" w:line="240" w:lineRule="auto"/>
              <w:ind w:left="567" w:firstLine="0"/>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 xml:space="preserve">) </w:t>
            </w:r>
          </w:p>
        </w:tc>
        <w:tc>
          <w:tcPr>
            <w:tcW w:w="4817" w:type="dxa"/>
            <w:gridSpan w:val="2"/>
            <w:tcBorders>
              <w:top w:val="single" w:sz="4" w:space="0" w:color="000000"/>
              <w:left w:val="single" w:sz="4" w:space="0" w:color="000000"/>
              <w:bottom w:val="single" w:sz="4" w:space="0" w:color="000000"/>
              <w:right w:val="single" w:sz="4" w:space="0" w:color="000000"/>
            </w:tcBorders>
          </w:tcPr>
          <w:p w14:paraId="5B35522A" w14:textId="6AA40CE0" w:rsidR="005F36F3" w:rsidRPr="009F7642" w:rsidRDefault="00564614" w:rsidP="0073217C">
            <w:pPr>
              <w:suppressAutoHyphens/>
              <w:spacing w:after="0" w:line="259" w:lineRule="auto"/>
              <w:ind w:left="0" w:right="18" w:firstLine="0"/>
              <w:jc w:val="center"/>
              <w:rPr>
                <w:color w:val="auto"/>
                <w:lang w:val="is-IS"/>
              </w:rPr>
            </w:pPr>
            <w:r w:rsidRPr="009F7642">
              <w:rPr>
                <w:color w:val="auto"/>
                <w:lang w:val="is-IS"/>
              </w:rPr>
              <w:t>0,613 [</w:t>
            </w:r>
            <w:r w:rsidR="00916159" w:rsidRPr="009F7642">
              <w:rPr>
                <w:color w:val="auto"/>
                <w:lang w:val="is-IS"/>
              </w:rPr>
              <w:t>öryggis</w:t>
            </w:r>
            <w:r w:rsidR="00916159">
              <w:rPr>
                <w:color w:val="auto"/>
                <w:lang w:val="is-IS"/>
              </w:rPr>
              <w:t>bil</w:t>
            </w:r>
            <w:r w:rsidRPr="009F7642">
              <w:rPr>
                <w:color w:val="auto"/>
                <w:lang w:val="is-IS"/>
              </w:rPr>
              <w:t xml:space="preserve">: 0,521; 0,721] </w:t>
            </w:r>
          </w:p>
        </w:tc>
      </w:tr>
      <w:tr w:rsidR="005F36F3" w:rsidRPr="009F7642" w14:paraId="123E5BC6" w14:textId="77777777" w:rsidTr="00AB78A8">
        <w:trPr>
          <w:trHeight w:val="461"/>
        </w:trPr>
        <w:tc>
          <w:tcPr>
            <w:tcW w:w="4099" w:type="dxa"/>
            <w:tcBorders>
              <w:top w:val="single" w:sz="4" w:space="0" w:color="000000"/>
              <w:left w:val="single" w:sz="4" w:space="0" w:color="000000"/>
              <w:bottom w:val="single" w:sz="4" w:space="0" w:color="000000"/>
              <w:right w:val="single" w:sz="4" w:space="0" w:color="000000"/>
            </w:tcBorders>
          </w:tcPr>
          <w:p w14:paraId="7362C74D" w14:textId="77777777" w:rsidR="005F36F3" w:rsidRPr="009F7642" w:rsidRDefault="00564614" w:rsidP="0073217C">
            <w:pPr>
              <w:suppressAutoHyphens/>
              <w:spacing w:after="0" w:line="240" w:lineRule="auto"/>
              <w:ind w:left="567" w:firstLine="0"/>
              <w:rPr>
                <w:color w:val="auto"/>
                <w:lang w:val="is-IS"/>
              </w:rPr>
            </w:pPr>
            <w:r w:rsidRPr="009F7642">
              <w:rPr>
                <w:color w:val="auto"/>
                <w:lang w:val="is-IS"/>
              </w:rPr>
              <w:t xml:space="preserve">p-gildi </w:t>
            </w:r>
          </w:p>
        </w:tc>
        <w:tc>
          <w:tcPr>
            <w:tcW w:w="4817" w:type="dxa"/>
            <w:gridSpan w:val="2"/>
            <w:tcBorders>
              <w:top w:val="single" w:sz="4" w:space="0" w:color="000000"/>
              <w:left w:val="single" w:sz="4" w:space="0" w:color="000000"/>
              <w:bottom w:val="single" w:sz="4" w:space="0" w:color="000000"/>
              <w:right w:val="single" w:sz="4" w:space="0" w:color="000000"/>
            </w:tcBorders>
          </w:tcPr>
          <w:p w14:paraId="2F84BC73" w14:textId="77777777" w:rsidR="005F36F3" w:rsidRPr="009F7642" w:rsidRDefault="00564614" w:rsidP="0073217C">
            <w:pPr>
              <w:suppressAutoHyphens/>
              <w:spacing w:after="0" w:line="259" w:lineRule="auto"/>
              <w:ind w:left="0" w:right="17" w:firstLine="0"/>
              <w:jc w:val="center"/>
              <w:rPr>
                <w:color w:val="auto"/>
                <w:lang w:val="is-IS"/>
              </w:rPr>
            </w:pPr>
            <w:r w:rsidRPr="009F7642">
              <w:rPr>
                <w:color w:val="auto"/>
                <w:lang w:val="is-IS"/>
              </w:rPr>
              <w:t>&lt;</w:t>
            </w:r>
            <w:r w:rsidR="00D14DCD">
              <w:rPr>
                <w:color w:val="auto"/>
                <w:lang w:val="is-IS"/>
              </w:rPr>
              <w:t> </w:t>
            </w:r>
            <w:r w:rsidRPr="009F7642">
              <w:rPr>
                <w:color w:val="auto"/>
                <w:lang w:val="is-IS"/>
              </w:rPr>
              <w:t xml:space="preserve">0,0001 </w:t>
            </w:r>
          </w:p>
        </w:tc>
      </w:tr>
    </w:tbl>
    <w:p w14:paraId="7D538627" w14:textId="77777777" w:rsidR="006C06D6" w:rsidRPr="009F7642" w:rsidRDefault="00B51FBF" w:rsidP="0073217C">
      <w:pPr>
        <w:suppressAutoHyphens/>
        <w:spacing w:after="0" w:line="240" w:lineRule="auto"/>
        <w:ind w:left="567" w:hanging="567"/>
        <w:rPr>
          <w:color w:val="auto"/>
          <w:sz w:val="20"/>
          <w:szCs w:val="20"/>
          <w:lang w:val="is-IS"/>
        </w:rPr>
      </w:pPr>
      <w:r w:rsidRPr="009F7642">
        <w:rPr>
          <w:color w:val="auto"/>
          <w:sz w:val="20"/>
          <w:szCs w:val="20"/>
          <w:vertAlign w:val="superscript"/>
          <w:lang w:val="is-IS"/>
        </w:rPr>
        <w:t>1</w:t>
      </w:r>
      <w:r w:rsidR="00B93244" w:rsidRPr="009F7642">
        <w:rPr>
          <w:color w:val="auto"/>
          <w:sz w:val="20"/>
          <w:szCs w:val="20"/>
          <w:lang w:val="is-IS"/>
        </w:rPr>
        <w:tab/>
      </w:r>
      <w:r w:rsidRPr="009F7642">
        <w:rPr>
          <w:color w:val="auto"/>
          <w:sz w:val="20"/>
          <w:szCs w:val="20"/>
          <w:lang w:val="is-IS"/>
        </w:rPr>
        <w:t>Lokagreining.</w:t>
      </w:r>
    </w:p>
    <w:p w14:paraId="084E9476" w14:textId="77777777" w:rsidR="00B51FBF" w:rsidRPr="009F7642" w:rsidRDefault="00B51FBF" w:rsidP="0073217C">
      <w:pPr>
        <w:suppressAutoHyphens/>
        <w:spacing w:after="0" w:line="240" w:lineRule="auto"/>
        <w:ind w:left="567" w:hanging="567"/>
        <w:rPr>
          <w:color w:val="auto"/>
          <w:sz w:val="20"/>
          <w:szCs w:val="20"/>
          <w:lang w:val="is-IS"/>
        </w:rPr>
      </w:pPr>
      <w:r w:rsidRPr="009F7642">
        <w:rPr>
          <w:color w:val="auto"/>
          <w:sz w:val="20"/>
          <w:szCs w:val="20"/>
          <w:vertAlign w:val="superscript"/>
          <w:lang w:val="is-IS"/>
        </w:rPr>
        <w:t>2</w:t>
      </w:r>
      <w:r w:rsidR="00B93244" w:rsidRPr="009F7642">
        <w:rPr>
          <w:color w:val="auto"/>
          <w:sz w:val="20"/>
          <w:szCs w:val="20"/>
          <w:lang w:val="is-IS"/>
        </w:rPr>
        <w:tab/>
      </w:r>
      <w:r w:rsidRPr="009F7642">
        <w:rPr>
          <w:color w:val="auto"/>
          <w:sz w:val="20"/>
          <w:szCs w:val="20"/>
          <w:lang w:val="is-IS"/>
        </w:rPr>
        <w:t>Rannsakendur lögðu mat á æxli og svörun samkvæmt GOG RECIST viðmiðum (endurskoðaðar RECIST leiðbeiningar (útgáfa 1.1). Eur J Cancer. 2009;45:228Y247).</w:t>
      </w:r>
    </w:p>
    <w:p w14:paraId="49A223F2" w14:textId="77777777" w:rsidR="00B51FBF" w:rsidRPr="009F7642" w:rsidRDefault="00B51FBF" w:rsidP="0073217C">
      <w:pPr>
        <w:suppressAutoHyphens/>
        <w:spacing w:after="0" w:line="240" w:lineRule="auto"/>
        <w:ind w:left="567" w:hanging="567"/>
        <w:rPr>
          <w:color w:val="auto"/>
          <w:sz w:val="20"/>
          <w:szCs w:val="20"/>
          <w:lang w:val="is-IS"/>
        </w:rPr>
      </w:pPr>
    </w:p>
    <w:p w14:paraId="6C49D3C7" w14:textId="77777777" w:rsidR="006C06D6" w:rsidRPr="009F7642" w:rsidRDefault="00B51FBF" w:rsidP="0073217C">
      <w:pPr>
        <w:suppressAutoHyphens/>
        <w:spacing w:after="0" w:line="240" w:lineRule="auto"/>
        <w:ind w:left="567" w:hanging="567"/>
        <w:rPr>
          <w:color w:val="auto"/>
          <w:sz w:val="20"/>
          <w:szCs w:val="20"/>
          <w:lang w:val="is-IS"/>
        </w:rPr>
      </w:pPr>
      <w:r w:rsidRPr="009F7642">
        <w:rPr>
          <w:color w:val="auto"/>
          <w:sz w:val="20"/>
          <w:szCs w:val="20"/>
          <w:vertAlign w:val="superscript"/>
          <w:lang w:val="is-IS"/>
        </w:rPr>
        <w:t>a</w:t>
      </w:r>
      <w:r w:rsidRPr="009F7642">
        <w:rPr>
          <w:color w:val="auto"/>
          <w:sz w:val="20"/>
          <w:szCs w:val="20"/>
          <w:lang w:val="is-IS"/>
        </w:rPr>
        <w:tab/>
      </w:r>
      <w:r w:rsidR="00564614" w:rsidRPr="009F7642">
        <w:rPr>
          <w:color w:val="auto"/>
          <w:sz w:val="20"/>
          <w:szCs w:val="20"/>
          <w:lang w:val="is-IS"/>
        </w:rPr>
        <w:t>Áhættuhlutfall var metið á grundvelli Cox-líkana fyrir hlutfallslega áhættu, sem var lagskipt eftir lengd tímabils án lyfja sem innihéldu platínusambönd áður en þátttaka í rannsókninni var hafin samkvæmt rafrænni þátttökuskrá (electronic case report form, eCRF) og síðan eftir því hvort æxlið var minnkað með skurðaðgerð (debulking) Já/Nei (Já</w:t>
      </w:r>
      <w:r w:rsidR="00700BDC">
        <w:rPr>
          <w:color w:val="auto"/>
          <w:sz w:val="20"/>
          <w:szCs w:val="20"/>
          <w:lang w:val="is-IS"/>
        </w:rPr>
        <w:t xml:space="preserve"> = </w:t>
      </w:r>
      <w:r w:rsidR="00564614" w:rsidRPr="009F7642">
        <w:rPr>
          <w:color w:val="auto"/>
          <w:sz w:val="20"/>
          <w:szCs w:val="20"/>
          <w:lang w:val="is-IS"/>
        </w:rPr>
        <w:t>slembiraðað til að gangast undir aðgerð til minnkunar á æxli (cytoreduction) eða ekki; Nei</w:t>
      </w:r>
      <w:r w:rsidR="00700BDC">
        <w:rPr>
          <w:color w:val="auto"/>
          <w:sz w:val="20"/>
          <w:szCs w:val="20"/>
          <w:lang w:val="is-IS"/>
        </w:rPr>
        <w:t xml:space="preserve"> = </w:t>
      </w:r>
      <w:r w:rsidR="00564614" w:rsidRPr="009F7642">
        <w:rPr>
          <w:color w:val="auto"/>
          <w:sz w:val="20"/>
          <w:szCs w:val="20"/>
          <w:lang w:val="is-IS"/>
        </w:rPr>
        <w:t>aðgerð til minnkunar á æxli kom ekki til greina eða sjúklingur samþykkti hana ekki).</w:t>
      </w:r>
    </w:p>
    <w:p w14:paraId="674E6377" w14:textId="78037B00" w:rsidR="006C06D6" w:rsidRPr="009F7642" w:rsidRDefault="00B51FBF" w:rsidP="0073217C">
      <w:pPr>
        <w:suppressAutoHyphens/>
        <w:spacing w:after="0" w:line="240" w:lineRule="auto"/>
        <w:ind w:left="567" w:hanging="567"/>
        <w:rPr>
          <w:color w:val="auto"/>
          <w:sz w:val="20"/>
          <w:szCs w:val="20"/>
          <w:lang w:val="is-IS"/>
        </w:rPr>
      </w:pPr>
      <w:r w:rsidRPr="009F7642">
        <w:rPr>
          <w:color w:val="auto"/>
          <w:sz w:val="20"/>
          <w:szCs w:val="20"/>
          <w:vertAlign w:val="superscript"/>
          <w:lang w:val="is-IS"/>
        </w:rPr>
        <w:t>b</w:t>
      </w:r>
      <w:r w:rsidRPr="009F7642">
        <w:rPr>
          <w:color w:val="auto"/>
          <w:sz w:val="20"/>
          <w:szCs w:val="20"/>
          <w:vertAlign w:val="superscript"/>
          <w:lang w:val="is-IS"/>
        </w:rPr>
        <w:tab/>
      </w:r>
      <w:r w:rsidR="004D15E9">
        <w:rPr>
          <w:color w:val="auto"/>
          <w:sz w:val="20"/>
          <w:szCs w:val="20"/>
          <w:lang w:val="is-IS"/>
        </w:rPr>
        <w:t>L</w:t>
      </w:r>
      <w:r w:rsidR="004D15E9" w:rsidRPr="009F7642">
        <w:rPr>
          <w:color w:val="auto"/>
          <w:sz w:val="20"/>
          <w:szCs w:val="20"/>
          <w:lang w:val="is-IS"/>
        </w:rPr>
        <w:t xml:space="preserve">agskipt </w:t>
      </w:r>
      <w:r w:rsidR="00564614" w:rsidRPr="009F7642">
        <w:rPr>
          <w:color w:val="auto"/>
          <w:sz w:val="20"/>
          <w:szCs w:val="20"/>
          <w:lang w:val="is-IS"/>
        </w:rPr>
        <w:t>eftir lengd tímabils án meðferðar áður en þátttaka í rannsókninni var hafin samkvæmt skráningarblaðinu og síðan eftir því hvort æxlið var minnkað með skurðaðgerð (debulking) Já/Nei.</w:t>
      </w:r>
    </w:p>
    <w:p w14:paraId="454AB4E8" w14:textId="77777777" w:rsidR="005F36F3" w:rsidRPr="007309A2" w:rsidRDefault="005F36F3" w:rsidP="0073217C">
      <w:pPr>
        <w:suppressAutoHyphens/>
        <w:spacing w:after="0" w:line="240" w:lineRule="auto"/>
        <w:ind w:left="0" w:firstLine="0"/>
        <w:rPr>
          <w:color w:val="auto"/>
          <w:lang w:val="is-IS"/>
        </w:rPr>
      </w:pPr>
    </w:p>
    <w:p w14:paraId="5E0AF89A"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Rannsóknin náði aðalmarkmiði sínu, sem var að sýna fram á bætta heildarlifun. Samkvæmt gögnum sem safnað var með rafrænni þátttökuskrá (eCRF) olli meðferð með </w:t>
      </w:r>
      <w:r w:rsidR="00690564" w:rsidRPr="00F2274F">
        <w:rPr>
          <w:lang w:val="is-IS"/>
        </w:rPr>
        <w:t>bevacízúmab</w:t>
      </w:r>
      <w:r w:rsidR="00994821" w:rsidRPr="00F2274F">
        <w:rPr>
          <w:lang w:val="is-IS"/>
        </w:rPr>
        <w:t>i</w:t>
      </w:r>
      <w:r w:rsidRPr="009F7642">
        <w:rPr>
          <w:color w:val="auto"/>
          <w:lang w:val="is-IS"/>
        </w:rPr>
        <w:t xml:space="preserve"> í skömmtum sem námu </w:t>
      </w:r>
      <w:r w:rsidR="009C428B" w:rsidRPr="009F7642">
        <w:rPr>
          <w:color w:val="auto"/>
          <w:lang w:val="is-IS"/>
        </w:rPr>
        <w:t>15 </w:t>
      </w:r>
      <w:r w:rsidRPr="009F7642">
        <w:rPr>
          <w:color w:val="auto"/>
          <w:lang w:val="is-IS"/>
        </w:rPr>
        <w:t xml:space="preserve">mg/kg á 3 vikna fresti ásamt krabbameinslyfjameðferð (carboplatín og paklítaxel) í a.m.k. 6 og allt að 8 meðferðarlotur, sem fylgt var eftir með </w:t>
      </w:r>
      <w:r w:rsidR="00690564" w:rsidRPr="00F2274F">
        <w:rPr>
          <w:lang w:val="is-IS"/>
        </w:rPr>
        <w:t>bevacízúmab</w:t>
      </w:r>
      <w:r w:rsidR="00994821" w:rsidRPr="00F2274F">
        <w:rPr>
          <w:lang w:val="is-IS"/>
        </w:rPr>
        <w:t xml:space="preserve">i </w:t>
      </w:r>
      <w:r w:rsidRPr="009F7642">
        <w:rPr>
          <w:color w:val="auto"/>
          <w:lang w:val="is-IS"/>
        </w:rPr>
        <w:t>þar til sjúkdómurinn versnaði eða eituráhrif urðu óásættanleg, tölfræðilega marktækri lengingu heildarlifunar, borið saman við carboplatín og paklítaxel eingöngu, sem hafði klíníska þýðingu.</w:t>
      </w:r>
    </w:p>
    <w:p w14:paraId="65F0215B" w14:textId="77777777" w:rsidR="005F36F3" w:rsidRPr="009F7642" w:rsidRDefault="005F36F3" w:rsidP="0073217C">
      <w:pPr>
        <w:suppressAutoHyphens/>
        <w:spacing w:after="0" w:line="240" w:lineRule="auto"/>
        <w:ind w:left="0" w:firstLine="0"/>
        <w:rPr>
          <w:color w:val="auto"/>
          <w:lang w:val="is-IS"/>
        </w:rPr>
      </w:pPr>
    </w:p>
    <w:p w14:paraId="483C9219"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t>MO22224</w:t>
      </w:r>
    </w:p>
    <w:p w14:paraId="56BDB474" w14:textId="77777777" w:rsidR="006C06D6" w:rsidRPr="009F7642" w:rsidRDefault="00564614" w:rsidP="0073217C">
      <w:pPr>
        <w:suppressAutoHyphens/>
        <w:spacing w:after="0" w:line="240" w:lineRule="auto"/>
        <w:ind w:left="0" w:firstLine="0"/>
        <w:rPr>
          <w:i/>
          <w:color w:val="auto"/>
          <w:lang w:val="is-IS"/>
        </w:rPr>
      </w:pPr>
      <w:r w:rsidRPr="009F7642">
        <w:rPr>
          <w:color w:val="auto"/>
          <w:lang w:val="is-IS"/>
        </w:rPr>
        <w:t>Í MO22224-rannsókninni var lagt mat á verkun og öryggi bevacízúmabs ásamt krabbameinslyfjameðferð við endurkomnu þekjufrumukrabbameini í eggjastokkum, krabbameini í eggjaleiðurum og frumkomnu krabbameini í lífhimnu sem var ónæmt fyrir platínusamböndum. Rannsóknin var opin, slembiröðuð, tveggja hópa III. stigs rannsókn sem hönnuð var til að bera saman bevacízúmab ásamt krabbameinslyfjameðferð (CT+BV) og krabbameinslyfjameðferð eina sér (CT).</w:t>
      </w:r>
    </w:p>
    <w:p w14:paraId="46C0AB25" w14:textId="77777777" w:rsidR="00354217" w:rsidRPr="009F7642" w:rsidRDefault="00354217" w:rsidP="00193751">
      <w:pPr>
        <w:keepNext/>
        <w:suppressAutoHyphens/>
        <w:spacing w:after="0" w:line="240" w:lineRule="auto"/>
        <w:ind w:left="0" w:firstLine="0"/>
        <w:rPr>
          <w:color w:val="auto"/>
          <w:lang w:val="is-IS"/>
        </w:rPr>
      </w:pPr>
    </w:p>
    <w:p w14:paraId="68727E95" w14:textId="77777777" w:rsidR="005F36F3" w:rsidRPr="009F7642" w:rsidRDefault="00564614" w:rsidP="0073217C">
      <w:pPr>
        <w:keepNext/>
        <w:suppressAutoHyphens/>
        <w:spacing w:after="0" w:line="240" w:lineRule="auto"/>
        <w:ind w:left="0" w:firstLine="0"/>
        <w:rPr>
          <w:color w:val="auto"/>
          <w:lang w:val="is-IS"/>
        </w:rPr>
      </w:pPr>
      <w:r w:rsidRPr="009F7642">
        <w:rPr>
          <w:color w:val="auto"/>
          <w:lang w:val="is-IS"/>
        </w:rPr>
        <w:t>Alls var 361 sjúklingur tekinn inn í rannsóknina og fengu þeir ýmist krabbameinslyfjameðferð (paklítaxel, tópótekan eða pegýlerað doxórúbicín í lípósómum (pegylated liposomal doxorubicin, PLD) eina s</w:t>
      </w:r>
      <w:r w:rsidR="00354217" w:rsidRPr="009F7642">
        <w:rPr>
          <w:color w:val="auto"/>
          <w:lang w:val="is-IS"/>
        </w:rPr>
        <w:t>ér eða ásamt bevacízúmabi:</w:t>
      </w:r>
    </w:p>
    <w:p w14:paraId="0B6F19A9" w14:textId="77777777" w:rsidR="005F36F3" w:rsidRPr="009F7642" w:rsidRDefault="005F36F3" w:rsidP="0073217C">
      <w:pPr>
        <w:keepNext/>
        <w:suppressAutoHyphens/>
        <w:spacing w:after="0" w:line="240" w:lineRule="auto"/>
        <w:ind w:left="0" w:firstLine="0"/>
        <w:rPr>
          <w:color w:val="auto"/>
          <w:lang w:val="is-IS"/>
        </w:rPr>
      </w:pPr>
    </w:p>
    <w:p w14:paraId="403821B7" w14:textId="77777777" w:rsidR="00354217" w:rsidRPr="009F7642" w:rsidRDefault="00354217" w:rsidP="0073217C">
      <w:pPr>
        <w:numPr>
          <w:ilvl w:val="0"/>
          <w:numId w:val="14"/>
        </w:numPr>
        <w:suppressAutoHyphens/>
        <w:spacing w:after="0" w:line="240" w:lineRule="auto"/>
        <w:ind w:left="567" w:hanging="567"/>
        <w:rPr>
          <w:color w:val="auto"/>
          <w:lang w:val="is-IS"/>
        </w:rPr>
      </w:pPr>
      <w:r w:rsidRPr="009F7642">
        <w:rPr>
          <w:color w:val="auto"/>
          <w:lang w:val="is-IS"/>
        </w:rPr>
        <w:t>CT hópur (kr</w:t>
      </w:r>
      <w:r w:rsidR="00CC6009" w:rsidRPr="009F7642">
        <w:rPr>
          <w:color w:val="auto"/>
          <w:lang w:val="is-IS"/>
        </w:rPr>
        <w:t>abbameinslyfjameðferð ein sér):</w:t>
      </w:r>
    </w:p>
    <w:p w14:paraId="44724199" w14:textId="77777777" w:rsidR="00354217" w:rsidRPr="009F7642" w:rsidRDefault="00354217" w:rsidP="00821009">
      <w:pPr>
        <w:suppressAutoHyphens/>
        <w:spacing w:after="0" w:line="240" w:lineRule="auto"/>
        <w:ind w:left="1134" w:hanging="425"/>
        <w:rPr>
          <w:color w:val="auto"/>
          <w:lang w:val="is-IS"/>
        </w:rPr>
      </w:pPr>
      <w:bookmarkStart w:id="4" w:name="_Hlk490505618"/>
      <w:r w:rsidRPr="009F7642">
        <w:rPr>
          <w:color w:val="auto"/>
          <w:lang w:val="is-IS"/>
        </w:rPr>
        <w:t>•</w:t>
      </w:r>
      <w:bookmarkEnd w:id="4"/>
      <w:r w:rsidR="001755BE" w:rsidRPr="009F7642">
        <w:rPr>
          <w:color w:val="auto"/>
          <w:lang w:val="is-IS"/>
        </w:rPr>
        <w:tab/>
        <w:t>Paklítaxel 80 </w:t>
      </w:r>
      <w:r w:rsidRPr="009F7642">
        <w:rPr>
          <w:color w:val="auto"/>
          <w:lang w:val="is-IS"/>
        </w:rPr>
        <w:t>mg/m</w:t>
      </w:r>
      <w:r w:rsidRPr="009F7642">
        <w:rPr>
          <w:color w:val="auto"/>
          <w:vertAlign w:val="superscript"/>
          <w:lang w:val="is-IS"/>
        </w:rPr>
        <w:t>2</w:t>
      </w:r>
      <w:r w:rsidRPr="009F7642">
        <w:rPr>
          <w:color w:val="auto"/>
          <w:lang w:val="is-IS"/>
        </w:rPr>
        <w:t xml:space="preserve"> sem innrennsli í bláæð á 1 klukkustund á dögum 1</w:t>
      </w:r>
      <w:r w:rsidR="00CC6009" w:rsidRPr="009F7642">
        <w:rPr>
          <w:color w:val="auto"/>
          <w:lang w:val="is-IS"/>
        </w:rPr>
        <w:t>, 8, 15 og 22 á 4</w:t>
      </w:r>
      <w:r w:rsidR="00B42D0A">
        <w:rPr>
          <w:color w:val="auto"/>
          <w:lang w:val="is-IS"/>
        </w:rPr>
        <w:t> </w:t>
      </w:r>
      <w:r w:rsidR="00CC6009" w:rsidRPr="009F7642">
        <w:rPr>
          <w:color w:val="auto"/>
          <w:lang w:val="is-IS"/>
        </w:rPr>
        <w:t>vikna fresti.</w:t>
      </w:r>
    </w:p>
    <w:p w14:paraId="6E4B556F" w14:textId="77777777" w:rsidR="00354217" w:rsidRPr="009F7642" w:rsidRDefault="001755BE" w:rsidP="00821009">
      <w:pPr>
        <w:suppressAutoHyphens/>
        <w:spacing w:after="0" w:line="240" w:lineRule="auto"/>
        <w:ind w:left="1134" w:hanging="425"/>
        <w:rPr>
          <w:color w:val="auto"/>
          <w:lang w:val="is-IS"/>
        </w:rPr>
      </w:pPr>
      <w:r w:rsidRPr="009F7642">
        <w:rPr>
          <w:color w:val="auto"/>
          <w:lang w:val="is-IS"/>
        </w:rPr>
        <w:t>•</w:t>
      </w:r>
      <w:r w:rsidRPr="009F7642">
        <w:rPr>
          <w:color w:val="auto"/>
          <w:lang w:val="is-IS"/>
        </w:rPr>
        <w:tab/>
        <w:t>Tópótekan 4 </w:t>
      </w:r>
      <w:r w:rsidR="00354217" w:rsidRPr="009F7642">
        <w:rPr>
          <w:color w:val="auto"/>
          <w:lang w:val="is-IS"/>
        </w:rPr>
        <w:t>mg/m</w:t>
      </w:r>
      <w:r w:rsidR="00354217" w:rsidRPr="009F7642">
        <w:rPr>
          <w:color w:val="auto"/>
          <w:vertAlign w:val="superscript"/>
          <w:lang w:val="is-IS"/>
        </w:rPr>
        <w:t>2</w:t>
      </w:r>
      <w:r w:rsidR="00354217" w:rsidRPr="009F7642">
        <w:rPr>
          <w:color w:val="auto"/>
          <w:lang w:val="is-IS"/>
        </w:rPr>
        <w:t xml:space="preserve"> sem innrennsli í bláæð á 30 mínútum á dögum 1, 8 og 15 á 4 vikna fresti. </w:t>
      </w:r>
      <w:r w:rsidR="00354217" w:rsidRPr="00504296">
        <w:rPr>
          <w:color w:val="auto"/>
          <w:lang w:val="is-IS"/>
        </w:rPr>
        <w:t>Einn</w:t>
      </w:r>
      <w:r w:rsidR="004E7388" w:rsidRPr="00504296">
        <w:rPr>
          <w:color w:val="auto"/>
          <w:lang w:val="is-IS"/>
        </w:rPr>
        <w:t>i</w:t>
      </w:r>
      <w:r w:rsidR="00354217" w:rsidRPr="00504296">
        <w:rPr>
          <w:color w:val="auto"/>
          <w:lang w:val="is-IS"/>
        </w:rPr>
        <w:t>g</w:t>
      </w:r>
      <w:r w:rsidR="00354217" w:rsidRPr="009F7642">
        <w:rPr>
          <w:color w:val="auto"/>
          <w:lang w:val="is-IS"/>
        </w:rPr>
        <w:t xml:space="preserve"> var hægt að ge</w:t>
      </w:r>
      <w:r w:rsidRPr="009F7642">
        <w:rPr>
          <w:color w:val="auto"/>
          <w:lang w:val="is-IS"/>
        </w:rPr>
        <w:t>fa 1,25 </w:t>
      </w:r>
      <w:r w:rsidR="00354217" w:rsidRPr="009F7642">
        <w:rPr>
          <w:color w:val="auto"/>
          <w:lang w:val="is-IS"/>
        </w:rPr>
        <w:t>mg/m</w:t>
      </w:r>
      <w:r w:rsidR="00354217" w:rsidRPr="009F7642">
        <w:rPr>
          <w:color w:val="auto"/>
          <w:vertAlign w:val="superscript"/>
          <w:lang w:val="is-IS"/>
        </w:rPr>
        <w:t>2</w:t>
      </w:r>
      <w:r w:rsidR="00354217" w:rsidRPr="009F7642">
        <w:rPr>
          <w:color w:val="auto"/>
          <w:lang w:val="is-IS"/>
        </w:rPr>
        <w:t xml:space="preserve"> skammt á 30 mínútum á dögum 1– 5 á 3 vikna fresti.</w:t>
      </w:r>
    </w:p>
    <w:p w14:paraId="5B196EC5" w14:textId="77777777" w:rsidR="00354217" w:rsidRPr="009F7642" w:rsidRDefault="001755BE" w:rsidP="00821009">
      <w:pPr>
        <w:suppressAutoHyphens/>
        <w:spacing w:after="0" w:line="240" w:lineRule="auto"/>
        <w:ind w:left="1134" w:hanging="425"/>
        <w:rPr>
          <w:color w:val="auto"/>
          <w:lang w:val="is-IS"/>
        </w:rPr>
      </w:pPr>
      <w:r w:rsidRPr="009F7642">
        <w:rPr>
          <w:color w:val="auto"/>
          <w:lang w:val="is-IS"/>
        </w:rPr>
        <w:t>•</w:t>
      </w:r>
      <w:r w:rsidRPr="009F7642">
        <w:rPr>
          <w:color w:val="auto"/>
          <w:lang w:val="is-IS"/>
        </w:rPr>
        <w:tab/>
        <w:t>PLD 40 </w:t>
      </w:r>
      <w:r w:rsidR="00354217" w:rsidRPr="009F7642">
        <w:rPr>
          <w:color w:val="auto"/>
          <w:lang w:val="is-IS"/>
        </w:rPr>
        <w:t>mg/m</w:t>
      </w:r>
      <w:r w:rsidR="00354217" w:rsidRPr="009F7642">
        <w:rPr>
          <w:color w:val="auto"/>
          <w:vertAlign w:val="superscript"/>
          <w:lang w:val="is-IS"/>
        </w:rPr>
        <w:t>2</w:t>
      </w:r>
      <w:r w:rsidRPr="009F7642">
        <w:rPr>
          <w:color w:val="auto"/>
          <w:lang w:val="is-IS"/>
        </w:rPr>
        <w:t xml:space="preserve"> sem 1 </w:t>
      </w:r>
      <w:r w:rsidR="00354217" w:rsidRPr="009F7642">
        <w:rPr>
          <w:color w:val="auto"/>
          <w:lang w:val="is-IS"/>
        </w:rPr>
        <w:t>mg/</w:t>
      </w:r>
      <w:r w:rsidR="00354217" w:rsidRPr="00504296">
        <w:rPr>
          <w:color w:val="auto"/>
          <w:lang w:val="is-IS"/>
        </w:rPr>
        <w:t>mín</w:t>
      </w:r>
      <w:r w:rsidR="00265890" w:rsidRPr="00504296">
        <w:rPr>
          <w:color w:val="auto"/>
          <w:lang w:val="is-IS"/>
        </w:rPr>
        <w:t>.</w:t>
      </w:r>
      <w:r w:rsidR="00354217" w:rsidRPr="009F7642">
        <w:rPr>
          <w:color w:val="auto"/>
          <w:lang w:val="is-IS"/>
        </w:rPr>
        <w:t xml:space="preserve"> innrennsli í bláæð eingöngu á degi 1 á 4 vikna fresti. Eftir fyrstu meðferðarlotu var hægt að gefa lyfið sem innrennsli á 1 klukkustund.</w:t>
      </w:r>
    </w:p>
    <w:p w14:paraId="79BB67AF" w14:textId="77777777" w:rsidR="000B2D84" w:rsidRPr="009F7642" w:rsidRDefault="000B2D84" w:rsidP="0073217C">
      <w:pPr>
        <w:numPr>
          <w:ilvl w:val="0"/>
          <w:numId w:val="14"/>
        </w:numPr>
        <w:suppressAutoHyphens/>
        <w:spacing w:after="0" w:line="240" w:lineRule="auto"/>
        <w:ind w:left="567" w:hanging="567"/>
        <w:rPr>
          <w:color w:val="auto"/>
          <w:lang w:val="is-IS"/>
        </w:rPr>
      </w:pPr>
      <w:r w:rsidRPr="009F7642">
        <w:rPr>
          <w:color w:val="auto"/>
          <w:lang w:val="is-IS"/>
        </w:rPr>
        <w:t>CT+BV hópur (krabbameinsly</w:t>
      </w:r>
      <w:r w:rsidR="00CC6009" w:rsidRPr="009F7642">
        <w:rPr>
          <w:color w:val="auto"/>
          <w:lang w:val="is-IS"/>
        </w:rPr>
        <w:t>fjameðferð ásamt bevacízúmabi):</w:t>
      </w:r>
    </w:p>
    <w:p w14:paraId="2585A8E6" w14:textId="77777777" w:rsidR="000B2D84" w:rsidRPr="009F7642" w:rsidRDefault="000B2D84" w:rsidP="00821009">
      <w:pPr>
        <w:suppressAutoHyphens/>
        <w:spacing w:after="0" w:line="240" w:lineRule="auto"/>
        <w:ind w:left="1134" w:hanging="425"/>
        <w:rPr>
          <w:color w:val="auto"/>
          <w:lang w:val="is-IS"/>
        </w:rPr>
      </w:pPr>
      <w:r w:rsidRPr="009F7642">
        <w:rPr>
          <w:color w:val="auto"/>
          <w:lang w:val="is-IS"/>
        </w:rPr>
        <w:t>•</w:t>
      </w:r>
      <w:r w:rsidRPr="009F7642">
        <w:rPr>
          <w:color w:val="auto"/>
          <w:lang w:val="is-IS"/>
        </w:rPr>
        <w:tab/>
        <w:t xml:space="preserve">Valin krabbameinslyfjameðferð </w:t>
      </w:r>
      <w:r w:rsidR="001755BE" w:rsidRPr="009F7642">
        <w:rPr>
          <w:color w:val="auto"/>
          <w:lang w:val="is-IS"/>
        </w:rPr>
        <w:t>var gefin ásamt bevacízúmabi 10 </w:t>
      </w:r>
      <w:r w:rsidRPr="009F7642">
        <w:rPr>
          <w:color w:val="auto"/>
          <w:lang w:val="is-IS"/>
        </w:rPr>
        <w:t>mg/kg í</w:t>
      </w:r>
      <w:r w:rsidR="001755BE" w:rsidRPr="009F7642">
        <w:rPr>
          <w:color w:val="auto"/>
          <w:lang w:val="is-IS"/>
        </w:rPr>
        <w:t xml:space="preserve"> bláæð á 2</w:t>
      </w:r>
      <w:r w:rsidR="00B42D0A">
        <w:rPr>
          <w:color w:val="auto"/>
          <w:lang w:val="is-IS"/>
        </w:rPr>
        <w:t> </w:t>
      </w:r>
      <w:r w:rsidR="001755BE" w:rsidRPr="009F7642">
        <w:rPr>
          <w:color w:val="auto"/>
          <w:lang w:val="is-IS"/>
        </w:rPr>
        <w:t>vikna fresti (eða 15 </w:t>
      </w:r>
      <w:r w:rsidRPr="009F7642">
        <w:rPr>
          <w:color w:val="auto"/>
          <w:lang w:val="is-IS"/>
        </w:rPr>
        <w:t>mg/kg af bevacízúmabi á 3 vikna fresti ef lyfið var gef</w:t>
      </w:r>
      <w:r w:rsidR="001755BE" w:rsidRPr="009F7642">
        <w:rPr>
          <w:color w:val="auto"/>
          <w:lang w:val="is-IS"/>
        </w:rPr>
        <w:t>ið ásamt 1,25 </w:t>
      </w:r>
      <w:r w:rsidRPr="009F7642">
        <w:rPr>
          <w:color w:val="auto"/>
          <w:lang w:val="is-IS"/>
        </w:rPr>
        <w:t>mg/m</w:t>
      </w:r>
      <w:r w:rsidRPr="009F7642">
        <w:rPr>
          <w:color w:val="auto"/>
          <w:vertAlign w:val="superscript"/>
          <w:lang w:val="is-IS"/>
        </w:rPr>
        <w:t>2</w:t>
      </w:r>
      <w:r w:rsidRPr="009F7642">
        <w:rPr>
          <w:color w:val="auto"/>
          <w:lang w:val="is-IS"/>
        </w:rPr>
        <w:t xml:space="preserve"> af tópótekani á dögum 1–5 á 3 vikna fresti).</w:t>
      </w:r>
    </w:p>
    <w:p w14:paraId="13AD5101" w14:textId="77777777" w:rsidR="000B2D84" w:rsidRPr="009F7642" w:rsidRDefault="000B2D84" w:rsidP="0073217C">
      <w:pPr>
        <w:suppressAutoHyphens/>
        <w:spacing w:after="0" w:line="240" w:lineRule="auto"/>
        <w:ind w:left="0" w:firstLine="0"/>
        <w:rPr>
          <w:color w:val="auto"/>
          <w:lang w:val="is-IS"/>
        </w:rPr>
      </w:pPr>
    </w:p>
    <w:p w14:paraId="7B0957D8" w14:textId="30039B06" w:rsidR="006C06D6" w:rsidRPr="009F7642" w:rsidRDefault="00564614" w:rsidP="0073217C">
      <w:pPr>
        <w:suppressAutoHyphens/>
        <w:spacing w:after="0" w:line="240" w:lineRule="auto"/>
        <w:ind w:left="0" w:firstLine="0"/>
        <w:rPr>
          <w:color w:val="auto"/>
          <w:lang w:val="is-IS"/>
        </w:rPr>
      </w:pPr>
      <w:r w:rsidRPr="009F7642">
        <w:rPr>
          <w:color w:val="auto"/>
          <w:lang w:val="is-IS"/>
        </w:rPr>
        <w:t>Gjaldgengir sjúklingar voru með þekjufrumukrabbamein í eggjastokkum, krabbamein í eggjaleiðurum eða frumkomið krabbamein í lífhimnu sem versnaði áður en 6 mánuðir voru liðnir frá fyrri krabbameinslyfjameðferð sem innihélt platínusambönd og samanstóð að lágmarki af</w:t>
      </w:r>
      <w:r w:rsidR="00DD68C7">
        <w:rPr>
          <w:color w:val="auto"/>
          <w:lang w:val="is-IS"/>
        </w:rPr>
        <w:t xml:space="preserve"> </w:t>
      </w:r>
      <w:r w:rsidRPr="009F7642">
        <w:rPr>
          <w:color w:val="auto"/>
          <w:lang w:val="is-IS"/>
        </w:rPr>
        <w:t xml:space="preserve">4 meðferðarlotum með platínusamböndum. Vænt lifun sjúklinga þurfti að vera </w:t>
      </w:r>
      <w:r w:rsidR="00540AC4">
        <w:rPr>
          <w:rFonts w:eastAsia="Segoe UI Symbol"/>
          <w:color w:val="auto"/>
          <w:lang w:val="is-IS"/>
        </w:rPr>
        <w:t>≥ </w:t>
      </w:r>
      <w:r w:rsidRPr="009F7642">
        <w:rPr>
          <w:color w:val="auto"/>
          <w:lang w:val="is-IS"/>
        </w:rPr>
        <w:t xml:space="preserve">12 vikur og þeir máttu ekki hafa fengið geislameðferð á grindarhol eða kviðarhol. Flestir sjúklingar voru á FIGO stigi IIIC eða IV. Meirihluti sjúklinga í báðum meðferðarhópum var með ECOG færnistuðul 0 (CT: 56,4% borið saman við CT </w:t>
      </w:r>
      <w:r w:rsidRPr="009F7642">
        <w:rPr>
          <w:rFonts w:eastAsia="Segoe UI Symbol"/>
          <w:color w:val="auto"/>
          <w:lang w:val="is-IS"/>
        </w:rPr>
        <w:t>+</w:t>
      </w:r>
      <w:r w:rsidRPr="009F7642">
        <w:rPr>
          <w:color w:val="auto"/>
          <w:lang w:val="is-IS"/>
        </w:rPr>
        <w:t xml:space="preserve"> BV: 61,2%). Hlutföll sjúklinga með ECOG færnistuðul 1 eða </w:t>
      </w:r>
      <w:r w:rsidR="00540AC4">
        <w:rPr>
          <w:rFonts w:eastAsia="Segoe UI Symbol"/>
          <w:color w:val="auto"/>
          <w:lang w:val="is-IS"/>
        </w:rPr>
        <w:t>≥ </w:t>
      </w:r>
      <w:r w:rsidRPr="009F7642">
        <w:rPr>
          <w:color w:val="auto"/>
          <w:lang w:val="is-IS"/>
        </w:rPr>
        <w:t xml:space="preserve">2 voru 38,7% og 5,0% í CT-hópnum en 29,8% og 9,0% í CT </w:t>
      </w:r>
      <w:r w:rsidRPr="009F7642">
        <w:rPr>
          <w:rFonts w:eastAsia="Segoe UI Symbol"/>
          <w:color w:val="auto"/>
          <w:lang w:val="is-IS"/>
        </w:rPr>
        <w:t>+</w:t>
      </w:r>
      <w:r w:rsidRPr="009F7642">
        <w:rPr>
          <w:color w:val="auto"/>
          <w:lang w:val="is-IS"/>
        </w:rPr>
        <w:t xml:space="preserve"> BV-hópnum. Upplýsingar um kynþátt lágu fyrir um</w:t>
      </w:r>
      <w:r w:rsidR="00DD68C7">
        <w:rPr>
          <w:color w:val="auto"/>
          <w:lang w:val="is-IS"/>
        </w:rPr>
        <w:t xml:space="preserve"> </w:t>
      </w:r>
      <w:r w:rsidRPr="009F7642">
        <w:rPr>
          <w:color w:val="auto"/>
          <w:lang w:val="is-IS"/>
        </w:rPr>
        <w:t>29,3% sjúklinga og nærri alli sjúklingar voru af hvítum kynstofni. Miðgildi aldurs sjúklinga var 61,0 ár (bil: 25</w:t>
      </w:r>
      <w:r w:rsidRPr="009F7642">
        <w:rPr>
          <w:rFonts w:eastAsia="Segoe UI Symbol"/>
          <w:color w:val="auto"/>
          <w:lang w:val="is-IS"/>
        </w:rPr>
        <w:t>−</w:t>
      </w:r>
      <w:r w:rsidRPr="009F7642">
        <w:rPr>
          <w:color w:val="auto"/>
          <w:lang w:val="is-IS"/>
        </w:rPr>
        <w:t xml:space="preserve">84). Alls voru 16 sjúklingar (4,4%) </w:t>
      </w:r>
      <w:r w:rsidR="009F75ED">
        <w:rPr>
          <w:rFonts w:eastAsia="Segoe UI Symbol"/>
          <w:color w:val="auto"/>
          <w:lang w:val="is-IS"/>
        </w:rPr>
        <w:t>&gt; </w:t>
      </w:r>
      <w:r w:rsidRPr="009F7642">
        <w:rPr>
          <w:color w:val="auto"/>
          <w:lang w:val="is-IS"/>
        </w:rPr>
        <w:t xml:space="preserve">75 ára að aldri. Heildartíðni þess að sjúklingar hættu þátttöku vegna aukaverkana var 8,8% í CT-hópnum og 43,6% í CT + BV-hópnum (aðallega vegna aukaverkana af alvarleikastigi 2-3) og var miðgildi tímalengdar þar til þeir hættu þátttöku 5,2 mánuðir í CT + BV-hópnum en 2,4 mánuðir í CT-hópnum. Tíðni þess að sjúklingar hættu þátttöku vegna aukaverkana í aldurshópnum </w:t>
      </w:r>
      <w:r w:rsidR="009F75ED">
        <w:rPr>
          <w:color w:val="auto"/>
          <w:lang w:val="is-IS"/>
        </w:rPr>
        <w:t>&gt; </w:t>
      </w:r>
      <w:r w:rsidRPr="009F7642">
        <w:rPr>
          <w:color w:val="auto"/>
          <w:lang w:val="is-IS"/>
        </w:rPr>
        <w:t xml:space="preserve">65 ára var 8,8% í CT-hópnum en 50,0% í CT + BV-hópnum. Áhættuhlutfall fyrir lifun án versnunar sjúkdóms var 0,47 (95% </w:t>
      </w:r>
      <w:r w:rsidR="00916159" w:rsidRPr="009F7642">
        <w:rPr>
          <w:color w:val="auto"/>
          <w:lang w:val="is-IS"/>
        </w:rPr>
        <w:t>öryggis</w:t>
      </w:r>
      <w:r w:rsidR="00916159">
        <w:rPr>
          <w:color w:val="auto"/>
          <w:lang w:val="is-IS"/>
        </w:rPr>
        <w:t>bil</w:t>
      </w:r>
      <w:r w:rsidRPr="009F7642">
        <w:rPr>
          <w:color w:val="auto"/>
          <w:lang w:val="is-IS"/>
        </w:rPr>
        <w:t xml:space="preserve">: 0,35; 0,62) í aldurshópnum </w:t>
      </w:r>
      <w:r w:rsidR="00540AC4">
        <w:rPr>
          <w:rFonts w:eastAsia="Segoe UI Symbol"/>
          <w:color w:val="auto"/>
          <w:lang w:val="is-IS"/>
        </w:rPr>
        <w:t>&lt; </w:t>
      </w:r>
      <w:r w:rsidRPr="009F7642">
        <w:rPr>
          <w:color w:val="auto"/>
          <w:lang w:val="is-IS"/>
        </w:rPr>
        <w:t xml:space="preserve">65 ára en 0,45 (95% </w:t>
      </w:r>
      <w:r w:rsidR="00916159" w:rsidRPr="009F7642">
        <w:rPr>
          <w:color w:val="auto"/>
          <w:lang w:val="is-IS"/>
        </w:rPr>
        <w:t>öryggis</w:t>
      </w:r>
      <w:r w:rsidR="00916159">
        <w:rPr>
          <w:color w:val="auto"/>
          <w:lang w:val="is-IS"/>
        </w:rPr>
        <w:t>bil</w:t>
      </w:r>
      <w:r w:rsidRPr="009F7642">
        <w:rPr>
          <w:color w:val="auto"/>
          <w:lang w:val="is-IS"/>
        </w:rPr>
        <w:t xml:space="preserve">: 0,31; 0,67) í aldurshópnum </w:t>
      </w:r>
      <w:r w:rsidR="00540AC4">
        <w:rPr>
          <w:rFonts w:eastAsia="Segoe UI Symbol"/>
          <w:color w:val="auto"/>
          <w:lang w:val="is-IS"/>
        </w:rPr>
        <w:t>≥ </w:t>
      </w:r>
      <w:r w:rsidRPr="009F7642">
        <w:rPr>
          <w:color w:val="auto"/>
          <w:lang w:val="is-IS"/>
        </w:rPr>
        <w:t>65 ára.</w:t>
      </w:r>
    </w:p>
    <w:p w14:paraId="307BFA6C" w14:textId="77777777" w:rsidR="005F36F3" w:rsidRPr="009F7642" w:rsidRDefault="005F36F3" w:rsidP="0073217C">
      <w:pPr>
        <w:suppressAutoHyphens/>
        <w:spacing w:after="0" w:line="240" w:lineRule="auto"/>
        <w:ind w:left="0" w:firstLine="0"/>
        <w:rPr>
          <w:color w:val="auto"/>
          <w:lang w:val="is-IS"/>
        </w:rPr>
      </w:pPr>
    </w:p>
    <w:p w14:paraId="1F42CBF1"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Aðalendapunkturinn var lifun án versnunar sjúkdóms, en meðal aukaendapunkta voru hlutlægt svörunarhlutfall og heildarlifun. Niðurstöður eru sýndar í </w:t>
      </w:r>
      <w:r w:rsidRPr="00504296">
        <w:rPr>
          <w:color w:val="auto"/>
          <w:lang w:val="is-IS"/>
        </w:rPr>
        <w:t xml:space="preserve">töflu </w:t>
      </w:r>
      <w:r w:rsidR="00BA1F34" w:rsidRPr="00504296">
        <w:rPr>
          <w:color w:val="auto"/>
          <w:lang w:val="is-IS"/>
        </w:rPr>
        <w:t>2</w:t>
      </w:r>
      <w:r w:rsidR="00781331">
        <w:rPr>
          <w:color w:val="auto"/>
          <w:lang w:val="is-IS"/>
        </w:rPr>
        <w:t>3</w:t>
      </w:r>
      <w:r w:rsidRPr="009F7642">
        <w:rPr>
          <w:color w:val="auto"/>
          <w:lang w:val="is-IS"/>
        </w:rPr>
        <w:t>.</w:t>
      </w:r>
    </w:p>
    <w:p w14:paraId="609693B2" w14:textId="77777777" w:rsidR="005F36F3" w:rsidRPr="009F7642" w:rsidRDefault="005F36F3" w:rsidP="0073217C">
      <w:pPr>
        <w:suppressAutoHyphens/>
        <w:spacing w:after="0" w:line="240" w:lineRule="auto"/>
        <w:ind w:left="0" w:firstLine="0"/>
        <w:rPr>
          <w:color w:val="auto"/>
          <w:lang w:val="is-IS"/>
        </w:rPr>
      </w:pPr>
    </w:p>
    <w:p w14:paraId="0BAD07E2" w14:textId="77777777" w:rsidR="006C06D6" w:rsidRPr="00E53C06" w:rsidRDefault="00564614" w:rsidP="0073217C">
      <w:pPr>
        <w:keepNext/>
        <w:keepLines/>
        <w:suppressAutoHyphens/>
        <w:spacing w:after="0" w:line="240" w:lineRule="auto"/>
        <w:ind w:left="0" w:firstLine="0"/>
        <w:rPr>
          <w:b/>
          <w:color w:val="auto"/>
          <w:lang w:val="is-IS"/>
        </w:rPr>
      </w:pPr>
      <w:r w:rsidRPr="00504296">
        <w:rPr>
          <w:b/>
          <w:color w:val="auto"/>
          <w:lang w:val="is-IS"/>
        </w:rPr>
        <w:t>T</w:t>
      </w:r>
      <w:r w:rsidR="00BF4F58" w:rsidRPr="00504296">
        <w:rPr>
          <w:b/>
          <w:color w:val="auto"/>
          <w:lang w:val="is-IS"/>
        </w:rPr>
        <w:t xml:space="preserve">afla </w:t>
      </w:r>
      <w:r w:rsidR="00BA1F34" w:rsidRPr="00504296">
        <w:rPr>
          <w:b/>
          <w:color w:val="auto"/>
          <w:lang w:val="is-IS"/>
        </w:rPr>
        <w:t>2</w:t>
      </w:r>
      <w:r w:rsidR="00781331">
        <w:rPr>
          <w:b/>
          <w:color w:val="auto"/>
          <w:lang w:val="is-IS"/>
        </w:rPr>
        <w:t>3</w:t>
      </w:r>
      <w:r w:rsidR="00FE7644" w:rsidRPr="00E53C06">
        <w:rPr>
          <w:b/>
          <w:color w:val="auto"/>
          <w:lang w:val="is-IS"/>
        </w:rPr>
        <w:t>.</w:t>
      </w:r>
      <w:r w:rsidR="003076CD" w:rsidRPr="00E53C06">
        <w:rPr>
          <w:b/>
          <w:color w:val="auto"/>
          <w:lang w:val="is-IS"/>
        </w:rPr>
        <w:t xml:space="preserve"> </w:t>
      </w:r>
      <w:r w:rsidRPr="00E53C06">
        <w:rPr>
          <w:b/>
          <w:color w:val="auto"/>
          <w:lang w:val="is-IS"/>
        </w:rPr>
        <w:t>Niðurstöður varðandi verkun úr MO22224 rannsókninni</w:t>
      </w:r>
    </w:p>
    <w:p w14:paraId="08141204" w14:textId="77777777" w:rsidR="005F36F3" w:rsidRPr="00E53C06" w:rsidRDefault="005F36F3" w:rsidP="0073217C">
      <w:pPr>
        <w:keepNext/>
        <w:keepLines/>
        <w:suppressAutoHyphens/>
        <w:spacing w:after="0" w:line="240" w:lineRule="auto"/>
        <w:ind w:left="0" w:firstLine="0"/>
        <w:rPr>
          <w:b/>
          <w:color w:val="auto"/>
          <w:lang w:val="is-IS"/>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701"/>
        <w:gridCol w:w="3118"/>
        <w:gridCol w:w="2127"/>
      </w:tblGrid>
      <w:tr w:rsidR="00276CFF" w:rsidRPr="009F7642" w14:paraId="005BEE7F" w14:textId="77777777" w:rsidTr="007309A2">
        <w:trPr>
          <w:trHeight w:val="300"/>
        </w:trPr>
        <w:tc>
          <w:tcPr>
            <w:tcW w:w="8946" w:type="dxa"/>
            <w:gridSpan w:val="3"/>
            <w:tcBorders>
              <w:top w:val="single" w:sz="4" w:space="0" w:color="auto"/>
              <w:left w:val="single" w:sz="4" w:space="0" w:color="auto"/>
              <w:bottom w:val="single" w:sz="4" w:space="0" w:color="auto"/>
              <w:right w:val="single" w:sz="4" w:space="0" w:color="auto"/>
            </w:tcBorders>
            <w:noWrap/>
            <w:hideMark/>
          </w:tcPr>
          <w:p w14:paraId="0503DDAD" w14:textId="77777777" w:rsidR="00C632AF" w:rsidRPr="009303AA" w:rsidRDefault="00C632AF" w:rsidP="007309A2">
            <w:pPr>
              <w:keepNext/>
              <w:keepLines/>
              <w:suppressAutoHyphens/>
              <w:spacing w:after="0" w:line="240" w:lineRule="auto"/>
              <w:ind w:left="0" w:firstLine="0"/>
              <w:rPr>
                <w:color w:val="auto"/>
                <w:lang w:val="is-IS"/>
              </w:rPr>
            </w:pPr>
            <w:r w:rsidRPr="009303AA">
              <w:rPr>
                <w:color w:val="auto"/>
                <w:lang w:val="is-IS"/>
              </w:rPr>
              <w:t>Aðalendapunktur</w:t>
            </w:r>
          </w:p>
        </w:tc>
      </w:tr>
      <w:tr w:rsidR="00276CFF" w:rsidRPr="009F7642" w14:paraId="6628907F" w14:textId="77777777" w:rsidTr="005A69A8">
        <w:trPr>
          <w:trHeight w:val="300"/>
        </w:trPr>
        <w:tc>
          <w:tcPr>
            <w:tcW w:w="8946" w:type="dxa"/>
            <w:gridSpan w:val="3"/>
            <w:tcBorders>
              <w:top w:val="single" w:sz="4" w:space="0" w:color="auto"/>
              <w:left w:val="single" w:sz="4" w:space="0" w:color="auto"/>
              <w:bottom w:val="single" w:sz="4" w:space="0" w:color="auto"/>
              <w:right w:val="single" w:sz="4" w:space="0" w:color="auto"/>
            </w:tcBorders>
            <w:noWrap/>
            <w:vAlign w:val="bottom"/>
            <w:hideMark/>
          </w:tcPr>
          <w:p w14:paraId="61D93DE6" w14:textId="77777777" w:rsidR="00C632AF" w:rsidRPr="009F7642" w:rsidRDefault="00C632AF" w:rsidP="0073217C">
            <w:pPr>
              <w:keepNext/>
              <w:keepLines/>
              <w:suppressAutoHyphens/>
              <w:spacing w:after="0" w:line="240" w:lineRule="auto"/>
              <w:ind w:left="0" w:firstLine="0"/>
              <w:rPr>
                <w:color w:val="auto"/>
                <w:lang w:val="is-IS"/>
              </w:rPr>
            </w:pPr>
            <w:r w:rsidRPr="009F7642">
              <w:rPr>
                <w:color w:val="auto"/>
                <w:lang w:val="is-IS"/>
              </w:rPr>
              <w:t>Lifun án versnunar sjúkdóms*</w:t>
            </w:r>
          </w:p>
        </w:tc>
      </w:tr>
      <w:tr w:rsidR="00276CFF" w:rsidRPr="009F7642" w14:paraId="3D4DA7B6"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vAlign w:val="bottom"/>
            <w:hideMark/>
          </w:tcPr>
          <w:p w14:paraId="3D3C4E99" w14:textId="77777777" w:rsidR="00C632AF" w:rsidRPr="009F7642" w:rsidRDefault="00C632AF" w:rsidP="0073217C">
            <w:pPr>
              <w:keepNext/>
              <w:keepLines/>
              <w:suppressAutoHyphens/>
              <w:spacing w:after="0" w:line="240" w:lineRule="auto"/>
              <w:ind w:left="0" w:firstLine="0"/>
              <w:rPr>
                <w:color w:val="auto"/>
                <w:lang w:val="is-IS"/>
              </w:rPr>
            </w:pP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4DA02417" w14:textId="77777777" w:rsidR="00C632AF" w:rsidRPr="005A69A8" w:rsidRDefault="00C632AF" w:rsidP="0073217C">
            <w:pPr>
              <w:keepNext/>
              <w:keepLines/>
              <w:suppressAutoHyphens/>
              <w:spacing w:after="0" w:line="240" w:lineRule="auto"/>
              <w:ind w:left="0" w:firstLine="0"/>
              <w:jc w:val="center"/>
              <w:rPr>
                <w:color w:val="auto"/>
                <w:lang w:val="is-IS"/>
              </w:rPr>
            </w:pPr>
            <w:r w:rsidRPr="005A69A8">
              <w:rPr>
                <w:color w:val="auto"/>
                <w:lang w:val="is-IS"/>
              </w:rPr>
              <w:t>CT</w:t>
            </w:r>
          </w:p>
          <w:p w14:paraId="13955E66" w14:textId="77777777" w:rsidR="00C632AF" w:rsidRPr="005A69A8" w:rsidRDefault="00C632AF" w:rsidP="0073217C">
            <w:pPr>
              <w:keepNext/>
              <w:keepLines/>
              <w:suppressAutoHyphens/>
              <w:spacing w:after="0" w:line="240" w:lineRule="auto"/>
              <w:ind w:left="0" w:firstLine="0"/>
              <w:jc w:val="center"/>
              <w:rPr>
                <w:color w:val="auto"/>
                <w:lang w:val="is-IS"/>
              </w:rPr>
            </w:pPr>
            <w:r w:rsidRPr="005A69A8">
              <w:rPr>
                <w:color w:val="auto"/>
                <w:lang w:val="is-IS"/>
              </w:rPr>
              <w:t>(n</w:t>
            </w:r>
            <w:r w:rsidR="00D14DCD">
              <w:rPr>
                <w:color w:val="auto"/>
                <w:lang w:val="is-IS"/>
              </w:rPr>
              <w:t> </w:t>
            </w:r>
            <w:r w:rsidR="00700BDC" w:rsidRPr="005A69A8">
              <w:rPr>
                <w:color w:val="auto"/>
                <w:lang w:val="is-IS"/>
              </w:rPr>
              <w:t>=</w:t>
            </w:r>
            <w:r w:rsidR="00D14DCD">
              <w:rPr>
                <w:color w:val="auto"/>
                <w:lang w:val="is-IS"/>
              </w:rPr>
              <w:t> </w:t>
            </w:r>
            <w:r w:rsidRPr="005A69A8">
              <w:rPr>
                <w:color w:val="auto"/>
                <w:lang w:val="is-IS"/>
              </w:rPr>
              <w:t>182)</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645332F0" w14:textId="77777777" w:rsidR="00C632AF" w:rsidRPr="005A69A8" w:rsidRDefault="00C632AF" w:rsidP="0073217C">
            <w:pPr>
              <w:keepNext/>
              <w:keepLines/>
              <w:suppressAutoHyphens/>
              <w:spacing w:after="0" w:line="240" w:lineRule="auto"/>
              <w:ind w:left="0" w:firstLine="0"/>
              <w:jc w:val="center"/>
              <w:rPr>
                <w:color w:val="auto"/>
                <w:lang w:val="is-IS"/>
              </w:rPr>
            </w:pPr>
            <w:r w:rsidRPr="005A69A8">
              <w:rPr>
                <w:color w:val="auto"/>
                <w:lang w:val="is-IS"/>
              </w:rPr>
              <w:t>CT + BV</w:t>
            </w:r>
          </w:p>
          <w:p w14:paraId="66D610C1" w14:textId="77777777" w:rsidR="00C632AF" w:rsidRPr="005A69A8" w:rsidRDefault="00C632AF" w:rsidP="0073217C">
            <w:pPr>
              <w:keepNext/>
              <w:keepLines/>
              <w:suppressAutoHyphens/>
              <w:spacing w:after="0" w:line="240" w:lineRule="auto"/>
              <w:ind w:left="0" w:firstLine="0"/>
              <w:jc w:val="center"/>
              <w:rPr>
                <w:color w:val="auto"/>
                <w:lang w:val="is-IS"/>
              </w:rPr>
            </w:pPr>
            <w:r w:rsidRPr="005A69A8">
              <w:rPr>
                <w:color w:val="auto"/>
                <w:lang w:val="is-IS"/>
              </w:rPr>
              <w:t>(n</w:t>
            </w:r>
            <w:r w:rsidR="00D14DCD">
              <w:rPr>
                <w:color w:val="auto"/>
                <w:lang w:val="is-IS"/>
              </w:rPr>
              <w:t> </w:t>
            </w:r>
            <w:r w:rsidR="00700BDC" w:rsidRPr="005A69A8">
              <w:rPr>
                <w:color w:val="auto"/>
                <w:lang w:val="is-IS"/>
              </w:rPr>
              <w:t>=</w:t>
            </w:r>
            <w:r w:rsidR="00D14DCD">
              <w:rPr>
                <w:color w:val="auto"/>
                <w:lang w:val="is-IS"/>
              </w:rPr>
              <w:t> </w:t>
            </w:r>
            <w:r w:rsidRPr="005A69A8">
              <w:rPr>
                <w:color w:val="auto"/>
                <w:lang w:val="is-IS"/>
              </w:rPr>
              <w:t>179)</w:t>
            </w:r>
          </w:p>
        </w:tc>
      </w:tr>
      <w:tr w:rsidR="00276CFF" w:rsidRPr="009F7642" w14:paraId="1F68496E"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hideMark/>
          </w:tcPr>
          <w:p w14:paraId="6727C4A9" w14:textId="77777777" w:rsidR="00C632AF" w:rsidRPr="009F7642" w:rsidRDefault="00C632AF" w:rsidP="0073217C">
            <w:pPr>
              <w:keepNext/>
              <w:keepLines/>
              <w:suppressAutoHyphens/>
              <w:spacing w:after="0" w:line="240" w:lineRule="auto"/>
              <w:ind w:left="567" w:firstLine="0"/>
              <w:rPr>
                <w:color w:val="auto"/>
                <w:lang w:val="is-IS"/>
              </w:rPr>
            </w:pPr>
            <w:r w:rsidRPr="009F7642">
              <w:rPr>
                <w:color w:val="auto"/>
                <w:lang w:val="is-IS"/>
              </w:rPr>
              <w:t xml:space="preserve">Miðgildi (mánuðir) </w:t>
            </w:r>
          </w:p>
        </w:tc>
        <w:tc>
          <w:tcPr>
            <w:tcW w:w="3118" w:type="dxa"/>
            <w:tcBorders>
              <w:top w:val="single" w:sz="4" w:space="0" w:color="auto"/>
              <w:left w:val="single" w:sz="4" w:space="0" w:color="auto"/>
              <w:bottom w:val="single" w:sz="4" w:space="0" w:color="auto"/>
              <w:right w:val="single" w:sz="4" w:space="0" w:color="auto"/>
            </w:tcBorders>
            <w:noWrap/>
            <w:hideMark/>
          </w:tcPr>
          <w:p w14:paraId="7BB07589" w14:textId="77777777" w:rsidR="00C632AF" w:rsidRPr="009F7642" w:rsidRDefault="00C632AF" w:rsidP="0073217C">
            <w:pPr>
              <w:keepNext/>
              <w:keepLines/>
              <w:suppressAutoHyphens/>
              <w:spacing w:after="0" w:line="240" w:lineRule="auto"/>
              <w:ind w:left="0" w:firstLine="0"/>
              <w:jc w:val="center"/>
              <w:rPr>
                <w:color w:val="auto"/>
                <w:lang w:val="is-IS"/>
              </w:rPr>
            </w:pPr>
            <w:r w:rsidRPr="009F7642">
              <w:rPr>
                <w:color w:val="auto"/>
                <w:lang w:val="is-IS"/>
              </w:rPr>
              <w:t>3,4</w:t>
            </w:r>
          </w:p>
        </w:tc>
        <w:tc>
          <w:tcPr>
            <w:tcW w:w="2127" w:type="dxa"/>
            <w:tcBorders>
              <w:top w:val="single" w:sz="4" w:space="0" w:color="auto"/>
              <w:left w:val="single" w:sz="4" w:space="0" w:color="auto"/>
              <w:bottom w:val="single" w:sz="4" w:space="0" w:color="auto"/>
              <w:right w:val="single" w:sz="4" w:space="0" w:color="auto"/>
            </w:tcBorders>
            <w:noWrap/>
            <w:hideMark/>
          </w:tcPr>
          <w:p w14:paraId="3B9A096C" w14:textId="77777777" w:rsidR="00C632AF" w:rsidRPr="009F7642" w:rsidRDefault="00C632AF" w:rsidP="0073217C">
            <w:pPr>
              <w:keepNext/>
              <w:keepLines/>
              <w:suppressAutoHyphens/>
              <w:spacing w:after="0" w:line="240" w:lineRule="auto"/>
              <w:ind w:left="0" w:firstLine="0"/>
              <w:jc w:val="center"/>
              <w:rPr>
                <w:color w:val="auto"/>
                <w:lang w:val="is-IS"/>
              </w:rPr>
            </w:pPr>
            <w:r w:rsidRPr="009F7642">
              <w:rPr>
                <w:color w:val="auto"/>
                <w:lang w:val="is-IS"/>
              </w:rPr>
              <w:t>6,7</w:t>
            </w:r>
          </w:p>
        </w:tc>
      </w:tr>
      <w:tr w:rsidR="00276CFF" w:rsidRPr="009F7642" w14:paraId="61632D79"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hideMark/>
          </w:tcPr>
          <w:p w14:paraId="7ED5C897" w14:textId="155F1444" w:rsidR="00C632AF" w:rsidRPr="009F7642" w:rsidRDefault="00C632AF" w:rsidP="0073217C">
            <w:pPr>
              <w:keepNext/>
              <w:keepLines/>
              <w:suppressAutoHyphens/>
              <w:spacing w:after="0" w:line="240" w:lineRule="auto"/>
              <w:ind w:left="567" w:firstLine="0"/>
              <w:rPr>
                <w:color w:val="auto"/>
                <w:lang w:val="is-IS"/>
              </w:rPr>
            </w:pPr>
            <w:r w:rsidRPr="009F7642">
              <w:rPr>
                <w:color w:val="auto"/>
                <w:lang w:val="is-IS"/>
              </w:rPr>
              <w:t>Áhættuhlutfall</w:t>
            </w:r>
            <w:r w:rsidR="005A69A8">
              <w:rPr>
                <w:color w:val="auto"/>
                <w:lang w:val="is-IS"/>
              </w:rPr>
              <w:t xml:space="preserve"> </w:t>
            </w:r>
            <w:r w:rsidRPr="009F7642">
              <w:rPr>
                <w:color w:val="auto"/>
                <w:lang w:val="is-IS"/>
              </w:rPr>
              <w:t xml:space="preserve">(95% </w:t>
            </w:r>
            <w:r w:rsidR="00916159" w:rsidRPr="009F7642">
              <w:rPr>
                <w:color w:val="auto"/>
                <w:lang w:val="is-IS"/>
              </w:rPr>
              <w:t>öryggis</w:t>
            </w:r>
            <w:r w:rsidR="00916159">
              <w:rPr>
                <w:color w:val="auto"/>
                <w:lang w:val="is-IS"/>
              </w:rPr>
              <w:t>bil</w:t>
            </w:r>
            <w:r w:rsidRPr="009F7642">
              <w:rPr>
                <w:color w:val="auto"/>
                <w:lang w:val="is-IS"/>
              </w:rPr>
              <w:t xml:space="preserve">) </w:t>
            </w:r>
          </w:p>
        </w:tc>
        <w:tc>
          <w:tcPr>
            <w:tcW w:w="5245" w:type="dxa"/>
            <w:gridSpan w:val="2"/>
            <w:tcBorders>
              <w:top w:val="single" w:sz="4" w:space="0" w:color="auto"/>
              <w:left w:val="single" w:sz="4" w:space="0" w:color="auto"/>
              <w:bottom w:val="single" w:sz="4" w:space="0" w:color="auto"/>
              <w:right w:val="single" w:sz="4" w:space="0" w:color="auto"/>
            </w:tcBorders>
            <w:noWrap/>
            <w:vAlign w:val="center"/>
            <w:hideMark/>
          </w:tcPr>
          <w:p w14:paraId="6A7D3B92" w14:textId="77777777" w:rsidR="00C632AF" w:rsidRPr="009F7642" w:rsidRDefault="00C632AF" w:rsidP="0073217C">
            <w:pPr>
              <w:keepNext/>
              <w:keepLines/>
              <w:suppressAutoHyphens/>
              <w:spacing w:line="259" w:lineRule="auto"/>
              <w:ind w:left="9"/>
              <w:jc w:val="center"/>
              <w:rPr>
                <w:color w:val="auto"/>
                <w:lang w:val="is-IS"/>
              </w:rPr>
            </w:pPr>
            <w:r w:rsidRPr="009F7642">
              <w:rPr>
                <w:color w:val="auto"/>
                <w:lang w:val="is-IS"/>
              </w:rPr>
              <w:t xml:space="preserve">0,379 [0,296; 0,485] </w:t>
            </w:r>
          </w:p>
        </w:tc>
      </w:tr>
      <w:tr w:rsidR="00276CFF" w:rsidRPr="009F7642" w14:paraId="6496DEBA"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hideMark/>
          </w:tcPr>
          <w:p w14:paraId="34D46834" w14:textId="77777777" w:rsidR="00C632AF" w:rsidRPr="009F7642" w:rsidRDefault="00C632AF" w:rsidP="00193751">
            <w:pPr>
              <w:suppressAutoHyphens/>
              <w:spacing w:after="0" w:line="240" w:lineRule="auto"/>
              <w:ind w:left="567" w:firstLine="0"/>
              <w:rPr>
                <w:color w:val="auto"/>
                <w:lang w:val="is-IS"/>
              </w:rPr>
            </w:pPr>
            <w:r w:rsidRPr="009F7642">
              <w:rPr>
                <w:color w:val="auto"/>
                <w:lang w:val="is-IS"/>
              </w:rPr>
              <w:t xml:space="preserve">p-gildi </w:t>
            </w:r>
          </w:p>
        </w:tc>
        <w:tc>
          <w:tcPr>
            <w:tcW w:w="5245" w:type="dxa"/>
            <w:gridSpan w:val="2"/>
            <w:tcBorders>
              <w:top w:val="single" w:sz="4" w:space="0" w:color="auto"/>
              <w:left w:val="single" w:sz="4" w:space="0" w:color="auto"/>
              <w:bottom w:val="single" w:sz="4" w:space="0" w:color="auto"/>
              <w:right w:val="single" w:sz="4" w:space="0" w:color="auto"/>
            </w:tcBorders>
            <w:noWrap/>
            <w:hideMark/>
          </w:tcPr>
          <w:p w14:paraId="53AE6649" w14:textId="77777777" w:rsidR="00C632AF" w:rsidRPr="009F7642" w:rsidRDefault="00C632AF" w:rsidP="0073217C">
            <w:pPr>
              <w:keepNext/>
              <w:keepLines/>
              <w:suppressAutoHyphens/>
              <w:spacing w:line="259" w:lineRule="auto"/>
              <w:ind w:right="65"/>
              <w:jc w:val="center"/>
              <w:rPr>
                <w:color w:val="auto"/>
                <w:lang w:val="is-IS"/>
              </w:rPr>
            </w:pPr>
            <w:r w:rsidRPr="009F7642">
              <w:rPr>
                <w:color w:val="auto"/>
                <w:lang w:val="is-IS"/>
              </w:rPr>
              <w:t>&lt;</w:t>
            </w:r>
            <w:r w:rsidR="00B42D0A">
              <w:rPr>
                <w:color w:val="auto"/>
                <w:lang w:val="is-IS"/>
              </w:rPr>
              <w:t> </w:t>
            </w:r>
            <w:r w:rsidRPr="009F7642">
              <w:rPr>
                <w:color w:val="auto"/>
                <w:lang w:val="is-IS"/>
              </w:rPr>
              <w:t xml:space="preserve">0,0001 </w:t>
            </w:r>
          </w:p>
        </w:tc>
      </w:tr>
      <w:tr w:rsidR="00276CFF" w:rsidRPr="009F7642" w14:paraId="040581D2" w14:textId="77777777" w:rsidTr="005A69A8">
        <w:trPr>
          <w:trHeight w:val="300"/>
        </w:trPr>
        <w:tc>
          <w:tcPr>
            <w:tcW w:w="8946" w:type="dxa"/>
            <w:gridSpan w:val="3"/>
            <w:tcBorders>
              <w:top w:val="single" w:sz="4" w:space="0" w:color="auto"/>
              <w:left w:val="single" w:sz="4" w:space="0" w:color="auto"/>
              <w:bottom w:val="single" w:sz="4" w:space="0" w:color="auto"/>
              <w:right w:val="single" w:sz="4" w:space="0" w:color="auto"/>
            </w:tcBorders>
            <w:noWrap/>
            <w:vAlign w:val="bottom"/>
            <w:hideMark/>
          </w:tcPr>
          <w:p w14:paraId="0AEB681B" w14:textId="77777777" w:rsidR="00C632AF" w:rsidRPr="009303AA" w:rsidRDefault="00C632AF" w:rsidP="00193751">
            <w:pPr>
              <w:keepNext/>
              <w:keepLines/>
              <w:suppressAutoHyphens/>
              <w:spacing w:line="240" w:lineRule="auto"/>
              <w:jc w:val="center"/>
              <w:rPr>
                <w:color w:val="auto"/>
                <w:lang w:val="is-IS"/>
              </w:rPr>
            </w:pPr>
            <w:r w:rsidRPr="009303AA">
              <w:rPr>
                <w:color w:val="auto"/>
                <w:lang w:val="is-IS"/>
              </w:rPr>
              <w:lastRenderedPageBreak/>
              <w:t>Aukaendapunktar</w:t>
            </w:r>
          </w:p>
        </w:tc>
      </w:tr>
      <w:tr w:rsidR="00276CFF" w:rsidRPr="009F7642" w14:paraId="7D6F782B" w14:textId="77777777" w:rsidTr="005A69A8">
        <w:trPr>
          <w:trHeight w:val="300"/>
        </w:trPr>
        <w:tc>
          <w:tcPr>
            <w:tcW w:w="8946" w:type="dxa"/>
            <w:gridSpan w:val="3"/>
            <w:tcBorders>
              <w:top w:val="single" w:sz="4" w:space="0" w:color="auto"/>
              <w:left w:val="single" w:sz="4" w:space="0" w:color="auto"/>
              <w:bottom w:val="single" w:sz="4" w:space="0" w:color="auto"/>
              <w:right w:val="single" w:sz="4" w:space="0" w:color="auto"/>
            </w:tcBorders>
            <w:noWrap/>
            <w:vAlign w:val="bottom"/>
            <w:hideMark/>
          </w:tcPr>
          <w:p w14:paraId="6251F6A1" w14:textId="77777777" w:rsidR="00C632AF" w:rsidRPr="009F7642" w:rsidRDefault="00C632AF" w:rsidP="00193751">
            <w:pPr>
              <w:keepNext/>
              <w:keepLines/>
              <w:suppressAutoHyphens/>
              <w:spacing w:after="0" w:line="240" w:lineRule="auto"/>
              <w:ind w:left="0" w:firstLine="0"/>
              <w:rPr>
                <w:color w:val="auto"/>
                <w:lang w:val="is-IS"/>
              </w:rPr>
            </w:pPr>
            <w:r w:rsidRPr="009F7642">
              <w:rPr>
                <w:color w:val="auto"/>
                <w:lang w:val="is-IS"/>
              </w:rPr>
              <w:t>Hlutlægt svörunarhlutfall**</w:t>
            </w:r>
          </w:p>
        </w:tc>
      </w:tr>
      <w:tr w:rsidR="00276CFF" w:rsidRPr="009F7642" w14:paraId="1331A156"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vAlign w:val="bottom"/>
            <w:hideMark/>
          </w:tcPr>
          <w:p w14:paraId="3862093A" w14:textId="77777777" w:rsidR="00C632AF" w:rsidRPr="009F7642" w:rsidRDefault="00C632AF" w:rsidP="00193751">
            <w:pPr>
              <w:keepNext/>
              <w:keepLines/>
              <w:suppressAutoHyphens/>
              <w:rPr>
                <w:color w:val="auto"/>
                <w:lang w:val="is-IS"/>
              </w:rPr>
            </w:pP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2408B670" w14:textId="77777777" w:rsidR="00C632AF" w:rsidRPr="005A69A8" w:rsidRDefault="00C632AF" w:rsidP="00193751">
            <w:pPr>
              <w:keepNext/>
              <w:keepLines/>
              <w:suppressAutoHyphens/>
              <w:spacing w:line="240" w:lineRule="auto"/>
              <w:jc w:val="center"/>
              <w:rPr>
                <w:color w:val="auto"/>
                <w:lang w:val="is-IS"/>
              </w:rPr>
            </w:pPr>
            <w:r w:rsidRPr="005A69A8">
              <w:rPr>
                <w:color w:val="auto"/>
                <w:lang w:val="is-IS"/>
              </w:rPr>
              <w:t>CT</w:t>
            </w:r>
          </w:p>
          <w:p w14:paraId="7D4B9B49" w14:textId="77777777" w:rsidR="00C632AF" w:rsidRPr="005A69A8" w:rsidRDefault="00C632AF" w:rsidP="00193751">
            <w:pPr>
              <w:keepNext/>
              <w:keepLines/>
              <w:suppressAutoHyphens/>
              <w:spacing w:line="240" w:lineRule="auto"/>
              <w:jc w:val="center"/>
              <w:rPr>
                <w:color w:val="auto"/>
                <w:lang w:val="is-IS"/>
              </w:rPr>
            </w:pPr>
            <w:r w:rsidRPr="005A69A8">
              <w:rPr>
                <w:color w:val="auto"/>
                <w:lang w:val="is-IS"/>
              </w:rPr>
              <w:t>(n</w:t>
            </w:r>
            <w:r w:rsidR="00D14DCD">
              <w:rPr>
                <w:color w:val="auto"/>
                <w:lang w:val="is-IS"/>
              </w:rPr>
              <w:t> </w:t>
            </w:r>
            <w:r w:rsidR="00700BDC" w:rsidRPr="005A69A8">
              <w:rPr>
                <w:color w:val="auto"/>
                <w:lang w:val="is-IS"/>
              </w:rPr>
              <w:t>=</w:t>
            </w:r>
            <w:r w:rsidR="00D14DCD">
              <w:rPr>
                <w:color w:val="auto"/>
                <w:lang w:val="is-IS"/>
              </w:rPr>
              <w:t> </w:t>
            </w:r>
            <w:r w:rsidRPr="005A69A8">
              <w:rPr>
                <w:color w:val="auto"/>
                <w:lang w:val="is-IS"/>
              </w:rPr>
              <w:t>144)</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58912CFD" w14:textId="77777777" w:rsidR="00C632AF" w:rsidRPr="005A69A8" w:rsidRDefault="00C632AF" w:rsidP="00193751">
            <w:pPr>
              <w:keepNext/>
              <w:keepLines/>
              <w:suppressAutoHyphens/>
              <w:spacing w:line="240" w:lineRule="auto"/>
              <w:jc w:val="center"/>
              <w:rPr>
                <w:color w:val="auto"/>
                <w:lang w:val="is-IS"/>
              </w:rPr>
            </w:pPr>
            <w:r w:rsidRPr="005A69A8">
              <w:rPr>
                <w:color w:val="auto"/>
                <w:lang w:val="is-IS"/>
              </w:rPr>
              <w:t>CT + BV</w:t>
            </w:r>
          </w:p>
          <w:p w14:paraId="5477CE49" w14:textId="77777777" w:rsidR="00C632AF" w:rsidRPr="005A69A8" w:rsidRDefault="00C632AF" w:rsidP="00193751">
            <w:pPr>
              <w:keepNext/>
              <w:keepLines/>
              <w:suppressAutoHyphens/>
              <w:spacing w:line="240" w:lineRule="auto"/>
              <w:jc w:val="center"/>
              <w:rPr>
                <w:color w:val="auto"/>
                <w:lang w:val="is-IS"/>
              </w:rPr>
            </w:pPr>
            <w:r w:rsidRPr="005A69A8">
              <w:rPr>
                <w:color w:val="auto"/>
                <w:lang w:val="is-IS"/>
              </w:rPr>
              <w:t>(n</w:t>
            </w:r>
            <w:r w:rsidR="00D14DCD">
              <w:rPr>
                <w:color w:val="auto"/>
                <w:lang w:val="is-IS"/>
              </w:rPr>
              <w:t> </w:t>
            </w:r>
            <w:r w:rsidR="00700BDC" w:rsidRPr="005A69A8">
              <w:rPr>
                <w:color w:val="auto"/>
                <w:lang w:val="is-IS"/>
              </w:rPr>
              <w:t>=</w:t>
            </w:r>
            <w:r w:rsidR="00D14DCD">
              <w:rPr>
                <w:color w:val="auto"/>
                <w:lang w:val="is-IS"/>
              </w:rPr>
              <w:t> </w:t>
            </w:r>
            <w:r w:rsidRPr="005A69A8">
              <w:rPr>
                <w:color w:val="auto"/>
                <w:lang w:val="is-IS"/>
              </w:rPr>
              <w:t>142)</w:t>
            </w:r>
          </w:p>
        </w:tc>
      </w:tr>
      <w:tr w:rsidR="00276CFF" w:rsidRPr="009F7642" w14:paraId="730DED58"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hideMark/>
          </w:tcPr>
          <w:p w14:paraId="72071969" w14:textId="77777777" w:rsidR="00C632AF" w:rsidRPr="009F7642" w:rsidRDefault="00C632AF" w:rsidP="00193751">
            <w:pPr>
              <w:keepNext/>
              <w:keepLines/>
              <w:suppressAutoHyphens/>
              <w:spacing w:line="259" w:lineRule="auto"/>
              <w:rPr>
                <w:color w:val="auto"/>
                <w:lang w:val="is-IS"/>
              </w:rPr>
            </w:pPr>
            <w:r w:rsidRPr="009F7642">
              <w:rPr>
                <w:color w:val="auto"/>
                <w:lang w:val="is-IS"/>
              </w:rPr>
              <w:t xml:space="preserve">% sjúklinga með hlutlæga svörun </w:t>
            </w:r>
          </w:p>
        </w:tc>
        <w:tc>
          <w:tcPr>
            <w:tcW w:w="3118" w:type="dxa"/>
            <w:tcBorders>
              <w:top w:val="single" w:sz="4" w:space="0" w:color="auto"/>
              <w:left w:val="single" w:sz="4" w:space="0" w:color="auto"/>
              <w:bottom w:val="single" w:sz="4" w:space="0" w:color="auto"/>
              <w:right w:val="single" w:sz="4" w:space="0" w:color="auto"/>
            </w:tcBorders>
            <w:noWrap/>
            <w:hideMark/>
          </w:tcPr>
          <w:p w14:paraId="1566C1B1" w14:textId="77777777" w:rsidR="00C632AF" w:rsidRPr="009F7642" w:rsidRDefault="00C632AF" w:rsidP="00193751">
            <w:pPr>
              <w:keepNext/>
              <w:keepLines/>
              <w:suppressAutoHyphens/>
              <w:spacing w:line="259" w:lineRule="auto"/>
              <w:ind w:left="9"/>
              <w:jc w:val="center"/>
              <w:rPr>
                <w:color w:val="auto"/>
                <w:lang w:val="is-IS"/>
              </w:rPr>
            </w:pPr>
            <w:r w:rsidRPr="009F7642">
              <w:rPr>
                <w:color w:val="auto"/>
                <w:lang w:val="is-IS"/>
              </w:rPr>
              <w:t xml:space="preserve">18 (12,5%) </w:t>
            </w:r>
          </w:p>
        </w:tc>
        <w:tc>
          <w:tcPr>
            <w:tcW w:w="2127" w:type="dxa"/>
            <w:tcBorders>
              <w:top w:val="single" w:sz="4" w:space="0" w:color="auto"/>
              <w:left w:val="single" w:sz="4" w:space="0" w:color="auto"/>
              <w:bottom w:val="single" w:sz="4" w:space="0" w:color="auto"/>
              <w:right w:val="single" w:sz="4" w:space="0" w:color="auto"/>
            </w:tcBorders>
            <w:noWrap/>
            <w:hideMark/>
          </w:tcPr>
          <w:p w14:paraId="2221502F" w14:textId="77777777" w:rsidR="00C632AF" w:rsidRPr="009F7642" w:rsidRDefault="00C632AF" w:rsidP="00193751">
            <w:pPr>
              <w:keepNext/>
              <w:keepLines/>
              <w:suppressAutoHyphens/>
              <w:spacing w:line="259" w:lineRule="auto"/>
              <w:ind w:left="6"/>
              <w:jc w:val="center"/>
              <w:rPr>
                <w:color w:val="auto"/>
                <w:lang w:val="is-IS"/>
              </w:rPr>
            </w:pPr>
            <w:r w:rsidRPr="009F7642">
              <w:rPr>
                <w:color w:val="auto"/>
                <w:lang w:val="is-IS"/>
              </w:rPr>
              <w:t xml:space="preserve">40 (28,2%) </w:t>
            </w:r>
          </w:p>
        </w:tc>
      </w:tr>
      <w:tr w:rsidR="00276CFF" w:rsidRPr="009F7642" w14:paraId="048F0FA4"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hideMark/>
          </w:tcPr>
          <w:p w14:paraId="785733BD" w14:textId="77777777" w:rsidR="00C632AF" w:rsidRPr="009F7642" w:rsidRDefault="00C632AF" w:rsidP="00193751">
            <w:pPr>
              <w:keepNext/>
              <w:keepLines/>
              <w:suppressAutoHyphens/>
              <w:spacing w:after="0" w:line="240" w:lineRule="auto"/>
              <w:ind w:left="567" w:firstLine="0"/>
              <w:rPr>
                <w:color w:val="auto"/>
                <w:lang w:val="is-IS"/>
              </w:rPr>
            </w:pPr>
            <w:r w:rsidRPr="009F7642">
              <w:rPr>
                <w:color w:val="auto"/>
                <w:lang w:val="is-IS"/>
              </w:rPr>
              <w:t xml:space="preserve">p –gildi </w:t>
            </w:r>
          </w:p>
        </w:tc>
        <w:tc>
          <w:tcPr>
            <w:tcW w:w="5245" w:type="dxa"/>
            <w:gridSpan w:val="2"/>
            <w:tcBorders>
              <w:top w:val="single" w:sz="4" w:space="0" w:color="auto"/>
              <w:left w:val="single" w:sz="4" w:space="0" w:color="auto"/>
              <w:bottom w:val="single" w:sz="4" w:space="0" w:color="auto"/>
              <w:right w:val="single" w:sz="4" w:space="0" w:color="auto"/>
            </w:tcBorders>
            <w:noWrap/>
            <w:hideMark/>
          </w:tcPr>
          <w:p w14:paraId="4468D3B8" w14:textId="77777777" w:rsidR="00C632AF" w:rsidRPr="009F7642" w:rsidRDefault="00C632AF" w:rsidP="00193751">
            <w:pPr>
              <w:keepNext/>
              <w:keepLines/>
              <w:suppressAutoHyphens/>
              <w:spacing w:line="259" w:lineRule="auto"/>
              <w:ind w:left="7"/>
              <w:jc w:val="center"/>
              <w:rPr>
                <w:color w:val="auto"/>
                <w:lang w:val="is-IS"/>
              </w:rPr>
            </w:pPr>
            <w:r w:rsidRPr="009F7642">
              <w:rPr>
                <w:color w:val="auto"/>
                <w:lang w:val="is-IS"/>
              </w:rPr>
              <w:t xml:space="preserve">0,0007 </w:t>
            </w:r>
          </w:p>
        </w:tc>
      </w:tr>
      <w:tr w:rsidR="00276CFF" w:rsidRPr="009F7642" w14:paraId="39843B84"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vAlign w:val="bottom"/>
            <w:hideMark/>
          </w:tcPr>
          <w:p w14:paraId="7F57B93A" w14:textId="77777777" w:rsidR="00C632AF" w:rsidRPr="009F7642" w:rsidRDefault="00C632AF" w:rsidP="000B055B">
            <w:pPr>
              <w:keepNext/>
              <w:keepLines/>
              <w:suppressAutoHyphens/>
              <w:spacing w:after="0" w:line="240" w:lineRule="auto"/>
              <w:ind w:left="567" w:firstLine="0"/>
              <w:rPr>
                <w:color w:val="auto"/>
                <w:lang w:val="is-IS"/>
              </w:rPr>
            </w:pPr>
            <w:r w:rsidRPr="009F7642">
              <w:rPr>
                <w:color w:val="auto"/>
                <w:lang w:val="is-IS"/>
              </w:rPr>
              <w:t>Heildarlifun (lokagreining)***</w:t>
            </w: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6369DE2E" w14:textId="77777777" w:rsidR="00C632AF" w:rsidRPr="009F7642" w:rsidRDefault="00C632AF" w:rsidP="0073217C">
            <w:pPr>
              <w:suppressAutoHyphens/>
              <w:rPr>
                <w:color w:val="auto"/>
                <w:lang w:val="is-IS"/>
              </w:rPr>
            </w:pP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6F7D6B24" w14:textId="77777777" w:rsidR="00C632AF" w:rsidRPr="009F7642" w:rsidRDefault="00C632AF" w:rsidP="0073217C">
            <w:pPr>
              <w:suppressAutoHyphens/>
              <w:spacing w:line="240" w:lineRule="auto"/>
              <w:rPr>
                <w:rFonts w:eastAsia="SimSun"/>
                <w:color w:val="auto"/>
                <w:lang w:val="is-IS" w:eastAsia="en-IN"/>
              </w:rPr>
            </w:pPr>
          </w:p>
        </w:tc>
      </w:tr>
      <w:tr w:rsidR="00276CFF" w:rsidRPr="009F7642" w14:paraId="6AF0E704"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vAlign w:val="bottom"/>
            <w:hideMark/>
          </w:tcPr>
          <w:p w14:paraId="20EBFF1C" w14:textId="77777777" w:rsidR="00C632AF" w:rsidRPr="009F7642" w:rsidRDefault="00C632AF" w:rsidP="000B055B">
            <w:pPr>
              <w:keepNext/>
              <w:keepLines/>
              <w:suppressAutoHyphens/>
              <w:spacing w:line="240" w:lineRule="auto"/>
              <w:rPr>
                <w:rFonts w:eastAsia="SimSun"/>
                <w:color w:val="auto"/>
                <w:lang w:val="is-IS" w:eastAsia="en-IN"/>
              </w:rPr>
            </w:pP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18A6ABF1" w14:textId="77777777" w:rsidR="00C632AF" w:rsidRPr="005A69A8" w:rsidRDefault="00C632AF" w:rsidP="0073217C">
            <w:pPr>
              <w:suppressAutoHyphens/>
              <w:spacing w:line="240" w:lineRule="auto"/>
              <w:jc w:val="center"/>
              <w:rPr>
                <w:color w:val="auto"/>
                <w:lang w:val="is-IS"/>
              </w:rPr>
            </w:pPr>
            <w:r w:rsidRPr="005A69A8">
              <w:rPr>
                <w:color w:val="auto"/>
                <w:lang w:val="is-IS"/>
              </w:rPr>
              <w:t>CT</w:t>
            </w:r>
          </w:p>
          <w:p w14:paraId="4D1EFD10" w14:textId="77777777" w:rsidR="00C632AF" w:rsidRPr="005A69A8" w:rsidRDefault="00C632AF" w:rsidP="0073217C">
            <w:pPr>
              <w:suppressAutoHyphens/>
              <w:spacing w:line="240" w:lineRule="auto"/>
              <w:jc w:val="center"/>
              <w:rPr>
                <w:color w:val="auto"/>
                <w:lang w:val="is-IS"/>
              </w:rPr>
            </w:pPr>
            <w:r w:rsidRPr="005A69A8">
              <w:rPr>
                <w:color w:val="auto"/>
                <w:lang w:val="is-IS"/>
              </w:rPr>
              <w:t>(n</w:t>
            </w:r>
            <w:r w:rsidR="00D14DCD">
              <w:rPr>
                <w:color w:val="auto"/>
                <w:lang w:val="is-IS"/>
              </w:rPr>
              <w:t> </w:t>
            </w:r>
            <w:r w:rsidR="00700BDC" w:rsidRPr="005A69A8">
              <w:rPr>
                <w:color w:val="auto"/>
                <w:lang w:val="is-IS"/>
              </w:rPr>
              <w:t>=</w:t>
            </w:r>
            <w:r w:rsidR="00D14DCD">
              <w:rPr>
                <w:color w:val="auto"/>
                <w:lang w:val="is-IS"/>
              </w:rPr>
              <w:t> </w:t>
            </w:r>
            <w:r w:rsidRPr="005A69A8">
              <w:rPr>
                <w:color w:val="auto"/>
                <w:lang w:val="is-IS"/>
              </w:rPr>
              <w:t>182)</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38DF37B6" w14:textId="77777777" w:rsidR="00C632AF" w:rsidRPr="005A69A8" w:rsidRDefault="00C632AF" w:rsidP="0073217C">
            <w:pPr>
              <w:suppressAutoHyphens/>
              <w:spacing w:line="240" w:lineRule="auto"/>
              <w:jc w:val="center"/>
              <w:rPr>
                <w:color w:val="auto"/>
                <w:lang w:val="is-IS"/>
              </w:rPr>
            </w:pPr>
            <w:r w:rsidRPr="005A69A8">
              <w:rPr>
                <w:color w:val="auto"/>
                <w:lang w:val="is-IS"/>
              </w:rPr>
              <w:t>CT + BV</w:t>
            </w:r>
          </w:p>
          <w:p w14:paraId="66692658" w14:textId="77777777" w:rsidR="00C632AF" w:rsidRPr="005A69A8" w:rsidRDefault="00C632AF" w:rsidP="0073217C">
            <w:pPr>
              <w:suppressAutoHyphens/>
              <w:spacing w:line="240" w:lineRule="auto"/>
              <w:jc w:val="center"/>
              <w:rPr>
                <w:color w:val="auto"/>
                <w:lang w:val="is-IS"/>
              </w:rPr>
            </w:pPr>
            <w:r w:rsidRPr="005A69A8">
              <w:rPr>
                <w:color w:val="auto"/>
                <w:lang w:val="is-IS"/>
              </w:rPr>
              <w:t>(n</w:t>
            </w:r>
            <w:r w:rsidR="00D14DCD">
              <w:rPr>
                <w:color w:val="auto"/>
                <w:lang w:val="is-IS"/>
              </w:rPr>
              <w:t> </w:t>
            </w:r>
            <w:r w:rsidR="00700BDC" w:rsidRPr="005A69A8">
              <w:rPr>
                <w:color w:val="auto"/>
                <w:lang w:val="is-IS"/>
              </w:rPr>
              <w:t>=</w:t>
            </w:r>
            <w:r w:rsidR="00D14DCD">
              <w:rPr>
                <w:color w:val="auto"/>
                <w:lang w:val="is-IS"/>
              </w:rPr>
              <w:t> </w:t>
            </w:r>
            <w:r w:rsidRPr="005A69A8">
              <w:rPr>
                <w:color w:val="auto"/>
                <w:lang w:val="is-IS"/>
              </w:rPr>
              <w:t>179)</w:t>
            </w:r>
          </w:p>
        </w:tc>
      </w:tr>
      <w:tr w:rsidR="00276CFF" w:rsidRPr="009F7642" w14:paraId="4EF9F97D"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vAlign w:val="bottom"/>
            <w:hideMark/>
          </w:tcPr>
          <w:p w14:paraId="36DB779E" w14:textId="77777777" w:rsidR="00C632AF" w:rsidRPr="009F7642" w:rsidRDefault="00C632AF" w:rsidP="0073217C">
            <w:pPr>
              <w:suppressAutoHyphens/>
              <w:spacing w:after="0" w:line="240" w:lineRule="auto"/>
              <w:ind w:left="567" w:firstLine="0"/>
              <w:rPr>
                <w:color w:val="auto"/>
                <w:lang w:val="is-IS"/>
              </w:rPr>
            </w:pPr>
            <w:r w:rsidRPr="009F7642">
              <w:rPr>
                <w:color w:val="auto"/>
                <w:lang w:val="is-IS"/>
              </w:rPr>
              <w:t>Miðgildi heildarlifunar (mánuðir)</w:t>
            </w:r>
          </w:p>
        </w:tc>
        <w:tc>
          <w:tcPr>
            <w:tcW w:w="3118" w:type="dxa"/>
            <w:tcBorders>
              <w:top w:val="single" w:sz="4" w:space="0" w:color="auto"/>
              <w:left w:val="single" w:sz="4" w:space="0" w:color="auto"/>
              <w:bottom w:val="single" w:sz="4" w:space="0" w:color="auto"/>
              <w:right w:val="single" w:sz="4" w:space="0" w:color="auto"/>
            </w:tcBorders>
            <w:noWrap/>
            <w:vAlign w:val="bottom"/>
            <w:hideMark/>
          </w:tcPr>
          <w:p w14:paraId="1C88C949" w14:textId="77777777" w:rsidR="00C632AF" w:rsidRPr="009F7642" w:rsidRDefault="00C632AF" w:rsidP="0073217C">
            <w:pPr>
              <w:suppressAutoHyphens/>
              <w:spacing w:line="240" w:lineRule="auto"/>
              <w:jc w:val="center"/>
              <w:rPr>
                <w:color w:val="auto"/>
                <w:lang w:val="is-IS"/>
              </w:rPr>
            </w:pPr>
            <w:r w:rsidRPr="009F7642">
              <w:rPr>
                <w:color w:val="auto"/>
                <w:lang w:val="is-IS"/>
              </w:rPr>
              <w:t>13,3</w:t>
            </w:r>
          </w:p>
        </w:tc>
        <w:tc>
          <w:tcPr>
            <w:tcW w:w="2127" w:type="dxa"/>
            <w:tcBorders>
              <w:top w:val="single" w:sz="4" w:space="0" w:color="auto"/>
              <w:left w:val="single" w:sz="4" w:space="0" w:color="auto"/>
              <w:bottom w:val="single" w:sz="4" w:space="0" w:color="auto"/>
              <w:right w:val="single" w:sz="4" w:space="0" w:color="auto"/>
            </w:tcBorders>
            <w:noWrap/>
            <w:vAlign w:val="bottom"/>
            <w:hideMark/>
          </w:tcPr>
          <w:p w14:paraId="469EA3AD" w14:textId="77777777" w:rsidR="00C632AF" w:rsidRPr="009F7642" w:rsidRDefault="00C632AF" w:rsidP="0073217C">
            <w:pPr>
              <w:suppressAutoHyphens/>
              <w:spacing w:line="240" w:lineRule="auto"/>
              <w:jc w:val="center"/>
              <w:rPr>
                <w:color w:val="auto"/>
                <w:lang w:val="is-IS"/>
              </w:rPr>
            </w:pPr>
            <w:r w:rsidRPr="009F7642">
              <w:rPr>
                <w:color w:val="auto"/>
                <w:lang w:val="is-IS"/>
              </w:rPr>
              <w:t>16,6</w:t>
            </w:r>
          </w:p>
        </w:tc>
      </w:tr>
      <w:tr w:rsidR="00276CFF" w:rsidRPr="009F7642" w14:paraId="4E9F24AF"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vAlign w:val="bottom"/>
            <w:hideMark/>
          </w:tcPr>
          <w:p w14:paraId="66E521D9" w14:textId="7B993B6F" w:rsidR="00C632AF" w:rsidRPr="009F7642" w:rsidRDefault="00C632AF" w:rsidP="0073217C">
            <w:pPr>
              <w:suppressAutoHyphens/>
              <w:spacing w:after="0" w:line="240" w:lineRule="auto"/>
              <w:ind w:left="567" w:firstLine="0"/>
              <w:rPr>
                <w:color w:val="auto"/>
                <w:lang w:val="is-IS"/>
              </w:rPr>
            </w:pPr>
            <w:r w:rsidRPr="009F7642">
              <w:rPr>
                <w:color w:val="auto"/>
                <w:lang w:val="is-IS"/>
              </w:rPr>
              <w:t>Áhættuhlutfall</w:t>
            </w:r>
            <w:r w:rsidR="005A69A8">
              <w:rPr>
                <w:color w:val="auto"/>
                <w:lang w:val="is-IS"/>
              </w:rPr>
              <w:t xml:space="preserve"> </w:t>
            </w:r>
            <w:r w:rsidRPr="009F7642">
              <w:rPr>
                <w:color w:val="auto"/>
                <w:lang w:val="is-IS"/>
              </w:rPr>
              <w:t xml:space="preserve">(95% </w:t>
            </w:r>
            <w:r w:rsidR="00916159" w:rsidRPr="009F7642">
              <w:rPr>
                <w:color w:val="auto"/>
                <w:lang w:val="is-IS"/>
              </w:rPr>
              <w:t>öryggis</w:t>
            </w:r>
            <w:r w:rsidR="00916159">
              <w:rPr>
                <w:color w:val="auto"/>
                <w:lang w:val="is-IS"/>
              </w:rPr>
              <w:t>bil</w:t>
            </w:r>
            <w:r w:rsidRPr="009F7642">
              <w:rPr>
                <w:color w:val="auto"/>
                <w:lang w:val="is-IS"/>
              </w:rPr>
              <w:t>)</w:t>
            </w:r>
          </w:p>
        </w:tc>
        <w:tc>
          <w:tcPr>
            <w:tcW w:w="5245" w:type="dxa"/>
            <w:gridSpan w:val="2"/>
            <w:tcBorders>
              <w:top w:val="single" w:sz="4" w:space="0" w:color="auto"/>
              <w:left w:val="single" w:sz="4" w:space="0" w:color="auto"/>
              <w:bottom w:val="single" w:sz="4" w:space="0" w:color="auto"/>
              <w:right w:val="single" w:sz="4" w:space="0" w:color="auto"/>
            </w:tcBorders>
            <w:noWrap/>
            <w:vAlign w:val="center"/>
            <w:hideMark/>
          </w:tcPr>
          <w:p w14:paraId="7F50822E" w14:textId="77777777" w:rsidR="00C632AF" w:rsidRPr="009F7642" w:rsidRDefault="00C632AF" w:rsidP="0073217C">
            <w:pPr>
              <w:suppressAutoHyphens/>
              <w:spacing w:line="240" w:lineRule="auto"/>
              <w:jc w:val="center"/>
              <w:rPr>
                <w:color w:val="auto"/>
                <w:lang w:val="is-IS"/>
              </w:rPr>
            </w:pPr>
            <w:r w:rsidRPr="009F7642">
              <w:rPr>
                <w:color w:val="auto"/>
                <w:lang w:val="is-IS"/>
              </w:rPr>
              <w:t>0,870 [0,678</w:t>
            </w:r>
            <w:r w:rsidR="005D0A29">
              <w:rPr>
                <w:color w:val="auto"/>
                <w:lang w:val="is-IS"/>
              </w:rPr>
              <w:t>;</w:t>
            </w:r>
            <w:r w:rsidRPr="009F7642">
              <w:rPr>
                <w:color w:val="auto"/>
                <w:lang w:val="is-IS"/>
              </w:rPr>
              <w:t xml:space="preserve"> 1,116]</w:t>
            </w:r>
          </w:p>
        </w:tc>
      </w:tr>
      <w:tr w:rsidR="00276CFF" w:rsidRPr="009F7642" w14:paraId="2041C5C9" w14:textId="77777777" w:rsidTr="005A69A8">
        <w:trPr>
          <w:trHeight w:val="300"/>
        </w:trPr>
        <w:tc>
          <w:tcPr>
            <w:tcW w:w="3701" w:type="dxa"/>
            <w:tcBorders>
              <w:top w:val="single" w:sz="4" w:space="0" w:color="auto"/>
              <w:left w:val="single" w:sz="4" w:space="0" w:color="auto"/>
              <w:bottom w:val="single" w:sz="4" w:space="0" w:color="auto"/>
              <w:right w:val="single" w:sz="4" w:space="0" w:color="auto"/>
            </w:tcBorders>
            <w:noWrap/>
            <w:vAlign w:val="bottom"/>
            <w:hideMark/>
          </w:tcPr>
          <w:p w14:paraId="4A4F1EB9" w14:textId="77777777" w:rsidR="00C632AF" w:rsidRPr="009F7642" w:rsidRDefault="00C632AF" w:rsidP="0073217C">
            <w:pPr>
              <w:suppressAutoHyphens/>
              <w:spacing w:line="240" w:lineRule="auto"/>
              <w:ind w:left="567"/>
              <w:rPr>
                <w:color w:val="auto"/>
                <w:lang w:val="is-IS"/>
              </w:rPr>
            </w:pPr>
            <w:r w:rsidRPr="009F7642">
              <w:rPr>
                <w:color w:val="auto"/>
                <w:lang w:val="is-IS"/>
              </w:rPr>
              <w:t>p-gildi</w:t>
            </w:r>
          </w:p>
        </w:tc>
        <w:tc>
          <w:tcPr>
            <w:tcW w:w="5245" w:type="dxa"/>
            <w:gridSpan w:val="2"/>
            <w:tcBorders>
              <w:top w:val="single" w:sz="4" w:space="0" w:color="auto"/>
              <w:left w:val="single" w:sz="4" w:space="0" w:color="auto"/>
              <w:bottom w:val="single" w:sz="4" w:space="0" w:color="auto"/>
              <w:right w:val="single" w:sz="4" w:space="0" w:color="auto"/>
            </w:tcBorders>
            <w:noWrap/>
            <w:vAlign w:val="bottom"/>
            <w:hideMark/>
          </w:tcPr>
          <w:p w14:paraId="585A6E2E" w14:textId="77777777" w:rsidR="00C632AF" w:rsidRPr="009F7642" w:rsidRDefault="00C632AF" w:rsidP="0073217C">
            <w:pPr>
              <w:suppressAutoHyphens/>
              <w:spacing w:line="240" w:lineRule="auto"/>
              <w:jc w:val="center"/>
              <w:rPr>
                <w:color w:val="auto"/>
                <w:lang w:val="is-IS"/>
              </w:rPr>
            </w:pPr>
            <w:r w:rsidRPr="009F7642">
              <w:rPr>
                <w:color w:val="auto"/>
                <w:lang w:val="is-IS"/>
              </w:rPr>
              <w:t>0,2711</w:t>
            </w:r>
          </w:p>
        </w:tc>
      </w:tr>
    </w:tbl>
    <w:p w14:paraId="164D7927" w14:textId="77777777" w:rsidR="006C06D6" w:rsidRPr="009F7642" w:rsidRDefault="00564614" w:rsidP="0073217C">
      <w:pPr>
        <w:suppressAutoHyphens/>
        <w:spacing w:after="0" w:line="240" w:lineRule="auto"/>
        <w:ind w:left="567" w:hanging="567"/>
        <w:rPr>
          <w:color w:val="auto"/>
          <w:sz w:val="20"/>
          <w:lang w:val="is-IS"/>
        </w:rPr>
      </w:pPr>
      <w:r w:rsidRPr="009F7642">
        <w:rPr>
          <w:color w:val="auto"/>
          <w:sz w:val="20"/>
          <w:lang w:val="is-IS"/>
        </w:rPr>
        <w:t>Allar greiningar sem sýndar eru í þessari töflu eru lagskiptar.</w:t>
      </w:r>
    </w:p>
    <w:p w14:paraId="352D8B6F" w14:textId="7F240828" w:rsidR="006C06D6" w:rsidRPr="009F7642" w:rsidRDefault="00E06342" w:rsidP="0073217C">
      <w:pPr>
        <w:tabs>
          <w:tab w:val="center" w:pos="2882"/>
        </w:tabs>
        <w:suppressAutoHyphens/>
        <w:spacing w:after="0" w:line="240" w:lineRule="auto"/>
        <w:ind w:left="567" w:hanging="567"/>
        <w:rPr>
          <w:color w:val="auto"/>
          <w:sz w:val="20"/>
          <w:lang w:val="is-IS"/>
        </w:rPr>
      </w:pPr>
      <w:r w:rsidRPr="009F7642">
        <w:rPr>
          <w:color w:val="auto"/>
          <w:sz w:val="20"/>
          <w:lang w:val="is-IS"/>
        </w:rPr>
        <w:t>*</w:t>
      </w:r>
      <w:r w:rsidRPr="009F7642">
        <w:rPr>
          <w:color w:val="auto"/>
          <w:sz w:val="20"/>
          <w:lang w:val="is-IS"/>
        </w:rPr>
        <w:tab/>
      </w:r>
      <w:r w:rsidR="00564614" w:rsidRPr="009F7642">
        <w:rPr>
          <w:color w:val="auto"/>
          <w:sz w:val="20"/>
          <w:lang w:val="is-IS"/>
        </w:rPr>
        <w:t xml:space="preserve">Aðalgreining var gerð </w:t>
      </w:r>
      <w:r w:rsidR="009828E1" w:rsidRPr="00C356DD">
        <w:rPr>
          <w:sz w:val="20"/>
          <w:szCs w:val="20"/>
          <w:lang w:val="is-IS"/>
        </w:rPr>
        <w:t>með lokad</w:t>
      </w:r>
      <w:r w:rsidR="009828E1">
        <w:rPr>
          <w:sz w:val="20"/>
          <w:lang w:val="is-IS"/>
        </w:rPr>
        <w:t xml:space="preserve">ag </w:t>
      </w:r>
      <w:r w:rsidR="009828E1" w:rsidRPr="00C356DD">
        <w:rPr>
          <w:sz w:val="20"/>
          <w:szCs w:val="20"/>
          <w:lang w:val="is-IS"/>
        </w:rPr>
        <w:t>gagnasöfnunar</w:t>
      </w:r>
      <w:r w:rsidR="009828E1" w:rsidRPr="00C356DD">
        <w:rPr>
          <w:lang w:val="sv-SE"/>
        </w:rPr>
        <w:t xml:space="preserve"> </w:t>
      </w:r>
      <w:r w:rsidR="00564614" w:rsidRPr="009F7642">
        <w:rPr>
          <w:color w:val="auto"/>
          <w:sz w:val="20"/>
          <w:lang w:val="is-IS"/>
        </w:rPr>
        <w:t>14. nóvember 2011.</w:t>
      </w:r>
    </w:p>
    <w:p w14:paraId="2F4AF8FE" w14:textId="77777777" w:rsidR="006C06D6" w:rsidRPr="009F7642" w:rsidRDefault="00E06342" w:rsidP="0073217C">
      <w:pPr>
        <w:tabs>
          <w:tab w:val="center" w:pos="2882"/>
        </w:tabs>
        <w:suppressAutoHyphens/>
        <w:spacing w:after="0" w:line="240" w:lineRule="auto"/>
        <w:ind w:left="567" w:hanging="567"/>
        <w:rPr>
          <w:color w:val="auto"/>
          <w:sz w:val="20"/>
          <w:lang w:val="is-IS"/>
        </w:rPr>
      </w:pPr>
      <w:r w:rsidRPr="009F7642">
        <w:rPr>
          <w:color w:val="auto"/>
          <w:sz w:val="20"/>
          <w:lang w:val="is-IS"/>
        </w:rPr>
        <w:t>**</w:t>
      </w:r>
      <w:r w:rsidRPr="009F7642">
        <w:rPr>
          <w:color w:val="auto"/>
          <w:sz w:val="20"/>
          <w:lang w:val="is-IS"/>
        </w:rPr>
        <w:tab/>
      </w:r>
      <w:r w:rsidR="00564614" w:rsidRPr="009F7642">
        <w:rPr>
          <w:color w:val="auto"/>
          <w:sz w:val="20"/>
          <w:lang w:val="is-IS"/>
        </w:rPr>
        <w:t>Slembiraðaðir sjúklingar með mælanlegan sjúkdóm við upphaf rannsóknarinnar.</w:t>
      </w:r>
    </w:p>
    <w:p w14:paraId="6A3EEFAE" w14:textId="77777777" w:rsidR="006C06D6" w:rsidRPr="009F7642" w:rsidRDefault="00E06342" w:rsidP="0073217C">
      <w:pPr>
        <w:tabs>
          <w:tab w:val="center" w:pos="2882"/>
        </w:tabs>
        <w:suppressAutoHyphens/>
        <w:spacing w:after="0" w:line="240" w:lineRule="auto"/>
        <w:ind w:left="567" w:hanging="567"/>
        <w:rPr>
          <w:color w:val="auto"/>
          <w:sz w:val="20"/>
          <w:lang w:val="is-IS"/>
        </w:rPr>
      </w:pPr>
      <w:r w:rsidRPr="009F7642">
        <w:rPr>
          <w:color w:val="auto"/>
          <w:sz w:val="20"/>
          <w:lang w:val="is-IS"/>
        </w:rPr>
        <w:t>***</w:t>
      </w:r>
      <w:r w:rsidRPr="009F7642">
        <w:rPr>
          <w:color w:val="auto"/>
          <w:sz w:val="20"/>
          <w:lang w:val="is-IS"/>
        </w:rPr>
        <w:tab/>
      </w:r>
      <w:r w:rsidR="00564614" w:rsidRPr="009F7642">
        <w:rPr>
          <w:color w:val="auto"/>
          <w:sz w:val="20"/>
          <w:lang w:val="is-IS"/>
        </w:rPr>
        <w:t>Lokagreining á heildarlifun var gerð þegar 266 dauðsföll höfðu orðið, sem svarar til 73,7% sjúklinga sem teknir voru inn í rannsóknina.</w:t>
      </w:r>
    </w:p>
    <w:p w14:paraId="0B7DC406" w14:textId="77777777" w:rsidR="005F36F3" w:rsidRPr="009F7642" w:rsidRDefault="005F36F3" w:rsidP="0073217C">
      <w:pPr>
        <w:suppressAutoHyphens/>
        <w:spacing w:after="0" w:line="240" w:lineRule="auto"/>
        <w:ind w:left="0" w:firstLine="0"/>
        <w:rPr>
          <w:color w:val="auto"/>
          <w:lang w:val="is-IS"/>
        </w:rPr>
      </w:pPr>
    </w:p>
    <w:p w14:paraId="72D5DD8A" w14:textId="08C15CF8"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Meginmarkmið rannsóknarinnar, lengri lifun án </w:t>
      </w:r>
      <w:r w:rsidR="00916159" w:rsidRPr="00FE5EE2">
        <w:rPr>
          <w:color w:val="auto"/>
          <w:lang w:val="is-IS"/>
        </w:rPr>
        <w:t>versnunar</w:t>
      </w:r>
      <w:r w:rsidRPr="009F7642">
        <w:rPr>
          <w:color w:val="auto"/>
          <w:lang w:val="is-IS"/>
        </w:rPr>
        <w:t xml:space="preserve"> sjúkdóms, náðist. Í samanburði við sjúklinga með endurkomu sjúkdóms sem ónæmur var fyrir platínusamböndum, sem fengu eingöngu krabbameinslyfjameðferð (paklítaxel, tópótekan eða PLD), var tölfræðilega marktækur munur á því hvað lifun án versnunar sjúkdóms var be</w:t>
      </w:r>
      <w:r w:rsidR="009C428B" w:rsidRPr="009F7642">
        <w:rPr>
          <w:color w:val="auto"/>
          <w:lang w:val="is-IS"/>
        </w:rPr>
        <w:t>tri hjá sjúklingum sem fengu 10 </w:t>
      </w:r>
      <w:r w:rsidRPr="009F7642">
        <w:rPr>
          <w:color w:val="auto"/>
          <w:lang w:val="is-IS"/>
        </w:rPr>
        <w:t>mg/kg af bevací</w:t>
      </w:r>
      <w:r w:rsidR="009C428B" w:rsidRPr="009F7642">
        <w:rPr>
          <w:color w:val="auto"/>
          <w:lang w:val="is-IS"/>
        </w:rPr>
        <w:t>zúmabi á 2 vikna fresti (eða 15 </w:t>
      </w:r>
      <w:r w:rsidRPr="009F7642">
        <w:rPr>
          <w:color w:val="auto"/>
          <w:lang w:val="is-IS"/>
        </w:rPr>
        <w:t>mg/kg á 3 vikna frest</w:t>
      </w:r>
      <w:r w:rsidR="009C428B" w:rsidRPr="009F7642">
        <w:rPr>
          <w:color w:val="auto"/>
          <w:lang w:val="is-IS"/>
        </w:rPr>
        <w:t>i ef lyfið var notað ásamt 1,25 </w:t>
      </w:r>
      <w:r w:rsidRPr="009F7642">
        <w:rPr>
          <w:color w:val="auto"/>
          <w:lang w:val="is-IS"/>
        </w:rPr>
        <w:t>mg/m</w:t>
      </w:r>
      <w:r w:rsidRPr="009F7642">
        <w:rPr>
          <w:color w:val="auto"/>
          <w:vertAlign w:val="superscript"/>
          <w:lang w:val="is-IS"/>
        </w:rPr>
        <w:t>2</w:t>
      </w:r>
      <w:r w:rsidRPr="009F7642">
        <w:rPr>
          <w:color w:val="auto"/>
          <w:lang w:val="is-IS"/>
        </w:rPr>
        <w:t xml:space="preserve"> af tópótekani á dögum 1–5 á 3 vikna fresti) ásamt krabbameinslyfjameðferð og héldu áfram að fá bevacízúmab þar til sjúkdómurinn ágerðist eða þar til eituráhrif urðu óásættanleg. Könnunargreining á lifun án </w:t>
      </w:r>
      <w:r w:rsidR="00916159" w:rsidRPr="00FE5EE2">
        <w:rPr>
          <w:color w:val="auto"/>
          <w:lang w:val="is-IS"/>
        </w:rPr>
        <w:t>versnunar</w:t>
      </w:r>
      <w:r w:rsidRPr="009F7642">
        <w:rPr>
          <w:color w:val="auto"/>
          <w:lang w:val="is-IS"/>
        </w:rPr>
        <w:t xml:space="preserve"> sjúkdóms og heildarlifun, sundurliðuð eftir meðferðarhópum (paclítaxel, tópótecan og PLD) eru teknar saman í </w:t>
      </w:r>
      <w:r w:rsidRPr="00504296">
        <w:rPr>
          <w:color w:val="auto"/>
          <w:lang w:val="is-IS"/>
        </w:rPr>
        <w:t xml:space="preserve">töflu </w:t>
      </w:r>
      <w:r w:rsidR="00BA1F34" w:rsidRPr="00504296">
        <w:rPr>
          <w:color w:val="auto"/>
          <w:lang w:val="is-IS"/>
        </w:rPr>
        <w:t>2</w:t>
      </w:r>
      <w:r w:rsidR="00781331">
        <w:rPr>
          <w:color w:val="auto"/>
          <w:lang w:val="is-IS"/>
        </w:rPr>
        <w:t>4</w:t>
      </w:r>
      <w:r w:rsidRPr="009F7642">
        <w:rPr>
          <w:color w:val="auto"/>
          <w:lang w:val="is-IS"/>
        </w:rPr>
        <w:t>.</w:t>
      </w:r>
    </w:p>
    <w:p w14:paraId="11A0DC4A" w14:textId="77777777" w:rsidR="005F36F3" w:rsidRPr="009F7642" w:rsidRDefault="005F36F3" w:rsidP="0073217C">
      <w:pPr>
        <w:suppressAutoHyphens/>
        <w:spacing w:after="0" w:line="240" w:lineRule="auto"/>
        <w:ind w:left="0" w:firstLine="0"/>
        <w:rPr>
          <w:color w:val="auto"/>
          <w:lang w:val="is-IS"/>
        </w:rPr>
      </w:pPr>
    </w:p>
    <w:p w14:paraId="632FBEC0" w14:textId="7D18587A" w:rsidR="006C06D6" w:rsidRPr="00276CFF" w:rsidRDefault="00564614" w:rsidP="0073217C">
      <w:pPr>
        <w:keepNext/>
        <w:suppressAutoHyphens/>
        <w:spacing w:after="0" w:line="240" w:lineRule="auto"/>
        <w:ind w:left="0" w:firstLine="0"/>
        <w:rPr>
          <w:b/>
          <w:color w:val="auto"/>
          <w:lang w:val="is-IS"/>
        </w:rPr>
      </w:pPr>
      <w:r w:rsidRPr="00504296">
        <w:rPr>
          <w:b/>
          <w:color w:val="auto"/>
          <w:lang w:val="is-IS"/>
        </w:rPr>
        <w:t>Ta</w:t>
      </w:r>
      <w:r w:rsidR="00B04FB0" w:rsidRPr="00504296">
        <w:rPr>
          <w:b/>
          <w:color w:val="auto"/>
          <w:lang w:val="is-IS"/>
        </w:rPr>
        <w:t>f</w:t>
      </w:r>
      <w:r w:rsidRPr="00504296">
        <w:rPr>
          <w:b/>
          <w:color w:val="auto"/>
          <w:lang w:val="is-IS"/>
        </w:rPr>
        <w:t xml:space="preserve">la </w:t>
      </w:r>
      <w:r w:rsidR="00BA1F34" w:rsidRPr="00504296">
        <w:rPr>
          <w:b/>
          <w:color w:val="auto"/>
          <w:lang w:val="is-IS"/>
        </w:rPr>
        <w:t>2</w:t>
      </w:r>
      <w:r w:rsidR="00781331">
        <w:rPr>
          <w:b/>
          <w:color w:val="auto"/>
          <w:lang w:val="is-IS"/>
        </w:rPr>
        <w:t>4</w:t>
      </w:r>
      <w:r w:rsidR="00FE7644" w:rsidRPr="00504296">
        <w:rPr>
          <w:b/>
          <w:color w:val="auto"/>
          <w:lang w:val="is-IS"/>
        </w:rPr>
        <w:t>.</w:t>
      </w:r>
      <w:r w:rsidRPr="00276CFF">
        <w:rPr>
          <w:b/>
          <w:color w:val="auto"/>
          <w:lang w:val="is-IS"/>
        </w:rPr>
        <w:t xml:space="preserve"> Könnunargreining á lifun án </w:t>
      </w:r>
      <w:r w:rsidR="00916159" w:rsidRPr="00916159">
        <w:rPr>
          <w:b/>
          <w:color w:val="auto"/>
          <w:lang w:val="is-IS"/>
        </w:rPr>
        <w:t>versnunar</w:t>
      </w:r>
      <w:r w:rsidRPr="00276CFF">
        <w:rPr>
          <w:b/>
          <w:color w:val="auto"/>
          <w:lang w:val="is-IS"/>
        </w:rPr>
        <w:t xml:space="preserve"> sjúkdóms og heildarlifun, sundurliðuð eftir meðferðarhópum</w:t>
      </w:r>
    </w:p>
    <w:p w14:paraId="39B5AA9C" w14:textId="77777777" w:rsidR="005F36F3" w:rsidRPr="009F7642" w:rsidRDefault="005F36F3" w:rsidP="0073217C">
      <w:pPr>
        <w:keepNext/>
        <w:suppressAutoHyphens/>
        <w:spacing w:after="0" w:line="240" w:lineRule="auto"/>
        <w:ind w:left="0" w:firstLine="0"/>
        <w:rPr>
          <w:color w:val="auto"/>
          <w:lang w:val="is-IS"/>
        </w:rPr>
      </w:pP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4"/>
        <w:gridCol w:w="3075"/>
        <w:gridCol w:w="2797"/>
      </w:tblGrid>
      <w:tr w:rsidR="00903DBE" w:rsidRPr="009F7642" w14:paraId="35B89DB3" w14:textId="77777777" w:rsidTr="00EC3052">
        <w:trPr>
          <w:cantSplit/>
          <w:trHeight w:val="300"/>
          <w:tblHeader/>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095EFADE" w14:textId="77777777" w:rsidR="00E26108" w:rsidRPr="009F7642" w:rsidRDefault="00E26108" w:rsidP="0073217C">
            <w:pPr>
              <w:suppressAutoHyphens/>
              <w:spacing w:line="240" w:lineRule="auto"/>
              <w:rPr>
                <w:color w:val="auto"/>
                <w:lang w:val="is-IS"/>
              </w:rPr>
            </w:pPr>
          </w:p>
        </w:tc>
        <w:tc>
          <w:tcPr>
            <w:tcW w:w="3075" w:type="dxa"/>
            <w:tcBorders>
              <w:top w:val="single" w:sz="4" w:space="0" w:color="auto"/>
              <w:left w:val="single" w:sz="4" w:space="0" w:color="auto"/>
              <w:bottom w:val="single" w:sz="4" w:space="0" w:color="auto"/>
              <w:right w:val="single" w:sz="4" w:space="0" w:color="auto"/>
            </w:tcBorders>
            <w:noWrap/>
            <w:vAlign w:val="bottom"/>
            <w:hideMark/>
          </w:tcPr>
          <w:p w14:paraId="1BCAC21C" w14:textId="77777777" w:rsidR="00E26108" w:rsidRPr="009F7642" w:rsidRDefault="00E26108" w:rsidP="0073217C">
            <w:pPr>
              <w:suppressAutoHyphens/>
              <w:spacing w:line="240" w:lineRule="auto"/>
              <w:jc w:val="center"/>
              <w:rPr>
                <w:b/>
                <w:color w:val="auto"/>
                <w:lang w:val="is-IS"/>
              </w:rPr>
            </w:pPr>
            <w:r w:rsidRPr="009F7642">
              <w:rPr>
                <w:b/>
                <w:color w:val="auto"/>
                <w:lang w:val="is-IS"/>
              </w:rPr>
              <w:t>CT</w:t>
            </w:r>
          </w:p>
        </w:tc>
        <w:tc>
          <w:tcPr>
            <w:tcW w:w="2797" w:type="dxa"/>
            <w:tcBorders>
              <w:top w:val="single" w:sz="4" w:space="0" w:color="auto"/>
              <w:left w:val="single" w:sz="4" w:space="0" w:color="auto"/>
              <w:bottom w:val="single" w:sz="4" w:space="0" w:color="auto"/>
              <w:right w:val="single" w:sz="4" w:space="0" w:color="auto"/>
            </w:tcBorders>
            <w:noWrap/>
            <w:hideMark/>
          </w:tcPr>
          <w:p w14:paraId="4C856D22" w14:textId="77777777" w:rsidR="00E26108" w:rsidRPr="009F7642" w:rsidRDefault="00E26108" w:rsidP="0073217C">
            <w:pPr>
              <w:suppressAutoHyphens/>
              <w:spacing w:line="240" w:lineRule="auto"/>
              <w:jc w:val="center"/>
              <w:rPr>
                <w:b/>
                <w:color w:val="auto"/>
                <w:lang w:val="is-IS"/>
              </w:rPr>
            </w:pPr>
            <w:r w:rsidRPr="009F7642">
              <w:rPr>
                <w:b/>
                <w:color w:val="auto"/>
                <w:lang w:val="is-IS"/>
              </w:rPr>
              <w:t>CT + BV</w:t>
            </w:r>
          </w:p>
        </w:tc>
      </w:tr>
      <w:tr w:rsidR="00903DBE" w:rsidRPr="009F7642" w14:paraId="438A9DA4"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0686A888" w14:textId="77777777" w:rsidR="00E26108" w:rsidRPr="009F7642" w:rsidRDefault="00E26108" w:rsidP="0073217C">
            <w:pPr>
              <w:suppressAutoHyphens/>
              <w:spacing w:line="240" w:lineRule="auto"/>
              <w:rPr>
                <w:color w:val="auto"/>
                <w:lang w:val="is-IS"/>
              </w:rPr>
            </w:pPr>
            <w:r w:rsidRPr="009F7642">
              <w:rPr>
                <w:color w:val="auto"/>
                <w:lang w:val="is-IS"/>
              </w:rPr>
              <w:t>Paclítaxel</w:t>
            </w:r>
          </w:p>
        </w:tc>
        <w:tc>
          <w:tcPr>
            <w:tcW w:w="5872" w:type="dxa"/>
            <w:gridSpan w:val="2"/>
            <w:tcBorders>
              <w:top w:val="single" w:sz="4" w:space="0" w:color="auto"/>
              <w:left w:val="single" w:sz="4" w:space="0" w:color="auto"/>
              <w:bottom w:val="single" w:sz="4" w:space="0" w:color="auto"/>
              <w:right w:val="single" w:sz="4" w:space="0" w:color="auto"/>
            </w:tcBorders>
            <w:noWrap/>
            <w:vAlign w:val="bottom"/>
            <w:hideMark/>
          </w:tcPr>
          <w:p w14:paraId="76FC2E56" w14:textId="77777777" w:rsidR="00E26108" w:rsidRPr="009F7642" w:rsidRDefault="00D14DCD" w:rsidP="0073217C">
            <w:pPr>
              <w:suppressAutoHyphens/>
              <w:spacing w:line="240" w:lineRule="auto"/>
              <w:jc w:val="center"/>
              <w:rPr>
                <w:color w:val="auto"/>
                <w:lang w:val="is-IS"/>
              </w:rPr>
            </w:pPr>
            <w:r>
              <w:rPr>
                <w:color w:val="auto"/>
                <w:lang w:val="is-IS"/>
              </w:rPr>
              <w:t>n </w:t>
            </w:r>
            <w:r w:rsidR="00700BDC">
              <w:rPr>
                <w:color w:val="auto"/>
                <w:lang w:val="is-IS"/>
              </w:rPr>
              <w:t>=</w:t>
            </w:r>
            <w:r>
              <w:rPr>
                <w:color w:val="auto"/>
                <w:lang w:val="is-IS"/>
              </w:rPr>
              <w:t> </w:t>
            </w:r>
            <w:r w:rsidR="00E26108" w:rsidRPr="009F7642">
              <w:rPr>
                <w:color w:val="auto"/>
                <w:lang w:val="is-IS"/>
              </w:rPr>
              <w:t>115</w:t>
            </w:r>
          </w:p>
        </w:tc>
      </w:tr>
      <w:tr w:rsidR="00903DBE" w:rsidRPr="009F7642" w14:paraId="15F3DFA3"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37CE74EB" w14:textId="2A073DFA" w:rsidR="00E26108" w:rsidRPr="009F7642" w:rsidRDefault="00E26108" w:rsidP="0073217C">
            <w:pPr>
              <w:suppressAutoHyphens/>
              <w:spacing w:line="240" w:lineRule="auto"/>
              <w:ind w:left="567"/>
              <w:rPr>
                <w:color w:val="auto"/>
                <w:lang w:val="is-IS"/>
              </w:rPr>
            </w:pPr>
            <w:r w:rsidRPr="009F7642">
              <w:rPr>
                <w:color w:val="auto"/>
                <w:lang w:val="is-IS"/>
              </w:rPr>
              <w:t xml:space="preserve">Miðgildi lifunar án </w:t>
            </w:r>
            <w:r w:rsidR="00916159" w:rsidRPr="00FE5EE2">
              <w:rPr>
                <w:color w:val="auto"/>
                <w:lang w:val="is-IS"/>
              </w:rPr>
              <w:t>versnunar</w:t>
            </w:r>
            <w:r w:rsidRPr="009F7642">
              <w:rPr>
                <w:color w:val="auto"/>
                <w:lang w:val="is-IS"/>
              </w:rPr>
              <w:t xml:space="preserve"> sjúkdóms (mánuðir)</w:t>
            </w:r>
          </w:p>
        </w:tc>
        <w:tc>
          <w:tcPr>
            <w:tcW w:w="3075" w:type="dxa"/>
            <w:tcBorders>
              <w:top w:val="single" w:sz="4" w:space="0" w:color="auto"/>
              <w:left w:val="single" w:sz="4" w:space="0" w:color="auto"/>
              <w:bottom w:val="single" w:sz="4" w:space="0" w:color="auto"/>
              <w:right w:val="single" w:sz="4" w:space="0" w:color="auto"/>
            </w:tcBorders>
            <w:noWrap/>
            <w:vAlign w:val="bottom"/>
            <w:hideMark/>
          </w:tcPr>
          <w:p w14:paraId="06683B22" w14:textId="77777777" w:rsidR="00E26108" w:rsidRPr="009F7642" w:rsidRDefault="00E26108" w:rsidP="0073217C">
            <w:pPr>
              <w:suppressAutoHyphens/>
              <w:spacing w:line="240" w:lineRule="auto"/>
              <w:jc w:val="center"/>
              <w:rPr>
                <w:color w:val="auto"/>
                <w:lang w:val="is-IS"/>
              </w:rPr>
            </w:pPr>
            <w:r w:rsidRPr="009F7642">
              <w:rPr>
                <w:color w:val="auto"/>
                <w:lang w:val="is-IS"/>
              </w:rPr>
              <w:t>3,9</w:t>
            </w:r>
          </w:p>
        </w:tc>
        <w:tc>
          <w:tcPr>
            <w:tcW w:w="2797" w:type="dxa"/>
            <w:tcBorders>
              <w:top w:val="single" w:sz="4" w:space="0" w:color="auto"/>
              <w:left w:val="single" w:sz="4" w:space="0" w:color="auto"/>
              <w:bottom w:val="single" w:sz="4" w:space="0" w:color="auto"/>
              <w:right w:val="single" w:sz="4" w:space="0" w:color="auto"/>
            </w:tcBorders>
            <w:noWrap/>
            <w:vAlign w:val="bottom"/>
            <w:hideMark/>
          </w:tcPr>
          <w:p w14:paraId="67B14012" w14:textId="77777777" w:rsidR="00E26108" w:rsidRPr="009F7642" w:rsidRDefault="00E26108" w:rsidP="0073217C">
            <w:pPr>
              <w:suppressAutoHyphens/>
              <w:spacing w:line="240" w:lineRule="auto"/>
              <w:jc w:val="center"/>
              <w:rPr>
                <w:color w:val="auto"/>
                <w:lang w:val="is-IS"/>
              </w:rPr>
            </w:pPr>
            <w:r w:rsidRPr="009F7642">
              <w:rPr>
                <w:color w:val="auto"/>
                <w:lang w:val="is-IS"/>
              </w:rPr>
              <w:t>9,2</w:t>
            </w:r>
          </w:p>
        </w:tc>
      </w:tr>
      <w:tr w:rsidR="00903DBE" w:rsidRPr="009F7642" w14:paraId="0B2B859C"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47D735AC" w14:textId="72E16AD2" w:rsidR="00E26108" w:rsidRPr="009F7642" w:rsidRDefault="00E26108" w:rsidP="0073217C">
            <w:pPr>
              <w:suppressAutoHyphens/>
              <w:spacing w:line="240" w:lineRule="auto"/>
              <w:ind w:left="567"/>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w:t>
            </w:r>
          </w:p>
        </w:tc>
        <w:tc>
          <w:tcPr>
            <w:tcW w:w="5872" w:type="dxa"/>
            <w:gridSpan w:val="2"/>
            <w:tcBorders>
              <w:top w:val="single" w:sz="4" w:space="0" w:color="auto"/>
              <w:left w:val="single" w:sz="4" w:space="0" w:color="auto"/>
              <w:bottom w:val="single" w:sz="4" w:space="0" w:color="auto"/>
              <w:right w:val="single" w:sz="4" w:space="0" w:color="auto"/>
            </w:tcBorders>
            <w:noWrap/>
            <w:vAlign w:val="bottom"/>
            <w:hideMark/>
          </w:tcPr>
          <w:p w14:paraId="2632EFF0" w14:textId="77777777" w:rsidR="00E26108" w:rsidRPr="009F7642" w:rsidRDefault="00E26108" w:rsidP="0073217C">
            <w:pPr>
              <w:suppressAutoHyphens/>
              <w:spacing w:line="240" w:lineRule="auto"/>
              <w:jc w:val="center"/>
              <w:rPr>
                <w:color w:val="auto"/>
                <w:lang w:val="is-IS"/>
              </w:rPr>
            </w:pPr>
            <w:r w:rsidRPr="009F7642">
              <w:rPr>
                <w:color w:val="auto"/>
                <w:lang w:val="is-IS"/>
              </w:rPr>
              <w:t>0,47 [0,31</w:t>
            </w:r>
            <w:r w:rsidR="00610302">
              <w:rPr>
                <w:color w:val="auto"/>
                <w:lang w:val="is-IS"/>
              </w:rPr>
              <w:t>;</w:t>
            </w:r>
            <w:r w:rsidRPr="009F7642">
              <w:rPr>
                <w:color w:val="auto"/>
                <w:lang w:val="is-IS"/>
              </w:rPr>
              <w:t xml:space="preserve"> 0,72]</w:t>
            </w:r>
          </w:p>
        </w:tc>
      </w:tr>
      <w:tr w:rsidR="00903DBE" w:rsidRPr="009F7642" w14:paraId="773E79BF"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1FB166B9" w14:textId="77777777" w:rsidR="00E26108" w:rsidRPr="009F7642" w:rsidRDefault="00E26108" w:rsidP="0073217C">
            <w:pPr>
              <w:suppressAutoHyphens/>
              <w:spacing w:line="240" w:lineRule="auto"/>
              <w:ind w:left="567"/>
              <w:rPr>
                <w:color w:val="auto"/>
                <w:lang w:val="is-IS"/>
              </w:rPr>
            </w:pPr>
            <w:r w:rsidRPr="009F7642">
              <w:rPr>
                <w:color w:val="auto"/>
                <w:lang w:val="is-IS"/>
              </w:rPr>
              <w:t>Miðgildi heildarlifunar (mánuðir)</w:t>
            </w:r>
          </w:p>
        </w:tc>
        <w:tc>
          <w:tcPr>
            <w:tcW w:w="3075" w:type="dxa"/>
            <w:tcBorders>
              <w:top w:val="single" w:sz="4" w:space="0" w:color="auto"/>
              <w:left w:val="single" w:sz="4" w:space="0" w:color="auto"/>
              <w:bottom w:val="single" w:sz="4" w:space="0" w:color="auto"/>
              <w:right w:val="single" w:sz="4" w:space="0" w:color="auto"/>
            </w:tcBorders>
            <w:noWrap/>
            <w:vAlign w:val="bottom"/>
            <w:hideMark/>
          </w:tcPr>
          <w:p w14:paraId="73BE91C2" w14:textId="77777777" w:rsidR="00E26108" w:rsidRPr="009F7642" w:rsidRDefault="00E26108" w:rsidP="0073217C">
            <w:pPr>
              <w:suppressAutoHyphens/>
              <w:spacing w:line="240" w:lineRule="auto"/>
              <w:jc w:val="center"/>
              <w:rPr>
                <w:color w:val="auto"/>
                <w:lang w:val="is-IS"/>
              </w:rPr>
            </w:pPr>
            <w:r w:rsidRPr="009F7642">
              <w:rPr>
                <w:color w:val="auto"/>
                <w:lang w:val="is-IS"/>
              </w:rPr>
              <w:t>13,2</w:t>
            </w:r>
          </w:p>
        </w:tc>
        <w:tc>
          <w:tcPr>
            <w:tcW w:w="2797" w:type="dxa"/>
            <w:tcBorders>
              <w:top w:val="single" w:sz="4" w:space="0" w:color="auto"/>
              <w:left w:val="single" w:sz="4" w:space="0" w:color="auto"/>
              <w:bottom w:val="single" w:sz="4" w:space="0" w:color="auto"/>
              <w:right w:val="single" w:sz="4" w:space="0" w:color="auto"/>
            </w:tcBorders>
            <w:noWrap/>
            <w:vAlign w:val="bottom"/>
            <w:hideMark/>
          </w:tcPr>
          <w:p w14:paraId="70EAB569" w14:textId="77777777" w:rsidR="00E26108" w:rsidRPr="009F7642" w:rsidRDefault="00E26108" w:rsidP="0073217C">
            <w:pPr>
              <w:suppressAutoHyphens/>
              <w:spacing w:line="240" w:lineRule="auto"/>
              <w:jc w:val="center"/>
              <w:rPr>
                <w:color w:val="auto"/>
                <w:lang w:val="is-IS"/>
              </w:rPr>
            </w:pPr>
            <w:r w:rsidRPr="009F7642">
              <w:rPr>
                <w:color w:val="auto"/>
                <w:lang w:val="is-IS"/>
              </w:rPr>
              <w:t>22,4</w:t>
            </w:r>
          </w:p>
        </w:tc>
      </w:tr>
      <w:tr w:rsidR="00903DBE" w:rsidRPr="009F7642" w14:paraId="48A8765E"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32D1974A" w14:textId="4CCBF3AC" w:rsidR="00E26108" w:rsidRPr="009F7642" w:rsidRDefault="00E26108" w:rsidP="0073217C">
            <w:pPr>
              <w:suppressAutoHyphens/>
              <w:spacing w:line="240" w:lineRule="auto"/>
              <w:ind w:left="567"/>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w:t>
            </w:r>
          </w:p>
        </w:tc>
        <w:tc>
          <w:tcPr>
            <w:tcW w:w="5872" w:type="dxa"/>
            <w:gridSpan w:val="2"/>
            <w:tcBorders>
              <w:top w:val="single" w:sz="4" w:space="0" w:color="auto"/>
              <w:left w:val="single" w:sz="4" w:space="0" w:color="auto"/>
              <w:bottom w:val="single" w:sz="4" w:space="0" w:color="auto"/>
              <w:right w:val="single" w:sz="4" w:space="0" w:color="auto"/>
            </w:tcBorders>
            <w:noWrap/>
            <w:vAlign w:val="bottom"/>
            <w:hideMark/>
          </w:tcPr>
          <w:p w14:paraId="2DA5B1F3" w14:textId="77777777" w:rsidR="00E26108" w:rsidRPr="009F7642" w:rsidRDefault="00E26108" w:rsidP="0073217C">
            <w:pPr>
              <w:suppressAutoHyphens/>
              <w:spacing w:line="240" w:lineRule="auto"/>
              <w:jc w:val="center"/>
              <w:rPr>
                <w:color w:val="auto"/>
                <w:lang w:val="is-IS"/>
              </w:rPr>
            </w:pPr>
            <w:r w:rsidRPr="009F7642">
              <w:rPr>
                <w:color w:val="auto"/>
                <w:lang w:val="is-IS"/>
              </w:rPr>
              <w:t>0,64 [0,41</w:t>
            </w:r>
            <w:r w:rsidR="00610302">
              <w:rPr>
                <w:color w:val="auto"/>
                <w:lang w:val="is-IS"/>
              </w:rPr>
              <w:t>;</w:t>
            </w:r>
            <w:r w:rsidRPr="009F7642">
              <w:rPr>
                <w:color w:val="auto"/>
                <w:lang w:val="is-IS"/>
              </w:rPr>
              <w:t xml:space="preserve"> 0,99]</w:t>
            </w:r>
          </w:p>
        </w:tc>
      </w:tr>
      <w:tr w:rsidR="00903DBE" w:rsidRPr="009F7642" w14:paraId="5D25A8CD"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01D1CBBE" w14:textId="77777777" w:rsidR="00E26108" w:rsidRPr="009F7642" w:rsidRDefault="00E26108" w:rsidP="0073217C">
            <w:pPr>
              <w:suppressAutoHyphens/>
              <w:spacing w:line="240" w:lineRule="auto"/>
              <w:rPr>
                <w:color w:val="auto"/>
                <w:lang w:val="is-IS"/>
              </w:rPr>
            </w:pPr>
            <w:r w:rsidRPr="009F7642">
              <w:rPr>
                <w:color w:val="auto"/>
                <w:lang w:val="is-IS"/>
              </w:rPr>
              <w:t>Tópótecan</w:t>
            </w:r>
          </w:p>
        </w:tc>
        <w:tc>
          <w:tcPr>
            <w:tcW w:w="5872" w:type="dxa"/>
            <w:gridSpan w:val="2"/>
            <w:tcBorders>
              <w:top w:val="single" w:sz="4" w:space="0" w:color="auto"/>
              <w:left w:val="single" w:sz="4" w:space="0" w:color="auto"/>
              <w:bottom w:val="single" w:sz="4" w:space="0" w:color="auto"/>
              <w:right w:val="single" w:sz="4" w:space="0" w:color="auto"/>
            </w:tcBorders>
            <w:noWrap/>
            <w:vAlign w:val="bottom"/>
            <w:hideMark/>
          </w:tcPr>
          <w:p w14:paraId="6881F876" w14:textId="77777777" w:rsidR="00E26108" w:rsidRPr="009F7642" w:rsidRDefault="00D14DCD" w:rsidP="0073217C">
            <w:pPr>
              <w:suppressAutoHyphens/>
              <w:spacing w:line="240" w:lineRule="auto"/>
              <w:jc w:val="center"/>
              <w:rPr>
                <w:color w:val="auto"/>
                <w:lang w:val="is-IS"/>
              </w:rPr>
            </w:pPr>
            <w:r>
              <w:rPr>
                <w:color w:val="auto"/>
                <w:lang w:val="is-IS"/>
              </w:rPr>
              <w:t>n </w:t>
            </w:r>
            <w:r w:rsidR="00700BDC">
              <w:rPr>
                <w:color w:val="auto"/>
                <w:lang w:val="is-IS"/>
              </w:rPr>
              <w:t>=</w:t>
            </w:r>
            <w:r>
              <w:rPr>
                <w:color w:val="auto"/>
                <w:lang w:val="is-IS"/>
              </w:rPr>
              <w:t> </w:t>
            </w:r>
            <w:r w:rsidR="00E26108" w:rsidRPr="009F7642">
              <w:rPr>
                <w:color w:val="auto"/>
                <w:lang w:val="is-IS"/>
              </w:rPr>
              <w:t>120</w:t>
            </w:r>
          </w:p>
        </w:tc>
      </w:tr>
      <w:tr w:rsidR="00903DBE" w:rsidRPr="009F7642" w14:paraId="694328BF"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08C99A77" w14:textId="474FF137" w:rsidR="006C06D6" w:rsidRPr="009F7642" w:rsidRDefault="00E26108" w:rsidP="0073217C">
            <w:pPr>
              <w:suppressAutoHyphens/>
              <w:spacing w:line="240" w:lineRule="auto"/>
              <w:ind w:left="567"/>
              <w:rPr>
                <w:color w:val="auto"/>
                <w:lang w:val="is-IS"/>
              </w:rPr>
            </w:pPr>
            <w:r w:rsidRPr="009F7642">
              <w:rPr>
                <w:color w:val="auto"/>
                <w:lang w:val="is-IS"/>
              </w:rPr>
              <w:t xml:space="preserve">Miðgildi lifunar án </w:t>
            </w:r>
            <w:r w:rsidR="00916159" w:rsidRPr="00FE5EE2">
              <w:rPr>
                <w:color w:val="auto"/>
                <w:lang w:val="is-IS"/>
              </w:rPr>
              <w:t>versnunar</w:t>
            </w:r>
            <w:r w:rsidRPr="009F7642">
              <w:rPr>
                <w:color w:val="auto"/>
                <w:lang w:val="is-IS"/>
              </w:rPr>
              <w:t xml:space="preserve"> sjúkdóms</w:t>
            </w:r>
          </w:p>
          <w:p w14:paraId="3937807A" w14:textId="77777777" w:rsidR="00E26108" w:rsidRPr="009F7642" w:rsidRDefault="00E26108" w:rsidP="0073217C">
            <w:pPr>
              <w:suppressAutoHyphens/>
              <w:spacing w:line="240" w:lineRule="auto"/>
              <w:ind w:left="567"/>
              <w:rPr>
                <w:color w:val="auto"/>
                <w:lang w:val="is-IS"/>
              </w:rPr>
            </w:pPr>
            <w:r w:rsidRPr="009F7642">
              <w:rPr>
                <w:color w:val="auto"/>
                <w:lang w:val="is-IS"/>
              </w:rPr>
              <w:t>(mánuðir)</w:t>
            </w:r>
          </w:p>
        </w:tc>
        <w:tc>
          <w:tcPr>
            <w:tcW w:w="3075" w:type="dxa"/>
            <w:tcBorders>
              <w:top w:val="single" w:sz="4" w:space="0" w:color="auto"/>
              <w:left w:val="single" w:sz="4" w:space="0" w:color="auto"/>
              <w:bottom w:val="single" w:sz="4" w:space="0" w:color="auto"/>
              <w:right w:val="single" w:sz="4" w:space="0" w:color="auto"/>
            </w:tcBorders>
            <w:noWrap/>
            <w:vAlign w:val="bottom"/>
            <w:hideMark/>
          </w:tcPr>
          <w:p w14:paraId="21489978" w14:textId="77777777" w:rsidR="00E26108" w:rsidRPr="009F7642" w:rsidRDefault="00E26108" w:rsidP="0073217C">
            <w:pPr>
              <w:suppressAutoHyphens/>
              <w:spacing w:line="240" w:lineRule="auto"/>
              <w:jc w:val="center"/>
              <w:rPr>
                <w:color w:val="auto"/>
                <w:lang w:val="is-IS"/>
              </w:rPr>
            </w:pPr>
            <w:r w:rsidRPr="009F7642">
              <w:rPr>
                <w:color w:val="auto"/>
                <w:lang w:val="is-IS"/>
              </w:rPr>
              <w:t>2,1</w:t>
            </w:r>
          </w:p>
        </w:tc>
        <w:tc>
          <w:tcPr>
            <w:tcW w:w="2797" w:type="dxa"/>
            <w:tcBorders>
              <w:top w:val="single" w:sz="4" w:space="0" w:color="auto"/>
              <w:left w:val="single" w:sz="4" w:space="0" w:color="auto"/>
              <w:bottom w:val="single" w:sz="4" w:space="0" w:color="auto"/>
              <w:right w:val="single" w:sz="4" w:space="0" w:color="auto"/>
            </w:tcBorders>
            <w:noWrap/>
            <w:vAlign w:val="bottom"/>
            <w:hideMark/>
          </w:tcPr>
          <w:p w14:paraId="79345F91" w14:textId="77777777" w:rsidR="00E26108" w:rsidRPr="009F7642" w:rsidRDefault="00E26108" w:rsidP="0073217C">
            <w:pPr>
              <w:suppressAutoHyphens/>
              <w:spacing w:line="240" w:lineRule="auto"/>
              <w:jc w:val="center"/>
              <w:rPr>
                <w:color w:val="auto"/>
                <w:lang w:val="is-IS"/>
              </w:rPr>
            </w:pPr>
            <w:r w:rsidRPr="009F7642">
              <w:rPr>
                <w:color w:val="auto"/>
                <w:lang w:val="is-IS"/>
              </w:rPr>
              <w:t>6,2</w:t>
            </w:r>
          </w:p>
        </w:tc>
      </w:tr>
      <w:tr w:rsidR="00903DBE" w:rsidRPr="009F7642" w14:paraId="457E49B5"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507F16F4" w14:textId="60E59BC0" w:rsidR="00E26108" w:rsidRPr="009F7642" w:rsidRDefault="00E26108" w:rsidP="0073217C">
            <w:pPr>
              <w:suppressAutoHyphens/>
              <w:spacing w:line="240" w:lineRule="auto"/>
              <w:ind w:left="567"/>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w:t>
            </w:r>
          </w:p>
        </w:tc>
        <w:tc>
          <w:tcPr>
            <w:tcW w:w="5872" w:type="dxa"/>
            <w:gridSpan w:val="2"/>
            <w:tcBorders>
              <w:top w:val="single" w:sz="4" w:space="0" w:color="auto"/>
              <w:left w:val="single" w:sz="4" w:space="0" w:color="auto"/>
              <w:bottom w:val="single" w:sz="4" w:space="0" w:color="auto"/>
              <w:right w:val="single" w:sz="4" w:space="0" w:color="auto"/>
            </w:tcBorders>
            <w:noWrap/>
            <w:vAlign w:val="bottom"/>
            <w:hideMark/>
          </w:tcPr>
          <w:p w14:paraId="36A07A3D" w14:textId="77777777" w:rsidR="00E26108" w:rsidRPr="009F7642" w:rsidRDefault="00E26108" w:rsidP="0073217C">
            <w:pPr>
              <w:suppressAutoHyphens/>
              <w:spacing w:line="240" w:lineRule="auto"/>
              <w:jc w:val="center"/>
              <w:rPr>
                <w:color w:val="auto"/>
                <w:lang w:val="is-IS"/>
              </w:rPr>
            </w:pPr>
            <w:r w:rsidRPr="009F7642">
              <w:rPr>
                <w:color w:val="auto"/>
                <w:lang w:val="is-IS"/>
              </w:rPr>
              <w:t>0,28 [0,18</w:t>
            </w:r>
            <w:r w:rsidR="00610302">
              <w:rPr>
                <w:color w:val="auto"/>
                <w:lang w:val="is-IS"/>
              </w:rPr>
              <w:t>;</w:t>
            </w:r>
            <w:r w:rsidRPr="009F7642">
              <w:rPr>
                <w:color w:val="auto"/>
                <w:lang w:val="is-IS"/>
              </w:rPr>
              <w:t xml:space="preserve"> 0,44]</w:t>
            </w:r>
          </w:p>
        </w:tc>
      </w:tr>
      <w:tr w:rsidR="00903DBE" w:rsidRPr="009F7642" w14:paraId="147E10DE"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18DE6C8A" w14:textId="77777777" w:rsidR="006C06D6" w:rsidRPr="009F7642" w:rsidRDefault="00E26108" w:rsidP="0073217C">
            <w:pPr>
              <w:suppressAutoHyphens/>
              <w:spacing w:line="240" w:lineRule="auto"/>
              <w:ind w:left="567"/>
              <w:rPr>
                <w:color w:val="auto"/>
                <w:lang w:val="is-IS"/>
              </w:rPr>
            </w:pPr>
            <w:r w:rsidRPr="009F7642">
              <w:rPr>
                <w:color w:val="auto"/>
                <w:lang w:val="is-IS"/>
              </w:rPr>
              <w:t>Miðgildi heildarlifunar</w:t>
            </w:r>
          </w:p>
          <w:p w14:paraId="27F69E0F" w14:textId="77777777" w:rsidR="00E26108" w:rsidRPr="009F7642" w:rsidRDefault="00E26108" w:rsidP="0073217C">
            <w:pPr>
              <w:suppressAutoHyphens/>
              <w:spacing w:line="240" w:lineRule="auto"/>
              <w:ind w:left="567"/>
              <w:rPr>
                <w:color w:val="auto"/>
                <w:lang w:val="is-IS"/>
              </w:rPr>
            </w:pPr>
            <w:r w:rsidRPr="009F7642">
              <w:rPr>
                <w:color w:val="auto"/>
                <w:lang w:val="is-IS"/>
              </w:rPr>
              <w:t>(mánuðir)</w:t>
            </w:r>
          </w:p>
        </w:tc>
        <w:tc>
          <w:tcPr>
            <w:tcW w:w="3075" w:type="dxa"/>
            <w:tcBorders>
              <w:top w:val="single" w:sz="4" w:space="0" w:color="auto"/>
              <w:left w:val="single" w:sz="4" w:space="0" w:color="auto"/>
              <w:bottom w:val="single" w:sz="4" w:space="0" w:color="auto"/>
              <w:right w:val="single" w:sz="4" w:space="0" w:color="auto"/>
            </w:tcBorders>
            <w:noWrap/>
            <w:vAlign w:val="bottom"/>
            <w:hideMark/>
          </w:tcPr>
          <w:p w14:paraId="3B1A7A92" w14:textId="77777777" w:rsidR="00E26108" w:rsidRPr="009F7642" w:rsidRDefault="00E26108" w:rsidP="0073217C">
            <w:pPr>
              <w:suppressAutoHyphens/>
              <w:spacing w:line="240" w:lineRule="auto"/>
              <w:jc w:val="center"/>
              <w:rPr>
                <w:color w:val="auto"/>
                <w:lang w:val="is-IS"/>
              </w:rPr>
            </w:pPr>
            <w:r w:rsidRPr="009F7642">
              <w:rPr>
                <w:color w:val="auto"/>
                <w:lang w:val="is-IS"/>
              </w:rPr>
              <w:t>13,3</w:t>
            </w:r>
          </w:p>
        </w:tc>
        <w:tc>
          <w:tcPr>
            <w:tcW w:w="2797" w:type="dxa"/>
            <w:tcBorders>
              <w:top w:val="single" w:sz="4" w:space="0" w:color="auto"/>
              <w:left w:val="single" w:sz="4" w:space="0" w:color="auto"/>
              <w:bottom w:val="single" w:sz="4" w:space="0" w:color="auto"/>
              <w:right w:val="single" w:sz="4" w:space="0" w:color="auto"/>
            </w:tcBorders>
            <w:noWrap/>
            <w:vAlign w:val="bottom"/>
            <w:hideMark/>
          </w:tcPr>
          <w:p w14:paraId="01DCF3B5" w14:textId="77777777" w:rsidR="00E26108" w:rsidRPr="009F7642" w:rsidRDefault="00E26108" w:rsidP="0073217C">
            <w:pPr>
              <w:suppressAutoHyphens/>
              <w:spacing w:line="240" w:lineRule="auto"/>
              <w:jc w:val="center"/>
              <w:rPr>
                <w:color w:val="auto"/>
                <w:lang w:val="is-IS"/>
              </w:rPr>
            </w:pPr>
            <w:r w:rsidRPr="009F7642">
              <w:rPr>
                <w:color w:val="auto"/>
                <w:lang w:val="is-IS"/>
              </w:rPr>
              <w:t>13,8</w:t>
            </w:r>
          </w:p>
        </w:tc>
      </w:tr>
      <w:tr w:rsidR="00903DBE" w:rsidRPr="009F7642" w14:paraId="0AF225B5"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4359CB46" w14:textId="63950D9C" w:rsidR="00E26108" w:rsidRPr="009F7642" w:rsidRDefault="00E26108" w:rsidP="0073217C">
            <w:pPr>
              <w:suppressAutoHyphens/>
              <w:spacing w:line="240" w:lineRule="auto"/>
              <w:ind w:left="567"/>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w:t>
            </w:r>
          </w:p>
        </w:tc>
        <w:tc>
          <w:tcPr>
            <w:tcW w:w="5872" w:type="dxa"/>
            <w:gridSpan w:val="2"/>
            <w:tcBorders>
              <w:top w:val="single" w:sz="4" w:space="0" w:color="auto"/>
              <w:left w:val="single" w:sz="4" w:space="0" w:color="auto"/>
              <w:bottom w:val="single" w:sz="4" w:space="0" w:color="auto"/>
              <w:right w:val="single" w:sz="4" w:space="0" w:color="auto"/>
            </w:tcBorders>
            <w:noWrap/>
            <w:vAlign w:val="bottom"/>
            <w:hideMark/>
          </w:tcPr>
          <w:p w14:paraId="66D816DE" w14:textId="77777777" w:rsidR="00E26108" w:rsidRPr="009F7642" w:rsidRDefault="00E26108" w:rsidP="0073217C">
            <w:pPr>
              <w:suppressAutoHyphens/>
              <w:spacing w:line="240" w:lineRule="auto"/>
              <w:jc w:val="center"/>
              <w:rPr>
                <w:color w:val="auto"/>
                <w:lang w:val="is-IS"/>
              </w:rPr>
            </w:pPr>
            <w:r w:rsidRPr="009F7642">
              <w:rPr>
                <w:color w:val="auto"/>
                <w:lang w:val="is-IS"/>
              </w:rPr>
              <w:t>1,07 [0,70</w:t>
            </w:r>
            <w:r w:rsidR="00907DA4">
              <w:rPr>
                <w:color w:val="auto"/>
                <w:lang w:val="is-IS"/>
              </w:rPr>
              <w:t>;</w:t>
            </w:r>
            <w:r w:rsidRPr="009F7642">
              <w:rPr>
                <w:color w:val="auto"/>
                <w:lang w:val="is-IS"/>
              </w:rPr>
              <w:t xml:space="preserve"> 1,63]</w:t>
            </w:r>
          </w:p>
        </w:tc>
      </w:tr>
      <w:tr w:rsidR="00903DBE" w:rsidRPr="009F7642" w14:paraId="1FDAFAFC"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069D492E" w14:textId="77777777" w:rsidR="00E26108" w:rsidRPr="009F7642" w:rsidRDefault="00E26108" w:rsidP="000B055B">
            <w:pPr>
              <w:keepNext/>
              <w:keepLines/>
              <w:suppressAutoHyphens/>
              <w:spacing w:line="240" w:lineRule="auto"/>
              <w:ind w:hanging="11"/>
              <w:rPr>
                <w:color w:val="auto"/>
                <w:lang w:val="is-IS"/>
              </w:rPr>
            </w:pPr>
            <w:r w:rsidRPr="009F7642">
              <w:rPr>
                <w:color w:val="auto"/>
                <w:lang w:val="is-IS"/>
              </w:rPr>
              <w:lastRenderedPageBreak/>
              <w:t>PLD</w:t>
            </w:r>
          </w:p>
        </w:tc>
        <w:tc>
          <w:tcPr>
            <w:tcW w:w="5872" w:type="dxa"/>
            <w:gridSpan w:val="2"/>
            <w:tcBorders>
              <w:top w:val="single" w:sz="4" w:space="0" w:color="auto"/>
              <w:left w:val="single" w:sz="4" w:space="0" w:color="auto"/>
              <w:bottom w:val="single" w:sz="4" w:space="0" w:color="auto"/>
              <w:right w:val="single" w:sz="4" w:space="0" w:color="auto"/>
            </w:tcBorders>
            <w:noWrap/>
            <w:vAlign w:val="bottom"/>
            <w:hideMark/>
          </w:tcPr>
          <w:p w14:paraId="5B0D1492" w14:textId="77777777" w:rsidR="00E26108" w:rsidRPr="009F7642" w:rsidRDefault="00D14DCD" w:rsidP="0073217C">
            <w:pPr>
              <w:suppressAutoHyphens/>
              <w:spacing w:line="240" w:lineRule="auto"/>
              <w:jc w:val="center"/>
              <w:rPr>
                <w:color w:val="auto"/>
                <w:lang w:val="is-IS"/>
              </w:rPr>
            </w:pPr>
            <w:r>
              <w:rPr>
                <w:color w:val="auto"/>
                <w:lang w:val="is-IS"/>
              </w:rPr>
              <w:t>n </w:t>
            </w:r>
            <w:r w:rsidR="00700BDC">
              <w:rPr>
                <w:color w:val="auto"/>
                <w:lang w:val="is-IS"/>
              </w:rPr>
              <w:t>=</w:t>
            </w:r>
            <w:r>
              <w:rPr>
                <w:color w:val="auto"/>
                <w:lang w:val="is-IS"/>
              </w:rPr>
              <w:t> </w:t>
            </w:r>
            <w:r w:rsidR="00E26108" w:rsidRPr="009F7642">
              <w:rPr>
                <w:color w:val="auto"/>
                <w:lang w:val="is-IS"/>
              </w:rPr>
              <w:t>126</w:t>
            </w:r>
          </w:p>
        </w:tc>
      </w:tr>
      <w:tr w:rsidR="00903DBE" w:rsidRPr="009F7642" w14:paraId="576F902C"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2EDB5623" w14:textId="6837F2FC" w:rsidR="006C06D6" w:rsidRPr="009F7642" w:rsidRDefault="00E26108" w:rsidP="000B055B">
            <w:pPr>
              <w:keepNext/>
              <w:keepLines/>
              <w:suppressAutoHyphens/>
              <w:spacing w:line="240" w:lineRule="auto"/>
              <w:ind w:left="567" w:hanging="11"/>
              <w:rPr>
                <w:color w:val="auto"/>
                <w:lang w:val="is-IS"/>
              </w:rPr>
            </w:pPr>
            <w:r w:rsidRPr="009F7642">
              <w:rPr>
                <w:color w:val="auto"/>
                <w:lang w:val="is-IS"/>
              </w:rPr>
              <w:t xml:space="preserve">Miðgildi lifunar án </w:t>
            </w:r>
            <w:r w:rsidR="00916159" w:rsidRPr="00FE5EE2">
              <w:rPr>
                <w:color w:val="auto"/>
                <w:lang w:val="is-IS"/>
              </w:rPr>
              <w:t>versnunar</w:t>
            </w:r>
            <w:r w:rsidRPr="009F7642">
              <w:rPr>
                <w:color w:val="auto"/>
                <w:lang w:val="is-IS"/>
              </w:rPr>
              <w:t xml:space="preserve"> sjúkdóms</w:t>
            </w:r>
          </w:p>
          <w:p w14:paraId="2F844639" w14:textId="77777777" w:rsidR="00E26108" w:rsidRPr="009F7642" w:rsidRDefault="00E26108" w:rsidP="000B055B">
            <w:pPr>
              <w:keepNext/>
              <w:keepLines/>
              <w:suppressAutoHyphens/>
              <w:spacing w:line="240" w:lineRule="auto"/>
              <w:ind w:left="567" w:hanging="11"/>
              <w:rPr>
                <w:color w:val="auto"/>
                <w:lang w:val="is-IS"/>
              </w:rPr>
            </w:pPr>
            <w:r w:rsidRPr="009F7642">
              <w:rPr>
                <w:color w:val="auto"/>
                <w:lang w:val="is-IS"/>
              </w:rPr>
              <w:t>(mánuðir)</w:t>
            </w:r>
          </w:p>
        </w:tc>
        <w:tc>
          <w:tcPr>
            <w:tcW w:w="3075" w:type="dxa"/>
            <w:tcBorders>
              <w:top w:val="single" w:sz="4" w:space="0" w:color="auto"/>
              <w:left w:val="single" w:sz="4" w:space="0" w:color="auto"/>
              <w:bottom w:val="single" w:sz="4" w:space="0" w:color="auto"/>
              <w:right w:val="single" w:sz="4" w:space="0" w:color="auto"/>
            </w:tcBorders>
            <w:noWrap/>
            <w:vAlign w:val="bottom"/>
            <w:hideMark/>
          </w:tcPr>
          <w:p w14:paraId="0086B374" w14:textId="77777777" w:rsidR="00E26108" w:rsidRPr="009F7642" w:rsidRDefault="00E26108" w:rsidP="0073217C">
            <w:pPr>
              <w:suppressAutoHyphens/>
              <w:spacing w:line="240" w:lineRule="auto"/>
              <w:jc w:val="center"/>
              <w:rPr>
                <w:color w:val="auto"/>
                <w:lang w:val="is-IS"/>
              </w:rPr>
            </w:pPr>
            <w:r w:rsidRPr="009F7642">
              <w:rPr>
                <w:color w:val="auto"/>
                <w:lang w:val="is-IS"/>
              </w:rPr>
              <w:t>3,5</w:t>
            </w:r>
          </w:p>
        </w:tc>
        <w:tc>
          <w:tcPr>
            <w:tcW w:w="2797" w:type="dxa"/>
            <w:tcBorders>
              <w:top w:val="single" w:sz="4" w:space="0" w:color="auto"/>
              <w:left w:val="single" w:sz="4" w:space="0" w:color="auto"/>
              <w:bottom w:val="single" w:sz="4" w:space="0" w:color="auto"/>
              <w:right w:val="single" w:sz="4" w:space="0" w:color="auto"/>
            </w:tcBorders>
            <w:noWrap/>
            <w:vAlign w:val="bottom"/>
            <w:hideMark/>
          </w:tcPr>
          <w:p w14:paraId="4A9F2C33" w14:textId="77777777" w:rsidR="00E26108" w:rsidRPr="009F7642" w:rsidRDefault="00E26108" w:rsidP="0073217C">
            <w:pPr>
              <w:suppressAutoHyphens/>
              <w:spacing w:line="240" w:lineRule="auto"/>
              <w:jc w:val="center"/>
              <w:rPr>
                <w:color w:val="auto"/>
                <w:lang w:val="is-IS"/>
              </w:rPr>
            </w:pPr>
            <w:r w:rsidRPr="009F7642">
              <w:rPr>
                <w:color w:val="auto"/>
                <w:lang w:val="is-IS"/>
              </w:rPr>
              <w:t>5,1</w:t>
            </w:r>
          </w:p>
        </w:tc>
      </w:tr>
      <w:tr w:rsidR="00903DBE" w:rsidRPr="009F7642" w14:paraId="0E4283CA"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6DFABFA6" w14:textId="45719B2B" w:rsidR="00E26108" w:rsidRPr="009F7642" w:rsidRDefault="00E26108" w:rsidP="000B055B">
            <w:pPr>
              <w:keepNext/>
              <w:keepLines/>
              <w:suppressAutoHyphens/>
              <w:spacing w:line="240" w:lineRule="auto"/>
              <w:ind w:left="567" w:hanging="11"/>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w:t>
            </w:r>
          </w:p>
        </w:tc>
        <w:tc>
          <w:tcPr>
            <w:tcW w:w="5872" w:type="dxa"/>
            <w:gridSpan w:val="2"/>
            <w:tcBorders>
              <w:top w:val="single" w:sz="4" w:space="0" w:color="auto"/>
              <w:left w:val="single" w:sz="4" w:space="0" w:color="auto"/>
              <w:bottom w:val="single" w:sz="4" w:space="0" w:color="auto"/>
              <w:right w:val="single" w:sz="4" w:space="0" w:color="auto"/>
            </w:tcBorders>
            <w:noWrap/>
            <w:vAlign w:val="bottom"/>
            <w:hideMark/>
          </w:tcPr>
          <w:p w14:paraId="47973113" w14:textId="77777777" w:rsidR="00E26108" w:rsidRPr="009F7642" w:rsidRDefault="00E26108" w:rsidP="0073217C">
            <w:pPr>
              <w:suppressAutoHyphens/>
              <w:spacing w:line="240" w:lineRule="auto"/>
              <w:jc w:val="center"/>
              <w:rPr>
                <w:color w:val="auto"/>
                <w:lang w:val="is-IS"/>
              </w:rPr>
            </w:pPr>
            <w:r w:rsidRPr="009F7642">
              <w:rPr>
                <w:color w:val="auto"/>
                <w:lang w:val="is-IS"/>
              </w:rPr>
              <w:t>0,53 [0,36</w:t>
            </w:r>
            <w:r w:rsidR="00907DA4">
              <w:rPr>
                <w:color w:val="auto"/>
                <w:lang w:val="is-IS"/>
              </w:rPr>
              <w:t>;</w:t>
            </w:r>
            <w:r w:rsidRPr="009F7642">
              <w:rPr>
                <w:color w:val="auto"/>
                <w:lang w:val="is-IS"/>
              </w:rPr>
              <w:t xml:space="preserve"> 0,77]</w:t>
            </w:r>
          </w:p>
        </w:tc>
      </w:tr>
      <w:tr w:rsidR="00903DBE" w:rsidRPr="009F7642" w14:paraId="12B178BE"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28C6A6B7" w14:textId="77777777" w:rsidR="00E26108" w:rsidRPr="009F7642" w:rsidRDefault="00E26108" w:rsidP="000B055B">
            <w:pPr>
              <w:keepNext/>
              <w:keepLines/>
              <w:suppressAutoHyphens/>
              <w:spacing w:line="240" w:lineRule="auto"/>
              <w:ind w:left="567" w:hanging="11"/>
              <w:rPr>
                <w:color w:val="auto"/>
                <w:lang w:val="is-IS"/>
              </w:rPr>
            </w:pPr>
            <w:r w:rsidRPr="009F7642">
              <w:rPr>
                <w:color w:val="auto"/>
                <w:lang w:val="is-IS"/>
              </w:rPr>
              <w:t>Miðgildi heildarlifunar (mánuðir)</w:t>
            </w:r>
          </w:p>
        </w:tc>
        <w:tc>
          <w:tcPr>
            <w:tcW w:w="3075" w:type="dxa"/>
            <w:tcBorders>
              <w:top w:val="single" w:sz="4" w:space="0" w:color="auto"/>
              <w:left w:val="single" w:sz="4" w:space="0" w:color="auto"/>
              <w:bottom w:val="single" w:sz="4" w:space="0" w:color="auto"/>
              <w:right w:val="single" w:sz="4" w:space="0" w:color="auto"/>
            </w:tcBorders>
            <w:noWrap/>
            <w:vAlign w:val="bottom"/>
            <w:hideMark/>
          </w:tcPr>
          <w:p w14:paraId="67F67526" w14:textId="77777777" w:rsidR="00E26108" w:rsidRPr="009F7642" w:rsidRDefault="00E26108" w:rsidP="0073217C">
            <w:pPr>
              <w:suppressAutoHyphens/>
              <w:spacing w:line="240" w:lineRule="auto"/>
              <w:jc w:val="center"/>
              <w:rPr>
                <w:color w:val="auto"/>
                <w:lang w:val="is-IS"/>
              </w:rPr>
            </w:pPr>
            <w:r w:rsidRPr="009F7642">
              <w:rPr>
                <w:color w:val="auto"/>
                <w:lang w:val="is-IS"/>
              </w:rPr>
              <w:t>14,1</w:t>
            </w:r>
          </w:p>
        </w:tc>
        <w:tc>
          <w:tcPr>
            <w:tcW w:w="2797" w:type="dxa"/>
            <w:tcBorders>
              <w:top w:val="single" w:sz="4" w:space="0" w:color="auto"/>
              <w:left w:val="single" w:sz="4" w:space="0" w:color="auto"/>
              <w:bottom w:val="single" w:sz="4" w:space="0" w:color="auto"/>
              <w:right w:val="single" w:sz="4" w:space="0" w:color="auto"/>
            </w:tcBorders>
            <w:noWrap/>
            <w:vAlign w:val="bottom"/>
            <w:hideMark/>
          </w:tcPr>
          <w:p w14:paraId="74F91542" w14:textId="77777777" w:rsidR="00E26108" w:rsidRPr="009F7642" w:rsidRDefault="00E26108" w:rsidP="0073217C">
            <w:pPr>
              <w:suppressAutoHyphens/>
              <w:spacing w:line="240" w:lineRule="auto"/>
              <w:jc w:val="center"/>
              <w:rPr>
                <w:color w:val="auto"/>
                <w:lang w:val="is-IS"/>
              </w:rPr>
            </w:pPr>
            <w:r w:rsidRPr="009F7642">
              <w:rPr>
                <w:color w:val="auto"/>
                <w:lang w:val="is-IS"/>
              </w:rPr>
              <w:t>13,7</w:t>
            </w:r>
          </w:p>
        </w:tc>
      </w:tr>
      <w:tr w:rsidR="00903DBE" w:rsidRPr="009F7642" w14:paraId="1B652DBC" w14:textId="77777777" w:rsidTr="00EC3052">
        <w:trPr>
          <w:cantSplit/>
          <w:trHeight w:val="300"/>
        </w:trPr>
        <w:tc>
          <w:tcPr>
            <w:tcW w:w="3074" w:type="dxa"/>
            <w:tcBorders>
              <w:top w:val="single" w:sz="4" w:space="0" w:color="auto"/>
              <w:left w:val="single" w:sz="4" w:space="0" w:color="auto"/>
              <w:bottom w:val="single" w:sz="4" w:space="0" w:color="auto"/>
              <w:right w:val="single" w:sz="4" w:space="0" w:color="auto"/>
            </w:tcBorders>
            <w:noWrap/>
            <w:vAlign w:val="bottom"/>
            <w:hideMark/>
          </w:tcPr>
          <w:p w14:paraId="3D71DCED" w14:textId="325A907F" w:rsidR="00E26108" w:rsidRPr="009F7642" w:rsidRDefault="00E26108" w:rsidP="0073217C">
            <w:pPr>
              <w:suppressAutoHyphens/>
              <w:spacing w:line="240" w:lineRule="auto"/>
              <w:ind w:left="567"/>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w:t>
            </w:r>
          </w:p>
        </w:tc>
        <w:tc>
          <w:tcPr>
            <w:tcW w:w="5872" w:type="dxa"/>
            <w:gridSpan w:val="2"/>
            <w:tcBorders>
              <w:top w:val="single" w:sz="4" w:space="0" w:color="auto"/>
              <w:left w:val="single" w:sz="4" w:space="0" w:color="auto"/>
              <w:bottom w:val="single" w:sz="4" w:space="0" w:color="auto"/>
              <w:right w:val="single" w:sz="4" w:space="0" w:color="auto"/>
            </w:tcBorders>
            <w:noWrap/>
            <w:vAlign w:val="bottom"/>
            <w:hideMark/>
          </w:tcPr>
          <w:p w14:paraId="54354A03" w14:textId="77777777" w:rsidR="00E26108" w:rsidRPr="009F7642" w:rsidRDefault="00E26108" w:rsidP="0073217C">
            <w:pPr>
              <w:suppressAutoHyphens/>
              <w:spacing w:line="240" w:lineRule="auto"/>
              <w:jc w:val="center"/>
              <w:rPr>
                <w:color w:val="auto"/>
                <w:lang w:val="is-IS"/>
              </w:rPr>
            </w:pPr>
            <w:r w:rsidRPr="009F7642">
              <w:rPr>
                <w:color w:val="auto"/>
                <w:lang w:val="is-IS"/>
              </w:rPr>
              <w:t>0,91 [0,61</w:t>
            </w:r>
            <w:r w:rsidR="00907DA4">
              <w:rPr>
                <w:color w:val="auto"/>
                <w:lang w:val="is-IS"/>
              </w:rPr>
              <w:t>;</w:t>
            </w:r>
            <w:r w:rsidRPr="009F7642">
              <w:rPr>
                <w:color w:val="auto"/>
                <w:lang w:val="is-IS"/>
              </w:rPr>
              <w:t xml:space="preserve"> 1,35]</w:t>
            </w:r>
          </w:p>
        </w:tc>
      </w:tr>
    </w:tbl>
    <w:p w14:paraId="13983434" w14:textId="77777777" w:rsidR="005F36F3" w:rsidRPr="009F7642" w:rsidRDefault="005F36F3" w:rsidP="0073217C">
      <w:pPr>
        <w:suppressAutoHyphens/>
        <w:spacing w:after="0" w:line="240" w:lineRule="auto"/>
        <w:ind w:left="0" w:firstLine="0"/>
        <w:rPr>
          <w:color w:val="auto"/>
          <w:lang w:val="is-IS"/>
        </w:rPr>
      </w:pPr>
    </w:p>
    <w:p w14:paraId="51177D7D"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u w:val="single" w:color="000000"/>
          <w:lang w:val="is-IS"/>
        </w:rPr>
        <w:t>Krabbamein í leghálsi</w:t>
      </w:r>
    </w:p>
    <w:p w14:paraId="0D361302" w14:textId="77777777" w:rsidR="005F36F3" w:rsidRPr="009F7642" w:rsidRDefault="005F36F3" w:rsidP="0073217C">
      <w:pPr>
        <w:keepNext/>
        <w:suppressAutoHyphens/>
        <w:spacing w:after="0" w:line="240" w:lineRule="auto"/>
        <w:ind w:left="0" w:firstLine="0"/>
        <w:rPr>
          <w:color w:val="auto"/>
          <w:lang w:val="is-IS"/>
        </w:rPr>
      </w:pPr>
    </w:p>
    <w:p w14:paraId="6E83EB19"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t>GOG-0240</w:t>
      </w:r>
    </w:p>
    <w:p w14:paraId="55DF00D6"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Í GOG-0240 rannsókninni, sem var slembiröðuð, fjögurra hópa, opin, fjölsetra III. stigs rannsókn var lagt mat á verkun og öryggi meðferðar með </w:t>
      </w:r>
      <w:r w:rsidR="00690564" w:rsidRPr="00F2274F">
        <w:rPr>
          <w:lang w:val="is-IS"/>
        </w:rPr>
        <w:t>bevacízúmab</w:t>
      </w:r>
      <w:r w:rsidR="00994821" w:rsidRPr="00F2274F">
        <w:rPr>
          <w:lang w:val="is-IS"/>
        </w:rPr>
        <w:t>i</w:t>
      </w:r>
      <w:r w:rsidRPr="009F7642">
        <w:rPr>
          <w:color w:val="auto"/>
          <w:lang w:val="is-IS"/>
        </w:rPr>
        <w:t xml:space="preserve"> ásamt krabbameinslyfjum (paklítaxeli og cisplatíni eða paklítaxeli og tópótekani) hjá sjúklingum með krabbamein í leghálsi sem er þrálátt og endurkomið eða með meinvörpum.</w:t>
      </w:r>
    </w:p>
    <w:p w14:paraId="672FFB2A" w14:textId="77777777" w:rsidR="005F36F3" w:rsidRPr="009F7642" w:rsidRDefault="005F36F3" w:rsidP="0073217C">
      <w:pPr>
        <w:suppressAutoHyphens/>
        <w:spacing w:after="0" w:line="240" w:lineRule="auto"/>
        <w:ind w:left="0" w:firstLine="0"/>
        <w:rPr>
          <w:color w:val="auto"/>
          <w:lang w:val="is-IS"/>
        </w:rPr>
      </w:pPr>
    </w:p>
    <w:p w14:paraId="36C369E7" w14:textId="77777777" w:rsidR="006C06D6" w:rsidRPr="009F7642" w:rsidRDefault="00564614" w:rsidP="0073217C">
      <w:pPr>
        <w:keepNext/>
        <w:suppressAutoHyphens/>
        <w:spacing w:after="0" w:line="240" w:lineRule="auto"/>
        <w:ind w:left="0" w:firstLine="0"/>
        <w:rPr>
          <w:color w:val="auto"/>
          <w:lang w:val="is-IS"/>
        </w:rPr>
      </w:pPr>
      <w:r w:rsidRPr="009F7642">
        <w:rPr>
          <w:color w:val="auto"/>
          <w:lang w:val="is-IS"/>
        </w:rPr>
        <w:t>Alls var 452 sjúklingum slembiraðað til að fá einhverja eftirtalinna meðferða:</w:t>
      </w:r>
    </w:p>
    <w:p w14:paraId="01C28F20" w14:textId="77777777" w:rsidR="005F36F3" w:rsidRPr="009F7642" w:rsidRDefault="005F36F3" w:rsidP="0073217C">
      <w:pPr>
        <w:keepNext/>
        <w:suppressAutoHyphens/>
        <w:spacing w:after="0" w:line="240" w:lineRule="auto"/>
        <w:ind w:left="0" w:firstLine="0"/>
        <w:rPr>
          <w:color w:val="auto"/>
          <w:lang w:val="is-IS"/>
        </w:rPr>
      </w:pPr>
    </w:p>
    <w:p w14:paraId="1FF967B0" w14:textId="77777777" w:rsidR="006C06D6" w:rsidRPr="009F7642" w:rsidRDefault="009C428B" w:rsidP="0073217C">
      <w:pPr>
        <w:numPr>
          <w:ilvl w:val="0"/>
          <w:numId w:val="16"/>
        </w:numPr>
        <w:suppressAutoHyphens/>
        <w:spacing w:after="0" w:line="240" w:lineRule="auto"/>
        <w:ind w:hanging="567"/>
        <w:rPr>
          <w:color w:val="auto"/>
          <w:lang w:val="is-IS"/>
        </w:rPr>
      </w:pPr>
      <w:r w:rsidRPr="009F7642">
        <w:rPr>
          <w:color w:val="auto"/>
          <w:lang w:val="is-IS"/>
        </w:rPr>
        <w:t>Paklítaxel 135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24 klukkus</w:t>
      </w:r>
      <w:r w:rsidRPr="009F7642">
        <w:rPr>
          <w:color w:val="auto"/>
          <w:lang w:val="is-IS"/>
        </w:rPr>
        <w:t>tundum á degi 1 og cisplatín 50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degi</w:t>
      </w:r>
      <w:r w:rsidR="00D14DCD">
        <w:rPr>
          <w:color w:val="auto"/>
          <w:lang w:val="is-IS"/>
        </w:rPr>
        <w:t> </w:t>
      </w:r>
      <w:r w:rsidR="00564614" w:rsidRPr="009F7642">
        <w:rPr>
          <w:color w:val="auto"/>
          <w:lang w:val="is-IS"/>
        </w:rPr>
        <w:t>2, á 3 vikna fresti (q3w); eða</w:t>
      </w:r>
    </w:p>
    <w:p w14:paraId="3E0B9319" w14:textId="77777777" w:rsidR="006C06D6" w:rsidRPr="009F7642" w:rsidRDefault="009C428B" w:rsidP="0073217C">
      <w:pPr>
        <w:suppressAutoHyphens/>
        <w:spacing w:after="0" w:line="240" w:lineRule="auto"/>
        <w:ind w:left="567" w:firstLine="0"/>
        <w:rPr>
          <w:color w:val="auto"/>
          <w:lang w:val="is-IS"/>
        </w:rPr>
      </w:pPr>
      <w:r w:rsidRPr="009F7642">
        <w:rPr>
          <w:color w:val="auto"/>
          <w:lang w:val="is-IS"/>
        </w:rPr>
        <w:t>Paklítaxel 175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3 klukkus</w:t>
      </w:r>
      <w:r w:rsidRPr="009F7642">
        <w:rPr>
          <w:color w:val="auto"/>
          <w:lang w:val="is-IS"/>
        </w:rPr>
        <w:t>tundum á degi 1 og cisplatín 50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degi</w:t>
      </w:r>
      <w:r w:rsidR="00D14DCD">
        <w:rPr>
          <w:color w:val="auto"/>
          <w:lang w:val="is-IS"/>
        </w:rPr>
        <w:t> </w:t>
      </w:r>
      <w:r w:rsidR="00564614" w:rsidRPr="009F7642">
        <w:rPr>
          <w:color w:val="auto"/>
          <w:lang w:val="is-IS"/>
        </w:rPr>
        <w:t>2 (q3w); eða</w:t>
      </w:r>
    </w:p>
    <w:p w14:paraId="5D16ED7D" w14:textId="77777777" w:rsidR="006C06D6" w:rsidRPr="009F7642" w:rsidRDefault="009C428B" w:rsidP="0073217C">
      <w:pPr>
        <w:suppressAutoHyphens/>
        <w:spacing w:after="0" w:line="240" w:lineRule="auto"/>
        <w:ind w:left="567" w:firstLine="0"/>
        <w:rPr>
          <w:color w:val="auto"/>
          <w:lang w:val="is-IS"/>
        </w:rPr>
      </w:pPr>
      <w:r w:rsidRPr="009F7642">
        <w:rPr>
          <w:color w:val="auto"/>
          <w:lang w:val="is-IS"/>
        </w:rPr>
        <w:t>Paklítaxel 175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3 klukkus</w:t>
      </w:r>
      <w:r w:rsidRPr="009F7642">
        <w:rPr>
          <w:color w:val="auto"/>
          <w:lang w:val="is-IS"/>
        </w:rPr>
        <w:t>tundum á degi 1 og cisplatín 50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degi</w:t>
      </w:r>
      <w:r w:rsidR="00D14DCD">
        <w:rPr>
          <w:color w:val="auto"/>
          <w:lang w:val="is-IS"/>
        </w:rPr>
        <w:t> </w:t>
      </w:r>
      <w:r w:rsidR="00564614" w:rsidRPr="009F7642">
        <w:rPr>
          <w:color w:val="auto"/>
          <w:lang w:val="is-IS"/>
        </w:rPr>
        <w:t>1 (q3w)</w:t>
      </w:r>
    </w:p>
    <w:p w14:paraId="53A1B238" w14:textId="77777777" w:rsidR="005F36F3" w:rsidRPr="009F7642" w:rsidRDefault="005F36F3" w:rsidP="0073217C">
      <w:pPr>
        <w:suppressAutoHyphens/>
        <w:spacing w:after="0" w:line="240" w:lineRule="auto"/>
        <w:ind w:left="0" w:firstLine="0"/>
        <w:rPr>
          <w:color w:val="auto"/>
          <w:lang w:val="is-IS"/>
        </w:rPr>
      </w:pPr>
    </w:p>
    <w:p w14:paraId="7D3EF810" w14:textId="77777777" w:rsidR="006C06D6" w:rsidRPr="009F7642" w:rsidRDefault="009C428B" w:rsidP="0073217C">
      <w:pPr>
        <w:numPr>
          <w:ilvl w:val="0"/>
          <w:numId w:val="16"/>
        </w:numPr>
        <w:suppressAutoHyphens/>
        <w:spacing w:after="0" w:line="240" w:lineRule="auto"/>
        <w:ind w:hanging="567"/>
        <w:rPr>
          <w:color w:val="auto"/>
          <w:lang w:val="is-IS"/>
        </w:rPr>
      </w:pPr>
      <w:r w:rsidRPr="009F7642">
        <w:rPr>
          <w:color w:val="auto"/>
          <w:lang w:val="is-IS"/>
        </w:rPr>
        <w:t>Paklítaxel 135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24 klukkus</w:t>
      </w:r>
      <w:r w:rsidRPr="009F7642">
        <w:rPr>
          <w:color w:val="auto"/>
          <w:lang w:val="is-IS"/>
        </w:rPr>
        <w:t>tundum á degi 1 og cisplatín 50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w:t>
      </w:r>
      <w:r w:rsidRPr="009F7642">
        <w:rPr>
          <w:color w:val="auto"/>
          <w:lang w:val="is-IS"/>
        </w:rPr>
        <w:t xml:space="preserve"> á degi</w:t>
      </w:r>
      <w:r w:rsidR="00D14DCD">
        <w:rPr>
          <w:color w:val="auto"/>
          <w:lang w:val="is-IS"/>
        </w:rPr>
        <w:t> </w:t>
      </w:r>
      <w:r w:rsidRPr="009F7642">
        <w:rPr>
          <w:color w:val="auto"/>
          <w:lang w:val="is-IS"/>
        </w:rPr>
        <w:t>2 ásamt bevacízúmabi 15 </w:t>
      </w:r>
      <w:r w:rsidR="00564614" w:rsidRPr="009F7642">
        <w:rPr>
          <w:color w:val="auto"/>
          <w:lang w:val="is-IS"/>
        </w:rPr>
        <w:t>mg/kg í bláæð á degi 2 (q3w); eða</w:t>
      </w:r>
    </w:p>
    <w:p w14:paraId="73BF8953" w14:textId="77777777" w:rsidR="006C06D6" w:rsidRPr="009F7642" w:rsidRDefault="009C428B" w:rsidP="0073217C">
      <w:pPr>
        <w:suppressAutoHyphens/>
        <w:spacing w:after="0" w:line="240" w:lineRule="auto"/>
        <w:ind w:left="567" w:firstLine="0"/>
        <w:rPr>
          <w:color w:val="auto"/>
          <w:lang w:val="is-IS"/>
        </w:rPr>
      </w:pPr>
      <w:r w:rsidRPr="009F7642">
        <w:rPr>
          <w:color w:val="auto"/>
          <w:lang w:val="is-IS"/>
        </w:rPr>
        <w:t>Paklítaxel 175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3 klukkus</w:t>
      </w:r>
      <w:r w:rsidRPr="009F7642">
        <w:rPr>
          <w:color w:val="auto"/>
          <w:lang w:val="is-IS"/>
        </w:rPr>
        <w:t>tundum á degi 1 og cisplatín 50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w:t>
      </w:r>
      <w:r w:rsidRPr="009F7642">
        <w:rPr>
          <w:color w:val="auto"/>
          <w:lang w:val="is-IS"/>
        </w:rPr>
        <w:t xml:space="preserve"> á degi</w:t>
      </w:r>
      <w:r w:rsidR="00D14DCD">
        <w:rPr>
          <w:color w:val="auto"/>
          <w:lang w:val="is-IS"/>
        </w:rPr>
        <w:t> </w:t>
      </w:r>
      <w:r w:rsidRPr="009F7642">
        <w:rPr>
          <w:color w:val="auto"/>
          <w:lang w:val="is-IS"/>
        </w:rPr>
        <w:t>2 ásamt bevacízúmabi 15 </w:t>
      </w:r>
      <w:r w:rsidR="00564614" w:rsidRPr="009F7642">
        <w:rPr>
          <w:color w:val="auto"/>
          <w:lang w:val="is-IS"/>
        </w:rPr>
        <w:t>mg/kg í bláæð á degi 2 (q3w); eða</w:t>
      </w:r>
    </w:p>
    <w:p w14:paraId="16043DC0" w14:textId="77777777" w:rsidR="006C06D6" w:rsidRPr="009F7642" w:rsidRDefault="00730614" w:rsidP="0073217C">
      <w:pPr>
        <w:suppressAutoHyphens/>
        <w:spacing w:after="0" w:line="240" w:lineRule="auto"/>
        <w:ind w:left="567" w:firstLine="0"/>
        <w:rPr>
          <w:color w:val="auto"/>
          <w:lang w:val="is-IS"/>
        </w:rPr>
      </w:pPr>
      <w:r w:rsidRPr="009F7642">
        <w:rPr>
          <w:color w:val="auto"/>
          <w:lang w:val="is-IS"/>
        </w:rPr>
        <w:t>Paklítaxel 175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3 klukkus</w:t>
      </w:r>
      <w:r w:rsidRPr="009F7642">
        <w:rPr>
          <w:color w:val="auto"/>
          <w:lang w:val="is-IS"/>
        </w:rPr>
        <w:t>tundum á degi 1 og cisplatín 50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w:t>
      </w:r>
      <w:r w:rsidRPr="009F7642">
        <w:rPr>
          <w:color w:val="auto"/>
          <w:lang w:val="is-IS"/>
        </w:rPr>
        <w:t xml:space="preserve"> á degi</w:t>
      </w:r>
      <w:r w:rsidR="00D14DCD">
        <w:rPr>
          <w:color w:val="auto"/>
          <w:lang w:val="is-IS"/>
        </w:rPr>
        <w:t> </w:t>
      </w:r>
      <w:r w:rsidRPr="009F7642">
        <w:rPr>
          <w:color w:val="auto"/>
          <w:lang w:val="is-IS"/>
        </w:rPr>
        <w:t>1 ásamt bevacízúmabi 15 </w:t>
      </w:r>
      <w:r w:rsidR="00564614" w:rsidRPr="009F7642">
        <w:rPr>
          <w:color w:val="auto"/>
          <w:lang w:val="is-IS"/>
        </w:rPr>
        <w:t>mg/kg í bláæð á degi 1 (q3w)</w:t>
      </w:r>
    </w:p>
    <w:p w14:paraId="3BC1A752" w14:textId="77777777" w:rsidR="005F36F3" w:rsidRPr="009F7642" w:rsidRDefault="005F36F3" w:rsidP="0073217C">
      <w:pPr>
        <w:suppressAutoHyphens/>
        <w:spacing w:after="0" w:line="240" w:lineRule="auto"/>
        <w:ind w:left="0" w:firstLine="0"/>
        <w:rPr>
          <w:color w:val="auto"/>
          <w:lang w:val="is-IS"/>
        </w:rPr>
      </w:pPr>
    </w:p>
    <w:p w14:paraId="0F3CD3F4" w14:textId="77777777" w:rsidR="005F36F3" w:rsidRPr="009F7642" w:rsidRDefault="00564614" w:rsidP="0073217C">
      <w:pPr>
        <w:numPr>
          <w:ilvl w:val="0"/>
          <w:numId w:val="16"/>
        </w:numPr>
        <w:suppressAutoHyphens/>
        <w:spacing w:after="0" w:line="240" w:lineRule="auto"/>
        <w:ind w:hanging="567"/>
        <w:rPr>
          <w:color w:val="auto"/>
          <w:lang w:val="is-IS"/>
        </w:rPr>
      </w:pPr>
      <w:r w:rsidRPr="009F7642">
        <w:rPr>
          <w:color w:val="auto"/>
          <w:lang w:val="is-IS"/>
        </w:rPr>
        <w:t>Paklítaxel 175</w:t>
      </w:r>
      <w:r w:rsidR="00730614" w:rsidRPr="009F7642">
        <w:rPr>
          <w:color w:val="auto"/>
          <w:lang w:val="is-IS"/>
        </w:rPr>
        <w:t> </w:t>
      </w:r>
      <w:r w:rsidRPr="009F7642">
        <w:rPr>
          <w:color w:val="auto"/>
          <w:lang w:val="is-IS"/>
        </w:rPr>
        <w:t>mg/m</w:t>
      </w:r>
      <w:r w:rsidRPr="009F7642">
        <w:rPr>
          <w:color w:val="auto"/>
          <w:vertAlign w:val="superscript"/>
          <w:lang w:val="is-IS"/>
        </w:rPr>
        <w:t>2</w:t>
      </w:r>
      <w:r w:rsidRPr="009F7642">
        <w:rPr>
          <w:color w:val="auto"/>
          <w:lang w:val="is-IS"/>
        </w:rPr>
        <w:t xml:space="preserve"> í bláæð á 3 klukkustu</w:t>
      </w:r>
      <w:r w:rsidR="00730614" w:rsidRPr="009F7642">
        <w:rPr>
          <w:color w:val="auto"/>
          <w:lang w:val="is-IS"/>
        </w:rPr>
        <w:t>ndum á degi 1 og tópótekan 0,75 </w:t>
      </w:r>
      <w:r w:rsidRPr="009F7642">
        <w:rPr>
          <w:color w:val="auto"/>
          <w:lang w:val="is-IS"/>
        </w:rPr>
        <w:t>mg/m</w:t>
      </w:r>
      <w:r w:rsidRPr="009F7642">
        <w:rPr>
          <w:color w:val="auto"/>
          <w:vertAlign w:val="superscript"/>
          <w:lang w:val="is-IS"/>
        </w:rPr>
        <w:t>2</w:t>
      </w:r>
      <w:r w:rsidRPr="009F7642">
        <w:rPr>
          <w:color w:val="auto"/>
          <w:lang w:val="is-IS"/>
        </w:rPr>
        <w:t xml:space="preserve"> í bláæð</w:t>
      </w:r>
      <w:r w:rsidR="002B192A" w:rsidRPr="009F7642">
        <w:rPr>
          <w:color w:val="auto"/>
          <w:lang w:val="is-IS"/>
        </w:rPr>
        <w:t xml:space="preserve"> á 30</w:t>
      </w:r>
      <w:r w:rsidR="00D14DCD">
        <w:rPr>
          <w:color w:val="auto"/>
          <w:lang w:val="is-IS"/>
        </w:rPr>
        <w:t> </w:t>
      </w:r>
      <w:r w:rsidR="002B192A" w:rsidRPr="009F7642">
        <w:rPr>
          <w:color w:val="auto"/>
          <w:lang w:val="is-IS"/>
        </w:rPr>
        <w:t>mínútum á dögum 1-3 (q3w)</w:t>
      </w:r>
    </w:p>
    <w:p w14:paraId="2B9BDEFB" w14:textId="77777777" w:rsidR="005F36F3" w:rsidRPr="009F7642" w:rsidRDefault="005F36F3" w:rsidP="0073217C">
      <w:pPr>
        <w:suppressAutoHyphens/>
        <w:spacing w:after="0" w:line="240" w:lineRule="auto"/>
        <w:ind w:left="0" w:firstLine="0"/>
        <w:rPr>
          <w:color w:val="auto"/>
          <w:lang w:val="is-IS"/>
        </w:rPr>
      </w:pPr>
    </w:p>
    <w:p w14:paraId="15C60486" w14:textId="77777777" w:rsidR="005F36F3" w:rsidRPr="009F7642" w:rsidRDefault="00730614" w:rsidP="0073217C">
      <w:pPr>
        <w:numPr>
          <w:ilvl w:val="0"/>
          <w:numId w:val="16"/>
        </w:numPr>
        <w:suppressAutoHyphens/>
        <w:spacing w:after="0" w:line="240" w:lineRule="auto"/>
        <w:ind w:hanging="567"/>
        <w:rPr>
          <w:color w:val="auto"/>
          <w:lang w:val="is-IS"/>
        </w:rPr>
      </w:pPr>
      <w:r w:rsidRPr="009F7642">
        <w:rPr>
          <w:color w:val="auto"/>
          <w:lang w:val="is-IS"/>
        </w:rPr>
        <w:t>Paklítaxel 175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3 klukkustu</w:t>
      </w:r>
      <w:r w:rsidRPr="009F7642">
        <w:rPr>
          <w:color w:val="auto"/>
          <w:lang w:val="is-IS"/>
        </w:rPr>
        <w:t>ndum á degi 1 og tópótekan 0,75 </w:t>
      </w:r>
      <w:r w:rsidR="00564614" w:rsidRPr="009F7642">
        <w:rPr>
          <w:color w:val="auto"/>
          <w:lang w:val="is-IS"/>
        </w:rPr>
        <w:t>mg/m</w:t>
      </w:r>
      <w:r w:rsidR="00564614" w:rsidRPr="009F7642">
        <w:rPr>
          <w:color w:val="auto"/>
          <w:vertAlign w:val="superscript"/>
          <w:lang w:val="is-IS"/>
        </w:rPr>
        <w:t>2</w:t>
      </w:r>
      <w:r w:rsidR="00564614" w:rsidRPr="009F7642">
        <w:rPr>
          <w:color w:val="auto"/>
          <w:lang w:val="is-IS"/>
        </w:rPr>
        <w:t xml:space="preserve"> í bláæð á 30</w:t>
      </w:r>
      <w:r w:rsidR="00D14DCD">
        <w:rPr>
          <w:color w:val="auto"/>
          <w:lang w:val="is-IS"/>
        </w:rPr>
        <w:t> </w:t>
      </w:r>
      <w:r w:rsidR="00564614" w:rsidRPr="009F7642">
        <w:rPr>
          <w:color w:val="auto"/>
          <w:lang w:val="is-IS"/>
        </w:rPr>
        <w:t xml:space="preserve">mínútum á </w:t>
      </w:r>
      <w:r w:rsidRPr="009F7642">
        <w:rPr>
          <w:color w:val="auto"/>
          <w:lang w:val="is-IS"/>
        </w:rPr>
        <w:t>dögum 1-3 ásamt bevacízúmabi 15 </w:t>
      </w:r>
      <w:r w:rsidR="002B192A" w:rsidRPr="009F7642">
        <w:rPr>
          <w:color w:val="auto"/>
          <w:lang w:val="is-IS"/>
        </w:rPr>
        <w:t>mg/kg í bláæð á degi 1 (q3w)</w:t>
      </w:r>
    </w:p>
    <w:p w14:paraId="68A84B24" w14:textId="77777777" w:rsidR="005F36F3" w:rsidRPr="009F7642" w:rsidRDefault="005F36F3" w:rsidP="0073217C">
      <w:pPr>
        <w:suppressAutoHyphens/>
        <w:spacing w:after="0" w:line="240" w:lineRule="auto"/>
        <w:ind w:left="0" w:firstLine="0"/>
        <w:rPr>
          <w:color w:val="auto"/>
          <w:lang w:val="is-IS"/>
        </w:rPr>
      </w:pPr>
    </w:p>
    <w:p w14:paraId="1B578257"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Gjaldgengir sjúklingar voru með flöguþekjukrabbamein (squamous cell carcinoma), þekju- og kirtilkrabbamein (adenosquamous carcinoma) eða kirtilkrabbamein (adenocarcinoma) í leghálsi, sem var þrálátt og endurkomið eða með meinvörpum, sem ekki var unnt að meðhöndla með skurðaðgerð og/eða geislameðferð og sem ekki höfðu áður fengið meðferð með bevacízúmabi, öðrum VEGF</w:t>
      </w:r>
      <w:r w:rsidR="003D4A14">
        <w:rPr>
          <w:color w:val="auto"/>
          <w:lang w:val="is-IS"/>
        </w:rPr>
        <w:noBreakHyphen/>
      </w:r>
      <w:r w:rsidRPr="009F7642">
        <w:rPr>
          <w:color w:val="auto"/>
          <w:lang w:val="is-IS"/>
        </w:rPr>
        <w:t>hemlum eða lyfjum sem beint er að VEGF-viðtakanum.</w:t>
      </w:r>
    </w:p>
    <w:p w14:paraId="07300A6B" w14:textId="77777777" w:rsidR="00504350" w:rsidRPr="009F7642" w:rsidRDefault="00504350" w:rsidP="0073217C">
      <w:pPr>
        <w:suppressAutoHyphens/>
        <w:spacing w:after="0" w:line="240" w:lineRule="auto"/>
        <w:ind w:left="0" w:firstLine="0"/>
        <w:rPr>
          <w:color w:val="auto"/>
          <w:lang w:val="is-IS"/>
        </w:rPr>
      </w:pPr>
    </w:p>
    <w:p w14:paraId="590C50EF"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Miðgildi aldurs þátttakenda var 46,0 ár (bil: 20</w:t>
      </w:r>
      <w:r w:rsidRPr="009F7642">
        <w:rPr>
          <w:rFonts w:eastAsia="Segoe UI Symbol"/>
          <w:color w:val="auto"/>
          <w:lang w:val="is-IS"/>
        </w:rPr>
        <w:t>−</w:t>
      </w:r>
      <w:r w:rsidRPr="009F7642">
        <w:rPr>
          <w:color w:val="auto"/>
          <w:lang w:val="is-IS"/>
        </w:rPr>
        <w:t>83) í hópnum sem fékk eingöngu krabbameinslyf og</w:t>
      </w:r>
      <w:r w:rsidR="00DD68C7">
        <w:rPr>
          <w:color w:val="auto"/>
          <w:lang w:val="is-IS"/>
        </w:rPr>
        <w:t xml:space="preserve"> </w:t>
      </w:r>
      <w:r w:rsidRPr="009F7642">
        <w:rPr>
          <w:color w:val="auto"/>
          <w:lang w:val="is-IS"/>
        </w:rPr>
        <w:t>48,0 ár (bil: 22</w:t>
      </w:r>
      <w:r w:rsidRPr="009F7642">
        <w:rPr>
          <w:rFonts w:eastAsia="Segoe UI Symbol"/>
          <w:color w:val="auto"/>
          <w:lang w:val="is-IS"/>
        </w:rPr>
        <w:t>−</w:t>
      </w:r>
      <w:r w:rsidRPr="009F7642">
        <w:rPr>
          <w:color w:val="auto"/>
          <w:lang w:val="is-IS"/>
        </w:rPr>
        <w:t xml:space="preserve">85) í hópnum sem fékk krabbameinslyf ásamt </w:t>
      </w:r>
      <w:r w:rsidR="00690564" w:rsidRPr="00F2274F">
        <w:rPr>
          <w:lang w:val="is-IS"/>
        </w:rPr>
        <w:t>bevacízúmab</w:t>
      </w:r>
      <w:r w:rsidR="00513553" w:rsidRPr="00F2274F">
        <w:rPr>
          <w:lang w:val="is-IS"/>
        </w:rPr>
        <w:t>i</w:t>
      </w:r>
      <w:r w:rsidRPr="009F7642">
        <w:rPr>
          <w:color w:val="auto"/>
          <w:lang w:val="is-IS"/>
        </w:rPr>
        <w:t xml:space="preserve">; 9,3% sjúklinganna í hópnum sem fékk eingöngu krabbameinslyf og 7,5% sjúklinganna í hópnum sem fékk krabbameinslyf ásamt </w:t>
      </w:r>
      <w:r w:rsidR="00690564" w:rsidRPr="00F2274F">
        <w:rPr>
          <w:lang w:val="is-IS"/>
        </w:rPr>
        <w:t>bevacízúmab</w:t>
      </w:r>
      <w:r w:rsidR="00513553" w:rsidRPr="00F2274F">
        <w:rPr>
          <w:lang w:val="is-IS"/>
        </w:rPr>
        <w:t>i</w:t>
      </w:r>
      <w:r w:rsidRPr="009F7642">
        <w:rPr>
          <w:color w:val="auto"/>
          <w:lang w:val="is-IS"/>
        </w:rPr>
        <w:t xml:space="preserve"> voru eldri en 65 ára.</w:t>
      </w:r>
    </w:p>
    <w:p w14:paraId="4889C527" w14:textId="77777777" w:rsidR="00504350" w:rsidRPr="009F7642" w:rsidRDefault="00504350" w:rsidP="0073217C">
      <w:pPr>
        <w:suppressAutoHyphens/>
        <w:spacing w:after="0" w:line="240" w:lineRule="auto"/>
        <w:ind w:left="0" w:firstLine="0"/>
        <w:rPr>
          <w:color w:val="auto"/>
          <w:lang w:val="is-IS"/>
        </w:rPr>
      </w:pPr>
    </w:p>
    <w:p w14:paraId="685D4B52"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Af þeim 452 sjúklingum sem slembiraðað var við upphaf rannsóknarinnar var meirihlutinn af hvítum kynstofni (80,0% í hópnum sem fékk eingöngu krabbameinslyf og 75,3% í hópnum sem fékk krabbameinslyf ásamt </w:t>
      </w:r>
      <w:r w:rsidR="00690564" w:rsidRPr="00F2274F">
        <w:rPr>
          <w:lang w:val="is-IS"/>
        </w:rPr>
        <w:t>bevacízúmab</w:t>
      </w:r>
      <w:r w:rsidR="00513553" w:rsidRPr="00F2274F">
        <w:rPr>
          <w:lang w:val="is-IS"/>
        </w:rPr>
        <w:t>i</w:t>
      </w:r>
      <w:r w:rsidRPr="009F7642">
        <w:rPr>
          <w:color w:val="auto"/>
          <w:lang w:val="is-IS"/>
        </w:rPr>
        <w:t xml:space="preserve">), meirihlutinn var með flöguþekjukrabbamein (67,1% í hópnum </w:t>
      </w:r>
      <w:r w:rsidRPr="009F7642">
        <w:rPr>
          <w:color w:val="auto"/>
          <w:lang w:val="is-IS"/>
        </w:rPr>
        <w:lastRenderedPageBreak/>
        <w:t xml:space="preserve">sem fékk eingöngu krabbameinslyf og 69,6% í hópnum sem fékk krabbameinslyf ásamt </w:t>
      </w:r>
      <w:r w:rsidR="00690564" w:rsidRPr="00F2274F">
        <w:rPr>
          <w:lang w:val="is-IS"/>
        </w:rPr>
        <w:t>bevacízúmab</w:t>
      </w:r>
      <w:r w:rsidR="00513553" w:rsidRPr="00F2274F">
        <w:rPr>
          <w:lang w:val="is-IS"/>
        </w:rPr>
        <w:t>i</w:t>
      </w:r>
      <w:r w:rsidRPr="009F7642">
        <w:rPr>
          <w:color w:val="auto"/>
          <w:lang w:val="is-IS"/>
        </w:rPr>
        <w:t xml:space="preserve">), meirihlutinn var með þrálátt og endurkomið krabbamein (83,6% í hópnum sem fékk eingöngu krabbameinslyf og 82,8% í hópnum sem fékk krabbameinslyf ásamt </w:t>
      </w:r>
      <w:r w:rsidR="00690564" w:rsidRPr="00F2274F">
        <w:rPr>
          <w:lang w:val="is-IS"/>
        </w:rPr>
        <w:t>bevacízúmab</w:t>
      </w:r>
      <w:r w:rsidR="00513553" w:rsidRPr="00F2274F">
        <w:rPr>
          <w:lang w:val="is-IS"/>
        </w:rPr>
        <w:t>i</w:t>
      </w:r>
      <w:r w:rsidRPr="009F7642">
        <w:rPr>
          <w:color w:val="auto"/>
          <w:lang w:val="is-IS"/>
        </w:rPr>
        <w:t xml:space="preserve">), meirihlutinn var með meinvörp á 1-2 stöðum (72,0% í hópnum sem fékk eingöngu krabbameinslyf og 76,2% í hópnum sem fékk krabbameinslyf ásamt </w:t>
      </w:r>
      <w:r w:rsidR="00690564" w:rsidRPr="00F2274F">
        <w:rPr>
          <w:lang w:val="is-IS"/>
        </w:rPr>
        <w:t>bevacízúmab</w:t>
      </w:r>
      <w:r w:rsidR="00513553" w:rsidRPr="00F2274F">
        <w:rPr>
          <w:lang w:val="is-IS"/>
        </w:rPr>
        <w:t>i</w:t>
      </w:r>
      <w:r w:rsidRPr="009F7642">
        <w:rPr>
          <w:color w:val="auto"/>
          <w:lang w:val="is-IS"/>
        </w:rPr>
        <w:t xml:space="preserve">), meirihlutinn var með sjúkdóm í eitlum (50,2% í hópnum sem fékk eingöngu krabbameinslyf og 56,4% í hópnum sem fékk krabbameinslyf ásamt </w:t>
      </w:r>
      <w:r w:rsidR="00690564" w:rsidRPr="00F2274F">
        <w:rPr>
          <w:lang w:val="is-IS"/>
        </w:rPr>
        <w:t>bevacízúmab</w:t>
      </w:r>
      <w:r w:rsidR="00513553" w:rsidRPr="00F2274F">
        <w:rPr>
          <w:lang w:val="is-IS"/>
        </w:rPr>
        <w:t>i</w:t>
      </w:r>
      <w:r w:rsidRPr="009F7642">
        <w:rPr>
          <w:color w:val="auto"/>
          <w:lang w:val="is-IS"/>
        </w:rPr>
        <w:t xml:space="preserve">) og meirihlutinn hafði gert hlé á notkun lyfja sem innihéldu platínusambönd í </w:t>
      </w:r>
      <w:r w:rsidR="00540AC4">
        <w:rPr>
          <w:rFonts w:eastAsia="Segoe UI Symbol"/>
          <w:color w:val="auto"/>
          <w:lang w:val="is-IS"/>
        </w:rPr>
        <w:t>≥ </w:t>
      </w:r>
      <w:r w:rsidRPr="009F7642">
        <w:rPr>
          <w:color w:val="auto"/>
          <w:lang w:val="is-IS"/>
        </w:rPr>
        <w:t xml:space="preserve">6 mánuði (72,5% í hópnum sem fékk eingöngu krabbameinslyf og 64,4% í hópnum sem fékk krabbameinslyf ásamt </w:t>
      </w:r>
      <w:r w:rsidR="00690564" w:rsidRPr="00F2274F">
        <w:rPr>
          <w:lang w:val="is-IS"/>
        </w:rPr>
        <w:t>bevacízúmab</w:t>
      </w:r>
      <w:r w:rsidR="00513553" w:rsidRPr="00F2274F">
        <w:rPr>
          <w:lang w:val="is-IS"/>
        </w:rPr>
        <w:t>i</w:t>
      </w:r>
      <w:r w:rsidRPr="009F7642">
        <w:rPr>
          <w:color w:val="auto"/>
          <w:lang w:val="is-IS"/>
        </w:rPr>
        <w:t>).</w:t>
      </w:r>
    </w:p>
    <w:p w14:paraId="5E1F870B" w14:textId="77777777" w:rsidR="005F36F3" w:rsidRPr="009F7642" w:rsidRDefault="005F36F3" w:rsidP="0073217C">
      <w:pPr>
        <w:suppressAutoHyphens/>
        <w:spacing w:after="0" w:line="240" w:lineRule="auto"/>
        <w:ind w:left="0" w:firstLine="0"/>
        <w:rPr>
          <w:color w:val="auto"/>
          <w:lang w:val="is-IS"/>
        </w:rPr>
      </w:pPr>
    </w:p>
    <w:p w14:paraId="7A8C8D4E"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Aðalendapunkturinn fyrir verkun var heildarlifun. Meðal aukaendapunkta fyrir verkun voru lifun án versnunar sjúkdóms og hlutlægt svörunarhlutfall. Niðurstöður úr frumgreiningu og eftirfylgnigreiningu eru sundurliðaðar eftir meðferð með </w:t>
      </w:r>
      <w:r w:rsidR="00690564" w:rsidRPr="00F2274F">
        <w:rPr>
          <w:lang w:val="is-IS"/>
        </w:rPr>
        <w:t>bevacízúmab</w:t>
      </w:r>
      <w:r w:rsidR="00513553" w:rsidRPr="00F2274F">
        <w:rPr>
          <w:lang w:val="is-IS"/>
        </w:rPr>
        <w:t>i</w:t>
      </w:r>
      <w:r w:rsidRPr="009F7642">
        <w:rPr>
          <w:color w:val="auto"/>
          <w:lang w:val="is-IS"/>
        </w:rPr>
        <w:t xml:space="preserve"> í </w:t>
      </w:r>
      <w:r w:rsidRPr="00504296">
        <w:rPr>
          <w:color w:val="auto"/>
          <w:lang w:val="is-IS"/>
        </w:rPr>
        <w:t xml:space="preserve">töflu </w:t>
      </w:r>
      <w:r w:rsidR="00BA1F34" w:rsidRPr="00504296">
        <w:rPr>
          <w:color w:val="auto"/>
          <w:lang w:val="is-IS"/>
        </w:rPr>
        <w:t>2</w:t>
      </w:r>
      <w:r w:rsidR="00781331">
        <w:rPr>
          <w:color w:val="auto"/>
          <w:lang w:val="is-IS"/>
        </w:rPr>
        <w:t>5</w:t>
      </w:r>
      <w:r w:rsidR="00BA1F34" w:rsidRPr="009F7642">
        <w:rPr>
          <w:color w:val="auto"/>
          <w:lang w:val="is-IS"/>
        </w:rPr>
        <w:t xml:space="preserve"> </w:t>
      </w:r>
      <w:r w:rsidRPr="009F7642">
        <w:rPr>
          <w:color w:val="auto"/>
          <w:lang w:val="is-IS"/>
        </w:rPr>
        <w:t xml:space="preserve">og eftir rannsóknarmeðferð í </w:t>
      </w:r>
      <w:r w:rsidRPr="00504296">
        <w:rPr>
          <w:color w:val="auto"/>
          <w:lang w:val="is-IS"/>
        </w:rPr>
        <w:t xml:space="preserve">töflu </w:t>
      </w:r>
      <w:r w:rsidR="00BA1F34" w:rsidRPr="00504296">
        <w:rPr>
          <w:color w:val="auto"/>
          <w:lang w:val="is-IS"/>
        </w:rPr>
        <w:t>2</w:t>
      </w:r>
      <w:r w:rsidR="00781331">
        <w:rPr>
          <w:color w:val="auto"/>
          <w:lang w:val="is-IS"/>
        </w:rPr>
        <w:t>6</w:t>
      </w:r>
      <w:r w:rsidRPr="00504296">
        <w:rPr>
          <w:color w:val="auto"/>
          <w:lang w:val="is-IS"/>
        </w:rPr>
        <w:t>.</w:t>
      </w:r>
    </w:p>
    <w:p w14:paraId="7D15E125" w14:textId="77777777" w:rsidR="005F36F3" w:rsidRPr="009F7642" w:rsidRDefault="005F36F3" w:rsidP="0073217C">
      <w:pPr>
        <w:suppressAutoHyphens/>
        <w:spacing w:after="0" w:line="240" w:lineRule="auto"/>
        <w:ind w:left="0" w:firstLine="0"/>
        <w:rPr>
          <w:color w:val="auto"/>
          <w:lang w:val="is-IS"/>
        </w:rPr>
      </w:pPr>
    </w:p>
    <w:p w14:paraId="4B6B335D" w14:textId="77777777" w:rsidR="006C06D6" w:rsidRPr="001F48EC" w:rsidRDefault="00BF4F58" w:rsidP="0073217C">
      <w:pPr>
        <w:keepNext/>
        <w:suppressAutoHyphens/>
        <w:spacing w:after="0" w:line="240" w:lineRule="auto"/>
        <w:ind w:left="0" w:firstLine="0"/>
        <w:rPr>
          <w:b/>
          <w:color w:val="auto"/>
          <w:lang w:val="is-IS"/>
        </w:rPr>
      </w:pPr>
      <w:r w:rsidRPr="00504296">
        <w:rPr>
          <w:b/>
          <w:color w:val="auto"/>
          <w:lang w:val="is-IS"/>
        </w:rPr>
        <w:t xml:space="preserve">Tafla </w:t>
      </w:r>
      <w:r w:rsidR="00BA1F34" w:rsidRPr="00504296">
        <w:rPr>
          <w:b/>
          <w:color w:val="auto"/>
          <w:lang w:val="is-IS"/>
        </w:rPr>
        <w:t>2</w:t>
      </w:r>
      <w:r w:rsidR="00781331">
        <w:rPr>
          <w:b/>
          <w:color w:val="auto"/>
          <w:lang w:val="is-IS"/>
        </w:rPr>
        <w:t>5</w:t>
      </w:r>
      <w:r w:rsidR="00BA1F34" w:rsidRPr="001F48EC">
        <w:rPr>
          <w:b/>
          <w:color w:val="auto"/>
          <w:lang w:val="is-IS"/>
        </w:rPr>
        <w:t xml:space="preserve"> </w:t>
      </w:r>
      <w:r w:rsidR="00564614" w:rsidRPr="001F48EC">
        <w:rPr>
          <w:b/>
          <w:color w:val="auto"/>
          <w:lang w:val="is-IS"/>
        </w:rPr>
        <w:t xml:space="preserve">Niðurstöður varðandi verkun úr GOG-0240 rannsókninni, sundurliðaðar eftir meðferð með </w:t>
      </w:r>
      <w:r w:rsidR="00690564" w:rsidRPr="00F2274F">
        <w:rPr>
          <w:b/>
          <w:lang w:val="is-IS"/>
        </w:rPr>
        <w:t>bevacízúmab</w:t>
      </w:r>
      <w:r w:rsidR="00AD2376" w:rsidRPr="00F2274F">
        <w:rPr>
          <w:b/>
          <w:lang w:val="is-IS"/>
        </w:rPr>
        <w:t>i</w:t>
      </w:r>
    </w:p>
    <w:p w14:paraId="6A9E586A" w14:textId="77777777" w:rsidR="005F36F3" w:rsidRPr="009F7642" w:rsidRDefault="005F36F3" w:rsidP="0073217C">
      <w:pPr>
        <w:keepNext/>
        <w:suppressAutoHyphens/>
        <w:spacing w:after="0" w:line="240" w:lineRule="auto"/>
        <w:ind w:left="0" w:firstLine="0"/>
        <w:rPr>
          <w:color w:val="auto"/>
          <w:lang w:val="is-IS"/>
        </w:rPr>
      </w:pPr>
    </w:p>
    <w:tbl>
      <w:tblPr>
        <w:tblW w:w="0" w:type="auto"/>
        <w:tblInd w:w="93" w:type="dxa"/>
        <w:tblLayout w:type="fixed"/>
        <w:tblLook w:val="04A0" w:firstRow="1" w:lastRow="0" w:firstColumn="1" w:lastColumn="0" w:noHBand="0" w:noVBand="1"/>
      </w:tblPr>
      <w:tblGrid>
        <w:gridCol w:w="4410"/>
        <w:gridCol w:w="2268"/>
        <w:gridCol w:w="2268"/>
      </w:tblGrid>
      <w:tr w:rsidR="001F48EC" w:rsidRPr="009F7642" w14:paraId="1C10C43A" w14:textId="77777777" w:rsidTr="001F48EC">
        <w:trPr>
          <w:trHeight w:val="300"/>
          <w:tblHeader/>
        </w:trPr>
        <w:tc>
          <w:tcPr>
            <w:tcW w:w="4410" w:type="dxa"/>
            <w:tcBorders>
              <w:top w:val="single" w:sz="4" w:space="0" w:color="auto"/>
              <w:left w:val="single" w:sz="4" w:space="0" w:color="auto"/>
              <w:bottom w:val="single" w:sz="4" w:space="0" w:color="auto"/>
              <w:right w:val="single" w:sz="4" w:space="0" w:color="auto"/>
            </w:tcBorders>
            <w:noWrap/>
            <w:vAlign w:val="bottom"/>
            <w:hideMark/>
          </w:tcPr>
          <w:p w14:paraId="57B2CE59" w14:textId="77777777" w:rsidR="009C4306" w:rsidRPr="009F7642" w:rsidRDefault="009C4306" w:rsidP="0073217C">
            <w:pPr>
              <w:suppressAutoHyphens/>
              <w:spacing w:line="240" w:lineRule="auto"/>
              <w:ind w:hanging="11"/>
              <w:rPr>
                <w:color w:val="auto"/>
                <w:lang w:val="is-IS"/>
              </w:rPr>
            </w:pPr>
          </w:p>
        </w:tc>
        <w:tc>
          <w:tcPr>
            <w:tcW w:w="2268" w:type="dxa"/>
            <w:tcBorders>
              <w:top w:val="single" w:sz="4" w:space="0" w:color="auto"/>
              <w:left w:val="single" w:sz="4" w:space="0" w:color="auto"/>
              <w:bottom w:val="single" w:sz="4" w:space="0" w:color="auto"/>
              <w:right w:val="single" w:sz="4" w:space="0" w:color="auto"/>
            </w:tcBorders>
            <w:noWrap/>
            <w:hideMark/>
          </w:tcPr>
          <w:p w14:paraId="01A2FF22" w14:textId="77777777" w:rsidR="003F7F14" w:rsidRDefault="009C4306" w:rsidP="0073217C">
            <w:pPr>
              <w:suppressAutoHyphens/>
              <w:spacing w:line="240" w:lineRule="auto"/>
              <w:ind w:hanging="11"/>
              <w:jc w:val="center"/>
              <w:rPr>
                <w:b/>
                <w:color w:val="auto"/>
                <w:lang w:val="is-IS"/>
              </w:rPr>
            </w:pPr>
            <w:r w:rsidRPr="009F7642">
              <w:rPr>
                <w:b/>
                <w:color w:val="auto"/>
                <w:lang w:val="is-IS"/>
              </w:rPr>
              <w:t xml:space="preserve">Krabbameinslyf </w:t>
            </w:r>
          </w:p>
          <w:p w14:paraId="652263D0" w14:textId="77777777" w:rsidR="009C4306" w:rsidRPr="009F7642" w:rsidRDefault="009C4306" w:rsidP="0073217C">
            <w:pPr>
              <w:suppressAutoHyphens/>
              <w:spacing w:line="240" w:lineRule="auto"/>
              <w:ind w:hanging="11"/>
              <w:jc w:val="center"/>
              <w:rPr>
                <w:b/>
                <w:color w:val="auto"/>
                <w:lang w:val="is-IS"/>
              </w:rPr>
            </w:pPr>
            <w:r w:rsidRPr="009F7642">
              <w:rPr>
                <w:b/>
                <w:color w:val="auto"/>
                <w:lang w:val="is-IS"/>
              </w:rPr>
              <w:t>(n</w:t>
            </w:r>
            <w:r w:rsidR="00086EB9">
              <w:rPr>
                <w:b/>
                <w:color w:val="auto"/>
                <w:lang w:val="is-IS"/>
              </w:rPr>
              <w:t> </w:t>
            </w:r>
            <w:r w:rsidR="00700BDC">
              <w:rPr>
                <w:b/>
                <w:color w:val="auto"/>
                <w:lang w:val="is-IS"/>
              </w:rPr>
              <w:t>=</w:t>
            </w:r>
            <w:r w:rsidR="00086EB9">
              <w:rPr>
                <w:b/>
                <w:color w:val="auto"/>
                <w:lang w:val="is-IS"/>
              </w:rPr>
              <w:t> </w:t>
            </w:r>
            <w:r w:rsidRPr="009F7642">
              <w:rPr>
                <w:b/>
                <w:color w:val="auto"/>
                <w:lang w:val="is-IS"/>
              </w:rPr>
              <w:t>225)</w:t>
            </w:r>
          </w:p>
        </w:tc>
        <w:tc>
          <w:tcPr>
            <w:tcW w:w="2268" w:type="dxa"/>
            <w:tcBorders>
              <w:top w:val="single" w:sz="4" w:space="0" w:color="auto"/>
              <w:left w:val="single" w:sz="4" w:space="0" w:color="auto"/>
              <w:bottom w:val="single" w:sz="4" w:space="0" w:color="auto"/>
              <w:right w:val="single" w:sz="4" w:space="0" w:color="auto"/>
            </w:tcBorders>
            <w:noWrap/>
            <w:hideMark/>
          </w:tcPr>
          <w:p w14:paraId="735BFFB2" w14:textId="77777777" w:rsidR="006C06D6" w:rsidRPr="00DD68C7" w:rsidRDefault="009C4306" w:rsidP="0073217C">
            <w:pPr>
              <w:suppressAutoHyphens/>
              <w:spacing w:after="32" w:line="259" w:lineRule="auto"/>
              <w:ind w:left="6" w:hanging="11"/>
              <w:jc w:val="center"/>
              <w:rPr>
                <w:b/>
                <w:color w:val="auto"/>
                <w:lang w:val="is-IS"/>
              </w:rPr>
            </w:pPr>
            <w:r w:rsidRPr="009F7642">
              <w:rPr>
                <w:b/>
                <w:color w:val="auto"/>
                <w:lang w:val="is-IS"/>
              </w:rPr>
              <w:t xml:space="preserve">Krabbameinslyf + </w:t>
            </w:r>
            <w:proofErr w:type="spellStart"/>
            <w:r w:rsidR="00690564">
              <w:rPr>
                <w:b/>
              </w:rPr>
              <w:t>bevacízúmab</w:t>
            </w:r>
            <w:proofErr w:type="spellEnd"/>
          </w:p>
          <w:p w14:paraId="2B6D52DD" w14:textId="77777777" w:rsidR="009C4306" w:rsidRPr="009F7642" w:rsidRDefault="009C4306" w:rsidP="0073217C">
            <w:pPr>
              <w:suppressAutoHyphens/>
              <w:spacing w:line="240" w:lineRule="auto"/>
              <w:ind w:right="-108" w:hanging="11"/>
              <w:jc w:val="center"/>
              <w:rPr>
                <w:b/>
                <w:color w:val="auto"/>
                <w:lang w:val="is-IS"/>
              </w:rPr>
            </w:pPr>
            <w:r w:rsidRPr="009F7642">
              <w:rPr>
                <w:b/>
                <w:color w:val="auto"/>
                <w:lang w:val="is-IS"/>
              </w:rPr>
              <w:t>(n</w:t>
            </w:r>
            <w:r w:rsidR="00086EB9">
              <w:rPr>
                <w:b/>
                <w:color w:val="auto"/>
                <w:lang w:val="is-IS"/>
              </w:rPr>
              <w:t> </w:t>
            </w:r>
            <w:r w:rsidR="00700BDC">
              <w:rPr>
                <w:b/>
                <w:color w:val="auto"/>
                <w:lang w:val="is-IS"/>
              </w:rPr>
              <w:t>=</w:t>
            </w:r>
            <w:r w:rsidR="00086EB9">
              <w:rPr>
                <w:b/>
                <w:color w:val="auto"/>
                <w:lang w:val="is-IS"/>
              </w:rPr>
              <w:t> </w:t>
            </w:r>
            <w:r w:rsidRPr="009F7642">
              <w:rPr>
                <w:b/>
                <w:color w:val="auto"/>
                <w:lang w:val="is-IS"/>
              </w:rPr>
              <w:t>227)</w:t>
            </w:r>
          </w:p>
        </w:tc>
      </w:tr>
      <w:tr w:rsidR="001F48EC" w:rsidRPr="009F7642" w14:paraId="43E22CF0" w14:textId="77777777" w:rsidTr="001F48EC">
        <w:trPr>
          <w:trHeight w:val="397"/>
        </w:trPr>
        <w:tc>
          <w:tcPr>
            <w:tcW w:w="8946" w:type="dxa"/>
            <w:gridSpan w:val="3"/>
            <w:tcBorders>
              <w:top w:val="single" w:sz="4" w:space="0" w:color="auto"/>
              <w:left w:val="single" w:sz="4" w:space="0" w:color="auto"/>
              <w:bottom w:val="single" w:sz="4" w:space="0" w:color="auto"/>
              <w:right w:val="single" w:sz="4" w:space="0" w:color="auto"/>
            </w:tcBorders>
            <w:noWrap/>
            <w:vAlign w:val="center"/>
            <w:hideMark/>
          </w:tcPr>
          <w:p w14:paraId="4A4493AD" w14:textId="77777777" w:rsidR="009C4306" w:rsidRPr="009F7642" w:rsidRDefault="009C4306" w:rsidP="0073217C">
            <w:pPr>
              <w:suppressAutoHyphens/>
              <w:spacing w:line="240" w:lineRule="auto"/>
              <w:ind w:hanging="11"/>
              <w:jc w:val="center"/>
              <w:rPr>
                <w:color w:val="auto"/>
                <w:lang w:val="is-IS"/>
              </w:rPr>
            </w:pPr>
            <w:r w:rsidRPr="009F7642">
              <w:rPr>
                <w:color w:val="auto"/>
                <w:u w:color="000000"/>
                <w:lang w:val="is-IS"/>
              </w:rPr>
              <w:t>Aðalendapunktur</w:t>
            </w:r>
          </w:p>
        </w:tc>
      </w:tr>
      <w:tr w:rsidR="001F48EC" w:rsidRPr="009F7642" w14:paraId="55B53927" w14:textId="77777777" w:rsidTr="001F48EC">
        <w:trPr>
          <w:trHeight w:val="300"/>
        </w:trPr>
        <w:tc>
          <w:tcPr>
            <w:tcW w:w="8946" w:type="dxa"/>
            <w:gridSpan w:val="3"/>
            <w:tcBorders>
              <w:top w:val="single" w:sz="4" w:space="0" w:color="auto"/>
              <w:left w:val="single" w:sz="4" w:space="0" w:color="auto"/>
              <w:bottom w:val="single" w:sz="4" w:space="0" w:color="auto"/>
              <w:right w:val="single" w:sz="4" w:space="0" w:color="auto"/>
            </w:tcBorders>
            <w:noWrap/>
            <w:vAlign w:val="bottom"/>
            <w:hideMark/>
          </w:tcPr>
          <w:p w14:paraId="56E2CBE7" w14:textId="77777777" w:rsidR="009C4306" w:rsidRPr="009F7642" w:rsidRDefault="009C4306" w:rsidP="0073217C">
            <w:pPr>
              <w:suppressAutoHyphens/>
              <w:spacing w:line="240" w:lineRule="auto"/>
              <w:ind w:hanging="11"/>
              <w:rPr>
                <w:color w:val="auto"/>
                <w:lang w:val="is-IS"/>
              </w:rPr>
            </w:pPr>
            <w:r w:rsidRPr="009F7642">
              <w:rPr>
                <w:color w:val="auto"/>
                <w:lang w:val="is-IS"/>
              </w:rPr>
              <w:t>Heildarlifun - Frumgreining</w:t>
            </w:r>
            <w:r w:rsidRPr="009F7642">
              <w:rPr>
                <w:color w:val="auto"/>
                <w:vertAlign w:val="superscript"/>
                <w:lang w:val="is-IS"/>
              </w:rPr>
              <w:t xml:space="preserve">6 </w:t>
            </w:r>
          </w:p>
        </w:tc>
      </w:tr>
      <w:tr w:rsidR="001F48EC" w:rsidRPr="009F7642" w14:paraId="3FA8FCE4"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vAlign w:val="bottom"/>
            <w:hideMark/>
          </w:tcPr>
          <w:p w14:paraId="245E7E03" w14:textId="77777777" w:rsidR="009C4306" w:rsidRPr="009F7642" w:rsidRDefault="009C4306" w:rsidP="0073217C">
            <w:pPr>
              <w:suppressAutoHyphens/>
              <w:spacing w:line="240" w:lineRule="auto"/>
              <w:ind w:left="567" w:hanging="11"/>
              <w:rPr>
                <w:color w:val="auto"/>
                <w:lang w:val="is-IS"/>
              </w:rPr>
            </w:pPr>
            <w:r w:rsidRPr="009F7642">
              <w:rPr>
                <w:color w:val="auto"/>
                <w:lang w:val="is-IS"/>
              </w:rPr>
              <w:t>Miðgildi (mánuðir)</w:t>
            </w:r>
            <w:r w:rsidRPr="009F7642">
              <w:rPr>
                <w:color w:val="auto"/>
                <w:vertAlign w:val="superscript"/>
                <w:lang w:val="is-IS"/>
              </w:rPr>
              <w:t>1</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581501B2" w14:textId="77777777" w:rsidR="009C4306" w:rsidRPr="009F7642" w:rsidRDefault="009C4306" w:rsidP="0073217C">
            <w:pPr>
              <w:suppressAutoHyphens/>
              <w:spacing w:line="240" w:lineRule="auto"/>
              <w:ind w:hanging="11"/>
              <w:jc w:val="center"/>
              <w:rPr>
                <w:color w:val="auto"/>
                <w:lang w:val="is-IS"/>
              </w:rPr>
            </w:pPr>
            <w:r w:rsidRPr="009F7642">
              <w:rPr>
                <w:color w:val="auto"/>
                <w:lang w:val="is-IS"/>
              </w:rPr>
              <w:t>12,9</w:t>
            </w:r>
          </w:p>
        </w:tc>
        <w:tc>
          <w:tcPr>
            <w:tcW w:w="2268" w:type="dxa"/>
            <w:tcBorders>
              <w:top w:val="single" w:sz="4" w:space="0" w:color="auto"/>
              <w:left w:val="single" w:sz="4" w:space="0" w:color="auto"/>
              <w:bottom w:val="single" w:sz="4" w:space="0" w:color="auto"/>
              <w:right w:val="single" w:sz="4" w:space="0" w:color="auto"/>
            </w:tcBorders>
            <w:noWrap/>
            <w:vAlign w:val="bottom"/>
            <w:hideMark/>
          </w:tcPr>
          <w:p w14:paraId="38EEE3E1" w14:textId="77777777" w:rsidR="009C4306" w:rsidRPr="009F7642" w:rsidRDefault="009C4306" w:rsidP="0073217C">
            <w:pPr>
              <w:suppressAutoHyphens/>
              <w:spacing w:line="240" w:lineRule="auto"/>
              <w:ind w:hanging="11"/>
              <w:jc w:val="center"/>
              <w:rPr>
                <w:color w:val="auto"/>
                <w:lang w:val="is-IS"/>
              </w:rPr>
            </w:pPr>
            <w:r w:rsidRPr="009F7642">
              <w:rPr>
                <w:color w:val="auto"/>
                <w:lang w:val="is-IS"/>
              </w:rPr>
              <w:t>16,8</w:t>
            </w:r>
          </w:p>
        </w:tc>
      </w:tr>
      <w:tr w:rsidR="001F48EC" w:rsidRPr="009F7642" w14:paraId="4E449DF6" w14:textId="77777777" w:rsidTr="001F48EC">
        <w:trPr>
          <w:trHeight w:val="377"/>
        </w:trPr>
        <w:tc>
          <w:tcPr>
            <w:tcW w:w="4410" w:type="dxa"/>
            <w:tcBorders>
              <w:top w:val="single" w:sz="4" w:space="0" w:color="auto"/>
              <w:left w:val="single" w:sz="4" w:space="0" w:color="auto"/>
              <w:bottom w:val="single" w:sz="4" w:space="0" w:color="auto"/>
              <w:right w:val="single" w:sz="4" w:space="0" w:color="auto"/>
            </w:tcBorders>
            <w:noWrap/>
            <w:hideMark/>
          </w:tcPr>
          <w:p w14:paraId="50FA7B9D" w14:textId="576623BD" w:rsidR="009C4306" w:rsidRPr="009F7642" w:rsidRDefault="009C4306" w:rsidP="0073217C">
            <w:pPr>
              <w:suppressAutoHyphens/>
              <w:spacing w:line="240" w:lineRule="auto"/>
              <w:ind w:left="567" w:hanging="11"/>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 xml:space="preserve">] </w:t>
            </w:r>
          </w:p>
        </w:tc>
        <w:tc>
          <w:tcPr>
            <w:tcW w:w="4536" w:type="dxa"/>
            <w:gridSpan w:val="2"/>
            <w:tcBorders>
              <w:top w:val="single" w:sz="4" w:space="0" w:color="auto"/>
              <w:left w:val="single" w:sz="4" w:space="0" w:color="auto"/>
              <w:bottom w:val="single" w:sz="4" w:space="0" w:color="auto"/>
              <w:right w:val="single" w:sz="4" w:space="0" w:color="auto"/>
            </w:tcBorders>
            <w:noWrap/>
            <w:vAlign w:val="bottom"/>
            <w:hideMark/>
          </w:tcPr>
          <w:p w14:paraId="34650622" w14:textId="77777777" w:rsidR="009C4306" w:rsidRPr="009F7642" w:rsidRDefault="009C4306" w:rsidP="0073217C">
            <w:pPr>
              <w:suppressAutoHyphens/>
              <w:spacing w:line="240" w:lineRule="auto"/>
              <w:ind w:hanging="11"/>
              <w:jc w:val="center"/>
              <w:rPr>
                <w:color w:val="auto"/>
                <w:lang w:val="is-IS"/>
              </w:rPr>
            </w:pPr>
            <w:r w:rsidRPr="009F7642">
              <w:rPr>
                <w:color w:val="auto"/>
                <w:lang w:val="is-IS"/>
              </w:rPr>
              <w:t>0,</w:t>
            </w:r>
            <w:r w:rsidR="002A3E07" w:rsidRPr="009F7642">
              <w:rPr>
                <w:color w:val="auto"/>
                <w:lang w:val="is-IS"/>
              </w:rPr>
              <w:t>74 [0,58</w:t>
            </w:r>
            <w:r w:rsidR="00801617">
              <w:rPr>
                <w:color w:val="auto"/>
                <w:lang w:val="is-IS"/>
              </w:rPr>
              <w:t>;</w:t>
            </w:r>
            <w:r w:rsidR="002A3E07" w:rsidRPr="009F7642">
              <w:rPr>
                <w:color w:val="auto"/>
                <w:lang w:val="is-IS"/>
              </w:rPr>
              <w:t xml:space="preserve"> 0,</w:t>
            </w:r>
            <w:r w:rsidRPr="009F7642">
              <w:rPr>
                <w:color w:val="auto"/>
                <w:lang w:val="is-IS"/>
              </w:rPr>
              <w:t>94]</w:t>
            </w:r>
          </w:p>
          <w:p w14:paraId="22A926DC" w14:textId="77777777" w:rsidR="009C4306" w:rsidRPr="009F7642" w:rsidRDefault="009C4306" w:rsidP="009E7197">
            <w:pPr>
              <w:suppressAutoHyphens/>
              <w:spacing w:line="240" w:lineRule="auto"/>
              <w:ind w:hanging="11"/>
              <w:jc w:val="center"/>
              <w:rPr>
                <w:color w:val="auto"/>
                <w:lang w:val="is-IS"/>
              </w:rPr>
            </w:pPr>
            <w:r w:rsidRPr="009F7642">
              <w:rPr>
                <w:color w:val="auto"/>
                <w:lang w:val="is-IS"/>
              </w:rPr>
              <w:t>(</w:t>
            </w:r>
            <w:r w:rsidRPr="00504296">
              <w:rPr>
                <w:color w:val="auto"/>
                <w:lang w:val="is-IS"/>
              </w:rPr>
              <w:t>p</w:t>
            </w:r>
            <w:r w:rsidRPr="00504296">
              <w:rPr>
                <w:rFonts w:eastAsia="Calibri"/>
                <w:color w:val="auto"/>
                <w:lang w:val="is-IS"/>
              </w:rPr>
              <w:t>-</w:t>
            </w:r>
            <w:r w:rsidR="004E7388" w:rsidRPr="00504296">
              <w:rPr>
                <w:color w:val="auto"/>
                <w:lang w:val="is-IS"/>
              </w:rPr>
              <w:t>gildi</w:t>
            </w:r>
            <w:r w:rsidR="004E7388" w:rsidRPr="00504296">
              <w:rPr>
                <w:color w:val="auto"/>
                <w:vertAlign w:val="superscript"/>
                <w:lang w:val="is-IS"/>
              </w:rPr>
              <w:t>5</w:t>
            </w:r>
            <w:r w:rsidR="00086EB9">
              <w:rPr>
                <w:color w:val="auto"/>
                <w:lang w:val="is-IS"/>
              </w:rPr>
              <w:t> </w:t>
            </w:r>
            <w:r w:rsidR="00700BDC">
              <w:rPr>
                <w:color w:val="auto"/>
                <w:lang w:val="is-IS"/>
              </w:rPr>
              <w:t>=</w:t>
            </w:r>
            <w:r w:rsidR="00086EB9">
              <w:rPr>
                <w:color w:val="auto"/>
                <w:lang w:val="is-IS"/>
              </w:rPr>
              <w:t> </w:t>
            </w:r>
            <w:r w:rsidRPr="009F7642">
              <w:rPr>
                <w:color w:val="auto"/>
                <w:lang w:val="is-IS"/>
              </w:rPr>
              <w:t>0</w:t>
            </w:r>
            <w:r w:rsidR="002A3E07" w:rsidRPr="009F7642">
              <w:rPr>
                <w:color w:val="auto"/>
                <w:lang w:val="is-IS"/>
              </w:rPr>
              <w:t>,</w:t>
            </w:r>
            <w:r w:rsidRPr="009F7642">
              <w:rPr>
                <w:color w:val="auto"/>
                <w:lang w:val="is-IS"/>
              </w:rPr>
              <w:t>0132)</w:t>
            </w:r>
          </w:p>
        </w:tc>
      </w:tr>
      <w:tr w:rsidR="001F48EC" w:rsidRPr="009F7642" w14:paraId="1E8C069B" w14:textId="77777777" w:rsidTr="001F48EC">
        <w:trPr>
          <w:trHeight w:val="481"/>
        </w:trPr>
        <w:tc>
          <w:tcPr>
            <w:tcW w:w="8946" w:type="dxa"/>
            <w:gridSpan w:val="3"/>
            <w:tcBorders>
              <w:top w:val="single" w:sz="4" w:space="0" w:color="auto"/>
              <w:left w:val="single" w:sz="4" w:space="0" w:color="auto"/>
              <w:bottom w:val="single" w:sz="4" w:space="0" w:color="auto"/>
              <w:right w:val="single" w:sz="4" w:space="0" w:color="auto"/>
            </w:tcBorders>
            <w:noWrap/>
            <w:vAlign w:val="center"/>
            <w:hideMark/>
          </w:tcPr>
          <w:p w14:paraId="396CD09E" w14:textId="77777777" w:rsidR="009C4306" w:rsidRPr="009F7642" w:rsidRDefault="009C4306" w:rsidP="0073217C">
            <w:pPr>
              <w:suppressAutoHyphens/>
              <w:spacing w:line="240" w:lineRule="auto"/>
              <w:ind w:hanging="11"/>
              <w:rPr>
                <w:color w:val="auto"/>
                <w:lang w:val="is-IS"/>
              </w:rPr>
            </w:pPr>
            <w:r w:rsidRPr="009F7642">
              <w:rPr>
                <w:color w:val="auto"/>
                <w:lang w:val="is-IS"/>
              </w:rPr>
              <w:t>Heildarlifun – Eftirfylgnigreining</w:t>
            </w:r>
            <w:r w:rsidRPr="009F7642">
              <w:rPr>
                <w:color w:val="auto"/>
                <w:vertAlign w:val="superscript"/>
                <w:lang w:val="is-IS"/>
              </w:rPr>
              <w:t>7</w:t>
            </w:r>
          </w:p>
        </w:tc>
      </w:tr>
      <w:tr w:rsidR="001F48EC" w:rsidRPr="009F7642" w14:paraId="6CB4EE73"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7CE62D8A" w14:textId="77777777" w:rsidR="009C4306" w:rsidRPr="009F7642" w:rsidRDefault="009C4306" w:rsidP="0073217C">
            <w:pPr>
              <w:suppressAutoHyphens/>
              <w:spacing w:line="240" w:lineRule="auto"/>
              <w:ind w:left="567" w:hanging="11"/>
              <w:rPr>
                <w:color w:val="auto"/>
                <w:lang w:val="is-IS"/>
              </w:rPr>
            </w:pPr>
            <w:r w:rsidRPr="009F7642">
              <w:rPr>
                <w:color w:val="auto"/>
                <w:lang w:val="is-IS"/>
              </w:rPr>
              <w:t>Miðgildi (mánuðir)</w:t>
            </w:r>
            <w:r w:rsidRPr="009F7642">
              <w:rPr>
                <w:color w:val="auto"/>
                <w:vertAlign w:val="superscript"/>
                <w:lang w:val="is-IS"/>
              </w:rPr>
              <w:t>1</w:t>
            </w:r>
            <w:r w:rsidRPr="009F7642">
              <w:rPr>
                <w:color w:val="auto"/>
                <w:lang w:val="is-IS"/>
              </w:rPr>
              <w:t xml:space="preserve"> </w:t>
            </w:r>
          </w:p>
        </w:tc>
        <w:tc>
          <w:tcPr>
            <w:tcW w:w="2268" w:type="dxa"/>
            <w:tcBorders>
              <w:top w:val="single" w:sz="4" w:space="0" w:color="auto"/>
              <w:left w:val="single" w:sz="4" w:space="0" w:color="auto"/>
              <w:bottom w:val="single" w:sz="4" w:space="0" w:color="auto"/>
              <w:right w:val="single" w:sz="4" w:space="0" w:color="auto"/>
            </w:tcBorders>
            <w:noWrap/>
            <w:hideMark/>
          </w:tcPr>
          <w:p w14:paraId="256E010B" w14:textId="77777777" w:rsidR="009C4306" w:rsidRPr="009F7642" w:rsidRDefault="009C4306" w:rsidP="0073217C">
            <w:pPr>
              <w:suppressAutoHyphens/>
              <w:spacing w:line="259" w:lineRule="auto"/>
              <w:ind w:left="8" w:hanging="11"/>
              <w:jc w:val="center"/>
              <w:rPr>
                <w:color w:val="auto"/>
                <w:lang w:val="is-IS"/>
              </w:rPr>
            </w:pPr>
            <w:r w:rsidRPr="009F7642">
              <w:rPr>
                <w:color w:val="auto"/>
                <w:lang w:val="is-IS"/>
              </w:rPr>
              <w:t xml:space="preserve">13,3 </w:t>
            </w:r>
          </w:p>
        </w:tc>
        <w:tc>
          <w:tcPr>
            <w:tcW w:w="2268" w:type="dxa"/>
            <w:tcBorders>
              <w:top w:val="single" w:sz="4" w:space="0" w:color="auto"/>
              <w:left w:val="single" w:sz="4" w:space="0" w:color="auto"/>
              <w:bottom w:val="single" w:sz="4" w:space="0" w:color="auto"/>
              <w:right w:val="single" w:sz="4" w:space="0" w:color="auto"/>
            </w:tcBorders>
            <w:noWrap/>
            <w:hideMark/>
          </w:tcPr>
          <w:p w14:paraId="082ACADB" w14:textId="77777777" w:rsidR="009C4306" w:rsidRPr="009F7642" w:rsidRDefault="009C4306" w:rsidP="0073217C">
            <w:pPr>
              <w:suppressAutoHyphens/>
              <w:spacing w:line="259" w:lineRule="auto"/>
              <w:ind w:left="6" w:hanging="11"/>
              <w:jc w:val="center"/>
              <w:rPr>
                <w:color w:val="auto"/>
                <w:lang w:val="is-IS"/>
              </w:rPr>
            </w:pPr>
            <w:r w:rsidRPr="009F7642">
              <w:rPr>
                <w:color w:val="auto"/>
                <w:lang w:val="is-IS"/>
              </w:rPr>
              <w:t xml:space="preserve">16,8 </w:t>
            </w:r>
          </w:p>
        </w:tc>
      </w:tr>
      <w:tr w:rsidR="001F48EC" w:rsidRPr="009F7642" w14:paraId="65161F69"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742CA923" w14:textId="0475EE11" w:rsidR="009C4306" w:rsidRPr="009F7642" w:rsidRDefault="009C4306" w:rsidP="0073217C">
            <w:pPr>
              <w:suppressAutoHyphens/>
              <w:spacing w:line="240" w:lineRule="auto"/>
              <w:ind w:left="567" w:hanging="11"/>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 xml:space="preserve">] </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70618B30" w14:textId="77777777" w:rsidR="006C06D6" w:rsidRPr="009F7642" w:rsidRDefault="009C4306" w:rsidP="0073217C">
            <w:pPr>
              <w:suppressAutoHyphens/>
              <w:spacing w:after="3" w:line="259" w:lineRule="auto"/>
              <w:ind w:left="6" w:hanging="11"/>
              <w:jc w:val="center"/>
              <w:rPr>
                <w:color w:val="auto"/>
                <w:lang w:val="is-IS"/>
              </w:rPr>
            </w:pPr>
            <w:r w:rsidRPr="009F7642">
              <w:rPr>
                <w:color w:val="auto"/>
                <w:lang w:val="is-IS"/>
              </w:rPr>
              <w:t>0,76 [0,62; 0,94]</w:t>
            </w:r>
          </w:p>
          <w:p w14:paraId="6925AACB" w14:textId="77777777" w:rsidR="009C4306" w:rsidRPr="009F7642" w:rsidRDefault="009C4306" w:rsidP="0073217C">
            <w:pPr>
              <w:suppressAutoHyphens/>
              <w:spacing w:line="259" w:lineRule="auto"/>
              <w:ind w:left="9" w:hanging="11"/>
              <w:jc w:val="center"/>
              <w:rPr>
                <w:color w:val="auto"/>
                <w:lang w:val="is-IS"/>
              </w:rPr>
            </w:pPr>
            <w:r w:rsidRPr="009F7642">
              <w:rPr>
                <w:color w:val="auto"/>
                <w:lang w:val="is-IS"/>
              </w:rPr>
              <w:t>(p-gildi</w:t>
            </w:r>
            <w:r w:rsidRPr="009F7642">
              <w:rPr>
                <w:color w:val="auto"/>
                <w:vertAlign w:val="superscript"/>
                <w:lang w:val="is-IS"/>
              </w:rPr>
              <w:t>5,8</w:t>
            </w:r>
            <w:r w:rsidR="00086EB9">
              <w:rPr>
                <w:color w:val="auto"/>
                <w:lang w:val="is-IS"/>
              </w:rPr>
              <w:t> </w:t>
            </w:r>
            <w:r w:rsidR="00700BDC">
              <w:rPr>
                <w:color w:val="auto"/>
                <w:lang w:val="is-IS"/>
              </w:rPr>
              <w:t>=</w:t>
            </w:r>
            <w:r w:rsidR="00086EB9">
              <w:rPr>
                <w:color w:val="auto"/>
                <w:lang w:val="is-IS"/>
              </w:rPr>
              <w:t> </w:t>
            </w:r>
            <w:r w:rsidRPr="009F7642">
              <w:rPr>
                <w:color w:val="auto"/>
                <w:lang w:val="is-IS"/>
              </w:rPr>
              <w:t xml:space="preserve">0,0126) </w:t>
            </w:r>
          </w:p>
        </w:tc>
      </w:tr>
      <w:tr w:rsidR="001F48EC" w:rsidRPr="009F7642" w14:paraId="0A1BC8E2" w14:textId="77777777" w:rsidTr="001F48EC">
        <w:trPr>
          <w:trHeight w:val="367"/>
        </w:trPr>
        <w:tc>
          <w:tcPr>
            <w:tcW w:w="8946" w:type="dxa"/>
            <w:gridSpan w:val="3"/>
            <w:tcBorders>
              <w:top w:val="single" w:sz="4" w:space="0" w:color="auto"/>
              <w:left w:val="single" w:sz="4" w:space="0" w:color="auto"/>
              <w:bottom w:val="single" w:sz="4" w:space="0" w:color="auto"/>
              <w:right w:val="single" w:sz="4" w:space="0" w:color="auto"/>
            </w:tcBorders>
            <w:noWrap/>
            <w:vAlign w:val="center"/>
            <w:hideMark/>
          </w:tcPr>
          <w:p w14:paraId="1CBFEE0A" w14:textId="77777777" w:rsidR="009C4306" w:rsidRPr="009F7642" w:rsidRDefault="009C4306" w:rsidP="0073217C">
            <w:pPr>
              <w:suppressAutoHyphens/>
              <w:spacing w:line="240" w:lineRule="auto"/>
              <w:ind w:hanging="11"/>
              <w:jc w:val="center"/>
              <w:rPr>
                <w:color w:val="auto"/>
                <w:lang w:val="is-IS"/>
              </w:rPr>
            </w:pPr>
            <w:r w:rsidRPr="009F7642">
              <w:rPr>
                <w:color w:val="auto"/>
                <w:lang w:val="is-IS"/>
              </w:rPr>
              <w:t>Aukaendapunktar</w:t>
            </w:r>
          </w:p>
        </w:tc>
      </w:tr>
      <w:tr w:rsidR="001F48EC" w:rsidRPr="009F7642" w14:paraId="0DE96181" w14:textId="77777777" w:rsidTr="001F48EC">
        <w:trPr>
          <w:trHeight w:val="493"/>
        </w:trPr>
        <w:tc>
          <w:tcPr>
            <w:tcW w:w="8946" w:type="dxa"/>
            <w:gridSpan w:val="3"/>
            <w:tcBorders>
              <w:top w:val="single" w:sz="4" w:space="0" w:color="auto"/>
              <w:left w:val="single" w:sz="4" w:space="0" w:color="auto"/>
              <w:bottom w:val="single" w:sz="4" w:space="0" w:color="auto"/>
              <w:right w:val="single" w:sz="4" w:space="0" w:color="auto"/>
            </w:tcBorders>
            <w:noWrap/>
            <w:vAlign w:val="center"/>
            <w:hideMark/>
          </w:tcPr>
          <w:p w14:paraId="66F63202" w14:textId="77777777" w:rsidR="009C4306" w:rsidRPr="009F7642" w:rsidRDefault="009C4306" w:rsidP="0073217C">
            <w:pPr>
              <w:suppressAutoHyphens/>
              <w:spacing w:line="240" w:lineRule="auto"/>
              <w:ind w:hanging="11"/>
              <w:rPr>
                <w:color w:val="auto"/>
                <w:lang w:val="is-IS"/>
              </w:rPr>
            </w:pPr>
            <w:r w:rsidRPr="009F7642">
              <w:rPr>
                <w:color w:val="auto"/>
                <w:lang w:val="is-IS"/>
              </w:rPr>
              <w:t>Lifun án versnunar sjúkdóms – Frumgreining</w:t>
            </w:r>
            <w:r w:rsidRPr="009F7642">
              <w:rPr>
                <w:color w:val="auto"/>
                <w:vertAlign w:val="superscript"/>
                <w:lang w:val="is-IS"/>
              </w:rPr>
              <w:t>6</w:t>
            </w:r>
          </w:p>
        </w:tc>
      </w:tr>
      <w:tr w:rsidR="001F48EC" w:rsidRPr="009F7642" w14:paraId="135B182D"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4D4E3F1F" w14:textId="77777777" w:rsidR="006C06D6" w:rsidRPr="009F7642" w:rsidRDefault="009C4306" w:rsidP="007309A2">
            <w:pPr>
              <w:suppressAutoHyphens/>
              <w:spacing w:line="240" w:lineRule="auto"/>
              <w:ind w:left="567" w:hanging="11"/>
              <w:rPr>
                <w:color w:val="auto"/>
                <w:lang w:val="is-IS"/>
              </w:rPr>
            </w:pPr>
            <w:r w:rsidRPr="009F7642">
              <w:rPr>
                <w:color w:val="auto"/>
                <w:lang w:val="is-IS"/>
              </w:rPr>
              <w:t>Miðgildi lifunar án versnunar sjúkdóms</w:t>
            </w:r>
          </w:p>
          <w:p w14:paraId="4DD85703" w14:textId="77777777" w:rsidR="009C4306" w:rsidRPr="009F7642" w:rsidRDefault="009C4306" w:rsidP="007309A2">
            <w:pPr>
              <w:suppressAutoHyphens/>
              <w:spacing w:line="259" w:lineRule="auto"/>
              <w:ind w:left="567" w:hanging="11"/>
              <w:rPr>
                <w:color w:val="auto"/>
                <w:lang w:val="is-IS"/>
              </w:rPr>
            </w:pPr>
            <w:r w:rsidRPr="009F7642">
              <w:rPr>
                <w:color w:val="auto"/>
                <w:lang w:val="is-IS"/>
              </w:rPr>
              <w:t>(mánuðir)</w:t>
            </w:r>
            <w:r w:rsidRPr="003E2F96">
              <w:rPr>
                <w:color w:val="auto"/>
                <w:vertAlign w:val="superscript"/>
                <w:lang w:val="is-IS"/>
              </w:rPr>
              <w:t>1</w:t>
            </w:r>
            <w:r w:rsidRPr="009F7642">
              <w:rPr>
                <w:color w:val="auto"/>
                <w:lang w:val="is-IS"/>
              </w:rPr>
              <w:t xml:space="preserve"> </w:t>
            </w:r>
          </w:p>
        </w:tc>
        <w:tc>
          <w:tcPr>
            <w:tcW w:w="2268" w:type="dxa"/>
            <w:tcBorders>
              <w:top w:val="single" w:sz="4" w:space="0" w:color="auto"/>
              <w:left w:val="single" w:sz="4" w:space="0" w:color="auto"/>
              <w:bottom w:val="single" w:sz="4" w:space="0" w:color="auto"/>
              <w:right w:val="single" w:sz="4" w:space="0" w:color="auto"/>
            </w:tcBorders>
            <w:noWrap/>
            <w:hideMark/>
          </w:tcPr>
          <w:p w14:paraId="7F8EE441" w14:textId="77777777" w:rsidR="009C4306" w:rsidRPr="009F7642" w:rsidRDefault="009C4306" w:rsidP="0073217C">
            <w:pPr>
              <w:suppressAutoHyphens/>
              <w:spacing w:line="259" w:lineRule="auto"/>
              <w:ind w:left="8" w:hanging="11"/>
              <w:jc w:val="center"/>
              <w:rPr>
                <w:color w:val="auto"/>
                <w:lang w:val="is-IS"/>
              </w:rPr>
            </w:pPr>
            <w:r w:rsidRPr="009F7642">
              <w:rPr>
                <w:color w:val="auto"/>
                <w:lang w:val="is-IS"/>
              </w:rPr>
              <w:t xml:space="preserve">6,0 </w:t>
            </w:r>
          </w:p>
        </w:tc>
        <w:tc>
          <w:tcPr>
            <w:tcW w:w="2268" w:type="dxa"/>
            <w:tcBorders>
              <w:top w:val="single" w:sz="4" w:space="0" w:color="auto"/>
              <w:left w:val="single" w:sz="4" w:space="0" w:color="auto"/>
              <w:bottom w:val="single" w:sz="4" w:space="0" w:color="auto"/>
              <w:right w:val="single" w:sz="4" w:space="0" w:color="auto"/>
            </w:tcBorders>
            <w:noWrap/>
            <w:hideMark/>
          </w:tcPr>
          <w:p w14:paraId="27D78D79" w14:textId="77777777" w:rsidR="009C4306" w:rsidRPr="009F7642" w:rsidRDefault="009C4306" w:rsidP="0073217C">
            <w:pPr>
              <w:suppressAutoHyphens/>
              <w:spacing w:line="259" w:lineRule="auto"/>
              <w:ind w:left="6" w:hanging="11"/>
              <w:jc w:val="center"/>
              <w:rPr>
                <w:color w:val="auto"/>
                <w:lang w:val="is-IS"/>
              </w:rPr>
            </w:pPr>
            <w:r w:rsidRPr="009F7642">
              <w:rPr>
                <w:color w:val="auto"/>
                <w:lang w:val="is-IS"/>
              </w:rPr>
              <w:t xml:space="preserve">8,3 </w:t>
            </w:r>
          </w:p>
        </w:tc>
      </w:tr>
      <w:tr w:rsidR="001F48EC" w:rsidRPr="009F7642" w14:paraId="5B871E49"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28BB392F" w14:textId="3B3AC4F0" w:rsidR="009C4306" w:rsidRPr="009F7642" w:rsidRDefault="009C4306" w:rsidP="007309A2">
            <w:pPr>
              <w:suppressAutoHyphens/>
              <w:spacing w:line="240" w:lineRule="auto"/>
              <w:ind w:left="567" w:hanging="11"/>
              <w:rPr>
                <w:color w:val="auto"/>
                <w:lang w:val="is-IS"/>
              </w:rPr>
            </w:pPr>
            <w:r w:rsidRPr="009F7642">
              <w:rPr>
                <w:color w:val="auto"/>
                <w:lang w:val="is-IS"/>
              </w:rPr>
              <w:t xml:space="preserve">Áhættuhlutfall [95% </w:t>
            </w:r>
            <w:r w:rsidR="00916159" w:rsidRPr="009F7642">
              <w:rPr>
                <w:color w:val="auto"/>
                <w:lang w:val="is-IS"/>
              </w:rPr>
              <w:t>öryggis</w:t>
            </w:r>
            <w:r w:rsidR="00916159">
              <w:rPr>
                <w:color w:val="auto"/>
                <w:lang w:val="is-IS"/>
              </w:rPr>
              <w:t>bil</w:t>
            </w:r>
            <w:r w:rsidRPr="009F7642">
              <w:rPr>
                <w:color w:val="auto"/>
                <w:lang w:val="is-IS"/>
              </w:rPr>
              <w:t>]</w:t>
            </w:r>
            <w:r w:rsidRPr="007309A2">
              <w:rPr>
                <w:color w:val="auto"/>
                <w:lang w:val="is-IS"/>
              </w:rPr>
              <w:t xml:space="preserve"> </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318D9AD0" w14:textId="77777777" w:rsidR="006C06D6" w:rsidRPr="009F7642" w:rsidRDefault="009C4306" w:rsidP="0073217C">
            <w:pPr>
              <w:suppressAutoHyphens/>
              <w:spacing w:after="63" w:line="259" w:lineRule="auto"/>
              <w:ind w:left="6" w:hanging="11"/>
              <w:jc w:val="center"/>
              <w:rPr>
                <w:color w:val="auto"/>
                <w:lang w:val="is-IS"/>
              </w:rPr>
            </w:pPr>
            <w:r w:rsidRPr="009F7642">
              <w:rPr>
                <w:color w:val="auto"/>
                <w:lang w:val="is-IS"/>
              </w:rPr>
              <w:t>0,66 [0,54; 0,81]</w:t>
            </w:r>
          </w:p>
          <w:p w14:paraId="2078F621" w14:textId="77777777" w:rsidR="009C4306" w:rsidRPr="009F7642" w:rsidRDefault="009C4306" w:rsidP="0073217C">
            <w:pPr>
              <w:suppressAutoHyphens/>
              <w:spacing w:line="259" w:lineRule="auto"/>
              <w:ind w:left="6" w:hanging="11"/>
              <w:jc w:val="center"/>
              <w:rPr>
                <w:color w:val="auto"/>
                <w:lang w:val="is-IS"/>
              </w:rPr>
            </w:pPr>
            <w:r w:rsidRPr="009F7642">
              <w:rPr>
                <w:color w:val="auto"/>
                <w:lang w:val="is-IS"/>
              </w:rPr>
              <w:t>(p-gildi</w:t>
            </w:r>
            <w:r w:rsidRPr="009F7642">
              <w:rPr>
                <w:color w:val="auto"/>
                <w:vertAlign w:val="superscript"/>
                <w:lang w:val="is-IS"/>
              </w:rPr>
              <w:t>5</w:t>
            </w:r>
            <w:r w:rsidR="00086EB9">
              <w:rPr>
                <w:color w:val="auto"/>
                <w:lang w:val="is-IS"/>
              </w:rPr>
              <w:t> </w:t>
            </w:r>
            <w:r w:rsidRPr="009F7642">
              <w:rPr>
                <w:color w:val="auto"/>
                <w:lang w:val="is-IS"/>
              </w:rPr>
              <w:t>&lt;</w:t>
            </w:r>
            <w:r w:rsidR="00086EB9">
              <w:rPr>
                <w:color w:val="auto"/>
                <w:lang w:val="is-IS"/>
              </w:rPr>
              <w:t> </w:t>
            </w:r>
            <w:r w:rsidRPr="009F7642">
              <w:rPr>
                <w:color w:val="auto"/>
                <w:lang w:val="is-IS"/>
              </w:rPr>
              <w:t xml:space="preserve">0,0001) </w:t>
            </w:r>
          </w:p>
        </w:tc>
      </w:tr>
      <w:tr w:rsidR="001F48EC" w:rsidRPr="009F7642" w14:paraId="7FA63529" w14:textId="77777777" w:rsidTr="001F48EC">
        <w:trPr>
          <w:trHeight w:val="427"/>
        </w:trPr>
        <w:tc>
          <w:tcPr>
            <w:tcW w:w="8946" w:type="dxa"/>
            <w:gridSpan w:val="3"/>
            <w:tcBorders>
              <w:top w:val="single" w:sz="4" w:space="0" w:color="auto"/>
              <w:left w:val="single" w:sz="4" w:space="0" w:color="auto"/>
              <w:bottom w:val="single" w:sz="4" w:space="0" w:color="auto"/>
              <w:right w:val="single" w:sz="4" w:space="0" w:color="auto"/>
            </w:tcBorders>
            <w:noWrap/>
            <w:vAlign w:val="center"/>
            <w:hideMark/>
          </w:tcPr>
          <w:p w14:paraId="69A1CF9A" w14:textId="77777777" w:rsidR="009C4306" w:rsidRPr="009F7642" w:rsidRDefault="009C4306" w:rsidP="007309A2">
            <w:pPr>
              <w:keepNext/>
              <w:suppressAutoHyphens/>
              <w:spacing w:line="240" w:lineRule="auto"/>
              <w:ind w:hanging="11"/>
              <w:rPr>
                <w:color w:val="auto"/>
                <w:lang w:val="is-IS"/>
              </w:rPr>
            </w:pPr>
            <w:r w:rsidRPr="009F7642">
              <w:rPr>
                <w:color w:val="auto"/>
                <w:lang w:val="is-IS"/>
              </w:rPr>
              <w:t>Besta heildarsvörun – Frumgreining</w:t>
            </w:r>
            <w:r w:rsidRPr="009F7642">
              <w:rPr>
                <w:color w:val="auto"/>
                <w:vertAlign w:val="superscript"/>
                <w:lang w:val="is-IS"/>
              </w:rPr>
              <w:t>6</w:t>
            </w:r>
          </w:p>
        </w:tc>
      </w:tr>
      <w:tr w:rsidR="001F48EC" w:rsidRPr="009F7642" w14:paraId="6B3799F1"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26526D84" w14:textId="77777777" w:rsidR="009C4306" w:rsidRPr="009F7642" w:rsidRDefault="009C4306" w:rsidP="007309A2">
            <w:pPr>
              <w:keepNext/>
              <w:suppressAutoHyphens/>
              <w:spacing w:line="240" w:lineRule="auto"/>
              <w:ind w:left="567" w:hanging="11"/>
              <w:rPr>
                <w:color w:val="auto"/>
                <w:lang w:val="is-IS"/>
              </w:rPr>
            </w:pPr>
            <w:r w:rsidRPr="009F7642">
              <w:rPr>
                <w:color w:val="auto"/>
                <w:lang w:val="is-IS"/>
              </w:rPr>
              <w:t>Sjúklingar sem svara (svörunarhlutfall</w:t>
            </w:r>
            <w:r w:rsidRPr="003E2F96">
              <w:rPr>
                <w:color w:val="auto"/>
                <w:vertAlign w:val="superscript"/>
                <w:lang w:val="is-IS"/>
              </w:rPr>
              <w:t>2</w:t>
            </w:r>
            <w:r w:rsidRPr="009F7642">
              <w:rPr>
                <w:color w:val="auto"/>
                <w:lang w:val="is-IS"/>
              </w:rPr>
              <w:t xml:space="preserve">) </w:t>
            </w:r>
          </w:p>
        </w:tc>
        <w:tc>
          <w:tcPr>
            <w:tcW w:w="2268" w:type="dxa"/>
            <w:tcBorders>
              <w:top w:val="single" w:sz="4" w:space="0" w:color="auto"/>
              <w:left w:val="single" w:sz="4" w:space="0" w:color="auto"/>
              <w:bottom w:val="single" w:sz="4" w:space="0" w:color="auto"/>
              <w:right w:val="single" w:sz="4" w:space="0" w:color="auto"/>
            </w:tcBorders>
            <w:noWrap/>
            <w:hideMark/>
          </w:tcPr>
          <w:p w14:paraId="4340321A" w14:textId="77777777" w:rsidR="009C4306" w:rsidRPr="009F7642" w:rsidRDefault="009C4306" w:rsidP="0073217C">
            <w:pPr>
              <w:suppressAutoHyphens/>
              <w:spacing w:line="259" w:lineRule="auto"/>
              <w:ind w:left="6" w:hanging="11"/>
              <w:jc w:val="center"/>
              <w:rPr>
                <w:color w:val="auto"/>
                <w:lang w:val="is-IS"/>
              </w:rPr>
            </w:pPr>
            <w:r w:rsidRPr="009F7642">
              <w:rPr>
                <w:color w:val="auto"/>
                <w:lang w:val="is-IS"/>
              </w:rPr>
              <w:t xml:space="preserve">76 (33,8%) </w:t>
            </w:r>
          </w:p>
        </w:tc>
        <w:tc>
          <w:tcPr>
            <w:tcW w:w="2268" w:type="dxa"/>
            <w:tcBorders>
              <w:top w:val="single" w:sz="4" w:space="0" w:color="auto"/>
              <w:left w:val="single" w:sz="4" w:space="0" w:color="auto"/>
              <w:bottom w:val="single" w:sz="4" w:space="0" w:color="auto"/>
              <w:right w:val="single" w:sz="4" w:space="0" w:color="auto"/>
            </w:tcBorders>
            <w:noWrap/>
            <w:hideMark/>
          </w:tcPr>
          <w:p w14:paraId="10CEDE6C" w14:textId="77777777" w:rsidR="009C4306" w:rsidRPr="009F7642" w:rsidRDefault="009C4306" w:rsidP="0073217C">
            <w:pPr>
              <w:suppressAutoHyphens/>
              <w:spacing w:line="259" w:lineRule="auto"/>
              <w:ind w:left="6" w:hanging="11"/>
              <w:jc w:val="center"/>
              <w:rPr>
                <w:color w:val="auto"/>
                <w:lang w:val="is-IS"/>
              </w:rPr>
            </w:pPr>
            <w:r w:rsidRPr="009F7642">
              <w:rPr>
                <w:color w:val="auto"/>
                <w:lang w:val="is-IS"/>
              </w:rPr>
              <w:t xml:space="preserve">103 (45,4%) </w:t>
            </w:r>
          </w:p>
        </w:tc>
      </w:tr>
      <w:tr w:rsidR="001F48EC" w:rsidRPr="009F7642" w14:paraId="76EDA426"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4F19A20B" w14:textId="58A1FEF5" w:rsidR="009C4306" w:rsidRPr="009F7642" w:rsidRDefault="009C4306" w:rsidP="007309A2">
            <w:pPr>
              <w:keepNext/>
              <w:suppressAutoHyphens/>
              <w:spacing w:line="240" w:lineRule="auto"/>
              <w:ind w:left="567" w:hanging="11"/>
              <w:rPr>
                <w:color w:val="auto"/>
                <w:lang w:val="is-IS"/>
              </w:rPr>
            </w:pPr>
            <w:r w:rsidRPr="009F7642">
              <w:rPr>
                <w:color w:val="auto"/>
                <w:lang w:val="is-IS"/>
              </w:rPr>
              <w:t xml:space="preserve">95% </w:t>
            </w:r>
            <w:r w:rsidR="00916159" w:rsidRPr="009F7642">
              <w:rPr>
                <w:color w:val="auto"/>
                <w:lang w:val="is-IS"/>
              </w:rPr>
              <w:t>öryggis</w:t>
            </w:r>
            <w:r w:rsidR="00916159">
              <w:rPr>
                <w:color w:val="auto"/>
                <w:lang w:val="is-IS"/>
              </w:rPr>
              <w:t>bil</w:t>
            </w:r>
            <w:r w:rsidR="00916159" w:rsidRPr="009F7642">
              <w:rPr>
                <w:color w:val="auto"/>
                <w:lang w:val="is-IS"/>
              </w:rPr>
              <w:t xml:space="preserve"> </w:t>
            </w:r>
            <w:r w:rsidRPr="009F7642">
              <w:rPr>
                <w:color w:val="auto"/>
                <w:lang w:val="is-IS"/>
              </w:rPr>
              <w:t>fyrir svörunarhlutföll</w:t>
            </w:r>
            <w:r w:rsidRPr="002B6A36">
              <w:rPr>
                <w:color w:val="auto"/>
                <w:vertAlign w:val="superscript"/>
                <w:lang w:val="is-IS"/>
              </w:rPr>
              <w:t>3</w:t>
            </w:r>
            <w:r w:rsidRPr="009F7642">
              <w:rPr>
                <w:color w:val="auto"/>
                <w:lang w:val="is-IS"/>
              </w:rPr>
              <w:t xml:space="preserve"> </w:t>
            </w:r>
          </w:p>
        </w:tc>
        <w:tc>
          <w:tcPr>
            <w:tcW w:w="2268" w:type="dxa"/>
            <w:tcBorders>
              <w:top w:val="single" w:sz="4" w:space="0" w:color="auto"/>
              <w:left w:val="single" w:sz="4" w:space="0" w:color="auto"/>
              <w:bottom w:val="single" w:sz="4" w:space="0" w:color="auto"/>
              <w:right w:val="single" w:sz="4" w:space="0" w:color="auto"/>
            </w:tcBorders>
            <w:noWrap/>
            <w:hideMark/>
          </w:tcPr>
          <w:p w14:paraId="256A64A0" w14:textId="77777777" w:rsidR="009C4306" w:rsidRPr="009F7642" w:rsidRDefault="009C4306" w:rsidP="0073217C">
            <w:pPr>
              <w:suppressAutoHyphens/>
              <w:spacing w:line="259" w:lineRule="auto"/>
              <w:ind w:left="9" w:hanging="11"/>
              <w:jc w:val="center"/>
              <w:rPr>
                <w:color w:val="auto"/>
                <w:lang w:val="is-IS"/>
              </w:rPr>
            </w:pPr>
            <w:r w:rsidRPr="009F7642">
              <w:rPr>
                <w:color w:val="auto"/>
                <w:lang w:val="is-IS"/>
              </w:rPr>
              <w:t xml:space="preserve">[27,6%; 40,4%] </w:t>
            </w:r>
          </w:p>
        </w:tc>
        <w:tc>
          <w:tcPr>
            <w:tcW w:w="2268" w:type="dxa"/>
            <w:tcBorders>
              <w:top w:val="single" w:sz="4" w:space="0" w:color="auto"/>
              <w:left w:val="single" w:sz="4" w:space="0" w:color="auto"/>
              <w:bottom w:val="single" w:sz="4" w:space="0" w:color="auto"/>
              <w:right w:val="single" w:sz="4" w:space="0" w:color="auto"/>
            </w:tcBorders>
            <w:noWrap/>
            <w:hideMark/>
          </w:tcPr>
          <w:p w14:paraId="7DA325CA" w14:textId="77777777" w:rsidR="009C4306" w:rsidRPr="009F7642" w:rsidRDefault="009C4306" w:rsidP="0073217C">
            <w:pPr>
              <w:suppressAutoHyphens/>
              <w:spacing w:line="259" w:lineRule="auto"/>
              <w:ind w:left="6" w:hanging="11"/>
              <w:jc w:val="center"/>
              <w:rPr>
                <w:color w:val="auto"/>
                <w:lang w:val="is-IS"/>
              </w:rPr>
            </w:pPr>
            <w:r w:rsidRPr="009F7642">
              <w:rPr>
                <w:color w:val="auto"/>
                <w:lang w:val="is-IS"/>
              </w:rPr>
              <w:t xml:space="preserve">[38,8%; 52,1%] </w:t>
            </w:r>
          </w:p>
        </w:tc>
      </w:tr>
      <w:tr w:rsidR="001F48EC" w:rsidRPr="009F7642" w14:paraId="280D346A"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15BF4A0E" w14:textId="77777777" w:rsidR="009C4306" w:rsidRPr="009F7642" w:rsidRDefault="009C4306" w:rsidP="007309A2">
            <w:pPr>
              <w:keepNext/>
              <w:suppressAutoHyphens/>
              <w:spacing w:line="240" w:lineRule="auto"/>
              <w:ind w:left="567" w:hanging="11"/>
              <w:rPr>
                <w:color w:val="auto"/>
                <w:lang w:val="is-IS"/>
              </w:rPr>
            </w:pPr>
            <w:r w:rsidRPr="009F7642">
              <w:rPr>
                <w:color w:val="auto"/>
                <w:lang w:val="is-IS"/>
              </w:rPr>
              <w:t xml:space="preserve">Mismunur á svörunarhlutföllum </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6688C57D" w14:textId="77777777" w:rsidR="009C4306" w:rsidRPr="009F7642" w:rsidRDefault="009C4306" w:rsidP="0073217C">
            <w:pPr>
              <w:suppressAutoHyphens/>
              <w:spacing w:line="259" w:lineRule="auto"/>
              <w:ind w:hanging="11"/>
              <w:jc w:val="center"/>
              <w:rPr>
                <w:color w:val="auto"/>
                <w:lang w:val="is-IS"/>
              </w:rPr>
            </w:pPr>
            <w:r w:rsidRPr="009F7642">
              <w:rPr>
                <w:color w:val="auto"/>
                <w:lang w:val="is-IS"/>
              </w:rPr>
              <w:t xml:space="preserve">11,60% </w:t>
            </w:r>
          </w:p>
        </w:tc>
      </w:tr>
      <w:tr w:rsidR="001F48EC" w:rsidRPr="009F7642" w14:paraId="5A68312C"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1DA07E7B" w14:textId="59BED9B0" w:rsidR="009C4306" w:rsidRPr="009F7642" w:rsidRDefault="009C4306" w:rsidP="007309A2">
            <w:pPr>
              <w:keepNext/>
              <w:suppressAutoHyphens/>
              <w:spacing w:line="240" w:lineRule="auto"/>
              <w:ind w:left="567" w:hanging="11"/>
              <w:rPr>
                <w:color w:val="auto"/>
                <w:lang w:val="is-IS"/>
              </w:rPr>
            </w:pPr>
            <w:r w:rsidRPr="009F7642">
              <w:rPr>
                <w:color w:val="auto"/>
                <w:lang w:val="is-IS"/>
              </w:rPr>
              <w:t xml:space="preserve">95% </w:t>
            </w:r>
            <w:r w:rsidR="00916159" w:rsidRPr="009F7642">
              <w:rPr>
                <w:color w:val="auto"/>
                <w:lang w:val="is-IS"/>
              </w:rPr>
              <w:t>öryggis</w:t>
            </w:r>
            <w:r w:rsidR="00916159">
              <w:rPr>
                <w:color w:val="auto"/>
                <w:lang w:val="is-IS"/>
              </w:rPr>
              <w:t>bil</w:t>
            </w:r>
            <w:r w:rsidR="00916159" w:rsidRPr="009F7642">
              <w:rPr>
                <w:color w:val="auto"/>
                <w:lang w:val="is-IS"/>
              </w:rPr>
              <w:t xml:space="preserve"> </w:t>
            </w:r>
            <w:r w:rsidRPr="009F7642">
              <w:rPr>
                <w:color w:val="auto"/>
                <w:lang w:val="is-IS"/>
              </w:rPr>
              <w:t>fyrir mismun á svörunarhlutföllum</w:t>
            </w:r>
            <w:r w:rsidRPr="009F7642">
              <w:rPr>
                <w:color w:val="auto"/>
                <w:vertAlign w:val="superscript"/>
                <w:lang w:val="is-IS"/>
              </w:rPr>
              <w:t>4</w:t>
            </w:r>
            <w:r w:rsidRPr="009F7642">
              <w:rPr>
                <w:color w:val="auto"/>
                <w:lang w:val="is-IS"/>
              </w:rPr>
              <w:t xml:space="preserve"> </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31210276" w14:textId="77777777" w:rsidR="009C4306" w:rsidRPr="009F7642" w:rsidRDefault="009C4306" w:rsidP="0073217C">
            <w:pPr>
              <w:suppressAutoHyphens/>
              <w:spacing w:line="259" w:lineRule="auto"/>
              <w:ind w:left="6" w:hanging="11"/>
              <w:jc w:val="center"/>
              <w:rPr>
                <w:color w:val="auto"/>
                <w:lang w:val="is-IS"/>
              </w:rPr>
            </w:pPr>
            <w:r w:rsidRPr="009F7642">
              <w:rPr>
                <w:color w:val="auto"/>
                <w:lang w:val="is-IS"/>
              </w:rPr>
              <w:t xml:space="preserve">[2,4%; 20,8%] </w:t>
            </w:r>
          </w:p>
        </w:tc>
      </w:tr>
      <w:tr w:rsidR="001F48EC" w:rsidRPr="009F7642" w14:paraId="01C1A1B1" w14:textId="77777777" w:rsidTr="001F48EC">
        <w:trPr>
          <w:trHeight w:val="300"/>
        </w:trPr>
        <w:tc>
          <w:tcPr>
            <w:tcW w:w="4410" w:type="dxa"/>
            <w:tcBorders>
              <w:top w:val="single" w:sz="4" w:space="0" w:color="auto"/>
              <w:left w:val="single" w:sz="4" w:space="0" w:color="auto"/>
              <w:bottom w:val="single" w:sz="4" w:space="0" w:color="auto"/>
              <w:right w:val="single" w:sz="4" w:space="0" w:color="auto"/>
            </w:tcBorders>
            <w:noWrap/>
            <w:hideMark/>
          </w:tcPr>
          <w:p w14:paraId="6A3349B0" w14:textId="77777777" w:rsidR="009C4306" w:rsidRPr="009F7642" w:rsidRDefault="009C4306" w:rsidP="007309A2">
            <w:pPr>
              <w:suppressAutoHyphens/>
              <w:spacing w:line="240" w:lineRule="auto"/>
              <w:ind w:left="567" w:hanging="11"/>
              <w:rPr>
                <w:color w:val="auto"/>
                <w:lang w:val="is-IS"/>
              </w:rPr>
            </w:pPr>
            <w:r w:rsidRPr="009F7642">
              <w:rPr>
                <w:color w:val="auto"/>
                <w:lang w:val="is-IS"/>
              </w:rPr>
              <w:t xml:space="preserve">p-gildi (Chi-kvaðrat próf) </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4C9EC392" w14:textId="77777777" w:rsidR="009C4306" w:rsidRPr="009F7642" w:rsidRDefault="009C4306" w:rsidP="0073217C">
            <w:pPr>
              <w:suppressAutoHyphens/>
              <w:spacing w:line="259" w:lineRule="auto"/>
              <w:ind w:left="8" w:hanging="11"/>
              <w:jc w:val="center"/>
              <w:rPr>
                <w:color w:val="auto"/>
                <w:lang w:val="is-IS"/>
              </w:rPr>
            </w:pPr>
            <w:r w:rsidRPr="009F7642">
              <w:rPr>
                <w:color w:val="auto"/>
                <w:lang w:val="is-IS"/>
              </w:rPr>
              <w:t xml:space="preserve">0,0117 </w:t>
            </w:r>
          </w:p>
        </w:tc>
      </w:tr>
    </w:tbl>
    <w:p w14:paraId="7C64BB1E" w14:textId="77777777" w:rsidR="006C06D6" w:rsidRPr="001F48EC" w:rsidRDefault="00564614" w:rsidP="0073217C">
      <w:pPr>
        <w:suppressAutoHyphens/>
        <w:spacing w:after="0" w:line="240" w:lineRule="auto"/>
        <w:ind w:left="567" w:hanging="567"/>
        <w:rPr>
          <w:color w:val="auto"/>
          <w:sz w:val="20"/>
          <w:szCs w:val="20"/>
          <w:lang w:val="is-IS"/>
        </w:rPr>
      </w:pPr>
      <w:r w:rsidRPr="009F7642">
        <w:rPr>
          <w:color w:val="auto"/>
          <w:sz w:val="20"/>
          <w:szCs w:val="20"/>
          <w:vertAlign w:val="superscript"/>
          <w:lang w:val="is-IS"/>
        </w:rPr>
        <w:t>1</w:t>
      </w:r>
      <w:r w:rsidR="00087198" w:rsidRPr="009F7642">
        <w:rPr>
          <w:color w:val="auto"/>
          <w:sz w:val="20"/>
          <w:szCs w:val="20"/>
          <w:lang w:val="is-IS"/>
        </w:rPr>
        <w:tab/>
      </w:r>
      <w:r w:rsidRPr="001F48EC">
        <w:rPr>
          <w:color w:val="auto"/>
          <w:sz w:val="20"/>
          <w:szCs w:val="20"/>
          <w:lang w:val="is-IS"/>
        </w:rPr>
        <w:t>Kaplan-Meier mat</w:t>
      </w:r>
      <w:r w:rsidR="00087198" w:rsidRPr="001F48EC">
        <w:rPr>
          <w:color w:val="auto"/>
          <w:sz w:val="20"/>
          <w:szCs w:val="20"/>
          <w:lang w:val="is-IS"/>
        </w:rPr>
        <w:t>.</w:t>
      </w:r>
    </w:p>
    <w:p w14:paraId="3F6B7A77" w14:textId="77777777" w:rsidR="006C06D6" w:rsidRPr="001F48EC" w:rsidRDefault="00087198" w:rsidP="0073217C">
      <w:pPr>
        <w:suppressAutoHyphens/>
        <w:spacing w:after="0" w:line="240" w:lineRule="auto"/>
        <w:ind w:left="567" w:hanging="567"/>
        <w:rPr>
          <w:color w:val="auto"/>
          <w:sz w:val="20"/>
          <w:szCs w:val="20"/>
          <w:lang w:val="is-IS"/>
        </w:rPr>
      </w:pPr>
      <w:r w:rsidRPr="001F48EC">
        <w:rPr>
          <w:color w:val="auto"/>
          <w:sz w:val="20"/>
          <w:szCs w:val="20"/>
          <w:vertAlign w:val="superscript"/>
          <w:lang w:val="is-IS"/>
        </w:rPr>
        <w:t>2</w:t>
      </w:r>
      <w:r w:rsidRPr="001F48EC">
        <w:rPr>
          <w:color w:val="auto"/>
          <w:sz w:val="20"/>
          <w:szCs w:val="20"/>
          <w:lang w:val="is-IS"/>
        </w:rPr>
        <w:tab/>
      </w:r>
      <w:r w:rsidR="00564614" w:rsidRPr="001F48EC">
        <w:rPr>
          <w:color w:val="auto"/>
          <w:sz w:val="20"/>
          <w:szCs w:val="20"/>
          <w:lang w:val="is-IS"/>
        </w:rPr>
        <w:t>Sjúklingar og hlutfall sjúklinga þar sem besta heildarsvörun var staðfest alger svörun (CR) eða staðfest hlutasvörun (PR); hlutfall var reiknað út frá sjúklingum sem voru með mælanlegan sjúkdóm við upphaf rannsóknarinnar</w:t>
      </w:r>
      <w:r w:rsidRPr="001F48EC">
        <w:rPr>
          <w:color w:val="auto"/>
          <w:sz w:val="20"/>
          <w:szCs w:val="20"/>
          <w:lang w:val="is-IS"/>
        </w:rPr>
        <w:t>.</w:t>
      </w:r>
    </w:p>
    <w:p w14:paraId="19460EDC" w14:textId="09B2293B" w:rsidR="006C06D6" w:rsidRPr="001F48EC" w:rsidRDefault="00087198" w:rsidP="0073217C">
      <w:pPr>
        <w:suppressAutoHyphens/>
        <w:spacing w:after="0" w:line="240" w:lineRule="auto"/>
        <w:ind w:left="567" w:hanging="567"/>
        <w:rPr>
          <w:color w:val="auto"/>
          <w:sz w:val="20"/>
          <w:szCs w:val="20"/>
          <w:lang w:val="is-IS"/>
        </w:rPr>
      </w:pPr>
      <w:r w:rsidRPr="001F48EC">
        <w:rPr>
          <w:color w:val="auto"/>
          <w:sz w:val="20"/>
          <w:szCs w:val="20"/>
          <w:vertAlign w:val="superscript"/>
          <w:lang w:val="is-IS"/>
        </w:rPr>
        <w:t>3</w:t>
      </w:r>
      <w:r w:rsidRPr="001F48EC">
        <w:rPr>
          <w:color w:val="auto"/>
          <w:sz w:val="20"/>
          <w:szCs w:val="20"/>
          <w:lang w:val="is-IS"/>
        </w:rPr>
        <w:tab/>
      </w:r>
      <w:r w:rsidR="00564614" w:rsidRPr="001F48EC">
        <w:rPr>
          <w:color w:val="auto"/>
          <w:sz w:val="20"/>
          <w:szCs w:val="20"/>
          <w:lang w:val="is-IS"/>
        </w:rPr>
        <w:t xml:space="preserve">95% </w:t>
      </w:r>
      <w:r w:rsidR="00916159" w:rsidRPr="001F48EC">
        <w:rPr>
          <w:color w:val="auto"/>
          <w:sz w:val="20"/>
          <w:szCs w:val="20"/>
          <w:lang w:val="is-IS"/>
        </w:rPr>
        <w:t>öryggis</w:t>
      </w:r>
      <w:r w:rsidR="00916159">
        <w:rPr>
          <w:color w:val="auto"/>
          <w:sz w:val="20"/>
          <w:szCs w:val="20"/>
          <w:lang w:val="is-IS"/>
        </w:rPr>
        <w:t>bil</w:t>
      </w:r>
      <w:r w:rsidR="00916159" w:rsidRPr="001F48EC">
        <w:rPr>
          <w:color w:val="auto"/>
          <w:sz w:val="20"/>
          <w:szCs w:val="20"/>
          <w:lang w:val="is-IS"/>
        </w:rPr>
        <w:t xml:space="preserve"> </w:t>
      </w:r>
      <w:r w:rsidR="00564614" w:rsidRPr="001F48EC">
        <w:rPr>
          <w:color w:val="auto"/>
          <w:sz w:val="20"/>
          <w:szCs w:val="20"/>
          <w:lang w:val="is-IS"/>
        </w:rPr>
        <w:t>fyrir tvíkostagreiningu með einu sýni (one sample binomial) með aðferð Pearson-Clopper</w:t>
      </w:r>
      <w:r w:rsidRPr="001F48EC">
        <w:rPr>
          <w:color w:val="auto"/>
          <w:sz w:val="20"/>
          <w:szCs w:val="20"/>
          <w:lang w:val="is-IS"/>
        </w:rPr>
        <w:t>.</w:t>
      </w:r>
    </w:p>
    <w:p w14:paraId="2FB4C96B" w14:textId="12E46C51" w:rsidR="006C06D6" w:rsidRPr="001F48EC" w:rsidRDefault="00087198" w:rsidP="0073217C">
      <w:pPr>
        <w:suppressAutoHyphens/>
        <w:spacing w:after="0" w:line="240" w:lineRule="auto"/>
        <w:ind w:left="567" w:hanging="567"/>
        <w:rPr>
          <w:color w:val="auto"/>
          <w:sz w:val="20"/>
          <w:szCs w:val="20"/>
          <w:lang w:val="is-IS"/>
        </w:rPr>
      </w:pPr>
      <w:r w:rsidRPr="001F48EC">
        <w:rPr>
          <w:color w:val="auto"/>
          <w:sz w:val="20"/>
          <w:szCs w:val="20"/>
          <w:vertAlign w:val="superscript"/>
          <w:lang w:val="is-IS"/>
        </w:rPr>
        <w:t>4</w:t>
      </w:r>
      <w:r w:rsidRPr="001F48EC">
        <w:rPr>
          <w:color w:val="auto"/>
          <w:sz w:val="20"/>
          <w:szCs w:val="20"/>
          <w:lang w:val="is-IS"/>
        </w:rPr>
        <w:tab/>
      </w:r>
      <w:r w:rsidR="00564614" w:rsidRPr="001F48EC">
        <w:rPr>
          <w:color w:val="auto"/>
          <w:sz w:val="20"/>
          <w:szCs w:val="20"/>
          <w:lang w:val="is-IS"/>
        </w:rPr>
        <w:t xml:space="preserve">U.þ.b. 95% </w:t>
      </w:r>
      <w:r w:rsidR="00916159" w:rsidRPr="001F48EC">
        <w:rPr>
          <w:color w:val="auto"/>
          <w:sz w:val="20"/>
          <w:szCs w:val="20"/>
          <w:lang w:val="is-IS"/>
        </w:rPr>
        <w:t>öryggis</w:t>
      </w:r>
      <w:r w:rsidR="00916159">
        <w:rPr>
          <w:color w:val="auto"/>
          <w:sz w:val="20"/>
          <w:szCs w:val="20"/>
          <w:lang w:val="is-IS"/>
        </w:rPr>
        <w:t>bil</w:t>
      </w:r>
      <w:r w:rsidR="00916159" w:rsidRPr="001F48EC">
        <w:rPr>
          <w:color w:val="auto"/>
          <w:sz w:val="20"/>
          <w:szCs w:val="20"/>
          <w:lang w:val="is-IS"/>
        </w:rPr>
        <w:t xml:space="preserve"> </w:t>
      </w:r>
      <w:r w:rsidR="00564614" w:rsidRPr="001F48EC">
        <w:rPr>
          <w:color w:val="auto"/>
          <w:sz w:val="20"/>
          <w:szCs w:val="20"/>
          <w:lang w:val="is-IS"/>
        </w:rPr>
        <w:t>fyrir mismun á tveimur áhættuhlutföllum, með aðferð Hauck-Anderson</w:t>
      </w:r>
      <w:r w:rsidRPr="001F48EC">
        <w:rPr>
          <w:color w:val="auto"/>
          <w:sz w:val="20"/>
          <w:szCs w:val="20"/>
          <w:lang w:val="is-IS"/>
        </w:rPr>
        <w:t>.</w:t>
      </w:r>
    </w:p>
    <w:p w14:paraId="459FC9E3" w14:textId="3892A191" w:rsidR="006C06D6" w:rsidRPr="001F48EC" w:rsidRDefault="00087198" w:rsidP="0073217C">
      <w:pPr>
        <w:suppressAutoHyphens/>
        <w:spacing w:after="0" w:line="240" w:lineRule="auto"/>
        <w:ind w:left="567" w:hanging="567"/>
        <w:rPr>
          <w:color w:val="auto"/>
          <w:sz w:val="20"/>
          <w:szCs w:val="20"/>
          <w:lang w:val="is-IS"/>
        </w:rPr>
      </w:pPr>
      <w:r w:rsidRPr="001F48EC">
        <w:rPr>
          <w:color w:val="auto"/>
          <w:sz w:val="20"/>
          <w:szCs w:val="20"/>
          <w:vertAlign w:val="superscript"/>
          <w:lang w:val="is-IS"/>
        </w:rPr>
        <w:t>5</w:t>
      </w:r>
      <w:r w:rsidRPr="001F48EC">
        <w:rPr>
          <w:color w:val="auto"/>
          <w:sz w:val="20"/>
          <w:szCs w:val="20"/>
          <w:lang w:val="is-IS"/>
        </w:rPr>
        <w:tab/>
      </w:r>
      <w:r w:rsidR="004D15E9">
        <w:rPr>
          <w:color w:val="auto"/>
          <w:sz w:val="20"/>
          <w:szCs w:val="20"/>
          <w:lang w:val="is-IS"/>
        </w:rPr>
        <w:t>L</w:t>
      </w:r>
      <w:r w:rsidR="004D15E9" w:rsidRPr="001F48EC">
        <w:rPr>
          <w:color w:val="auto"/>
          <w:sz w:val="20"/>
          <w:szCs w:val="20"/>
          <w:lang w:val="is-IS"/>
        </w:rPr>
        <w:t>og</w:t>
      </w:r>
      <w:r w:rsidR="00564614" w:rsidRPr="001F48EC">
        <w:rPr>
          <w:color w:val="auto"/>
          <w:sz w:val="20"/>
          <w:szCs w:val="20"/>
          <w:lang w:val="is-IS"/>
        </w:rPr>
        <w:t>-rank próf (lagskipt)</w:t>
      </w:r>
      <w:r w:rsidRPr="001F48EC">
        <w:rPr>
          <w:color w:val="auto"/>
          <w:sz w:val="20"/>
          <w:szCs w:val="20"/>
          <w:lang w:val="is-IS"/>
        </w:rPr>
        <w:t>.</w:t>
      </w:r>
    </w:p>
    <w:p w14:paraId="1E10F643" w14:textId="2459E277" w:rsidR="006C06D6" w:rsidRPr="001F48EC" w:rsidRDefault="00087198" w:rsidP="0073217C">
      <w:pPr>
        <w:suppressAutoHyphens/>
        <w:spacing w:after="0" w:line="240" w:lineRule="auto"/>
        <w:ind w:left="567" w:hanging="567"/>
        <w:rPr>
          <w:color w:val="auto"/>
          <w:sz w:val="20"/>
          <w:szCs w:val="20"/>
          <w:lang w:val="is-IS"/>
        </w:rPr>
      </w:pPr>
      <w:r w:rsidRPr="001F48EC">
        <w:rPr>
          <w:color w:val="auto"/>
          <w:sz w:val="20"/>
          <w:szCs w:val="20"/>
          <w:vertAlign w:val="superscript"/>
          <w:lang w:val="is-IS"/>
        </w:rPr>
        <w:lastRenderedPageBreak/>
        <w:t>6</w:t>
      </w:r>
      <w:r w:rsidRPr="001F48EC">
        <w:rPr>
          <w:color w:val="auto"/>
          <w:sz w:val="20"/>
          <w:szCs w:val="20"/>
          <w:lang w:val="is-IS"/>
        </w:rPr>
        <w:tab/>
      </w:r>
      <w:r w:rsidR="00564614" w:rsidRPr="001F48EC">
        <w:rPr>
          <w:color w:val="auto"/>
          <w:sz w:val="20"/>
          <w:szCs w:val="20"/>
          <w:lang w:val="is-IS"/>
        </w:rPr>
        <w:t xml:space="preserve">Frumgreining var gerð </w:t>
      </w:r>
      <w:r w:rsidR="007D1F70">
        <w:rPr>
          <w:rFonts w:ascii="Times" w:hAnsi="Times"/>
          <w:sz w:val="20"/>
          <w:lang w:val="is-IS"/>
        </w:rPr>
        <w:t>með lokadag gagnasöfnunar</w:t>
      </w:r>
      <w:r w:rsidR="007D1F70" w:rsidRPr="001F48EC" w:rsidDel="007D1F70">
        <w:rPr>
          <w:color w:val="auto"/>
          <w:sz w:val="20"/>
          <w:szCs w:val="20"/>
          <w:lang w:val="is-IS"/>
        </w:rPr>
        <w:t xml:space="preserve"> </w:t>
      </w:r>
      <w:r w:rsidR="00564614" w:rsidRPr="001F48EC">
        <w:rPr>
          <w:color w:val="auto"/>
          <w:sz w:val="20"/>
          <w:szCs w:val="20"/>
          <w:lang w:val="is-IS"/>
        </w:rPr>
        <w:t>12. desember 2012 og er talin vera lokagreining</w:t>
      </w:r>
      <w:r w:rsidRPr="001F48EC">
        <w:rPr>
          <w:color w:val="auto"/>
          <w:sz w:val="20"/>
          <w:szCs w:val="20"/>
          <w:lang w:val="is-IS"/>
        </w:rPr>
        <w:t>.</w:t>
      </w:r>
    </w:p>
    <w:p w14:paraId="0BC4384B" w14:textId="2751B37E" w:rsidR="006C06D6" w:rsidRPr="001F48EC" w:rsidRDefault="00087198" w:rsidP="0073217C">
      <w:pPr>
        <w:suppressAutoHyphens/>
        <w:spacing w:after="0" w:line="240" w:lineRule="auto"/>
        <w:ind w:left="567" w:hanging="567"/>
        <w:rPr>
          <w:color w:val="auto"/>
          <w:sz w:val="20"/>
          <w:szCs w:val="20"/>
          <w:lang w:val="is-IS"/>
        </w:rPr>
      </w:pPr>
      <w:r w:rsidRPr="001F48EC">
        <w:rPr>
          <w:color w:val="auto"/>
          <w:sz w:val="20"/>
          <w:szCs w:val="20"/>
          <w:vertAlign w:val="superscript"/>
          <w:lang w:val="is-IS"/>
        </w:rPr>
        <w:t>7</w:t>
      </w:r>
      <w:r w:rsidRPr="001F48EC">
        <w:rPr>
          <w:color w:val="auto"/>
          <w:sz w:val="20"/>
          <w:szCs w:val="20"/>
          <w:lang w:val="is-IS"/>
        </w:rPr>
        <w:tab/>
      </w:r>
      <w:r w:rsidR="00564614" w:rsidRPr="001F48EC">
        <w:rPr>
          <w:color w:val="auto"/>
          <w:sz w:val="20"/>
          <w:szCs w:val="20"/>
          <w:lang w:val="is-IS"/>
        </w:rPr>
        <w:t xml:space="preserve">Eftirfylgnigreining var gerð </w:t>
      </w:r>
      <w:r w:rsidR="007D1F70">
        <w:rPr>
          <w:rFonts w:ascii="Times" w:hAnsi="Times"/>
          <w:sz w:val="20"/>
          <w:lang w:val="is-IS"/>
        </w:rPr>
        <w:t>með lokadag gagnasöfnunar</w:t>
      </w:r>
      <w:r w:rsidR="007D1F70" w:rsidRPr="001F48EC" w:rsidDel="007D1F70">
        <w:rPr>
          <w:color w:val="auto"/>
          <w:sz w:val="20"/>
          <w:szCs w:val="20"/>
          <w:lang w:val="is-IS"/>
        </w:rPr>
        <w:t xml:space="preserve"> </w:t>
      </w:r>
      <w:r w:rsidR="00564614" w:rsidRPr="001F48EC">
        <w:rPr>
          <w:color w:val="auto"/>
          <w:sz w:val="20"/>
          <w:szCs w:val="20"/>
          <w:lang w:val="is-IS"/>
        </w:rPr>
        <w:t>7. mars 2014</w:t>
      </w:r>
      <w:r w:rsidRPr="001F48EC">
        <w:rPr>
          <w:color w:val="auto"/>
          <w:sz w:val="20"/>
          <w:szCs w:val="20"/>
          <w:lang w:val="is-IS"/>
        </w:rPr>
        <w:t>.</w:t>
      </w:r>
    </w:p>
    <w:p w14:paraId="01B04175" w14:textId="77777777" w:rsidR="006C06D6" w:rsidRPr="001F48EC" w:rsidRDefault="00087198" w:rsidP="0073217C">
      <w:pPr>
        <w:suppressAutoHyphens/>
        <w:spacing w:after="0" w:line="240" w:lineRule="auto"/>
        <w:ind w:left="567" w:hanging="567"/>
        <w:rPr>
          <w:b/>
          <w:color w:val="auto"/>
          <w:sz w:val="20"/>
          <w:szCs w:val="20"/>
          <w:lang w:val="is-IS"/>
        </w:rPr>
      </w:pPr>
      <w:r w:rsidRPr="001F48EC">
        <w:rPr>
          <w:color w:val="auto"/>
          <w:sz w:val="20"/>
          <w:szCs w:val="20"/>
          <w:vertAlign w:val="superscript"/>
          <w:lang w:val="is-IS"/>
        </w:rPr>
        <w:t>8</w:t>
      </w:r>
      <w:r w:rsidRPr="001F48EC">
        <w:rPr>
          <w:color w:val="auto"/>
          <w:sz w:val="20"/>
          <w:szCs w:val="20"/>
          <w:lang w:val="is-IS"/>
        </w:rPr>
        <w:tab/>
      </w:r>
      <w:r w:rsidR="00564614" w:rsidRPr="001F48EC">
        <w:rPr>
          <w:color w:val="auto"/>
          <w:sz w:val="20"/>
          <w:szCs w:val="20"/>
          <w:lang w:val="is-IS"/>
        </w:rPr>
        <w:t>p-gildi er eingöngu sýnt í lýsandi tilgangi</w:t>
      </w:r>
      <w:r w:rsidRPr="001F48EC">
        <w:rPr>
          <w:color w:val="auto"/>
          <w:sz w:val="20"/>
          <w:szCs w:val="20"/>
          <w:lang w:val="is-IS"/>
        </w:rPr>
        <w:t>.</w:t>
      </w:r>
    </w:p>
    <w:p w14:paraId="61CBDF6C" w14:textId="77777777" w:rsidR="005F36F3" w:rsidRPr="009F7642" w:rsidRDefault="005F36F3" w:rsidP="0073217C">
      <w:pPr>
        <w:suppressAutoHyphens/>
        <w:spacing w:after="0" w:line="240" w:lineRule="auto"/>
        <w:ind w:left="0" w:firstLine="0"/>
        <w:rPr>
          <w:color w:val="auto"/>
          <w:lang w:val="is-IS"/>
        </w:rPr>
      </w:pPr>
    </w:p>
    <w:p w14:paraId="65471BBC" w14:textId="77777777" w:rsidR="006C06D6" w:rsidRPr="001F48EC" w:rsidRDefault="00BF4F58" w:rsidP="00B72D20">
      <w:pPr>
        <w:keepNext/>
        <w:keepLines/>
        <w:suppressAutoHyphens/>
        <w:spacing w:after="0" w:line="240" w:lineRule="auto"/>
        <w:ind w:left="0" w:firstLine="0"/>
        <w:rPr>
          <w:b/>
          <w:color w:val="auto"/>
          <w:lang w:val="is-IS"/>
        </w:rPr>
      </w:pPr>
      <w:r w:rsidRPr="00504296">
        <w:rPr>
          <w:b/>
          <w:color w:val="auto"/>
          <w:lang w:val="is-IS"/>
        </w:rPr>
        <w:t xml:space="preserve">Tafla </w:t>
      </w:r>
      <w:r w:rsidR="00BA1F34" w:rsidRPr="00504296">
        <w:rPr>
          <w:b/>
          <w:color w:val="auto"/>
          <w:lang w:val="is-IS"/>
        </w:rPr>
        <w:t>2</w:t>
      </w:r>
      <w:r w:rsidR="00781331">
        <w:rPr>
          <w:b/>
          <w:color w:val="auto"/>
          <w:lang w:val="is-IS"/>
        </w:rPr>
        <w:t>6</w:t>
      </w:r>
      <w:r w:rsidR="00FE7644" w:rsidRPr="001F48EC">
        <w:rPr>
          <w:b/>
          <w:color w:val="auto"/>
          <w:lang w:val="is-IS"/>
        </w:rPr>
        <w:t>.</w:t>
      </w:r>
      <w:r w:rsidR="00CD5B6F" w:rsidRPr="001F48EC">
        <w:rPr>
          <w:b/>
          <w:color w:val="auto"/>
          <w:lang w:val="is-IS"/>
        </w:rPr>
        <w:t xml:space="preserve"> </w:t>
      </w:r>
      <w:r w:rsidR="00564614" w:rsidRPr="001F48EC">
        <w:rPr>
          <w:b/>
          <w:color w:val="auto"/>
          <w:lang w:val="is-IS"/>
        </w:rPr>
        <w:t>Niðurstöður varðandi heildarlifun úr GOG-0240 rannsókninni, sundurliðaðar eftir rannsóknarmeðferð</w:t>
      </w:r>
    </w:p>
    <w:p w14:paraId="73FFE28C" w14:textId="77777777" w:rsidR="005F36F3" w:rsidRPr="009F7642" w:rsidRDefault="005F36F3" w:rsidP="00B72D20">
      <w:pPr>
        <w:keepNext/>
        <w:keepLines/>
        <w:suppressAutoHyphens/>
        <w:spacing w:after="0" w:line="240" w:lineRule="auto"/>
        <w:ind w:left="0" w:firstLine="0"/>
        <w:rPr>
          <w:color w:val="auto"/>
          <w:lang w:val="is-I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351"/>
        <w:gridCol w:w="2376"/>
        <w:gridCol w:w="2398"/>
      </w:tblGrid>
      <w:tr w:rsidR="001F48EC" w:rsidRPr="009F7642" w14:paraId="055112DE" w14:textId="77777777" w:rsidTr="007566FC">
        <w:trPr>
          <w:cantSplit/>
          <w:tblHeader/>
        </w:trPr>
        <w:tc>
          <w:tcPr>
            <w:tcW w:w="1155" w:type="pct"/>
            <w:tcBorders>
              <w:top w:val="single" w:sz="4" w:space="0" w:color="auto"/>
              <w:left w:val="single" w:sz="4" w:space="0" w:color="auto"/>
              <w:bottom w:val="single" w:sz="4" w:space="0" w:color="auto"/>
              <w:right w:val="single" w:sz="4" w:space="0" w:color="auto"/>
            </w:tcBorders>
            <w:hideMark/>
          </w:tcPr>
          <w:p w14:paraId="3AA2FA3D" w14:textId="77777777" w:rsidR="005F4C98" w:rsidRPr="009F7642" w:rsidRDefault="005F4C98" w:rsidP="00B72D20">
            <w:pPr>
              <w:keepNext/>
              <w:keepLines/>
              <w:suppressAutoHyphens/>
              <w:spacing w:line="259" w:lineRule="auto"/>
              <w:ind w:left="56"/>
              <w:rPr>
                <w:b/>
                <w:color w:val="auto"/>
                <w:lang w:val="is-IS"/>
              </w:rPr>
            </w:pPr>
            <w:bookmarkStart w:id="5" w:name="_Hlk490315858"/>
            <w:r w:rsidRPr="009F7642">
              <w:rPr>
                <w:b/>
                <w:color w:val="auto"/>
                <w:lang w:val="is-IS"/>
              </w:rPr>
              <w:t xml:space="preserve">Samanburður á meðferðum </w:t>
            </w:r>
          </w:p>
        </w:tc>
        <w:tc>
          <w:tcPr>
            <w:tcW w:w="1269" w:type="pct"/>
            <w:tcBorders>
              <w:top w:val="single" w:sz="4" w:space="0" w:color="auto"/>
              <w:left w:val="single" w:sz="4" w:space="0" w:color="auto"/>
              <w:bottom w:val="single" w:sz="4" w:space="0" w:color="auto"/>
              <w:right w:val="single" w:sz="4" w:space="0" w:color="auto"/>
            </w:tcBorders>
            <w:vAlign w:val="center"/>
            <w:hideMark/>
          </w:tcPr>
          <w:p w14:paraId="1966C6DC" w14:textId="77777777" w:rsidR="005F4C98" w:rsidRPr="009F7642" w:rsidRDefault="005F4C98" w:rsidP="00B72D20">
            <w:pPr>
              <w:keepNext/>
              <w:keepLines/>
              <w:suppressAutoHyphens/>
              <w:spacing w:line="259" w:lineRule="auto"/>
              <w:ind w:right="58"/>
              <w:jc w:val="center"/>
              <w:rPr>
                <w:b/>
                <w:color w:val="auto"/>
                <w:lang w:val="is-IS"/>
              </w:rPr>
            </w:pPr>
            <w:r w:rsidRPr="009F7642">
              <w:rPr>
                <w:b/>
                <w:color w:val="auto"/>
                <w:lang w:val="is-IS"/>
              </w:rPr>
              <w:t>Aðrir þættir</w:t>
            </w:r>
          </w:p>
        </w:tc>
        <w:tc>
          <w:tcPr>
            <w:tcW w:w="1282" w:type="pct"/>
            <w:tcBorders>
              <w:top w:val="single" w:sz="4" w:space="0" w:color="auto"/>
              <w:left w:val="single" w:sz="4" w:space="0" w:color="auto"/>
              <w:bottom w:val="single" w:sz="4" w:space="0" w:color="auto"/>
              <w:right w:val="single" w:sz="4" w:space="0" w:color="auto"/>
            </w:tcBorders>
            <w:vAlign w:val="center"/>
            <w:hideMark/>
          </w:tcPr>
          <w:p w14:paraId="16E7B174" w14:textId="601C1586" w:rsidR="005F4C98" w:rsidRPr="009F7642" w:rsidRDefault="005F4C98" w:rsidP="00B72D20">
            <w:pPr>
              <w:keepNext/>
              <w:keepLines/>
              <w:suppressAutoHyphens/>
              <w:spacing w:line="259" w:lineRule="auto"/>
              <w:ind w:left="26" w:firstLine="223"/>
              <w:jc w:val="center"/>
              <w:rPr>
                <w:b/>
                <w:color w:val="auto"/>
                <w:lang w:val="is-IS"/>
              </w:rPr>
            </w:pPr>
            <w:r w:rsidRPr="009F7642">
              <w:rPr>
                <w:b/>
                <w:color w:val="auto"/>
                <w:lang w:val="is-IS"/>
              </w:rPr>
              <w:t>Heildarlifun – Frumgreining</w:t>
            </w:r>
            <w:r w:rsidRPr="009F7642">
              <w:rPr>
                <w:b/>
                <w:color w:val="auto"/>
                <w:vertAlign w:val="superscript"/>
                <w:lang w:val="is-IS"/>
              </w:rPr>
              <w:t xml:space="preserve">1 </w:t>
            </w:r>
            <w:r w:rsidRPr="009F7642">
              <w:rPr>
                <w:b/>
                <w:color w:val="auto"/>
                <w:lang w:val="is-IS"/>
              </w:rPr>
              <w:t xml:space="preserve">Áhættuhlutfall (95% </w:t>
            </w:r>
            <w:r w:rsidR="00916159" w:rsidRPr="009F7642">
              <w:rPr>
                <w:b/>
                <w:color w:val="auto"/>
                <w:lang w:val="is-IS"/>
              </w:rPr>
              <w:t>öryggis</w:t>
            </w:r>
            <w:r w:rsidR="00916159">
              <w:rPr>
                <w:b/>
                <w:color w:val="auto"/>
                <w:lang w:val="is-IS"/>
              </w:rPr>
              <w:t>bil</w:t>
            </w:r>
            <w:r w:rsidRPr="009F7642">
              <w:rPr>
                <w:b/>
                <w:color w:val="auto"/>
                <w:lang w:val="is-IS"/>
              </w:rPr>
              <w:t>)</w:t>
            </w:r>
          </w:p>
        </w:tc>
        <w:tc>
          <w:tcPr>
            <w:tcW w:w="1294" w:type="pct"/>
            <w:tcBorders>
              <w:top w:val="single" w:sz="4" w:space="0" w:color="auto"/>
              <w:left w:val="single" w:sz="4" w:space="0" w:color="auto"/>
              <w:bottom w:val="single" w:sz="4" w:space="0" w:color="auto"/>
              <w:right w:val="single" w:sz="4" w:space="0" w:color="auto"/>
            </w:tcBorders>
            <w:vAlign w:val="center"/>
            <w:hideMark/>
          </w:tcPr>
          <w:p w14:paraId="518F6636" w14:textId="30729511" w:rsidR="005F4C98" w:rsidRPr="009F7642" w:rsidRDefault="005F4C98" w:rsidP="00B72D20">
            <w:pPr>
              <w:keepNext/>
              <w:keepLines/>
              <w:suppressAutoHyphens/>
              <w:spacing w:line="259" w:lineRule="auto"/>
              <w:jc w:val="center"/>
              <w:rPr>
                <w:b/>
                <w:color w:val="auto"/>
                <w:lang w:val="is-IS"/>
              </w:rPr>
            </w:pPr>
            <w:r w:rsidRPr="009F7642">
              <w:rPr>
                <w:b/>
                <w:color w:val="auto"/>
                <w:lang w:val="is-IS"/>
              </w:rPr>
              <w:t>Heildarlifun – Eftirfylgnigreining</w:t>
            </w:r>
            <w:r w:rsidRPr="009F7642">
              <w:rPr>
                <w:b/>
                <w:color w:val="auto"/>
                <w:vertAlign w:val="superscript"/>
                <w:lang w:val="is-IS"/>
              </w:rPr>
              <w:t xml:space="preserve">2 </w:t>
            </w:r>
            <w:r w:rsidRPr="009F7642">
              <w:rPr>
                <w:b/>
                <w:color w:val="auto"/>
                <w:lang w:val="is-IS"/>
              </w:rPr>
              <w:t xml:space="preserve">Áhættuhlutfall (95% </w:t>
            </w:r>
            <w:r w:rsidR="00916159" w:rsidRPr="009F7642">
              <w:rPr>
                <w:b/>
                <w:color w:val="auto"/>
                <w:lang w:val="is-IS"/>
              </w:rPr>
              <w:t>öryggis</w:t>
            </w:r>
            <w:r w:rsidR="00916159">
              <w:rPr>
                <w:b/>
                <w:color w:val="auto"/>
                <w:lang w:val="is-IS"/>
              </w:rPr>
              <w:t>bil</w:t>
            </w:r>
            <w:r w:rsidRPr="009F7642">
              <w:rPr>
                <w:b/>
                <w:color w:val="auto"/>
                <w:lang w:val="is-IS"/>
              </w:rPr>
              <w:t>)</w:t>
            </w:r>
          </w:p>
        </w:tc>
      </w:tr>
      <w:tr w:rsidR="001F48EC" w:rsidRPr="009F7642" w14:paraId="30C63017" w14:textId="77777777" w:rsidTr="007566FC">
        <w:trPr>
          <w:cantSplit/>
        </w:trPr>
        <w:tc>
          <w:tcPr>
            <w:tcW w:w="1155" w:type="pct"/>
            <w:vMerge w:val="restart"/>
            <w:tcBorders>
              <w:top w:val="single" w:sz="4" w:space="0" w:color="auto"/>
              <w:left w:val="single" w:sz="4" w:space="0" w:color="auto"/>
              <w:bottom w:val="nil"/>
              <w:right w:val="single" w:sz="4" w:space="0" w:color="auto"/>
            </w:tcBorders>
            <w:hideMark/>
          </w:tcPr>
          <w:p w14:paraId="124D7BAF" w14:textId="77777777" w:rsidR="005F4C98" w:rsidRPr="009F7642" w:rsidRDefault="00690564" w:rsidP="00B72D20">
            <w:pPr>
              <w:keepNext/>
              <w:keepLines/>
              <w:suppressAutoHyphens/>
              <w:spacing w:after="0" w:line="240" w:lineRule="auto"/>
              <w:ind w:left="0" w:firstLine="0"/>
              <w:rPr>
                <w:rFonts w:eastAsia="Calibri"/>
                <w:color w:val="auto"/>
                <w:lang w:val="is-IS"/>
              </w:rPr>
            </w:pPr>
            <w:r w:rsidRPr="00F2274F">
              <w:rPr>
                <w:lang w:val="is-IS"/>
              </w:rPr>
              <w:t>Bevacízúmab</w:t>
            </w:r>
            <w:r w:rsidR="005F4C98" w:rsidRPr="009F7642">
              <w:rPr>
                <w:color w:val="auto"/>
                <w:lang w:val="is-IS"/>
              </w:rPr>
              <w:t xml:space="preserve"> borið saman við Ekki </w:t>
            </w:r>
            <w:r w:rsidRPr="00F2274F">
              <w:rPr>
                <w:lang w:val="is-IS"/>
              </w:rPr>
              <w:t>bevacízúmab</w:t>
            </w:r>
            <w:r w:rsidR="005F4C98" w:rsidRPr="009F7642">
              <w:rPr>
                <w:color w:val="auto"/>
                <w:lang w:val="is-IS"/>
              </w:rPr>
              <w:t xml:space="preserve"> </w:t>
            </w:r>
          </w:p>
        </w:tc>
        <w:tc>
          <w:tcPr>
            <w:tcW w:w="1269" w:type="pct"/>
            <w:tcBorders>
              <w:top w:val="single" w:sz="4" w:space="0" w:color="auto"/>
              <w:left w:val="single" w:sz="4" w:space="0" w:color="auto"/>
              <w:bottom w:val="single" w:sz="4" w:space="0" w:color="auto"/>
              <w:right w:val="single" w:sz="4" w:space="0" w:color="auto"/>
            </w:tcBorders>
            <w:hideMark/>
          </w:tcPr>
          <w:p w14:paraId="418EA26B" w14:textId="77777777" w:rsidR="005F4C98" w:rsidRPr="009F7642" w:rsidRDefault="005F4C98" w:rsidP="00B72D20">
            <w:pPr>
              <w:keepNext/>
              <w:keepLines/>
              <w:suppressAutoHyphens/>
              <w:spacing w:after="154"/>
              <w:ind w:left="0" w:firstLine="0"/>
              <w:jc w:val="both"/>
              <w:rPr>
                <w:rFonts w:eastAsia="Calibri"/>
                <w:color w:val="auto"/>
                <w:lang w:val="is-IS"/>
              </w:rPr>
            </w:pPr>
            <w:r w:rsidRPr="009F7642">
              <w:rPr>
                <w:color w:val="auto"/>
                <w:lang w:val="is-IS"/>
              </w:rPr>
              <w:t xml:space="preserve">Cisplatín + Paklítaxel </w:t>
            </w:r>
          </w:p>
        </w:tc>
        <w:tc>
          <w:tcPr>
            <w:tcW w:w="1282" w:type="pct"/>
            <w:tcBorders>
              <w:top w:val="single" w:sz="4" w:space="0" w:color="auto"/>
              <w:left w:val="single" w:sz="4" w:space="0" w:color="auto"/>
              <w:bottom w:val="single" w:sz="4" w:space="0" w:color="auto"/>
              <w:right w:val="single" w:sz="4" w:space="0" w:color="auto"/>
            </w:tcBorders>
            <w:hideMark/>
          </w:tcPr>
          <w:p w14:paraId="17F9C568" w14:textId="77777777" w:rsidR="005F4C98" w:rsidRPr="009F7642" w:rsidRDefault="005F4C98" w:rsidP="00B72D20">
            <w:pPr>
              <w:keepNext/>
              <w:keepLines/>
              <w:suppressAutoHyphens/>
              <w:spacing w:after="40" w:line="259" w:lineRule="auto"/>
              <w:ind w:right="54"/>
              <w:jc w:val="center"/>
              <w:rPr>
                <w:color w:val="auto"/>
                <w:lang w:val="is-IS"/>
              </w:rPr>
            </w:pPr>
            <w:r w:rsidRPr="009F7642">
              <w:rPr>
                <w:color w:val="auto"/>
                <w:lang w:val="is-IS"/>
              </w:rPr>
              <w:t>0,72 (0,51; 1,02)</w:t>
            </w:r>
          </w:p>
          <w:p w14:paraId="6416D4C9" w14:textId="77777777" w:rsidR="005F4C98" w:rsidRPr="009F7642" w:rsidRDefault="005F4C98" w:rsidP="00B72D20">
            <w:pPr>
              <w:keepNext/>
              <w:keepLines/>
              <w:suppressAutoHyphens/>
              <w:spacing w:after="56" w:line="259" w:lineRule="auto"/>
              <w:jc w:val="center"/>
              <w:rPr>
                <w:rFonts w:eastAsia="Calibri"/>
                <w:color w:val="auto"/>
                <w:lang w:val="is-IS"/>
              </w:rPr>
            </w:pPr>
            <w:r w:rsidRPr="009F7642">
              <w:rPr>
                <w:color w:val="auto"/>
                <w:lang w:val="is-IS"/>
              </w:rPr>
              <w:t>(17,5 eða 14,3 mánuðir; p</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0,0609)</w:t>
            </w:r>
          </w:p>
        </w:tc>
        <w:tc>
          <w:tcPr>
            <w:tcW w:w="1294" w:type="pct"/>
            <w:tcBorders>
              <w:top w:val="single" w:sz="4" w:space="0" w:color="auto"/>
              <w:left w:val="single" w:sz="4" w:space="0" w:color="auto"/>
              <w:bottom w:val="single" w:sz="4" w:space="0" w:color="auto"/>
              <w:right w:val="single" w:sz="4" w:space="0" w:color="auto"/>
            </w:tcBorders>
            <w:hideMark/>
          </w:tcPr>
          <w:p w14:paraId="5AEE1116" w14:textId="77777777" w:rsidR="005F4C98" w:rsidRPr="009F7642" w:rsidRDefault="005F4C98" w:rsidP="00B72D20">
            <w:pPr>
              <w:keepNext/>
              <w:keepLines/>
              <w:suppressAutoHyphens/>
              <w:spacing w:after="40" w:line="259" w:lineRule="auto"/>
              <w:ind w:left="5"/>
              <w:jc w:val="center"/>
              <w:rPr>
                <w:color w:val="auto"/>
                <w:lang w:val="is-IS"/>
              </w:rPr>
            </w:pPr>
            <w:r w:rsidRPr="009F7642">
              <w:rPr>
                <w:color w:val="auto"/>
                <w:lang w:val="is-IS"/>
              </w:rPr>
              <w:t>0,75 (0,55; 1,01)</w:t>
            </w:r>
          </w:p>
          <w:p w14:paraId="7A1272AC" w14:textId="77777777" w:rsidR="005F4C98" w:rsidRPr="009F7642" w:rsidRDefault="005F4C98" w:rsidP="00B72D20">
            <w:pPr>
              <w:keepNext/>
              <w:keepLines/>
              <w:suppressAutoHyphens/>
              <w:autoSpaceDE w:val="0"/>
              <w:autoSpaceDN w:val="0"/>
              <w:adjustRightInd w:val="0"/>
              <w:spacing w:line="240" w:lineRule="auto"/>
              <w:jc w:val="center"/>
              <w:rPr>
                <w:rFonts w:eastAsia="Calibri"/>
                <w:color w:val="auto"/>
                <w:lang w:val="is-IS"/>
              </w:rPr>
            </w:pPr>
            <w:r w:rsidRPr="009F7642">
              <w:rPr>
                <w:color w:val="auto"/>
                <w:lang w:val="is-IS"/>
              </w:rPr>
              <w:t>(17,5 eða 15,0 mánuðir; p</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0,0584)</w:t>
            </w:r>
          </w:p>
        </w:tc>
      </w:tr>
      <w:tr w:rsidR="001F48EC" w:rsidRPr="009F7642" w14:paraId="2DD2B47C" w14:textId="77777777" w:rsidTr="007566FC">
        <w:trPr>
          <w:cantSplit/>
        </w:trPr>
        <w:tc>
          <w:tcPr>
            <w:tcW w:w="1155" w:type="pct"/>
            <w:vMerge/>
            <w:tcBorders>
              <w:top w:val="single" w:sz="4" w:space="0" w:color="auto"/>
              <w:left w:val="single" w:sz="4" w:space="0" w:color="auto"/>
              <w:bottom w:val="nil"/>
              <w:right w:val="single" w:sz="4" w:space="0" w:color="auto"/>
            </w:tcBorders>
            <w:vAlign w:val="center"/>
            <w:hideMark/>
          </w:tcPr>
          <w:p w14:paraId="3E2FA2B8" w14:textId="77777777" w:rsidR="005F4C98" w:rsidRPr="009F7642" w:rsidRDefault="005F4C98" w:rsidP="0073217C">
            <w:pPr>
              <w:suppressAutoHyphens/>
              <w:spacing w:line="240" w:lineRule="auto"/>
              <w:rPr>
                <w:rFonts w:eastAsia="Calibri"/>
                <w:color w:val="auto"/>
                <w:lang w:val="is-IS"/>
              </w:rPr>
            </w:pPr>
          </w:p>
        </w:tc>
        <w:tc>
          <w:tcPr>
            <w:tcW w:w="1269" w:type="pct"/>
            <w:tcBorders>
              <w:top w:val="single" w:sz="4" w:space="0" w:color="auto"/>
              <w:left w:val="single" w:sz="4" w:space="0" w:color="auto"/>
              <w:bottom w:val="single" w:sz="4" w:space="0" w:color="auto"/>
              <w:right w:val="single" w:sz="4" w:space="0" w:color="auto"/>
            </w:tcBorders>
            <w:hideMark/>
          </w:tcPr>
          <w:p w14:paraId="448247CF" w14:textId="77777777" w:rsidR="005F4C98" w:rsidRPr="00F2274F" w:rsidRDefault="005F4C98" w:rsidP="00F2274F">
            <w:pPr>
              <w:suppressAutoHyphens/>
              <w:spacing w:line="240" w:lineRule="auto"/>
            </w:pPr>
            <w:proofErr w:type="spellStart"/>
            <w:r w:rsidRPr="00F2274F">
              <w:t>Tópótekan</w:t>
            </w:r>
            <w:proofErr w:type="spellEnd"/>
            <w:r w:rsidRPr="00F2274F">
              <w:t xml:space="preserve"> + </w:t>
            </w:r>
            <w:proofErr w:type="spellStart"/>
            <w:r w:rsidRPr="00F2274F">
              <w:t>Paklítaxel</w:t>
            </w:r>
            <w:proofErr w:type="spellEnd"/>
            <w:r w:rsidRPr="00F2274F">
              <w:t xml:space="preserve"> </w:t>
            </w:r>
          </w:p>
        </w:tc>
        <w:tc>
          <w:tcPr>
            <w:tcW w:w="1282" w:type="pct"/>
            <w:tcBorders>
              <w:top w:val="single" w:sz="4" w:space="0" w:color="auto"/>
              <w:left w:val="single" w:sz="4" w:space="0" w:color="auto"/>
              <w:bottom w:val="single" w:sz="4" w:space="0" w:color="auto"/>
              <w:right w:val="single" w:sz="4" w:space="0" w:color="auto"/>
            </w:tcBorders>
            <w:hideMark/>
          </w:tcPr>
          <w:p w14:paraId="5509974E" w14:textId="77777777" w:rsidR="005F4C98" w:rsidRPr="009F7642" w:rsidRDefault="005F4C98" w:rsidP="0073217C">
            <w:pPr>
              <w:suppressAutoHyphens/>
              <w:spacing w:after="42" w:line="259" w:lineRule="auto"/>
              <w:ind w:right="54"/>
              <w:jc w:val="center"/>
              <w:rPr>
                <w:color w:val="auto"/>
                <w:lang w:val="is-IS"/>
              </w:rPr>
            </w:pPr>
            <w:r w:rsidRPr="009F7642">
              <w:rPr>
                <w:color w:val="auto"/>
                <w:lang w:val="is-IS"/>
              </w:rPr>
              <w:t>0,76 (0,55; 1,06)</w:t>
            </w:r>
          </w:p>
          <w:p w14:paraId="6BFE73A2" w14:textId="77777777" w:rsidR="005F4C98" w:rsidRPr="009F7642" w:rsidRDefault="005F4C98" w:rsidP="0073217C">
            <w:pPr>
              <w:suppressAutoHyphens/>
              <w:spacing w:after="56" w:line="259" w:lineRule="auto"/>
              <w:jc w:val="center"/>
              <w:rPr>
                <w:rFonts w:eastAsia="Calibri"/>
                <w:color w:val="auto"/>
                <w:lang w:val="is-IS"/>
              </w:rPr>
            </w:pPr>
            <w:r w:rsidRPr="009F7642">
              <w:rPr>
                <w:color w:val="auto"/>
                <w:lang w:val="is-IS"/>
              </w:rPr>
              <w:t>(14,9 eða 11,9 mánuðir; p</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0,1061)</w:t>
            </w:r>
          </w:p>
        </w:tc>
        <w:tc>
          <w:tcPr>
            <w:tcW w:w="1294" w:type="pct"/>
            <w:tcBorders>
              <w:top w:val="single" w:sz="4" w:space="0" w:color="auto"/>
              <w:left w:val="single" w:sz="4" w:space="0" w:color="auto"/>
              <w:bottom w:val="single" w:sz="4" w:space="0" w:color="auto"/>
              <w:right w:val="single" w:sz="4" w:space="0" w:color="auto"/>
            </w:tcBorders>
            <w:hideMark/>
          </w:tcPr>
          <w:p w14:paraId="1BA70810" w14:textId="77777777" w:rsidR="005F4C98" w:rsidRPr="009F7642" w:rsidRDefault="005F4C98" w:rsidP="0073217C">
            <w:pPr>
              <w:suppressAutoHyphens/>
              <w:spacing w:after="42" w:line="259" w:lineRule="auto"/>
              <w:ind w:left="5"/>
              <w:jc w:val="center"/>
              <w:rPr>
                <w:color w:val="auto"/>
                <w:lang w:val="is-IS"/>
              </w:rPr>
            </w:pPr>
            <w:r w:rsidRPr="009F7642">
              <w:rPr>
                <w:color w:val="auto"/>
                <w:lang w:val="is-IS"/>
              </w:rPr>
              <w:t>0,79 (0,59; 1,07)</w:t>
            </w:r>
          </w:p>
          <w:p w14:paraId="71ED0B2D" w14:textId="77777777" w:rsidR="005F4C98" w:rsidRPr="009F7642" w:rsidRDefault="005F4C98" w:rsidP="0073217C">
            <w:pPr>
              <w:suppressAutoHyphens/>
              <w:autoSpaceDE w:val="0"/>
              <w:autoSpaceDN w:val="0"/>
              <w:adjustRightInd w:val="0"/>
              <w:spacing w:line="240" w:lineRule="auto"/>
              <w:jc w:val="center"/>
              <w:rPr>
                <w:rFonts w:eastAsia="Calibri"/>
                <w:color w:val="auto"/>
                <w:lang w:val="is-IS"/>
              </w:rPr>
            </w:pPr>
            <w:r w:rsidRPr="009F7642">
              <w:rPr>
                <w:color w:val="auto"/>
                <w:lang w:val="is-IS"/>
              </w:rPr>
              <w:t>(16,2 eða 12,0 mánuðir; p</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0,1342)</w:t>
            </w:r>
          </w:p>
        </w:tc>
      </w:tr>
      <w:tr w:rsidR="001F48EC" w:rsidRPr="009F7642" w14:paraId="7F4551C9" w14:textId="77777777" w:rsidTr="007566FC">
        <w:trPr>
          <w:cantSplit/>
        </w:trPr>
        <w:tc>
          <w:tcPr>
            <w:tcW w:w="1155" w:type="pct"/>
            <w:vMerge w:val="restart"/>
            <w:tcBorders>
              <w:top w:val="single" w:sz="4" w:space="0" w:color="auto"/>
              <w:left w:val="single" w:sz="4" w:space="0" w:color="auto"/>
              <w:bottom w:val="single" w:sz="4" w:space="0" w:color="auto"/>
              <w:right w:val="single" w:sz="4" w:space="0" w:color="auto"/>
            </w:tcBorders>
            <w:hideMark/>
          </w:tcPr>
          <w:p w14:paraId="0762CBB2" w14:textId="77777777" w:rsidR="005F4C98" w:rsidRPr="009F7642" w:rsidRDefault="005F4C98" w:rsidP="0073217C">
            <w:pPr>
              <w:suppressAutoHyphens/>
              <w:spacing w:after="0" w:line="240" w:lineRule="auto"/>
              <w:ind w:left="0" w:firstLine="0"/>
              <w:rPr>
                <w:rFonts w:eastAsia="Calibri"/>
                <w:color w:val="auto"/>
                <w:lang w:val="is-IS"/>
              </w:rPr>
            </w:pPr>
            <w:r w:rsidRPr="009F7642">
              <w:rPr>
                <w:rFonts w:eastAsia="Calibri"/>
                <w:color w:val="auto"/>
                <w:lang w:val="is-IS"/>
              </w:rPr>
              <w:t>Tópótekan</w:t>
            </w:r>
            <w:r w:rsidRPr="009F7642">
              <w:rPr>
                <w:color w:val="auto"/>
                <w:lang w:val="is-IS"/>
              </w:rPr>
              <w:t>+Paklítaxel borið saman við Cisplatín+ Paklítaxel</w:t>
            </w:r>
          </w:p>
        </w:tc>
        <w:tc>
          <w:tcPr>
            <w:tcW w:w="1269" w:type="pct"/>
            <w:tcBorders>
              <w:top w:val="single" w:sz="4" w:space="0" w:color="auto"/>
              <w:left w:val="single" w:sz="4" w:space="0" w:color="auto"/>
              <w:bottom w:val="single" w:sz="4" w:space="0" w:color="auto"/>
              <w:right w:val="single" w:sz="4" w:space="0" w:color="auto"/>
            </w:tcBorders>
            <w:hideMark/>
          </w:tcPr>
          <w:p w14:paraId="742D2C8D" w14:textId="77777777" w:rsidR="005F4C98" w:rsidRPr="009F7642" w:rsidRDefault="00690564" w:rsidP="0073217C">
            <w:pPr>
              <w:suppressAutoHyphens/>
              <w:spacing w:line="240" w:lineRule="auto"/>
              <w:rPr>
                <w:color w:val="auto"/>
                <w:lang w:val="is-IS"/>
              </w:rPr>
            </w:pPr>
            <w:proofErr w:type="spellStart"/>
            <w:r>
              <w:t>Bevacízúmab</w:t>
            </w:r>
            <w:proofErr w:type="spellEnd"/>
            <w:r w:rsidR="005F4C98" w:rsidRPr="009F7642">
              <w:rPr>
                <w:color w:val="auto"/>
                <w:lang w:val="is-IS"/>
              </w:rPr>
              <w:t xml:space="preserve"> </w:t>
            </w:r>
          </w:p>
        </w:tc>
        <w:tc>
          <w:tcPr>
            <w:tcW w:w="1282" w:type="pct"/>
            <w:tcBorders>
              <w:top w:val="single" w:sz="4" w:space="0" w:color="auto"/>
              <w:left w:val="single" w:sz="4" w:space="0" w:color="auto"/>
              <w:bottom w:val="single" w:sz="4" w:space="0" w:color="auto"/>
              <w:right w:val="single" w:sz="4" w:space="0" w:color="auto"/>
            </w:tcBorders>
            <w:hideMark/>
          </w:tcPr>
          <w:p w14:paraId="0413029B" w14:textId="77777777" w:rsidR="005F4C98" w:rsidRPr="009F7642" w:rsidRDefault="005F4C98" w:rsidP="0073217C">
            <w:pPr>
              <w:suppressAutoHyphens/>
              <w:spacing w:after="42" w:line="259" w:lineRule="auto"/>
              <w:ind w:right="54"/>
              <w:jc w:val="center"/>
              <w:rPr>
                <w:color w:val="auto"/>
                <w:lang w:val="is-IS"/>
              </w:rPr>
            </w:pPr>
            <w:r w:rsidRPr="009F7642">
              <w:rPr>
                <w:color w:val="auto"/>
                <w:lang w:val="is-IS"/>
              </w:rPr>
              <w:t>1,15 (0,82; 1,61)</w:t>
            </w:r>
          </w:p>
          <w:p w14:paraId="68579EA4" w14:textId="77777777" w:rsidR="005F4C98" w:rsidRPr="009F7642" w:rsidRDefault="005F4C98" w:rsidP="0073217C">
            <w:pPr>
              <w:suppressAutoHyphens/>
              <w:autoSpaceDE w:val="0"/>
              <w:autoSpaceDN w:val="0"/>
              <w:adjustRightInd w:val="0"/>
              <w:spacing w:line="240" w:lineRule="auto"/>
              <w:jc w:val="center"/>
              <w:rPr>
                <w:rFonts w:eastAsia="Calibri"/>
                <w:color w:val="auto"/>
                <w:lang w:val="is-IS"/>
              </w:rPr>
            </w:pPr>
            <w:r w:rsidRPr="009F7642">
              <w:rPr>
                <w:color w:val="auto"/>
                <w:lang w:val="is-IS"/>
              </w:rPr>
              <w:t>(14,9 eða 17,5 mánuðir; p</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0,4146)</w:t>
            </w:r>
          </w:p>
        </w:tc>
        <w:tc>
          <w:tcPr>
            <w:tcW w:w="1294" w:type="pct"/>
            <w:tcBorders>
              <w:top w:val="single" w:sz="4" w:space="0" w:color="auto"/>
              <w:left w:val="single" w:sz="4" w:space="0" w:color="auto"/>
              <w:bottom w:val="single" w:sz="4" w:space="0" w:color="auto"/>
              <w:right w:val="single" w:sz="4" w:space="0" w:color="auto"/>
            </w:tcBorders>
            <w:hideMark/>
          </w:tcPr>
          <w:p w14:paraId="046DEB79" w14:textId="77777777" w:rsidR="005F4C98" w:rsidRPr="009F7642" w:rsidRDefault="005F4C98" w:rsidP="0073217C">
            <w:pPr>
              <w:suppressAutoHyphens/>
              <w:spacing w:after="42" w:line="259" w:lineRule="auto"/>
              <w:ind w:left="5"/>
              <w:jc w:val="center"/>
              <w:rPr>
                <w:color w:val="auto"/>
                <w:lang w:val="is-IS"/>
              </w:rPr>
            </w:pPr>
            <w:r w:rsidRPr="009F7642">
              <w:rPr>
                <w:color w:val="auto"/>
                <w:lang w:val="is-IS"/>
              </w:rPr>
              <w:t>1,15 (0,85; 1,56)</w:t>
            </w:r>
          </w:p>
          <w:p w14:paraId="07EF3808" w14:textId="77777777" w:rsidR="005F4C98" w:rsidRPr="009F7642" w:rsidRDefault="005F4C98" w:rsidP="0073217C">
            <w:pPr>
              <w:suppressAutoHyphens/>
              <w:autoSpaceDE w:val="0"/>
              <w:autoSpaceDN w:val="0"/>
              <w:adjustRightInd w:val="0"/>
              <w:spacing w:line="240" w:lineRule="auto"/>
              <w:jc w:val="center"/>
              <w:rPr>
                <w:rFonts w:eastAsia="Calibri"/>
                <w:color w:val="auto"/>
                <w:lang w:val="is-IS"/>
              </w:rPr>
            </w:pPr>
            <w:r w:rsidRPr="009F7642">
              <w:rPr>
                <w:color w:val="auto"/>
                <w:lang w:val="is-IS"/>
              </w:rPr>
              <w:t>(16,2 eða 17,5 mánuðir; p</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0,3769)</w:t>
            </w:r>
          </w:p>
        </w:tc>
      </w:tr>
      <w:tr w:rsidR="001F48EC" w:rsidRPr="009F7642" w14:paraId="4520BF6F" w14:textId="77777777" w:rsidTr="007566FC">
        <w:trPr>
          <w:cantSplit/>
          <w:trHeight w:val="617"/>
        </w:trPr>
        <w:tc>
          <w:tcPr>
            <w:tcW w:w="1155" w:type="pct"/>
            <w:vMerge/>
            <w:tcBorders>
              <w:top w:val="single" w:sz="4" w:space="0" w:color="auto"/>
              <w:left w:val="single" w:sz="4" w:space="0" w:color="auto"/>
              <w:bottom w:val="single" w:sz="4" w:space="0" w:color="auto"/>
              <w:right w:val="single" w:sz="4" w:space="0" w:color="auto"/>
            </w:tcBorders>
            <w:vAlign w:val="center"/>
            <w:hideMark/>
          </w:tcPr>
          <w:p w14:paraId="215F85C8" w14:textId="77777777" w:rsidR="005F4C98" w:rsidRPr="009F7642" w:rsidRDefault="005F4C98" w:rsidP="0073217C">
            <w:pPr>
              <w:suppressAutoHyphens/>
              <w:spacing w:line="240" w:lineRule="auto"/>
              <w:rPr>
                <w:rFonts w:eastAsia="Calibri"/>
                <w:color w:val="auto"/>
                <w:lang w:val="is-IS"/>
              </w:rPr>
            </w:pPr>
          </w:p>
        </w:tc>
        <w:tc>
          <w:tcPr>
            <w:tcW w:w="1269" w:type="pct"/>
            <w:tcBorders>
              <w:top w:val="single" w:sz="4" w:space="0" w:color="auto"/>
              <w:left w:val="single" w:sz="4" w:space="0" w:color="auto"/>
              <w:bottom w:val="single" w:sz="4" w:space="0" w:color="auto"/>
              <w:right w:val="single" w:sz="4" w:space="0" w:color="auto"/>
            </w:tcBorders>
            <w:hideMark/>
          </w:tcPr>
          <w:p w14:paraId="689C0393" w14:textId="77777777" w:rsidR="005F4C98" w:rsidRPr="009F7642" w:rsidRDefault="005F4C98" w:rsidP="0073217C">
            <w:pPr>
              <w:suppressAutoHyphens/>
              <w:autoSpaceDE w:val="0"/>
              <w:autoSpaceDN w:val="0"/>
              <w:adjustRightInd w:val="0"/>
              <w:spacing w:line="240" w:lineRule="auto"/>
              <w:rPr>
                <w:rFonts w:eastAsia="Calibri"/>
                <w:color w:val="auto"/>
                <w:lang w:val="is-IS"/>
              </w:rPr>
            </w:pPr>
            <w:r w:rsidRPr="009F7642">
              <w:rPr>
                <w:color w:val="auto"/>
                <w:lang w:val="is-IS"/>
              </w:rPr>
              <w:t xml:space="preserve">Ekki </w:t>
            </w:r>
            <w:proofErr w:type="spellStart"/>
            <w:r w:rsidR="00690564">
              <w:t>bevacízúmab</w:t>
            </w:r>
            <w:proofErr w:type="spellEnd"/>
          </w:p>
        </w:tc>
        <w:tc>
          <w:tcPr>
            <w:tcW w:w="1282" w:type="pct"/>
            <w:tcBorders>
              <w:top w:val="single" w:sz="4" w:space="0" w:color="auto"/>
              <w:left w:val="single" w:sz="4" w:space="0" w:color="auto"/>
              <w:bottom w:val="single" w:sz="4" w:space="0" w:color="auto"/>
              <w:right w:val="single" w:sz="4" w:space="0" w:color="auto"/>
            </w:tcBorders>
            <w:hideMark/>
          </w:tcPr>
          <w:p w14:paraId="444207E7" w14:textId="77777777" w:rsidR="005F4C98" w:rsidRPr="009F7642" w:rsidRDefault="005F4C98" w:rsidP="0073217C">
            <w:pPr>
              <w:suppressAutoHyphens/>
              <w:autoSpaceDE w:val="0"/>
              <w:autoSpaceDN w:val="0"/>
              <w:adjustRightInd w:val="0"/>
              <w:spacing w:line="240" w:lineRule="auto"/>
              <w:jc w:val="center"/>
              <w:rPr>
                <w:color w:val="auto"/>
                <w:lang w:val="is-IS"/>
              </w:rPr>
            </w:pPr>
            <w:r w:rsidRPr="009F7642">
              <w:rPr>
                <w:color w:val="auto"/>
                <w:lang w:val="is-IS"/>
              </w:rPr>
              <w:t>1,13 (0,81; 1,57)</w:t>
            </w:r>
          </w:p>
          <w:p w14:paraId="3435F92B" w14:textId="77777777" w:rsidR="005F4C98" w:rsidRPr="009F7642" w:rsidRDefault="005F4C98" w:rsidP="0073217C">
            <w:pPr>
              <w:suppressAutoHyphens/>
              <w:autoSpaceDE w:val="0"/>
              <w:autoSpaceDN w:val="0"/>
              <w:adjustRightInd w:val="0"/>
              <w:spacing w:line="240" w:lineRule="auto"/>
              <w:jc w:val="center"/>
              <w:rPr>
                <w:rFonts w:eastAsia="Calibri"/>
                <w:color w:val="auto"/>
                <w:lang w:val="is-IS"/>
              </w:rPr>
            </w:pPr>
            <w:r w:rsidRPr="009F7642">
              <w:rPr>
                <w:color w:val="auto"/>
                <w:lang w:val="is-IS"/>
              </w:rPr>
              <w:t>(11,9 eða 14,3 mánuðir; p</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0,4825)</w:t>
            </w:r>
          </w:p>
        </w:tc>
        <w:tc>
          <w:tcPr>
            <w:tcW w:w="1294" w:type="pct"/>
            <w:tcBorders>
              <w:top w:val="single" w:sz="4" w:space="0" w:color="auto"/>
              <w:left w:val="single" w:sz="4" w:space="0" w:color="auto"/>
              <w:bottom w:val="single" w:sz="4" w:space="0" w:color="auto"/>
              <w:right w:val="single" w:sz="4" w:space="0" w:color="auto"/>
            </w:tcBorders>
            <w:hideMark/>
          </w:tcPr>
          <w:p w14:paraId="15A4AEB4" w14:textId="77777777" w:rsidR="005F4C98" w:rsidRPr="009F7642" w:rsidRDefault="005F4C98" w:rsidP="0073217C">
            <w:pPr>
              <w:suppressAutoHyphens/>
              <w:spacing w:after="40" w:line="259" w:lineRule="auto"/>
              <w:ind w:left="5"/>
              <w:jc w:val="center"/>
              <w:rPr>
                <w:color w:val="auto"/>
                <w:lang w:val="is-IS"/>
              </w:rPr>
            </w:pPr>
            <w:r w:rsidRPr="009F7642">
              <w:rPr>
                <w:color w:val="auto"/>
                <w:lang w:val="is-IS"/>
              </w:rPr>
              <w:t>1,08 (0,80; 1,45)</w:t>
            </w:r>
          </w:p>
          <w:p w14:paraId="69CEFF30" w14:textId="77777777" w:rsidR="005F4C98" w:rsidRPr="009F7642" w:rsidRDefault="005F4C98" w:rsidP="0073217C">
            <w:pPr>
              <w:suppressAutoHyphens/>
              <w:autoSpaceDE w:val="0"/>
              <w:autoSpaceDN w:val="0"/>
              <w:adjustRightInd w:val="0"/>
              <w:spacing w:line="240" w:lineRule="auto"/>
              <w:jc w:val="center"/>
              <w:rPr>
                <w:rFonts w:eastAsia="Calibri"/>
                <w:color w:val="auto"/>
                <w:lang w:val="is-IS"/>
              </w:rPr>
            </w:pPr>
            <w:r w:rsidRPr="009F7642">
              <w:rPr>
                <w:color w:val="auto"/>
                <w:lang w:val="is-IS"/>
              </w:rPr>
              <w:t>(12,0 eða 15,0 mánuðir; p</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0,6267)</w:t>
            </w:r>
          </w:p>
        </w:tc>
        <w:bookmarkEnd w:id="5"/>
      </w:tr>
    </w:tbl>
    <w:p w14:paraId="145CEDDA" w14:textId="045FAE76" w:rsidR="005F36F3" w:rsidRPr="00D20C91" w:rsidRDefault="005F4C98" w:rsidP="0073217C">
      <w:pPr>
        <w:suppressAutoHyphens/>
        <w:spacing w:after="0" w:line="240" w:lineRule="auto"/>
        <w:ind w:left="0" w:firstLine="0"/>
        <w:rPr>
          <w:color w:val="auto"/>
          <w:sz w:val="20"/>
          <w:szCs w:val="20"/>
          <w:lang w:val="is-IS"/>
        </w:rPr>
      </w:pPr>
      <w:r w:rsidRPr="00D20C91">
        <w:rPr>
          <w:color w:val="auto"/>
          <w:sz w:val="20"/>
          <w:szCs w:val="20"/>
          <w:vertAlign w:val="superscript"/>
          <w:lang w:val="is-IS"/>
        </w:rPr>
        <w:t>1</w:t>
      </w:r>
      <w:r w:rsidRPr="00D20C91">
        <w:rPr>
          <w:color w:val="auto"/>
          <w:sz w:val="20"/>
          <w:szCs w:val="20"/>
          <w:lang w:val="is-IS"/>
        </w:rPr>
        <w:tab/>
      </w:r>
      <w:r w:rsidR="00564614" w:rsidRPr="00D20C91">
        <w:rPr>
          <w:color w:val="auto"/>
          <w:sz w:val="20"/>
          <w:szCs w:val="20"/>
          <w:lang w:val="is-IS"/>
        </w:rPr>
        <w:t xml:space="preserve">Frumgreining var gerð </w:t>
      </w:r>
      <w:r w:rsidR="007D1F70">
        <w:rPr>
          <w:rFonts w:ascii="Times" w:hAnsi="Times"/>
          <w:sz w:val="20"/>
          <w:lang w:val="is-IS"/>
        </w:rPr>
        <w:t>með lokadag gagnasöfnunar</w:t>
      </w:r>
      <w:r w:rsidR="007D1F70" w:rsidRPr="00D20C91" w:rsidDel="007D1F70">
        <w:rPr>
          <w:color w:val="auto"/>
          <w:sz w:val="20"/>
          <w:szCs w:val="20"/>
          <w:lang w:val="is-IS"/>
        </w:rPr>
        <w:t xml:space="preserve"> </w:t>
      </w:r>
      <w:r w:rsidR="00564614" w:rsidRPr="00D20C91">
        <w:rPr>
          <w:color w:val="auto"/>
          <w:sz w:val="20"/>
          <w:szCs w:val="20"/>
          <w:lang w:val="is-IS"/>
        </w:rPr>
        <w:t>12. desember 2012 og er talin vera lokagreining</w:t>
      </w:r>
      <w:r w:rsidRPr="00D20C91">
        <w:rPr>
          <w:color w:val="auto"/>
          <w:sz w:val="20"/>
          <w:szCs w:val="20"/>
          <w:lang w:val="is-IS"/>
        </w:rPr>
        <w:t>.</w:t>
      </w:r>
    </w:p>
    <w:p w14:paraId="4C1D8695" w14:textId="65B4957E" w:rsidR="005F36F3" w:rsidRPr="00D20C91" w:rsidRDefault="005F4C98" w:rsidP="00215918">
      <w:pPr>
        <w:suppressAutoHyphens/>
        <w:spacing w:after="0" w:line="240" w:lineRule="auto"/>
        <w:ind w:left="720" w:hanging="719"/>
        <w:rPr>
          <w:color w:val="auto"/>
          <w:sz w:val="20"/>
          <w:szCs w:val="20"/>
          <w:lang w:val="is-IS"/>
        </w:rPr>
      </w:pPr>
      <w:r w:rsidRPr="00D20C91">
        <w:rPr>
          <w:color w:val="auto"/>
          <w:sz w:val="20"/>
          <w:szCs w:val="20"/>
          <w:vertAlign w:val="superscript"/>
          <w:lang w:val="is-IS"/>
        </w:rPr>
        <w:t>2</w:t>
      </w:r>
      <w:r w:rsidRPr="00D20C91">
        <w:rPr>
          <w:color w:val="auto"/>
          <w:sz w:val="20"/>
          <w:szCs w:val="20"/>
          <w:lang w:val="is-IS"/>
        </w:rPr>
        <w:tab/>
      </w:r>
      <w:r w:rsidR="00564614" w:rsidRPr="00D20C91">
        <w:rPr>
          <w:color w:val="auto"/>
          <w:sz w:val="20"/>
          <w:szCs w:val="20"/>
          <w:lang w:val="is-IS"/>
        </w:rPr>
        <w:t xml:space="preserve">Eftirfylgnigreining var gerð </w:t>
      </w:r>
      <w:r w:rsidR="007D1F70">
        <w:rPr>
          <w:rFonts w:ascii="Times" w:hAnsi="Times"/>
          <w:sz w:val="20"/>
          <w:lang w:val="is-IS"/>
        </w:rPr>
        <w:t>með lokadag gagnasöfnunar</w:t>
      </w:r>
      <w:r w:rsidR="007D1F70" w:rsidRPr="00D20C91" w:rsidDel="007D1F70">
        <w:rPr>
          <w:color w:val="auto"/>
          <w:sz w:val="20"/>
          <w:szCs w:val="20"/>
          <w:lang w:val="is-IS"/>
        </w:rPr>
        <w:t xml:space="preserve"> </w:t>
      </w:r>
      <w:r w:rsidR="00564614" w:rsidRPr="00D20C91">
        <w:rPr>
          <w:color w:val="auto"/>
          <w:sz w:val="20"/>
          <w:szCs w:val="20"/>
          <w:lang w:val="is-IS"/>
        </w:rPr>
        <w:t>7. mars 2014; öll p-gildi eru eingöngu sýnd í lýsandi tilgangi</w:t>
      </w:r>
      <w:r w:rsidRPr="00D20C91">
        <w:rPr>
          <w:color w:val="auto"/>
          <w:sz w:val="20"/>
          <w:szCs w:val="20"/>
          <w:lang w:val="is-IS"/>
        </w:rPr>
        <w:t>.</w:t>
      </w:r>
    </w:p>
    <w:p w14:paraId="23C0D96C" w14:textId="77777777" w:rsidR="005F36F3" w:rsidRPr="009F7642" w:rsidRDefault="005F36F3" w:rsidP="0073217C">
      <w:pPr>
        <w:suppressAutoHyphens/>
        <w:spacing w:after="0" w:line="240" w:lineRule="auto"/>
        <w:ind w:left="0" w:firstLine="0"/>
        <w:rPr>
          <w:color w:val="auto"/>
          <w:lang w:val="is-IS"/>
        </w:rPr>
      </w:pPr>
    </w:p>
    <w:p w14:paraId="3861CF2A" w14:textId="77777777" w:rsidR="005F36F3" w:rsidRPr="009F7642" w:rsidRDefault="00564614" w:rsidP="0073217C">
      <w:pPr>
        <w:keepNext/>
        <w:suppressAutoHyphens/>
        <w:spacing w:after="0" w:line="240" w:lineRule="auto"/>
        <w:ind w:left="0" w:firstLine="0"/>
        <w:rPr>
          <w:color w:val="auto"/>
          <w:lang w:val="is-IS"/>
        </w:rPr>
      </w:pPr>
      <w:r w:rsidRPr="009F7642">
        <w:rPr>
          <w:i/>
          <w:color w:val="auto"/>
          <w:u w:val="single" w:color="000000"/>
          <w:lang w:val="is-IS"/>
        </w:rPr>
        <w:t>Börn</w:t>
      </w:r>
    </w:p>
    <w:p w14:paraId="1B554A50" w14:textId="77777777" w:rsidR="005F4C98" w:rsidRPr="009F7642" w:rsidRDefault="005F4C98" w:rsidP="0073217C">
      <w:pPr>
        <w:keepNext/>
        <w:suppressAutoHyphens/>
        <w:spacing w:after="0" w:line="240" w:lineRule="auto"/>
        <w:ind w:left="0" w:firstLine="0"/>
        <w:rPr>
          <w:color w:val="auto"/>
          <w:lang w:val="is-IS"/>
        </w:rPr>
      </w:pPr>
    </w:p>
    <w:p w14:paraId="3210A08D"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Lyfjastofnun Evrópu hefur fallið frá kröfu um að lagðar verði fram niðurstöður úr rannsóknum á bevacízúmabi hjá öllum undirhópum barna fyrir brjó</w:t>
      </w:r>
      <w:r w:rsidR="002C7FDC" w:rsidRPr="009F7642">
        <w:rPr>
          <w:color w:val="auto"/>
          <w:lang w:val="is-IS"/>
        </w:rPr>
        <w:t>stakrabbamein, kirtilkrabbamein</w:t>
      </w:r>
      <w:r w:rsidR="0027722B">
        <w:rPr>
          <w:color w:val="auto"/>
          <w:lang w:val="is-IS"/>
        </w:rPr>
        <w:t xml:space="preserve"> </w:t>
      </w:r>
      <w:r w:rsidRPr="009F7642">
        <w:rPr>
          <w:color w:val="auto"/>
          <w:lang w:val="is-IS"/>
        </w:rPr>
        <w:t>(adenocarcinoma) í ristli og endaþarmi, lungnakrabbamein (bæði af smáfrumugerð og sem ekki er af smáfrumugerð), krabbamein í nýrum eða nýrnaskjóðum (renal pelvis) (að undanskildu nýrnakímfrumnaæxli (nephroblastoma, Wilms æx</w:t>
      </w:r>
      <w:r w:rsidR="002C7FDC" w:rsidRPr="009F7642">
        <w:rPr>
          <w:color w:val="auto"/>
          <w:lang w:val="is-IS"/>
        </w:rPr>
        <w:t>li), nýrnakímfrumnaforstigsæxli</w:t>
      </w:r>
      <w:r w:rsidR="0027722B">
        <w:rPr>
          <w:color w:val="auto"/>
          <w:lang w:val="is-IS"/>
        </w:rPr>
        <w:t xml:space="preserve"> </w:t>
      </w:r>
      <w:r w:rsidRPr="009F7642">
        <w:rPr>
          <w:color w:val="auto"/>
          <w:lang w:val="is-IS"/>
        </w:rPr>
        <w:t>(nephroblastomatosis), glærufrumukrabbameini (clear cell sarcoma), nýrakirtilsarkmeini (mesoblastic nephroma), nýrnamergskrabbameini (renal medullary carcinoma) og staffrumukrabbameini í nýrum (rhabdoid tumour of the kidney)), krabbamein í eggjastokkum (að undanskildum rákvöðvasarkmeinum og kímfrumuæxlum), krabbamein í eggjaleiðurum (að undanskildum rákvöðvasarkmeinum og kímfrumuæxlum), krabbamein í lífhimnu (að undanskildum kímfrumuæxlum (blastomas) og sarkmeinum (sarcomas)) og krabbamein í leghálsi og legi.</w:t>
      </w:r>
    </w:p>
    <w:p w14:paraId="42EC119F" w14:textId="77777777" w:rsidR="005F36F3" w:rsidRPr="009F7642" w:rsidRDefault="005F36F3" w:rsidP="0073217C">
      <w:pPr>
        <w:suppressAutoHyphens/>
        <w:spacing w:after="0" w:line="240" w:lineRule="auto"/>
        <w:ind w:left="0" w:firstLine="0"/>
        <w:rPr>
          <w:color w:val="auto"/>
          <w:lang w:val="is-IS"/>
        </w:rPr>
      </w:pPr>
    </w:p>
    <w:p w14:paraId="756CD6C7"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t>Efsta stigs tróðæxli (high-grade glioma)</w:t>
      </w:r>
    </w:p>
    <w:p w14:paraId="6B787E36" w14:textId="77777777" w:rsidR="00A35FD4" w:rsidRPr="009F7642" w:rsidRDefault="00A35FD4" w:rsidP="0073217C">
      <w:pPr>
        <w:keepNext/>
        <w:suppressAutoHyphens/>
        <w:spacing w:after="0" w:line="240" w:lineRule="auto"/>
        <w:ind w:left="0" w:firstLine="0"/>
        <w:rPr>
          <w:color w:val="auto"/>
          <w:lang w:val="is-IS"/>
        </w:rPr>
      </w:pPr>
    </w:p>
    <w:p w14:paraId="088EC971"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Í tveimur fyrri rannsóknum á alls 30 börnum eldri en 3 ára, með endurkomið eða illvígt efsta stigs tróðæxli sást engin æxlishemjandi virkni af meðferð með bevacízúmabi og írínótekani (CPT-11). Ekki liggja fyrir nægar upplýsingar til að ákvarða öryggi og verkun bevacízúmabs hjá börnum með nýgreint efsta stigs tróðæxli.</w:t>
      </w:r>
    </w:p>
    <w:p w14:paraId="68D2B636" w14:textId="77777777" w:rsidR="005F36F3" w:rsidRPr="009F7642" w:rsidRDefault="005F36F3" w:rsidP="0073217C">
      <w:pPr>
        <w:suppressAutoHyphens/>
        <w:spacing w:after="0" w:line="240" w:lineRule="auto"/>
        <w:ind w:left="0" w:firstLine="0"/>
        <w:rPr>
          <w:color w:val="auto"/>
          <w:lang w:val="is-IS"/>
        </w:rPr>
      </w:pPr>
    </w:p>
    <w:p w14:paraId="76A51E5D" w14:textId="5BD7FE8E"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Í rannsókn þar sem allir þátttakendur fengu sömu </w:t>
      </w:r>
      <w:r w:rsidR="00B04FB0" w:rsidRPr="00504296">
        <w:rPr>
          <w:color w:val="auto"/>
          <w:lang w:val="is-IS"/>
        </w:rPr>
        <w:t>meðferð</w:t>
      </w:r>
      <w:r w:rsidR="00B04FB0" w:rsidRPr="009F7642">
        <w:rPr>
          <w:color w:val="auto"/>
          <w:lang w:val="is-IS"/>
        </w:rPr>
        <w:t xml:space="preserve"> </w:t>
      </w:r>
      <w:r w:rsidRPr="009F7642">
        <w:rPr>
          <w:color w:val="auto"/>
          <w:lang w:val="is-IS"/>
        </w:rPr>
        <w:t>(PBTC-022) var 18 börnum með endurtekið eða illvígt efsta stigs tróðæxli annars staðar en í brú (non-pontine) (</w:t>
      </w:r>
      <w:r w:rsidRPr="00504296">
        <w:rPr>
          <w:color w:val="auto"/>
          <w:lang w:val="is-IS"/>
        </w:rPr>
        <w:t>þ.</w:t>
      </w:r>
      <w:r w:rsidR="00265890" w:rsidRPr="00504296">
        <w:rPr>
          <w:color w:val="auto"/>
          <w:lang w:val="is-IS"/>
        </w:rPr>
        <w:t> </w:t>
      </w:r>
      <w:r w:rsidRPr="00504296">
        <w:rPr>
          <w:color w:val="auto"/>
          <w:lang w:val="is-IS"/>
        </w:rPr>
        <w:t>á</w:t>
      </w:r>
      <w:r w:rsidR="00265890" w:rsidRPr="00504296">
        <w:rPr>
          <w:color w:val="auto"/>
          <w:lang w:val="is-IS"/>
        </w:rPr>
        <w:t> </w:t>
      </w:r>
      <w:r w:rsidRPr="00504296">
        <w:rPr>
          <w:color w:val="auto"/>
          <w:lang w:val="is-IS"/>
        </w:rPr>
        <w:t>m</w:t>
      </w:r>
      <w:r w:rsidRPr="009F7642">
        <w:rPr>
          <w:color w:val="auto"/>
          <w:lang w:val="is-IS"/>
        </w:rPr>
        <w:t>. 8 með nýgreind heilaæxli (glioblastoma) [WHO stig IV], 9 með stjarnfrumnaæxli (anaplastic astrocytoma) [stig III] og 1 með griplufrumnaæxli (anaplastic oligodendroglioma) [stig III]) gefið be</w:t>
      </w:r>
      <w:r w:rsidR="00730614" w:rsidRPr="009F7642">
        <w:rPr>
          <w:color w:val="auto"/>
          <w:lang w:val="is-IS"/>
        </w:rPr>
        <w:t>vacízúmab (10 </w:t>
      </w:r>
      <w:r w:rsidRPr="009F7642">
        <w:rPr>
          <w:color w:val="auto"/>
          <w:lang w:val="is-IS"/>
        </w:rPr>
        <w:t>mg/kg) með tveggja vikna millibili og síðan be</w:t>
      </w:r>
      <w:r w:rsidR="00730614" w:rsidRPr="009F7642">
        <w:rPr>
          <w:color w:val="auto"/>
          <w:lang w:val="is-IS"/>
        </w:rPr>
        <w:t>vacízúmab ásamt CPT-11 (125-350 </w:t>
      </w:r>
      <w:r w:rsidRPr="009F7642">
        <w:rPr>
          <w:color w:val="auto"/>
          <w:lang w:val="is-IS"/>
        </w:rPr>
        <w:t xml:space="preserve">mg/m²) </w:t>
      </w:r>
      <w:r w:rsidR="00916159" w:rsidRPr="00916159">
        <w:rPr>
          <w:color w:val="auto"/>
          <w:lang w:val="is-IS"/>
        </w:rPr>
        <w:t>einu sinni á</w:t>
      </w:r>
      <w:r w:rsidR="00916159">
        <w:rPr>
          <w:color w:val="auto"/>
          <w:lang w:val="is-IS"/>
        </w:rPr>
        <w:t xml:space="preserve"> </w:t>
      </w:r>
      <w:r w:rsidRPr="009F7642">
        <w:rPr>
          <w:color w:val="auto"/>
          <w:lang w:val="is-IS"/>
        </w:rPr>
        <w:t xml:space="preserve">tveggja vikna fresti fram að </w:t>
      </w:r>
      <w:r w:rsidR="00916159" w:rsidRPr="00FE5EE2">
        <w:rPr>
          <w:color w:val="auto"/>
          <w:lang w:val="is-IS"/>
        </w:rPr>
        <w:t>versnun</w:t>
      </w:r>
      <w:r w:rsidRPr="009F7642">
        <w:rPr>
          <w:color w:val="auto"/>
          <w:lang w:val="is-IS"/>
        </w:rPr>
        <w:t xml:space="preserve"> sjúkdóms. Engin hlutlæg svörun (alger svörun eða hlutasvörun) sást með myndgreiningu (Macdonald viðmið). Meðal eituráhrifa og aukaverkana voru slagæðaháþrýstingur og </w:t>
      </w:r>
      <w:r w:rsidRPr="009F7642">
        <w:rPr>
          <w:color w:val="auto"/>
          <w:lang w:val="is-IS"/>
        </w:rPr>
        <w:lastRenderedPageBreak/>
        <w:t>þreyta ásamt minnkað blóðflæði (ischaemia) af völdum súrefnisskorts í miðtaugakerfi, með bráðum skorti á taugavirkni.</w:t>
      </w:r>
    </w:p>
    <w:p w14:paraId="378AD371" w14:textId="77777777" w:rsidR="005F36F3" w:rsidRPr="009F7642" w:rsidRDefault="005F36F3" w:rsidP="0073217C">
      <w:pPr>
        <w:suppressAutoHyphens/>
        <w:spacing w:after="0" w:line="240" w:lineRule="auto"/>
        <w:ind w:left="0" w:firstLine="0"/>
        <w:rPr>
          <w:color w:val="auto"/>
          <w:lang w:val="is-IS"/>
        </w:rPr>
      </w:pPr>
    </w:p>
    <w:p w14:paraId="63DE610D"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Í afturskyggnri rannsókn á einni sjúkrastofnun voru 12 börn með endurkomið eða illvígt efsta stigs tróðæxli (3 með WHO stig IV, 9 með stig III) meðhöndluð hvert á eftir öðru (2005</w:t>
      </w:r>
      <w:r w:rsidR="00730614" w:rsidRPr="009F7642">
        <w:rPr>
          <w:color w:val="auto"/>
          <w:lang w:val="is-IS"/>
        </w:rPr>
        <w:t xml:space="preserve"> til 2008) með bevacízúmabi (10 mg/kg) og írínótekani (125 </w:t>
      </w:r>
      <w:r w:rsidRPr="009F7642">
        <w:rPr>
          <w:color w:val="auto"/>
          <w:lang w:val="is-IS"/>
        </w:rPr>
        <w:t>mg/m²) á tveggja vikna fresti. Engin alger svörun sást, en hlutasvörun sást hjá 2 sjúkling</w:t>
      </w:r>
      <w:r w:rsidR="003C161D" w:rsidRPr="009F7642">
        <w:rPr>
          <w:color w:val="auto"/>
          <w:lang w:val="is-IS"/>
        </w:rPr>
        <w:t>um (Macdonald viðmið).</w:t>
      </w:r>
    </w:p>
    <w:p w14:paraId="653E291B" w14:textId="77777777" w:rsidR="005F36F3" w:rsidRPr="009F7642" w:rsidRDefault="005F36F3" w:rsidP="0073217C">
      <w:pPr>
        <w:suppressAutoHyphens/>
        <w:spacing w:after="0" w:line="240" w:lineRule="auto"/>
        <w:ind w:left="0" w:firstLine="0"/>
        <w:rPr>
          <w:color w:val="auto"/>
          <w:lang w:val="is-IS"/>
        </w:rPr>
      </w:pPr>
    </w:p>
    <w:p w14:paraId="1CBBD48A" w14:textId="0F59FE39"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Í slembiraðaðri II. stigs rannsókn (BO25041) fengu alls 121 sjúklingur á aldrinum </w:t>
      </w:r>
      <w:r w:rsidR="00540AC4">
        <w:rPr>
          <w:color w:val="auto"/>
          <w:lang w:val="is-IS"/>
        </w:rPr>
        <w:t>≥ </w:t>
      </w:r>
      <w:r w:rsidRPr="009F7642">
        <w:rPr>
          <w:color w:val="auto"/>
          <w:lang w:val="is-IS"/>
        </w:rPr>
        <w:t xml:space="preserve">3 ára til </w:t>
      </w:r>
      <w:r w:rsidR="00540AC4">
        <w:rPr>
          <w:color w:val="auto"/>
          <w:lang w:val="is-IS"/>
        </w:rPr>
        <w:t>&lt; </w:t>
      </w:r>
      <w:r w:rsidRPr="009F7642">
        <w:rPr>
          <w:color w:val="auto"/>
          <w:lang w:val="is-IS"/>
        </w:rPr>
        <w:t>18 ára með nýgreint efsta stigs tróðæxli (high-grade glioma) ofan hnykiltjalds (supratentorial), neðan hnykiltjalds (infratentorial), í litla heila (cerebellar) eða í stoð (peduncular) geislameðferð (RT) eftir skurðaðgerð auk viðbótarmeðferðar með temozolomíði (</w:t>
      </w:r>
      <w:r w:rsidR="00730614" w:rsidRPr="009F7642">
        <w:rPr>
          <w:color w:val="auto"/>
          <w:lang w:val="is-IS"/>
        </w:rPr>
        <w:t>T), með eða án bevacízúmabs: 10 </w:t>
      </w:r>
      <w:r w:rsidRPr="009F7642">
        <w:rPr>
          <w:color w:val="auto"/>
          <w:lang w:val="is-IS"/>
        </w:rPr>
        <w:t xml:space="preserve">mg/kg í </w:t>
      </w:r>
      <w:r w:rsidR="007D1F70">
        <w:rPr>
          <w:color w:val="auto"/>
          <w:lang w:val="is-IS"/>
        </w:rPr>
        <w:t>bl</w:t>
      </w:r>
      <w:r w:rsidR="00B027B6">
        <w:rPr>
          <w:lang w:val="is-IS"/>
        </w:rPr>
        <w:t>á</w:t>
      </w:r>
      <w:r w:rsidRPr="009F7642">
        <w:rPr>
          <w:color w:val="auto"/>
          <w:lang w:val="is-IS"/>
        </w:rPr>
        <w:t>æð á 2 vikna fresti.</w:t>
      </w:r>
    </w:p>
    <w:p w14:paraId="6CD582E7" w14:textId="77777777" w:rsidR="005F36F3" w:rsidRPr="009F7642" w:rsidRDefault="005F36F3" w:rsidP="0073217C">
      <w:pPr>
        <w:suppressAutoHyphens/>
        <w:spacing w:after="0" w:line="240" w:lineRule="auto"/>
        <w:ind w:left="0" w:firstLine="0"/>
        <w:rPr>
          <w:color w:val="auto"/>
          <w:lang w:val="is-IS"/>
        </w:rPr>
      </w:pPr>
    </w:p>
    <w:p w14:paraId="560BD0C7" w14:textId="5B383E96" w:rsidR="006C06D6" w:rsidRPr="009F7642" w:rsidRDefault="00564614" w:rsidP="0073217C">
      <w:pPr>
        <w:suppressAutoHyphens/>
        <w:spacing w:after="0" w:line="240" w:lineRule="auto"/>
        <w:ind w:left="0" w:firstLine="0"/>
        <w:rPr>
          <w:color w:val="auto"/>
          <w:lang w:val="is-IS"/>
        </w:rPr>
      </w:pPr>
      <w:r w:rsidRPr="009F7642">
        <w:rPr>
          <w:color w:val="auto"/>
          <w:lang w:val="is-IS"/>
        </w:rPr>
        <w:t>Rannsóknin náði ekki aðalendapunktinum, sem var að sýna fram á marktæka bætingu á lifun án meintilvika (event-free survival, EFS) (metið af miðlægri matsnefnd, Central Radiology Review Committee) þegar bevacízúmabi var bætt við meðferð hjá hópnum sem fékk RT/T, borið saman við RT/T eingöngu (áhættuhlutfall</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 xml:space="preserve">1,44; 95% </w:t>
      </w:r>
      <w:r w:rsidR="00916159" w:rsidRPr="009F7642">
        <w:rPr>
          <w:color w:val="auto"/>
          <w:lang w:val="is-IS"/>
        </w:rPr>
        <w:t>öryggis</w:t>
      </w:r>
      <w:r w:rsidR="00916159">
        <w:rPr>
          <w:color w:val="auto"/>
          <w:lang w:val="is-IS"/>
        </w:rPr>
        <w:t>bil</w:t>
      </w:r>
      <w:r w:rsidRPr="009F7642">
        <w:rPr>
          <w:color w:val="auto"/>
          <w:lang w:val="is-IS"/>
        </w:rPr>
        <w:t>: 0,90; 2,30). Þessar niðurstöður voru í samræmi við niðurstöður ýmissa næmisgreininga hjá undirhópum sem skipta máli klínískt. Niðurstöður varðandi alla aukaendapunkta (lifun án meintilvika að mati rannsakenda, hlutlægt svörunarhlutfall og heildarlifun) voru í samræmi að því leyti að þær sýndu enga bætingu sem tengdist því að bæta bevacízúmabi við meðferð hjá hópnum sem fékk RT/T, borið saman við RT/T eingöngu.</w:t>
      </w:r>
    </w:p>
    <w:p w14:paraId="1E553BAF" w14:textId="77777777" w:rsidR="005F36F3" w:rsidRPr="009F7642" w:rsidRDefault="005F36F3" w:rsidP="0073217C">
      <w:pPr>
        <w:suppressAutoHyphens/>
        <w:spacing w:after="0" w:line="240" w:lineRule="auto"/>
        <w:ind w:left="0" w:firstLine="0"/>
        <w:rPr>
          <w:color w:val="auto"/>
          <w:lang w:val="is-IS"/>
        </w:rPr>
      </w:pPr>
    </w:p>
    <w:p w14:paraId="46DF76CD"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Í BO25041-rannsókninni var ekki sýnt fram á klínískan ávinning af því að bæta </w:t>
      </w:r>
      <w:r w:rsidR="00690564" w:rsidRPr="00F2274F">
        <w:rPr>
          <w:lang w:val="is-IS"/>
        </w:rPr>
        <w:t>bevacízúmab</w:t>
      </w:r>
      <w:r w:rsidR="00513553" w:rsidRPr="00F2274F">
        <w:rPr>
          <w:lang w:val="is-IS"/>
        </w:rPr>
        <w:t>i</w:t>
      </w:r>
      <w:r w:rsidRPr="009F7642">
        <w:rPr>
          <w:color w:val="auto"/>
          <w:lang w:val="is-IS"/>
        </w:rPr>
        <w:t xml:space="preserve"> við RT/T</w:t>
      </w:r>
      <w:r w:rsidR="00801617">
        <w:rPr>
          <w:color w:val="auto"/>
          <w:lang w:val="is-IS"/>
        </w:rPr>
        <w:noBreakHyphen/>
      </w:r>
      <w:r w:rsidRPr="009F7642">
        <w:rPr>
          <w:color w:val="auto"/>
          <w:lang w:val="is-IS"/>
        </w:rPr>
        <w:t>meðferð hjá 60 börnum sem unnt var að meta með nýgreint efsta stigs tróðæxli (high-grade glioma) ofan hnykiltjalds (supratentorial), neðan hnykiltjalds (infratentorial), í litla heila (cerebellar) eða í stoð (peduncular) (sjá upplýsingar um notkun handa börnum í kafla 4.2).</w:t>
      </w:r>
    </w:p>
    <w:p w14:paraId="05DD623B" w14:textId="77777777" w:rsidR="005F36F3" w:rsidRPr="009F7642" w:rsidRDefault="005F36F3" w:rsidP="0073217C">
      <w:pPr>
        <w:suppressAutoHyphens/>
        <w:spacing w:after="0" w:line="240" w:lineRule="auto"/>
        <w:ind w:left="0" w:firstLine="0"/>
        <w:rPr>
          <w:color w:val="auto"/>
          <w:lang w:val="is-IS"/>
        </w:rPr>
      </w:pPr>
    </w:p>
    <w:p w14:paraId="190E170D" w14:textId="77777777" w:rsidR="006C06D6" w:rsidRPr="009F7642" w:rsidRDefault="00564614" w:rsidP="0073217C">
      <w:pPr>
        <w:keepNext/>
        <w:suppressAutoHyphens/>
        <w:spacing w:after="0" w:line="240" w:lineRule="auto"/>
        <w:ind w:left="0" w:firstLine="0"/>
        <w:rPr>
          <w:i/>
          <w:color w:val="auto"/>
          <w:lang w:val="is-IS"/>
        </w:rPr>
      </w:pPr>
      <w:r w:rsidRPr="009F7642">
        <w:rPr>
          <w:i/>
          <w:color w:val="auto"/>
          <w:lang w:val="is-IS"/>
        </w:rPr>
        <w:t>Sarkmein í mjúkvefjum</w:t>
      </w:r>
    </w:p>
    <w:p w14:paraId="4C97083E" w14:textId="77777777" w:rsidR="00764900" w:rsidRPr="009F7642" w:rsidRDefault="00764900" w:rsidP="0073217C">
      <w:pPr>
        <w:keepNext/>
        <w:suppressAutoHyphens/>
        <w:spacing w:after="0" w:line="240" w:lineRule="auto"/>
        <w:ind w:left="0" w:firstLine="0"/>
        <w:rPr>
          <w:color w:val="auto"/>
          <w:lang w:val="is-IS"/>
        </w:rPr>
      </w:pPr>
    </w:p>
    <w:p w14:paraId="5924070B" w14:textId="5DC91E8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Í slembiraðaðri II. stigs rannsókn (BO20924) fengu alls 154 sjúklingar á aldrinum </w:t>
      </w:r>
      <w:r w:rsidR="00540AC4">
        <w:rPr>
          <w:color w:val="auto"/>
          <w:lang w:val="is-IS"/>
        </w:rPr>
        <w:t>≥ </w:t>
      </w:r>
      <w:r w:rsidRPr="009F7642">
        <w:rPr>
          <w:color w:val="auto"/>
          <w:lang w:val="is-IS"/>
        </w:rPr>
        <w:t xml:space="preserve">6 mánaða til </w:t>
      </w:r>
      <w:r w:rsidR="00540AC4">
        <w:rPr>
          <w:color w:val="auto"/>
          <w:lang w:val="is-IS"/>
        </w:rPr>
        <w:t>&lt; </w:t>
      </w:r>
      <w:r w:rsidRPr="009F7642">
        <w:rPr>
          <w:color w:val="auto"/>
          <w:lang w:val="is-IS"/>
        </w:rPr>
        <w:t>18 ára, með nýgreint rákvöðvasarkmein með meinvörpum eða önnur sarkmein í mjúkvefjum venjulega meðferð (innleiðslumeðferð með IVADO/IVA +/- staðbundin meðferð, sem fylgt var eftir með viðhaldsmeðferð með vinorelbini og cýklófosfamíði), með</w:t>
      </w:r>
      <w:r w:rsidR="00730614" w:rsidRPr="009F7642">
        <w:rPr>
          <w:color w:val="auto"/>
          <w:lang w:val="is-IS"/>
        </w:rPr>
        <w:t xml:space="preserve"> eða án bevacízúmabs (2,5 </w:t>
      </w:r>
      <w:r w:rsidRPr="009F7642">
        <w:rPr>
          <w:color w:val="auto"/>
          <w:lang w:val="is-IS"/>
        </w:rPr>
        <w:t>mg/kg/viku) og var heildarlengd meðferðar u.þ.b. 18 mánuðir. Þegar lokafrumgreining var gerð var ekki tölfræðilega marktækur munur á meðferðarhópunum tveimur með tilliti til aðalendapunktsins, lifunar án meintilvika (event-free survival, EFS) að mati óháðrar matsnefndar, og var áhættuhlutfallið 0,93</w:t>
      </w:r>
      <w:r w:rsidR="00D859C2">
        <w:rPr>
          <w:color w:val="auto"/>
          <w:lang w:val="is-IS"/>
        </w:rPr>
        <w:t xml:space="preserve"> </w:t>
      </w:r>
      <w:r w:rsidRPr="009F7642">
        <w:rPr>
          <w:color w:val="auto"/>
          <w:lang w:val="is-IS"/>
        </w:rPr>
        <w:t xml:space="preserve">(95% </w:t>
      </w:r>
      <w:r w:rsidR="00916159" w:rsidRPr="009F7642">
        <w:rPr>
          <w:color w:val="auto"/>
          <w:lang w:val="is-IS"/>
        </w:rPr>
        <w:t>öryggis</w:t>
      </w:r>
      <w:r w:rsidR="00916159">
        <w:rPr>
          <w:color w:val="auto"/>
          <w:lang w:val="is-IS"/>
        </w:rPr>
        <w:t>bil</w:t>
      </w:r>
      <w:r w:rsidRPr="009F7642">
        <w:rPr>
          <w:color w:val="auto"/>
          <w:lang w:val="is-IS"/>
        </w:rPr>
        <w:t>: 0,61; 1,41; p-gildi</w:t>
      </w:r>
      <w:r w:rsidR="00E2523C">
        <w:rPr>
          <w:color w:val="auto"/>
          <w:lang w:val="is-IS"/>
        </w:rPr>
        <w:t> </w:t>
      </w:r>
      <w:r w:rsidR="00700BDC">
        <w:rPr>
          <w:rFonts w:eastAsia="Segoe UI Symbol"/>
          <w:color w:val="auto"/>
          <w:lang w:val="is-IS"/>
        </w:rPr>
        <w:t>=</w:t>
      </w:r>
      <w:r w:rsidR="00E2523C">
        <w:rPr>
          <w:rFonts w:eastAsia="Segoe UI Symbol"/>
          <w:color w:val="auto"/>
          <w:lang w:val="is-IS"/>
        </w:rPr>
        <w:t> </w:t>
      </w:r>
      <w:r w:rsidRPr="009F7642">
        <w:rPr>
          <w:color w:val="auto"/>
          <w:lang w:val="is-IS"/>
        </w:rPr>
        <w:t>0,72). Munur á hlutlægu svörunarhlutfalli milli meðferðarhópanna tveggja, fyrir þá fáu sjúklinga sem voru með metanleg æxli í upphafi rannsóknarinnar og voru með staðfesta svörun áður en þeir fengu staðbundna meðferð, var 18% að mati óháðrar matsnefndar (</w:t>
      </w:r>
      <w:r w:rsidR="00916159" w:rsidRPr="009F7642">
        <w:rPr>
          <w:color w:val="auto"/>
          <w:lang w:val="is-IS"/>
        </w:rPr>
        <w:t>öryggis</w:t>
      </w:r>
      <w:r w:rsidR="00916159">
        <w:rPr>
          <w:color w:val="auto"/>
          <w:lang w:val="is-IS"/>
        </w:rPr>
        <w:t>bil</w:t>
      </w:r>
      <w:r w:rsidRPr="009F7642">
        <w:rPr>
          <w:color w:val="auto"/>
          <w:lang w:val="is-IS"/>
        </w:rPr>
        <w:t xml:space="preserve">: 0,6%; 35,3%): 27/75 sjúklingum í hópnum sem fékk krabbameinslyf (36,0%, 95% </w:t>
      </w:r>
      <w:r w:rsidR="00916159" w:rsidRPr="009F7642">
        <w:rPr>
          <w:color w:val="auto"/>
          <w:lang w:val="is-IS"/>
        </w:rPr>
        <w:t>öryggis</w:t>
      </w:r>
      <w:r w:rsidR="00916159">
        <w:rPr>
          <w:color w:val="auto"/>
          <w:lang w:val="is-IS"/>
        </w:rPr>
        <w:t>bil</w:t>
      </w:r>
      <w:r w:rsidRPr="009F7642">
        <w:rPr>
          <w:color w:val="auto"/>
          <w:lang w:val="is-IS"/>
        </w:rPr>
        <w:t xml:space="preserve">: 25,2%; 47,9%) og 34/63 sjúklingum í hópnum sem fékk krabbameinslyf ásamt bevacízúmabi (54,0%, 95% </w:t>
      </w:r>
      <w:r w:rsidR="00916159" w:rsidRPr="009F7642">
        <w:rPr>
          <w:color w:val="auto"/>
          <w:lang w:val="is-IS"/>
        </w:rPr>
        <w:t>öryggis</w:t>
      </w:r>
      <w:r w:rsidR="00916159">
        <w:rPr>
          <w:color w:val="auto"/>
          <w:lang w:val="is-IS"/>
        </w:rPr>
        <w:t>bil</w:t>
      </w:r>
      <w:r w:rsidRPr="009F7642">
        <w:rPr>
          <w:color w:val="auto"/>
          <w:lang w:val="is-IS"/>
        </w:rPr>
        <w:t xml:space="preserve">: 40,9%; 66,6%). </w:t>
      </w:r>
      <w:r w:rsidR="00341F81" w:rsidRPr="00341F81">
        <w:rPr>
          <w:color w:val="auto"/>
          <w:lang w:val="is-IS"/>
        </w:rPr>
        <w:t>Lokagreining á heildarlifun sýndi engan marktækan klínískan ávinning af því að bæta bevacízúmabi við krabbameinslyfjameðferð hjá þessum sjúklingahóp.</w:t>
      </w:r>
    </w:p>
    <w:p w14:paraId="562F06A3" w14:textId="77777777" w:rsidR="005F36F3" w:rsidRPr="009F7642" w:rsidRDefault="005F36F3" w:rsidP="0073217C">
      <w:pPr>
        <w:suppressAutoHyphens/>
        <w:spacing w:after="0" w:line="240" w:lineRule="auto"/>
        <w:ind w:left="0" w:firstLine="0"/>
        <w:rPr>
          <w:color w:val="auto"/>
          <w:lang w:val="is-IS"/>
        </w:rPr>
      </w:pPr>
    </w:p>
    <w:p w14:paraId="651E8CA8"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Í klínísku rannsókninni BO20924, sem gerð var hjá 71 barni (frá 6 mánaða til innan við 18 ára að aldri) sem unnt var að meta og voru með rákvöðvasarkmein (rhabdomyosarcoma) með meinvörpum, eða önnur sarkmein í mjúkvefjum, var ekki sýnt fram á klínískan ávinning af því að bæta </w:t>
      </w:r>
      <w:r w:rsidR="00690564" w:rsidRPr="00F2274F">
        <w:rPr>
          <w:lang w:val="is-IS"/>
        </w:rPr>
        <w:t>bevacízúmab</w:t>
      </w:r>
      <w:r w:rsidR="00513553" w:rsidRPr="00F2274F">
        <w:rPr>
          <w:lang w:val="is-IS"/>
        </w:rPr>
        <w:t>i</w:t>
      </w:r>
      <w:r w:rsidRPr="009F7642">
        <w:rPr>
          <w:color w:val="auto"/>
          <w:lang w:val="is-IS"/>
        </w:rPr>
        <w:t xml:space="preserve"> við venjulega meðferð (sjá upplýsingar um notkun handa börnum í kafla 4.2).</w:t>
      </w:r>
    </w:p>
    <w:p w14:paraId="6006E305" w14:textId="77777777" w:rsidR="005F36F3" w:rsidRPr="009F7642" w:rsidRDefault="005F36F3" w:rsidP="0073217C">
      <w:pPr>
        <w:suppressAutoHyphens/>
        <w:spacing w:after="0" w:line="240" w:lineRule="auto"/>
        <w:ind w:left="0" w:firstLine="0"/>
        <w:rPr>
          <w:color w:val="auto"/>
          <w:lang w:val="is-IS"/>
        </w:rPr>
      </w:pPr>
    </w:p>
    <w:p w14:paraId="0340166E" w14:textId="07A4F9B0"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Tíðni aukaverkana, þ.m.t. aukaverkana af alvarleikastigi </w:t>
      </w:r>
      <w:r w:rsidR="00540AC4">
        <w:rPr>
          <w:rFonts w:eastAsia="Segoe UI Symbol"/>
          <w:color w:val="auto"/>
          <w:lang w:val="is-IS"/>
        </w:rPr>
        <w:t>≥ </w:t>
      </w:r>
      <w:r w:rsidRPr="009F7642">
        <w:rPr>
          <w:color w:val="auto"/>
          <w:lang w:val="is-IS"/>
        </w:rPr>
        <w:t xml:space="preserve">3 og alvarlegra aukaverkana, var svipuð í báðum meðferðarhópunum. Engar aukaverkanir leiddu til dauðsfalla í meðferðarhópunum; öll dauðsföll voru talin stafa af </w:t>
      </w:r>
      <w:r w:rsidR="00916159">
        <w:rPr>
          <w:color w:val="auto"/>
          <w:lang w:val="is-IS"/>
        </w:rPr>
        <w:t>versnun</w:t>
      </w:r>
      <w:r w:rsidR="00916159" w:rsidRPr="009F7642">
        <w:rPr>
          <w:color w:val="auto"/>
          <w:lang w:val="is-IS"/>
        </w:rPr>
        <w:t xml:space="preserve"> </w:t>
      </w:r>
      <w:r w:rsidRPr="009F7642">
        <w:rPr>
          <w:color w:val="auto"/>
          <w:lang w:val="is-IS"/>
        </w:rPr>
        <w:t>sjúkdómsins. Hjá þessu hópi barna virtist þolast vel að bæta bevacízúmabi við fjölþætta venjulega meðferð.</w:t>
      </w:r>
    </w:p>
    <w:p w14:paraId="4CA924BF" w14:textId="77777777" w:rsidR="005F36F3" w:rsidRPr="009F7642" w:rsidRDefault="005F36F3" w:rsidP="0073217C">
      <w:pPr>
        <w:suppressAutoHyphens/>
        <w:spacing w:after="0" w:line="240" w:lineRule="auto"/>
        <w:ind w:left="0" w:firstLine="0"/>
        <w:rPr>
          <w:color w:val="auto"/>
          <w:lang w:val="is-IS"/>
        </w:rPr>
      </w:pPr>
    </w:p>
    <w:p w14:paraId="0FF3825E" w14:textId="77777777" w:rsidR="006C06D6" w:rsidRPr="00D859C2" w:rsidRDefault="00AE58CC" w:rsidP="007309A2">
      <w:pPr>
        <w:keepNext/>
        <w:suppressAutoHyphens/>
        <w:spacing w:after="0" w:line="240" w:lineRule="auto"/>
        <w:ind w:left="567" w:hanging="567"/>
        <w:rPr>
          <w:b/>
          <w:color w:val="auto"/>
          <w:lang w:val="is-IS"/>
        </w:rPr>
      </w:pPr>
      <w:r w:rsidRPr="00D859C2">
        <w:rPr>
          <w:b/>
          <w:color w:val="auto"/>
          <w:lang w:val="is-IS"/>
        </w:rPr>
        <w:lastRenderedPageBreak/>
        <w:t>5.2</w:t>
      </w:r>
      <w:r w:rsidR="00564614" w:rsidRPr="00D859C2">
        <w:rPr>
          <w:b/>
          <w:color w:val="auto"/>
          <w:lang w:val="is-IS"/>
        </w:rPr>
        <w:tab/>
        <w:t>Lyfjahvörf</w:t>
      </w:r>
    </w:p>
    <w:p w14:paraId="0BDD0580" w14:textId="77777777" w:rsidR="005F36F3" w:rsidRPr="009F7642" w:rsidRDefault="005F36F3" w:rsidP="0073217C">
      <w:pPr>
        <w:keepNext/>
        <w:suppressAutoHyphens/>
        <w:spacing w:after="0" w:line="240" w:lineRule="auto"/>
        <w:ind w:left="0" w:firstLine="0"/>
        <w:rPr>
          <w:color w:val="auto"/>
          <w:lang w:val="is-IS"/>
        </w:rPr>
      </w:pPr>
    </w:p>
    <w:p w14:paraId="3928BF90"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Upplýsingar um lyfjahvörf fyrir bevacízúmab eru fáanlegar úr tíu klínískum rannsóknum á sjúklingum með föst æxli. Í öllum klínísku rannsóknunum var bevacízúmab gefið sem innrennsli í bláæð.</w:t>
      </w:r>
      <w:r w:rsidR="0027722B">
        <w:rPr>
          <w:color w:val="auto"/>
          <w:lang w:val="is-IS"/>
        </w:rPr>
        <w:t xml:space="preserve"> </w:t>
      </w:r>
      <w:r w:rsidRPr="009F7642">
        <w:rPr>
          <w:color w:val="auto"/>
          <w:lang w:val="is-IS"/>
        </w:rPr>
        <w:t>Innrennslishraðinn byggðist á því hvernig lyfið þoldist og var byrjunarinnrennslistími 90</w:t>
      </w:r>
      <w:r w:rsidR="00E2523C">
        <w:rPr>
          <w:color w:val="auto"/>
          <w:lang w:val="is-IS"/>
        </w:rPr>
        <w:t> </w:t>
      </w:r>
      <w:r w:rsidRPr="009F7642">
        <w:rPr>
          <w:color w:val="auto"/>
          <w:lang w:val="is-IS"/>
        </w:rPr>
        <w:t>mínútur. Lyfjahvörf bevacízúmabs voru línule</w:t>
      </w:r>
      <w:r w:rsidR="00730614" w:rsidRPr="009F7642">
        <w:rPr>
          <w:color w:val="auto"/>
          <w:lang w:val="is-IS"/>
        </w:rPr>
        <w:t>g við skammta á bilinu 1 til 10 </w:t>
      </w:r>
      <w:r w:rsidRPr="009F7642">
        <w:rPr>
          <w:color w:val="auto"/>
          <w:lang w:val="is-IS"/>
        </w:rPr>
        <w:t>mg/kg.</w:t>
      </w:r>
    </w:p>
    <w:p w14:paraId="6B49DCC3" w14:textId="77777777" w:rsidR="005F36F3" w:rsidRPr="009F7642" w:rsidRDefault="005F36F3" w:rsidP="0073217C">
      <w:pPr>
        <w:suppressAutoHyphens/>
        <w:spacing w:after="0" w:line="240" w:lineRule="auto"/>
        <w:ind w:left="0" w:firstLine="0"/>
        <w:rPr>
          <w:color w:val="auto"/>
          <w:lang w:val="is-IS"/>
        </w:rPr>
      </w:pPr>
    </w:p>
    <w:p w14:paraId="0BA722CC" w14:textId="77777777" w:rsidR="006C06D6" w:rsidRPr="00ED2096" w:rsidRDefault="00564614" w:rsidP="0073217C">
      <w:pPr>
        <w:keepNext/>
        <w:suppressAutoHyphens/>
        <w:spacing w:after="0" w:line="240" w:lineRule="auto"/>
        <w:ind w:left="0" w:firstLine="0"/>
        <w:rPr>
          <w:color w:val="auto"/>
          <w:u w:val="single"/>
          <w:lang w:val="is-IS"/>
        </w:rPr>
      </w:pPr>
      <w:r w:rsidRPr="00ED2096">
        <w:rPr>
          <w:color w:val="auto"/>
          <w:u w:val="single"/>
          <w:lang w:val="is-IS"/>
        </w:rPr>
        <w:t>Dreifing</w:t>
      </w:r>
    </w:p>
    <w:p w14:paraId="25EEACA0" w14:textId="77777777" w:rsidR="00C10862" w:rsidRPr="009F7642" w:rsidRDefault="00C10862" w:rsidP="0073217C">
      <w:pPr>
        <w:keepNext/>
        <w:suppressAutoHyphens/>
        <w:spacing w:after="0" w:line="240" w:lineRule="auto"/>
        <w:ind w:left="0" w:firstLine="0"/>
        <w:rPr>
          <w:color w:val="auto"/>
          <w:lang w:val="is-IS"/>
        </w:rPr>
      </w:pPr>
    </w:p>
    <w:p w14:paraId="506138A9"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Dæmigert rúmmál miðhólfs (V</w:t>
      </w:r>
      <w:r w:rsidRPr="009F7642">
        <w:rPr>
          <w:color w:val="auto"/>
          <w:vertAlign w:val="subscript"/>
          <w:lang w:val="is-IS"/>
        </w:rPr>
        <w:t>c</w:t>
      </w:r>
      <w:r w:rsidRPr="009F7642">
        <w:rPr>
          <w:color w:val="auto"/>
          <w:lang w:val="is-IS"/>
        </w:rPr>
        <w:t>) var 2,73</w:t>
      </w:r>
      <w:r w:rsidR="00C10862" w:rsidRPr="009F7642">
        <w:rPr>
          <w:color w:val="auto"/>
          <w:lang w:val="is-IS"/>
        </w:rPr>
        <w:t> </w:t>
      </w:r>
      <w:r w:rsidRPr="009F7642">
        <w:rPr>
          <w:color w:val="auto"/>
          <w:lang w:val="is-IS"/>
        </w:rPr>
        <w:t>l fyr</w:t>
      </w:r>
      <w:r w:rsidR="00C10862" w:rsidRPr="009F7642">
        <w:rPr>
          <w:color w:val="auto"/>
          <w:lang w:val="is-IS"/>
        </w:rPr>
        <w:t>ir konur í sjúklingahóp og 3,28 </w:t>
      </w:r>
      <w:r w:rsidRPr="009F7642">
        <w:rPr>
          <w:color w:val="auto"/>
          <w:lang w:val="is-IS"/>
        </w:rPr>
        <w:t>l fyrir karla í sjúklingahóp, en það er innan þeirra marka sem lýst hefur verið fyrir IgG og önnur einstofna mótefni. Dæmigert rúmmál úthólfs (V</w:t>
      </w:r>
      <w:r w:rsidRPr="009F7642">
        <w:rPr>
          <w:color w:val="auto"/>
          <w:vertAlign w:val="subscript"/>
          <w:lang w:val="is-IS"/>
        </w:rPr>
        <w:t>p</w:t>
      </w:r>
      <w:r w:rsidR="00C10862" w:rsidRPr="009F7642">
        <w:rPr>
          <w:color w:val="auto"/>
          <w:lang w:val="is-IS"/>
        </w:rPr>
        <w:t>) var 1,69 </w:t>
      </w:r>
      <w:r w:rsidRPr="009F7642">
        <w:rPr>
          <w:color w:val="auto"/>
          <w:lang w:val="is-IS"/>
        </w:rPr>
        <w:t>l fyr</w:t>
      </w:r>
      <w:r w:rsidR="00C10862" w:rsidRPr="009F7642">
        <w:rPr>
          <w:color w:val="auto"/>
          <w:lang w:val="is-IS"/>
        </w:rPr>
        <w:t>ir konur í sjúklingahóp og 2,35 </w:t>
      </w:r>
      <w:r w:rsidRPr="009F7642">
        <w:rPr>
          <w:color w:val="auto"/>
          <w:lang w:val="is-IS"/>
        </w:rPr>
        <w:t>l fyrir karla í sjúklingahóp þegar bevacízúmab er gefið samhliða æxlishemjandi lyfjum. Karlar í sjúklingahóp höfðu stærra V</w:t>
      </w:r>
      <w:r w:rsidRPr="009F7642">
        <w:rPr>
          <w:color w:val="auto"/>
          <w:vertAlign w:val="subscript"/>
          <w:lang w:val="is-IS"/>
        </w:rPr>
        <w:t>c</w:t>
      </w:r>
      <w:r w:rsidRPr="009F7642">
        <w:rPr>
          <w:color w:val="auto"/>
          <w:lang w:val="is-IS"/>
        </w:rPr>
        <w:t xml:space="preserve"> (+20%) en konur í sjúklingahóp, að te</w:t>
      </w:r>
      <w:r w:rsidR="003C161D" w:rsidRPr="009F7642">
        <w:rPr>
          <w:color w:val="auto"/>
          <w:lang w:val="is-IS"/>
        </w:rPr>
        <w:t>knu tilliti til líkamsþyngdar.</w:t>
      </w:r>
    </w:p>
    <w:p w14:paraId="3CC790A0" w14:textId="77777777" w:rsidR="005F36F3" w:rsidRPr="009F7642" w:rsidRDefault="005F36F3" w:rsidP="0073217C">
      <w:pPr>
        <w:suppressAutoHyphens/>
        <w:spacing w:after="0" w:line="240" w:lineRule="auto"/>
        <w:ind w:left="0" w:firstLine="0"/>
        <w:rPr>
          <w:color w:val="auto"/>
          <w:lang w:val="is-IS"/>
        </w:rPr>
      </w:pPr>
    </w:p>
    <w:p w14:paraId="4F040CD0" w14:textId="77777777" w:rsidR="006C06D6" w:rsidRPr="00ED2096" w:rsidRDefault="00564614" w:rsidP="0073217C">
      <w:pPr>
        <w:keepNext/>
        <w:suppressAutoHyphens/>
        <w:spacing w:after="0" w:line="240" w:lineRule="auto"/>
        <w:ind w:left="0" w:firstLine="0"/>
        <w:rPr>
          <w:color w:val="auto"/>
          <w:u w:val="single"/>
          <w:lang w:val="is-IS"/>
        </w:rPr>
      </w:pPr>
      <w:r w:rsidRPr="00ED2096">
        <w:rPr>
          <w:color w:val="auto"/>
          <w:u w:val="single"/>
          <w:lang w:val="is-IS"/>
        </w:rPr>
        <w:t>Umbrot</w:t>
      </w:r>
    </w:p>
    <w:p w14:paraId="696C545D" w14:textId="77777777" w:rsidR="00C10862" w:rsidRPr="009F7642" w:rsidRDefault="00C10862" w:rsidP="0073217C">
      <w:pPr>
        <w:keepNext/>
        <w:suppressAutoHyphens/>
        <w:spacing w:after="0" w:line="240" w:lineRule="auto"/>
        <w:ind w:left="0" w:firstLine="0"/>
        <w:rPr>
          <w:color w:val="auto"/>
          <w:lang w:val="is-IS"/>
        </w:rPr>
      </w:pPr>
    </w:p>
    <w:p w14:paraId="7BED5497"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Mat á umbrotum bevacízúmabs hjá kanínum eftir einn skammt af </w:t>
      </w:r>
      <w:r w:rsidRPr="009F7642">
        <w:rPr>
          <w:color w:val="auto"/>
          <w:vertAlign w:val="superscript"/>
          <w:lang w:val="is-IS"/>
        </w:rPr>
        <w:t>125</w:t>
      </w:r>
      <w:r w:rsidRPr="009F7642">
        <w:rPr>
          <w:color w:val="auto"/>
          <w:lang w:val="is-IS"/>
        </w:rPr>
        <w:t>I-bevacízúmabi í bláæð gaf til kynna að umbrotasniðið væri svipað því sem búast má við fyrir upprunalega IgG sameind sem bindur ekki VEGF. Umbrot og brotthvarf bevacízúmabs er svipað og fyrir innrænt IgG, þ.e. próteinsundrandi niðurbrot í gegnum líkamann, þar með taldar innanþekjufrumur, og byggir ekki aðallega á brotthvarfi um nýru og lifur. Binding IgG við FcRn viðtakann leiðir til varnar gegn umbroti í frumum og langs lokahelmingunartíma.</w:t>
      </w:r>
    </w:p>
    <w:p w14:paraId="5AD318C5" w14:textId="77777777" w:rsidR="005F36F3" w:rsidRPr="009F7642" w:rsidRDefault="005F36F3" w:rsidP="0073217C">
      <w:pPr>
        <w:suppressAutoHyphens/>
        <w:spacing w:after="0" w:line="240" w:lineRule="auto"/>
        <w:ind w:left="0" w:firstLine="0"/>
        <w:rPr>
          <w:color w:val="auto"/>
          <w:lang w:val="is-IS"/>
        </w:rPr>
      </w:pPr>
    </w:p>
    <w:p w14:paraId="6F6A1767" w14:textId="77777777" w:rsidR="006C06D6" w:rsidRPr="00ED2096" w:rsidRDefault="00564614" w:rsidP="0073217C">
      <w:pPr>
        <w:keepNext/>
        <w:suppressAutoHyphens/>
        <w:spacing w:after="0" w:line="240" w:lineRule="auto"/>
        <w:ind w:left="0" w:firstLine="0"/>
        <w:rPr>
          <w:color w:val="auto"/>
          <w:u w:val="single"/>
          <w:lang w:val="is-IS"/>
        </w:rPr>
      </w:pPr>
      <w:r w:rsidRPr="00ED2096">
        <w:rPr>
          <w:color w:val="auto"/>
          <w:u w:val="single"/>
          <w:lang w:val="is-IS"/>
        </w:rPr>
        <w:t>Brotthvarf</w:t>
      </w:r>
    </w:p>
    <w:p w14:paraId="5410C274" w14:textId="77777777" w:rsidR="00C10862" w:rsidRPr="009F7642" w:rsidRDefault="00C10862" w:rsidP="0073217C">
      <w:pPr>
        <w:keepNext/>
        <w:suppressAutoHyphens/>
        <w:spacing w:after="0" w:line="240" w:lineRule="auto"/>
        <w:ind w:left="0" w:firstLine="0"/>
        <w:rPr>
          <w:color w:val="auto"/>
          <w:lang w:val="is-IS"/>
        </w:rPr>
      </w:pPr>
    </w:p>
    <w:p w14:paraId="2200B5AF"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Úthreinsun nemur að meða</w:t>
      </w:r>
      <w:r w:rsidR="00C10862" w:rsidRPr="009F7642">
        <w:rPr>
          <w:color w:val="auto"/>
          <w:lang w:val="is-IS"/>
        </w:rPr>
        <w:t>ltali sem svarar 0,188 og 0,220 </w:t>
      </w:r>
      <w:r w:rsidRPr="009F7642">
        <w:rPr>
          <w:color w:val="auto"/>
          <w:lang w:val="is-IS"/>
        </w:rPr>
        <w:t>l/dag hjá hvorum um sig, konum og körlum í sjúklingahóp. Úthreinsun bevacízúmabs hjá körlum í sjúklingahóp var hærri (+ 17%) en hjá konum í sjúklingahóp, að teknu tilliti til líkamsþyngdar. Samkvæmt tveggja hólfa líkaninu er helmingunartími brotthvarfs 18 dagar hjá dæmigerðri konu í sjúklingahóp og 20 dagar hjá dæmigerðum karli í sjúklingahóp.</w:t>
      </w:r>
    </w:p>
    <w:p w14:paraId="1046B060" w14:textId="77777777" w:rsidR="005F36F3" w:rsidRPr="009F7642" w:rsidRDefault="005F36F3" w:rsidP="0073217C">
      <w:pPr>
        <w:suppressAutoHyphens/>
        <w:spacing w:after="0" w:line="240" w:lineRule="auto"/>
        <w:ind w:left="0" w:firstLine="0"/>
        <w:rPr>
          <w:color w:val="auto"/>
          <w:lang w:val="is-IS"/>
        </w:rPr>
      </w:pPr>
    </w:p>
    <w:p w14:paraId="02E91664"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Lágt albúmín og mikið æxlisálag gefa yfirleitt til kynna hversu alvarlegur sjúkdómurinn er. Úthreinsun bevacízúmabs var um 30% hraðari hjá sjúklingum með lág gildi albúmíns í sermi og 7% hraðari hjá sjúklingum með meira æxlisálag samanborið við dæmigerðan sjúkling með miðgildi albúmíns- og æxlisálags.</w:t>
      </w:r>
    </w:p>
    <w:p w14:paraId="430CA0B1" w14:textId="77777777" w:rsidR="005F36F3" w:rsidRPr="009F7642" w:rsidRDefault="005F36F3" w:rsidP="0073217C">
      <w:pPr>
        <w:suppressAutoHyphens/>
        <w:spacing w:after="0" w:line="240" w:lineRule="auto"/>
        <w:ind w:left="0" w:firstLine="0"/>
        <w:rPr>
          <w:color w:val="auto"/>
          <w:lang w:val="is-IS"/>
        </w:rPr>
      </w:pPr>
    </w:p>
    <w:p w14:paraId="567D8024" w14:textId="77777777" w:rsidR="006C06D6" w:rsidRPr="00ED2096" w:rsidRDefault="00564614" w:rsidP="0073217C">
      <w:pPr>
        <w:keepNext/>
        <w:suppressAutoHyphens/>
        <w:spacing w:after="0" w:line="240" w:lineRule="auto"/>
        <w:ind w:left="0" w:firstLine="0"/>
        <w:rPr>
          <w:color w:val="auto"/>
          <w:u w:val="single"/>
          <w:lang w:val="is-IS"/>
        </w:rPr>
      </w:pPr>
      <w:r w:rsidRPr="00ED2096">
        <w:rPr>
          <w:color w:val="auto"/>
          <w:u w:val="single"/>
          <w:lang w:val="is-IS"/>
        </w:rPr>
        <w:t>Lyfjahvörf hjá sérstökum sjúklingahópum</w:t>
      </w:r>
    </w:p>
    <w:p w14:paraId="27A9CDC1" w14:textId="77777777" w:rsidR="00C10862" w:rsidRPr="00ED2096" w:rsidRDefault="00C10862" w:rsidP="0073217C">
      <w:pPr>
        <w:keepNext/>
        <w:suppressAutoHyphens/>
        <w:spacing w:after="0" w:line="240" w:lineRule="auto"/>
        <w:ind w:left="0" w:firstLine="0"/>
        <w:rPr>
          <w:color w:val="auto"/>
          <w:lang w:val="is-IS"/>
        </w:rPr>
      </w:pPr>
    </w:p>
    <w:p w14:paraId="38473570"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Gerð var þýðisgreining á lyfjahvörfum hjá fullorðnum og börnum til þess að meta áhrif lýðfræðilegra einkenna. Hjá fullorðnum leiddu niðurstöðurnar ekki í ljós neinn marktækan mun á lyfjahvörfum bevacízúmabs með tilliti til aldurs.</w:t>
      </w:r>
    </w:p>
    <w:p w14:paraId="1ED9D8BD" w14:textId="77777777" w:rsidR="005F36F3" w:rsidRPr="009F7642" w:rsidRDefault="005F36F3" w:rsidP="0073217C">
      <w:pPr>
        <w:suppressAutoHyphens/>
        <w:spacing w:after="0" w:line="240" w:lineRule="auto"/>
        <w:ind w:left="0" w:firstLine="0"/>
        <w:rPr>
          <w:color w:val="auto"/>
          <w:lang w:val="is-IS"/>
        </w:rPr>
      </w:pPr>
    </w:p>
    <w:p w14:paraId="265C9657" w14:textId="77777777" w:rsidR="005F36F3" w:rsidRPr="009F7642" w:rsidRDefault="00564614" w:rsidP="0073217C">
      <w:pPr>
        <w:keepNext/>
        <w:suppressAutoHyphens/>
        <w:spacing w:after="0" w:line="240" w:lineRule="auto"/>
        <w:ind w:left="0" w:firstLine="0"/>
        <w:rPr>
          <w:i/>
          <w:color w:val="auto"/>
          <w:u w:val="single"/>
          <w:lang w:val="is-IS"/>
        </w:rPr>
      </w:pPr>
      <w:r w:rsidRPr="009F7642">
        <w:rPr>
          <w:i/>
          <w:color w:val="auto"/>
          <w:u w:val="single"/>
          <w:lang w:val="is-IS"/>
        </w:rPr>
        <w:t>Skert nýrnastarfsemi</w:t>
      </w:r>
    </w:p>
    <w:p w14:paraId="49004C9D" w14:textId="77777777" w:rsidR="00C10862" w:rsidRPr="009F7642" w:rsidRDefault="00C10862" w:rsidP="0073217C">
      <w:pPr>
        <w:keepNext/>
        <w:suppressAutoHyphens/>
        <w:spacing w:after="0" w:line="240" w:lineRule="auto"/>
        <w:ind w:left="0" w:firstLine="0"/>
        <w:rPr>
          <w:color w:val="auto"/>
          <w:lang w:val="is-IS"/>
        </w:rPr>
      </w:pPr>
    </w:p>
    <w:p w14:paraId="2B88080A"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Engar rannsóknir hafa verið gerðar á lyfjahvörfum bevacízúmabs hjá sjúklingum með skerta nýrnastarfsemi þar sem nýrun eru ekki aðallíffærið fyrir umbrot eða útskilnað bevacízúmabs.</w:t>
      </w:r>
    </w:p>
    <w:p w14:paraId="1CA93BC8" w14:textId="77777777" w:rsidR="005F36F3" w:rsidRPr="009F7642" w:rsidRDefault="005F36F3" w:rsidP="0073217C">
      <w:pPr>
        <w:suppressAutoHyphens/>
        <w:spacing w:after="0" w:line="240" w:lineRule="auto"/>
        <w:ind w:left="0" w:firstLine="0"/>
        <w:rPr>
          <w:color w:val="auto"/>
          <w:lang w:val="is-IS"/>
        </w:rPr>
      </w:pPr>
    </w:p>
    <w:p w14:paraId="23671A76" w14:textId="77777777" w:rsidR="005F36F3" w:rsidRPr="009F7642" w:rsidRDefault="00564614" w:rsidP="0073217C">
      <w:pPr>
        <w:keepNext/>
        <w:suppressAutoHyphens/>
        <w:spacing w:after="0" w:line="240" w:lineRule="auto"/>
        <w:ind w:left="0" w:firstLine="0"/>
        <w:rPr>
          <w:color w:val="auto"/>
          <w:u w:val="single"/>
          <w:lang w:val="is-IS"/>
        </w:rPr>
      </w:pPr>
      <w:r w:rsidRPr="009F7642">
        <w:rPr>
          <w:i/>
          <w:color w:val="auto"/>
          <w:u w:val="single"/>
          <w:lang w:val="is-IS"/>
        </w:rPr>
        <w:t>Skert lifrarstarfsemi</w:t>
      </w:r>
    </w:p>
    <w:p w14:paraId="456EDA30" w14:textId="77777777" w:rsidR="00797195" w:rsidRPr="009F7642" w:rsidRDefault="00797195" w:rsidP="0073217C">
      <w:pPr>
        <w:keepNext/>
        <w:suppressAutoHyphens/>
        <w:spacing w:after="0" w:line="240" w:lineRule="auto"/>
        <w:ind w:left="0" w:firstLine="0"/>
        <w:rPr>
          <w:color w:val="auto"/>
          <w:lang w:val="is-IS"/>
        </w:rPr>
      </w:pPr>
    </w:p>
    <w:p w14:paraId="48B53B8E"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Engar rannsóknir hafa verið gerðar á lyfjahvörfum bevacízúmabs hjá sjúklingum með skerta lifrarstarfsemi þar sem lifrin eru ekki aðallíffærið fyrir umbrot eða útskilnað bevacízúmabs.</w:t>
      </w:r>
    </w:p>
    <w:p w14:paraId="6BBA8170" w14:textId="77777777" w:rsidR="005F36F3" w:rsidRPr="009F7642" w:rsidRDefault="005F36F3" w:rsidP="0073217C">
      <w:pPr>
        <w:suppressAutoHyphens/>
        <w:spacing w:after="0" w:line="240" w:lineRule="auto"/>
        <w:ind w:left="0" w:firstLine="0"/>
        <w:rPr>
          <w:color w:val="auto"/>
          <w:lang w:val="is-IS"/>
        </w:rPr>
      </w:pPr>
    </w:p>
    <w:p w14:paraId="6D049122" w14:textId="77777777" w:rsidR="005F36F3" w:rsidRPr="009F7642" w:rsidRDefault="00A8696B" w:rsidP="0073217C">
      <w:pPr>
        <w:keepNext/>
        <w:suppressAutoHyphens/>
        <w:spacing w:after="0" w:line="240" w:lineRule="auto"/>
        <w:ind w:left="0" w:firstLine="0"/>
        <w:rPr>
          <w:color w:val="auto"/>
          <w:u w:val="single"/>
          <w:lang w:val="is-IS"/>
        </w:rPr>
      </w:pPr>
      <w:r w:rsidRPr="009F7642">
        <w:rPr>
          <w:i/>
          <w:color w:val="auto"/>
          <w:u w:val="single"/>
          <w:lang w:val="is-IS"/>
        </w:rPr>
        <w:t>Börn</w:t>
      </w:r>
    </w:p>
    <w:p w14:paraId="6340B179" w14:textId="77777777" w:rsidR="00797195" w:rsidRPr="009F7642" w:rsidRDefault="00797195" w:rsidP="0073217C">
      <w:pPr>
        <w:keepNext/>
        <w:suppressAutoHyphens/>
        <w:spacing w:after="0" w:line="240" w:lineRule="auto"/>
        <w:ind w:left="0" w:firstLine="0"/>
        <w:rPr>
          <w:color w:val="auto"/>
          <w:lang w:val="is-IS"/>
        </w:rPr>
      </w:pPr>
    </w:p>
    <w:p w14:paraId="43E54CFE"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Lyfjahvörf bevacízúmabs voru metin hjá 152 börnum, unglingum og ungum fullorðnum einstaklingum (á aldrinum 7</w:t>
      </w:r>
      <w:r w:rsidR="00797195" w:rsidRPr="009F7642">
        <w:rPr>
          <w:color w:val="auto"/>
          <w:lang w:val="is-IS"/>
        </w:rPr>
        <w:t xml:space="preserve"> mánaða til 21 árs, 5,9 til 125 </w:t>
      </w:r>
      <w:r w:rsidRPr="009F7642">
        <w:rPr>
          <w:color w:val="auto"/>
          <w:lang w:val="is-IS"/>
        </w:rPr>
        <w:t xml:space="preserve">kg), í 4 klínískum rannsóknum, þar sem notuð var </w:t>
      </w:r>
      <w:r w:rsidRPr="009F7642">
        <w:rPr>
          <w:color w:val="auto"/>
          <w:lang w:val="is-IS"/>
        </w:rPr>
        <w:lastRenderedPageBreak/>
        <w:t>þýðisgreining á lyfjahvörfum. Niðurstöður varðandi lyfjahvörf sýna að úthreinsun og dreifingarrúmmál bevacízúmabs séu sambærileg hjá börnum og ungum fullorðnum sjúklingum, að teknu tilliti til líkamsþyngdar og var tilhneiging til minni útsetningar með minnkandi líkamsþyngd. Ekki voru tengsl milli aldurs og lyfjahvarfa bevacízúmabs að teknu tilliti til líkamsþyngdar.</w:t>
      </w:r>
    </w:p>
    <w:p w14:paraId="4EC7848A" w14:textId="77777777" w:rsidR="005F36F3" w:rsidRPr="009F7642" w:rsidRDefault="005F36F3" w:rsidP="0073217C">
      <w:pPr>
        <w:suppressAutoHyphens/>
        <w:spacing w:after="0" w:line="240" w:lineRule="auto"/>
        <w:ind w:left="0" w:firstLine="0"/>
        <w:rPr>
          <w:color w:val="auto"/>
          <w:lang w:val="is-IS"/>
        </w:rPr>
      </w:pPr>
    </w:p>
    <w:p w14:paraId="57347AEC"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Lyfjahvörf bevacízúmabs voru vel skilgreind með þýðisgreiningu á lyfjahvörfum hjá börnum, sem gerð var hjá 70 sjúklingum í BO20924-rannsókninni (</w:t>
      </w:r>
      <w:r w:rsidR="00797195" w:rsidRPr="009F7642">
        <w:rPr>
          <w:color w:val="auto"/>
          <w:lang w:val="is-IS"/>
        </w:rPr>
        <w:t>1,4 til 17,6 ára; 11,6 til 77,5 </w:t>
      </w:r>
      <w:r w:rsidRPr="009F7642">
        <w:rPr>
          <w:color w:val="auto"/>
          <w:lang w:val="is-IS"/>
        </w:rPr>
        <w:t>kg) og</w:t>
      </w:r>
      <w:r w:rsidR="0027722B">
        <w:rPr>
          <w:color w:val="auto"/>
          <w:lang w:val="is-IS"/>
        </w:rPr>
        <w:t xml:space="preserve"> </w:t>
      </w:r>
      <w:r w:rsidRPr="009F7642">
        <w:rPr>
          <w:color w:val="auto"/>
          <w:lang w:val="is-IS"/>
        </w:rPr>
        <w:t>59 sjúklingum í BO25041-rannsóknin</w:t>
      </w:r>
      <w:r w:rsidR="00797195" w:rsidRPr="009F7642">
        <w:rPr>
          <w:color w:val="auto"/>
          <w:lang w:val="is-IS"/>
        </w:rPr>
        <w:t>ni (1 til 17 ára; 11,2 til 82,3 </w:t>
      </w:r>
      <w:r w:rsidRPr="009F7642">
        <w:rPr>
          <w:color w:val="auto"/>
          <w:lang w:val="is-IS"/>
        </w:rPr>
        <w:t xml:space="preserve">kg). Í BO20924-rannsókninni var útsetning fyrir bevacízúmabi almennt minni en hjá dæmigerðum fullorðnum sjúklingi sem fékk sama skammt. Í BO25041-rannsókninni var útsetning fyrir bevacízúmabi svipuð og hjá dæmigerðum fullorðnum sjúklingi sem fékk sama skammt. Í báðum rannsóknum var tilhneiging til minni útsetningar </w:t>
      </w:r>
      <w:r w:rsidR="000D7A09">
        <w:rPr>
          <w:color w:val="auto"/>
          <w:lang w:val="is-IS"/>
        </w:rPr>
        <w:t xml:space="preserve">fyrir </w:t>
      </w:r>
      <w:r w:rsidR="000D7A09" w:rsidRPr="009F7642">
        <w:rPr>
          <w:color w:val="auto"/>
          <w:lang w:val="is-IS"/>
        </w:rPr>
        <w:t>bevacízúmab</w:t>
      </w:r>
      <w:r w:rsidR="000D7A09">
        <w:rPr>
          <w:color w:val="auto"/>
          <w:lang w:val="is-IS"/>
        </w:rPr>
        <w:t xml:space="preserve">i </w:t>
      </w:r>
      <w:r w:rsidRPr="009F7642">
        <w:rPr>
          <w:color w:val="auto"/>
          <w:lang w:val="is-IS"/>
        </w:rPr>
        <w:t>með minnkandi líkamsþyngd.</w:t>
      </w:r>
    </w:p>
    <w:p w14:paraId="135C92F1" w14:textId="77777777" w:rsidR="005F36F3" w:rsidRPr="009F7642" w:rsidRDefault="005F36F3" w:rsidP="0073217C">
      <w:pPr>
        <w:suppressAutoHyphens/>
        <w:spacing w:after="0" w:line="240" w:lineRule="auto"/>
        <w:ind w:left="0" w:firstLine="0"/>
        <w:rPr>
          <w:color w:val="auto"/>
          <w:lang w:val="is-IS"/>
        </w:rPr>
      </w:pPr>
    </w:p>
    <w:p w14:paraId="617DEDE8" w14:textId="77777777" w:rsidR="006C06D6" w:rsidRPr="00ED2096" w:rsidRDefault="00A8696B" w:rsidP="0073217C">
      <w:pPr>
        <w:keepNext/>
        <w:suppressAutoHyphens/>
        <w:spacing w:after="0" w:line="240" w:lineRule="auto"/>
        <w:ind w:left="567" w:hanging="567"/>
        <w:rPr>
          <w:b/>
          <w:color w:val="auto"/>
          <w:lang w:val="is-IS"/>
        </w:rPr>
      </w:pPr>
      <w:r w:rsidRPr="00ED2096">
        <w:rPr>
          <w:b/>
          <w:color w:val="auto"/>
          <w:lang w:val="is-IS"/>
        </w:rPr>
        <w:t>5.3</w:t>
      </w:r>
      <w:r w:rsidR="00564614" w:rsidRPr="00ED2096">
        <w:rPr>
          <w:b/>
          <w:color w:val="auto"/>
          <w:lang w:val="is-IS"/>
        </w:rPr>
        <w:tab/>
        <w:t>Forklínískar upplýsingar</w:t>
      </w:r>
    </w:p>
    <w:p w14:paraId="371CCCA0" w14:textId="77777777" w:rsidR="005F36F3" w:rsidRPr="009F7642" w:rsidRDefault="005F36F3" w:rsidP="0073217C">
      <w:pPr>
        <w:keepNext/>
        <w:suppressAutoHyphens/>
        <w:spacing w:after="0" w:line="240" w:lineRule="auto"/>
        <w:ind w:left="0" w:firstLine="0"/>
        <w:rPr>
          <w:color w:val="auto"/>
          <w:lang w:val="is-IS"/>
        </w:rPr>
      </w:pPr>
    </w:p>
    <w:p w14:paraId="66E2ECD1"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Í rannsóknum á cýnómolgusöpum sem stóðu í allt að 26 vikur sást afbrigðilegur líkamsvöxtur hjá ungum dýrum með opnar vaxtarplötur við meðalsermisþéttni bevacízúmabs undir þeirri meðal lækningalegu sermisþéttni sem búast má við hjá mönnum. Í kanínum var sýnt fram á að bevacízúmab hamlaði því að sár gréru við skammta undir ráðlögðum meðferðarskammti. Sýnt var fram á að áhrif á að sár gréru gengu að fullu til baka.</w:t>
      </w:r>
    </w:p>
    <w:p w14:paraId="2AA3EDD6" w14:textId="77777777" w:rsidR="005F36F3" w:rsidRPr="009F7642" w:rsidRDefault="005F36F3" w:rsidP="0073217C">
      <w:pPr>
        <w:suppressAutoHyphens/>
        <w:spacing w:after="0" w:line="240" w:lineRule="auto"/>
        <w:ind w:left="0" w:firstLine="0"/>
        <w:rPr>
          <w:color w:val="auto"/>
          <w:lang w:val="is-IS"/>
        </w:rPr>
      </w:pPr>
    </w:p>
    <w:p w14:paraId="6DE7F166"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Rannsóknir hafa ekki verið gerðar til þess að meta möguleikann á að bevacízúmab valdi stökkbreytingum og krabbameini.</w:t>
      </w:r>
    </w:p>
    <w:p w14:paraId="7624BAE8" w14:textId="77777777" w:rsidR="005F36F3" w:rsidRPr="009F7642" w:rsidRDefault="005F36F3" w:rsidP="0073217C">
      <w:pPr>
        <w:suppressAutoHyphens/>
        <w:spacing w:after="0" w:line="240" w:lineRule="auto"/>
        <w:ind w:left="0" w:firstLine="0"/>
        <w:rPr>
          <w:color w:val="auto"/>
          <w:lang w:val="is-IS"/>
        </w:rPr>
      </w:pPr>
    </w:p>
    <w:p w14:paraId="7A234300"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Ekki hafa verið gerðar neinar sértækar rannsóknir á dýrum til þess að meta áhrif á frjósemi. Þó má gera ráð fyrir óæskilegum áhrifum á frjósemi kvendýra þar sem rannsóknir á eituráhrifum við endurtekna skammta hjá dýrum hafa sýnt fram á hömlur á þroska eggbúa og minnkun/skort á gulbúum og lækkun á þyngd eggjastokka og legs sem því tengist, sem og fækkun tíðahringja.</w:t>
      </w:r>
    </w:p>
    <w:p w14:paraId="35CE466B" w14:textId="77777777" w:rsidR="005F36F3" w:rsidRPr="009F7642" w:rsidRDefault="005F36F3" w:rsidP="0073217C">
      <w:pPr>
        <w:suppressAutoHyphens/>
        <w:spacing w:after="0" w:line="240" w:lineRule="auto"/>
        <w:ind w:left="0" w:firstLine="0"/>
        <w:rPr>
          <w:color w:val="auto"/>
          <w:lang w:val="is-IS"/>
        </w:rPr>
      </w:pPr>
    </w:p>
    <w:p w14:paraId="4570549B"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Sýnt hefur verið fram á að bevacízúmab hefur eituráhrif á fósturvísa og er vansköpunarvaldandi þegar það er gefið kanínum. Meðal þeirra áhrifa sem komu fram var lækkun á líkamsþyngd móðurdýrs og fósturs, aukinn fjöldi fósturláta og aukin tíðni sértækra, sýnilegra vanskapana og vanskapana á beinagrind hjá fóstrum. Óæskileg áhrif á fóstur komu fram við alla rannsóknarskammta, en minnsti skammturinn olli meðalsermisþéttni sem var um þrisvar sinnum hærri en hjá mönn</w:t>
      </w:r>
      <w:r w:rsidR="00730614" w:rsidRPr="009F7642">
        <w:rPr>
          <w:color w:val="auto"/>
          <w:lang w:val="is-IS"/>
        </w:rPr>
        <w:t>um sem fengu 5 </w:t>
      </w:r>
      <w:r w:rsidRPr="009F7642">
        <w:rPr>
          <w:color w:val="auto"/>
          <w:lang w:val="is-IS"/>
        </w:rPr>
        <w:t xml:space="preserve">mg/kg á 2 vikna fresti. Upplýsingar um vanskapanir á fóstrum sem sést hafa eftir markaðssetningu lyfsins eru í kafla 4.6 </w:t>
      </w:r>
      <w:r w:rsidR="00032D57">
        <w:rPr>
          <w:color w:val="auto"/>
          <w:lang w:val="is-IS"/>
        </w:rPr>
        <w:t xml:space="preserve">Frjósemi , meðganga og brjóstagjöf </w:t>
      </w:r>
      <w:r w:rsidRPr="009F7642">
        <w:rPr>
          <w:color w:val="auto"/>
          <w:lang w:val="is-IS"/>
        </w:rPr>
        <w:t xml:space="preserve">og </w:t>
      </w:r>
      <w:r w:rsidR="00032D57">
        <w:rPr>
          <w:color w:val="auto"/>
          <w:lang w:val="is-IS"/>
        </w:rPr>
        <w:t xml:space="preserve">kafla </w:t>
      </w:r>
      <w:r w:rsidRPr="009F7642">
        <w:rPr>
          <w:color w:val="auto"/>
          <w:lang w:val="is-IS"/>
        </w:rPr>
        <w:t>4.8</w:t>
      </w:r>
      <w:r w:rsidR="00032D57">
        <w:rPr>
          <w:color w:val="auto"/>
          <w:lang w:val="is-IS"/>
        </w:rPr>
        <w:t xml:space="preserve"> Aukaverkanir</w:t>
      </w:r>
      <w:r w:rsidRPr="009F7642">
        <w:rPr>
          <w:color w:val="auto"/>
          <w:lang w:val="is-IS"/>
        </w:rPr>
        <w:t>.</w:t>
      </w:r>
    </w:p>
    <w:p w14:paraId="016AA111" w14:textId="77777777" w:rsidR="005F36F3" w:rsidRPr="009F7642" w:rsidRDefault="005F36F3" w:rsidP="0073217C">
      <w:pPr>
        <w:suppressAutoHyphens/>
        <w:spacing w:after="0" w:line="240" w:lineRule="auto"/>
        <w:ind w:left="0" w:firstLine="0"/>
        <w:rPr>
          <w:color w:val="auto"/>
          <w:lang w:val="is-IS"/>
        </w:rPr>
      </w:pPr>
    </w:p>
    <w:p w14:paraId="72B1CC15" w14:textId="77777777" w:rsidR="005F36F3" w:rsidRPr="009F7642" w:rsidRDefault="005F36F3" w:rsidP="0073217C">
      <w:pPr>
        <w:suppressAutoHyphens/>
        <w:spacing w:after="0" w:line="240" w:lineRule="auto"/>
        <w:ind w:left="0" w:firstLine="0"/>
        <w:rPr>
          <w:color w:val="auto"/>
          <w:lang w:val="is-IS"/>
        </w:rPr>
      </w:pPr>
    </w:p>
    <w:p w14:paraId="29EF49B4" w14:textId="77777777" w:rsidR="006C06D6" w:rsidRPr="002E4261" w:rsidRDefault="00A8696B" w:rsidP="000120DA">
      <w:pPr>
        <w:keepNext/>
        <w:suppressAutoHyphens/>
        <w:spacing w:after="0" w:line="240" w:lineRule="auto"/>
        <w:ind w:left="567" w:hanging="567"/>
        <w:rPr>
          <w:b/>
          <w:color w:val="auto"/>
          <w:lang w:val="is-IS"/>
        </w:rPr>
      </w:pPr>
      <w:r w:rsidRPr="002E4261">
        <w:rPr>
          <w:b/>
          <w:color w:val="auto"/>
          <w:lang w:val="is-IS"/>
        </w:rPr>
        <w:t>6.</w:t>
      </w:r>
      <w:r w:rsidR="00564614" w:rsidRPr="002E4261">
        <w:rPr>
          <w:b/>
          <w:color w:val="auto"/>
          <w:lang w:val="is-IS"/>
        </w:rPr>
        <w:tab/>
        <w:t>LYFJAGERÐARFRÆÐILEGAR UPPLÝSINGAR</w:t>
      </w:r>
    </w:p>
    <w:p w14:paraId="5BEB3802" w14:textId="77777777" w:rsidR="005F36F3" w:rsidRPr="009F7642" w:rsidRDefault="005F36F3" w:rsidP="008C1CE8">
      <w:pPr>
        <w:keepNext/>
        <w:suppressAutoHyphens/>
        <w:spacing w:after="0" w:line="240" w:lineRule="auto"/>
        <w:ind w:left="0" w:firstLine="0"/>
        <w:rPr>
          <w:color w:val="auto"/>
          <w:lang w:val="is-IS"/>
        </w:rPr>
      </w:pPr>
    </w:p>
    <w:p w14:paraId="69D098B7" w14:textId="77777777" w:rsidR="006C06D6" w:rsidRPr="002E4261" w:rsidRDefault="00A8696B" w:rsidP="00F2274F">
      <w:pPr>
        <w:keepNext/>
        <w:suppressAutoHyphens/>
        <w:spacing w:after="0" w:line="240" w:lineRule="auto"/>
        <w:ind w:left="567" w:hanging="567"/>
        <w:rPr>
          <w:b/>
          <w:color w:val="auto"/>
          <w:lang w:val="is-IS"/>
        </w:rPr>
      </w:pPr>
      <w:r w:rsidRPr="002E4261">
        <w:rPr>
          <w:b/>
          <w:color w:val="auto"/>
          <w:lang w:val="is-IS"/>
        </w:rPr>
        <w:t>6.1</w:t>
      </w:r>
      <w:r w:rsidR="00564614" w:rsidRPr="002E4261">
        <w:rPr>
          <w:b/>
          <w:color w:val="auto"/>
          <w:lang w:val="is-IS"/>
        </w:rPr>
        <w:tab/>
        <w:t>Hjálparefni</w:t>
      </w:r>
    </w:p>
    <w:p w14:paraId="027F8538" w14:textId="77777777" w:rsidR="005F36F3" w:rsidRPr="009F7642" w:rsidRDefault="005F36F3" w:rsidP="00F2274F">
      <w:pPr>
        <w:keepNext/>
        <w:suppressAutoHyphens/>
        <w:spacing w:after="0" w:line="240" w:lineRule="auto"/>
        <w:ind w:left="0" w:firstLine="0"/>
        <w:rPr>
          <w:color w:val="auto"/>
          <w:lang w:val="is-IS"/>
        </w:rPr>
      </w:pPr>
    </w:p>
    <w:p w14:paraId="7126558F" w14:textId="77777777" w:rsidR="006C06D6" w:rsidRPr="009F7642" w:rsidRDefault="00564614" w:rsidP="00F2274F">
      <w:pPr>
        <w:keepNext/>
        <w:suppressAutoHyphens/>
        <w:spacing w:after="0" w:line="240" w:lineRule="auto"/>
        <w:ind w:left="0" w:firstLine="0"/>
        <w:rPr>
          <w:color w:val="auto"/>
          <w:lang w:val="is-IS"/>
        </w:rPr>
      </w:pPr>
      <w:r w:rsidRPr="009F7642">
        <w:rPr>
          <w:color w:val="auto"/>
          <w:lang w:val="is-IS"/>
        </w:rPr>
        <w:t>Trehalós díhýdrat</w:t>
      </w:r>
    </w:p>
    <w:p w14:paraId="66AD5333" w14:textId="77777777" w:rsidR="006C06D6" w:rsidRPr="009F7642" w:rsidRDefault="00564614" w:rsidP="00F2274F">
      <w:pPr>
        <w:keepNext/>
        <w:suppressAutoHyphens/>
        <w:spacing w:after="0" w:line="240" w:lineRule="auto"/>
        <w:ind w:left="0" w:firstLine="0"/>
        <w:rPr>
          <w:color w:val="auto"/>
          <w:lang w:val="is-IS"/>
        </w:rPr>
      </w:pPr>
      <w:r w:rsidRPr="009F7642">
        <w:rPr>
          <w:color w:val="auto"/>
          <w:lang w:val="is-IS"/>
        </w:rPr>
        <w:t>Natríum fosfat</w:t>
      </w:r>
    </w:p>
    <w:p w14:paraId="225DACDD" w14:textId="77777777" w:rsidR="006C06D6" w:rsidRPr="009F7642" w:rsidRDefault="00564614" w:rsidP="00F2274F">
      <w:pPr>
        <w:keepNext/>
        <w:suppressAutoHyphens/>
        <w:spacing w:after="0" w:line="240" w:lineRule="auto"/>
        <w:ind w:left="0" w:firstLine="0"/>
        <w:rPr>
          <w:color w:val="auto"/>
          <w:lang w:val="is-IS"/>
        </w:rPr>
      </w:pPr>
      <w:r w:rsidRPr="009F7642">
        <w:rPr>
          <w:color w:val="auto"/>
          <w:lang w:val="is-IS"/>
        </w:rPr>
        <w:t>Pólýsorbat 20</w:t>
      </w:r>
    </w:p>
    <w:p w14:paraId="7EBD4BE2" w14:textId="77777777" w:rsidR="006C06D6" w:rsidRPr="009F7642" w:rsidRDefault="00564614" w:rsidP="00F2274F">
      <w:pPr>
        <w:keepNext/>
        <w:suppressAutoHyphens/>
        <w:spacing w:after="0" w:line="240" w:lineRule="auto"/>
        <w:ind w:left="0" w:firstLine="0"/>
        <w:rPr>
          <w:color w:val="auto"/>
          <w:lang w:val="is-IS"/>
        </w:rPr>
      </w:pPr>
      <w:r w:rsidRPr="009F7642">
        <w:rPr>
          <w:color w:val="auto"/>
          <w:lang w:val="is-IS"/>
        </w:rPr>
        <w:t>Vatn fyrir stungulyf</w:t>
      </w:r>
    </w:p>
    <w:p w14:paraId="3F1526BF" w14:textId="77777777" w:rsidR="005F36F3" w:rsidRPr="009F7642" w:rsidRDefault="005F36F3" w:rsidP="0073217C">
      <w:pPr>
        <w:suppressAutoHyphens/>
        <w:spacing w:after="0" w:line="240" w:lineRule="auto"/>
        <w:ind w:left="0" w:firstLine="0"/>
        <w:rPr>
          <w:color w:val="auto"/>
          <w:lang w:val="is-IS"/>
        </w:rPr>
      </w:pPr>
    </w:p>
    <w:p w14:paraId="297C3ACA" w14:textId="77777777" w:rsidR="006C06D6" w:rsidRPr="002E4261" w:rsidRDefault="00A8696B" w:rsidP="0073217C">
      <w:pPr>
        <w:keepNext/>
        <w:suppressAutoHyphens/>
        <w:spacing w:after="0" w:line="240" w:lineRule="auto"/>
        <w:ind w:left="567" w:hanging="567"/>
        <w:rPr>
          <w:b/>
          <w:color w:val="auto"/>
          <w:lang w:val="is-IS"/>
        </w:rPr>
      </w:pPr>
      <w:r w:rsidRPr="002E4261">
        <w:rPr>
          <w:b/>
          <w:color w:val="auto"/>
          <w:lang w:val="is-IS"/>
        </w:rPr>
        <w:t>6.2</w:t>
      </w:r>
      <w:r w:rsidR="00564614" w:rsidRPr="002E4261">
        <w:rPr>
          <w:b/>
          <w:color w:val="auto"/>
          <w:lang w:val="is-IS"/>
        </w:rPr>
        <w:tab/>
        <w:t>Ósamrýmanleiki</w:t>
      </w:r>
    </w:p>
    <w:p w14:paraId="1DE82336" w14:textId="77777777" w:rsidR="005F36F3" w:rsidRPr="009F7642" w:rsidRDefault="005F36F3" w:rsidP="0073217C">
      <w:pPr>
        <w:keepNext/>
        <w:suppressAutoHyphens/>
        <w:spacing w:after="0" w:line="240" w:lineRule="auto"/>
        <w:ind w:left="0" w:firstLine="0"/>
        <w:rPr>
          <w:color w:val="auto"/>
          <w:lang w:val="is-IS"/>
        </w:rPr>
      </w:pPr>
    </w:p>
    <w:p w14:paraId="6D9BA18F"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Ekki má blanda þessu lyfi saman við önnur lyf en þau sem nefnd eru í kafla 6.6.</w:t>
      </w:r>
    </w:p>
    <w:p w14:paraId="0691EE14" w14:textId="77777777" w:rsidR="005F36F3" w:rsidRPr="009F7642" w:rsidRDefault="005F36F3" w:rsidP="0073217C">
      <w:pPr>
        <w:suppressAutoHyphens/>
        <w:spacing w:after="0" w:line="240" w:lineRule="auto"/>
        <w:ind w:left="0" w:firstLine="0"/>
        <w:rPr>
          <w:color w:val="auto"/>
          <w:lang w:val="is-IS"/>
        </w:rPr>
      </w:pPr>
    </w:p>
    <w:p w14:paraId="276723F3"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Þéttniháð rýrnun á bevacízúmabi kom fram þegar það var þynnt með glúkósalausnum (5%).</w:t>
      </w:r>
    </w:p>
    <w:p w14:paraId="3ADADAF9" w14:textId="77777777" w:rsidR="005F36F3" w:rsidRPr="009F7642" w:rsidRDefault="005F36F3" w:rsidP="0073217C">
      <w:pPr>
        <w:suppressAutoHyphens/>
        <w:spacing w:after="0" w:line="240" w:lineRule="auto"/>
        <w:ind w:left="0" w:firstLine="0"/>
        <w:rPr>
          <w:color w:val="auto"/>
          <w:lang w:val="is-IS"/>
        </w:rPr>
      </w:pPr>
    </w:p>
    <w:p w14:paraId="790F570C" w14:textId="77777777" w:rsidR="006C06D6" w:rsidRPr="002E4261" w:rsidRDefault="00A8696B" w:rsidP="0073217C">
      <w:pPr>
        <w:keepNext/>
        <w:suppressAutoHyphens/>
        <w:spacing w:after="0" w:line="240" w:lineRule="auto"/>
        <w:ind w:left="567" w:hanging="567"/>
        <w:rPr>
          <w:b/>
          <w:color w:val="auto"/>
          <w:lang w:val="is-IS"/>
        </w:rPr>
      </w:pPr>
      <w:r w:rsidRPr="002E4261">
        <w:rPr>
          <w:b/>
          <w:color w:val="auto"/>
          <w:lang w:val="is-IS"/>
        </w:rPr>
        <w:lastRenderedPageBreak/>
        <w:t>6.3</w:t>
      </w:r>
      <w:r w:rsidR="00564614" w:rsidRPr="002E4261">
        <w:rPr>
          <w:b/>
          <w:color w:val="auto"/>
          <w:lang w:val="is-IS"/>
        </w:rPr>
        <w:tab/>
        <w:t>Geymsluþol</w:t>
      </w:r>
    </w:p>
    <w:p w14:paraId="5C8B6A55" w14:textId="77777777" w:rsidR="005F36F3" w:rsidRPr="009F7642" w:rsidRDefault="005F36F3" w:rsidP="0073217C">
      <w:pPr>
        <w:keepNext/>
        <w:suppressAutoHyphens/>
        <w:spacing w:after="0" w:line="240" w:lineRule="auto"/>
        <w:ind w:left="0" w:firstLine="0"/>
        <w:rPr>
          <w:color w:val="auto"/>
          <w:lang w:val="is-IS"/>
        </w:rPr>
      </w:pPr>
    </w:p>
    <w:p w14:paraId="6B7B2C32" w14:textId="77777777" w:rsidR="006C06D6" w:rsidRPr="004E4257" w:rsidRDefault="00564614" w:rsidP="0073217C">
      <w:pPr>
        <w:keepNext/>
        <w:suppressAutoHyphens/>
        <w:spacing w:after="0" w:line="240" w:lineRule="auto"/>
        <w:ind w:left="0" w:firstLine="0"/>
        <w:rPr>
          <w:color w:val="auto"/>
          <w:u w:val="single"/>
          <w:lang w:val="is-IS"/>
        </w:rPr>
      </w:pPr>
      <w:r w:rsidRPr="004E4257">
        <w:rPr>
          <w:color w:val="auto"/>
          <w:u w:val="single"/>
          <w:lang w:val="is-IS"/>
        </w:rPr>
        <w:t>Hettuglas (órofið)</w:t>
      </w:r>
    </w:p>
    <w:p w14:paraId="6F5B7AE3" w14:textId="77777777" w:rsidR="005F36F3" w:rsidRPr="009F7642" w:rsidRDefault="005F36F3" w:rsidP="0073217C">
      <w:pPr>
        <w:keepNext/>
        <w:suppressAutoHyphens/>
        <w:spacing w:after="0" w:line="240" w:lineRule="auto"/>
        <w:ind w:left="0" w:firstLine="0"/>
        <w:rPr>
          <w:color w:val="auto"/>
          <w:lang w:val="is-IS"/>
        </w:rPr>
      </w:pPr>
    </w:p>
    <w:p w14:paraId="23865911" w14:textId="77777777" w:rsidR="006C06D6" w:rsidRPr="009F7642" w:rsidRDefault="00035F48" w:rsidP="0073217C">
      <w:pPr>
        <w:suppressAutoHyphens/>
        <w:spacing w:after="0" w:line="240" w:lineRule="auto"/>
        <w:ind w:left="0" w:firstLine="0"/>
        <w:rPr>
          <w:color w:val="auto"/>
          <w:lang w:val="is-IS"/>
        </w:rPr>
      </w:pPr>
      <w:r>
        <w:rPr>
          <w:color w:val="auto"/>
          <w:lang w:val="is-IS"/>
        </w:rPr>
        <w:t>2</w:t>
      </w:r>
      <w:r w:rsidRPr="009F7642">
        <w:rPr>
          <w:color w:val="auto"/>
          <w:lang w:val="is-IS"/>
        </w:rPr>
        <w:t xml:space="preserve"> </w:t>
      </w:r>
      <w:r w:rsidR="00564614" w:rsidRPr="009F7642">
        <w:rPr>
          <w:color w:val="auto"/>
          <w:lang w:val="is-IS"/>
        </w:rPr>
        <w:t>ár.</w:t>
      </w:r>
    </w:p>
    <w:p w14:paraId="7413ABBA" w14:textId="77777777" w:rsidR="005F36F3" w:rsidRPr="009F7642" w:rsidRDefault="005F36F3" w:rsidP="0073217C">
      <w:pPr>
        <w:suppressAutoHyphens/>
        <w:spacing w:after="0" w:line="240" w:lineRule="auto"/>
        <w:ind w:left="0" w:firstLine="0"/>
        <w:rPr>
          <w:color w:val="auto"/>
          <w:lang w:val="is-IS"/>
        </w:rPr>
      </w:pPr>
    </w:p>
    <w:p w14:paraId="31AFF482" w14:textId="77777777" w:rsidR="006C06D6" w:rsidRPr="00047634" w:rsidRDefault="00564614" w:rsidP="0073217C">
      <w:pPr>
        <w:keepNext/>
        <w:suppressAutoHyphens/>
        <w:spacing w:after="0" w:line="240" w:lineRule="auto"/>
        <w:ind w:left="0" w:firstLine="0"/>
        <w:rPr>
          <w:color w:val="auto"/>
          <w:u w:val="single"/>
          <w:lang w:val="is-IS"/>
        </w:rPr>
      </w:pPr>
      <w:r w:rsidRPr="00047634">
        <w:rPr>
          <w:color w:val="auto"/>
          <w:u w:val="single"/>
          <w:lang w:val="is-IS"/>
        </w:rPr>
        <w:t>Þynnt lyf</w:t>
      </w:r>
    </w:p>
    <w:p w14:paraId="4643F578" w14:textId="77777777" w:rsidR="005F36F3" w:rsidRPr="009F7642" w:rsidRDefault="005F36F3" w:rsidP="0073217C">
      <w:pPr>
        <w:keepNext/>
        <w:suppressAutoHyphens/>
        <w:spacing w:after="0" w:line="240" w:lineRule="auto"/>
        <w:ind w:left="0" w:firstLine="0"/>
        <w:rPr>
          <w:color w:val="auto"/>
          <w:lang w:val="is-IS"/>
        </w:rPr>
      </w:pPr>
    </w:p>
    <w:p w14:paraId="382CD90E"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Sýnt hefur verið fram á efna- og eðlisfræðilegan stöðugleika í notkun í </w:t>
      </w:r>
      <w:r w:rsidR="005C6A86">
        <w:rPr>
          <w:color w:val="auto"/>
          <w:lang w:val="is-IS"/>
        </w:rPr>
        <w:t>35 daga</w:t>
      </w:r>
      <w:r w:rsidR="00730614" w:rsidRPr="009F7642">
        <w:rPr>
          <w:color w:val="auto"/>
          <w:lang w:val="is-IS"/>
        </w:rPr>
        <w:t xml:space="preserve"> við 2°C til </w:t>
      </w:r>
      <w:r w:rsidR="005C6A86">
        <w:rPr>
          <w:color w:val="auto"/>
          <w:lang w:val="is-IS"/>
        </w:rPr>
        <w:t>8</w:t>
      </w:r>
      <w:r w:rsidR="00730614" w:rsidRPr="009F7642">
        <w:rPr>
          <w:color w:val="auto"/>
          <w:lang w:val="is-IS"/>
        </w:rPr>
        <w:t xml:space="preserve">°C </w:t>
      </w:r>
      <w:r w:rsidR="005C6A86">
        <w:rPr>
          <w:color w:val="auto"/>
          <w:lang w:val="is-IS"/>
        </w:rPr>
        <w:t xml:space="preserve">og 48 klukkustundir til viðbótar við hitastig sem er ekki hærra en 30°C </w:t>
      </w:r>
      <w:r w:rsidR="00730614" w:rsidRPr="009F7642">
        <w:rPr>
          <w:color w:val="auto"/>
          <w:lang w:val="is-IS"/>
        </w:rPr>
        <w:t>í 9 </w:t>
      </w:r>
      <w:r w:rsidRPr="009F7642">
        <w:rPr>
          <w:color w:val="auto"/>
          <w:lang w:val="is-IS"/>
        </w:rPr>
        <w:t>mg/ml (0,9%) natríumklóríð lausn fyrir stungulyf. Frá örverufræðilegu sjónarmiði á að nota lyfið strax. Sé það ekki gert, er geymslutími og aðstæður meðan á notkun stendur á ábyrgð notanda og ætti yfirleitt ekki að fara yfir 24 klukkustundir við 2°C til 8°C, nema lausnin hafi verið þynnt undir eftirliti og við gildaðar smitgátaraðstæður.</w:t>
      </w:r>
    </w:p>
    <w:p w14:paraId="2B8FCD79" w14:textId="77777777" w:rsidR="005F36F3" w:rsidRPr="009F7642" w:rsidRDefault="005F36F3" w:rsidP="0073217C">
      <w:pPr>
        <w:suppressAutoHyphens/>
        <w:spacing w:after="0" w:line="240" w:lineRule="auto"/>
        <w:ind w:left="0" w:firstLine="0"/>
        <w:rPr>
          <w:color w:val="auto"/>
          <w:lang w:val="is-IS"/>
        </w:rPr>
      </w:pPr>
    </w:p>
    <w:p w14:paraId="46CA5733" w14:textId="77777777" w:rsidR="006C06D6" w:rsidRPr="00047634" w:rsidRDefault="00A8696B" w:rsidP="0073217C">
      <w:pPr>
        <w:keepNext/>
        <w:suppressAutoHyphens/>
        <w:spacing w:after="0" w:line="240" w:lineRule="auto"/>
        <w:ind w:left="567" w:hanging="567"/>
        <w:rPr>
          <w:b/>
          <w:color w:val="auto"/>
          <w:lang w:val="is-IS"/>
        </w:rPr>
      </w:pPr>
      <w:r w:rsidRPr="00047634">
        <w:rPr>
          <w:b/>
          <w:color w:val="auto"/>
          <w:lang w:val="is-IS"/>
        </w:rPr>
        <w:t>6.4</w:t>
      </w:r>
      <w:r w:rsidR="00564614" w:rsidRPr="00047634">
        <w:rPr>
          <w:b/>
          <w:color w:val="auto"/>
          <w:lang w:val="is-IS"/>
        </w:rPr>
        <w:tab/>
        <w:t>Sérstakar varúðarreglur við geymslu</w:t>
      </w:r>
    </w:p>
    <w:p w14:paraId="5B801ADD" w14:textId="77777777" w:rsidR="005F36F3" w:rsidRPr="00047634" w:rsidRDefault="005F36F3" w:rsidP="0073217C">
      <w:pPr>
        <w:keepNext/>
        <w:suppressAutoHyphens/>
        <w:spacing w:after="0" w:line="240" w:lineRule="auto"/>
        <w:ind w:left="0" w:firstLine="0"/>
        <w:rPr>
          <w:b/>
          <w:color w:val="auto"/>
          <w:lang w:val="is-IS"/>
        </w:rPr>
      </w:pPr>
    </w:p>
    <w:p w14:paraId="5C937A3B" w14:textId="77777777" w:rsidR="005F36F3" w:rsidRPr="009F7642" w:rsidRDefault="003C161D" w:rsidP="0073217C">
      <w:pPr>
        <w:suppressAutoHyphens/>
        <w:spacing w:after="0" w:line="240" w:lineRule="auto"/>
        <w:ind w:left="0" w:firstLine="0"/>
        <w:rPr>
          <w:color w:val="auto"/>
          <w:lang w:val="is-IS"/>
        </w:rPr>
      </w:pPr>
      <w:r w:rsidRPr="009F7642">
        <w:rPr>
          <w:color w:val="auto"/>
          <w:lang w:val="is-IS"/>
        </w:rPr>
        <w:t>Geymið í kæli (2°C–8°C).</w:t>
      </w:r>
    </w:p>
    <w:p w14:paraId="20C5237E"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Má ekki frjósa.</w:t>
      </w:r>
    </w:p>
    <w:p w14:paraId="45EF6E7E"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Geymið hettuglasið í ytri umbúðum til varnar gegn ljósi.</w:t>
      </w:r>
    </w:p>
    <w:p w14:paraId="0D6EA9D3" w14:textId="77777777" w:rsidR="005F36F3" w:rsidRPr="009F7642" w:rsidRDefault="005F36F3" w:rsidP="0073217C">
      <w:pPr>
        <w:suppressAutoHyphens/>
        <w:spacing w:after="0" w:line="240" w:lineRule="auto"/>
        <w:ind w:left="0" w:firstLine="0"/>
        <w:rPr>
          <w:color w:val="auto"/>
          <w:lang w:val="is-IS"/>
        </w:rPr>
      </w:pPr>
    </w:p>
    <w:p w14:paraId="6975B328"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Geymsluskilyrði eftir þynningu lyfsins, sjá kafla 6.3.</w:t>
      </w:r>
    </w:p>
    <w:p w14:paraId="6366E583" w14:textId="77777777" w:rsidR="005F36F3" w:rsidRPr="009F7642" w:rsidRDefault="005F36F3" w:rsidP="0073217C">
      <w:pPr>
        <w:suppressAutoHyphens/>
        <w:spacing w:after="0" w:line="240" w:lineRule="auto"/>
        <w:ind w:left="0" w:firstLine="0"/>
        <w:rPr>
          <w:color w:val="auto"/>
          <w:lang w:val="is-IS"/>
        </w:rPr>
      </w:pPr>
    </w:p>
    <w:p w14:paraId="7D7FC693" w14:textId="77777777" w:rsidR="006C06D6" w:rsidRPr="004E4257" w:rsidRDefault="00564614" w:rsidP="0073217C">
      <w:pPr>
        <w:keepNext/>
        <w:suppressAutoHyphens/>
        <w:spacing w:after="0" w:line="240" w:lineRule="auto"/>
        <w:ind w:left="567" w:hanging="567"/>
        <w:rPr>
          <w:b/>
          <w:color w:val="auto"/>
          <w:lang w:val="is-IS"/>
        </w:rPr>
      </w:pPr>
      <w:r w:rsidRPr="004E4257">
        <w:rPr>
          <w:b/>
          <w:color w:val="auto"/>
          <w:lang w:val="is-IS"/>
        </w:rPr>
        <w:t>6.</w:t>
      </w:r>
      <w:r w:rsidR="00A8696B" w:rsidRPr="004E4257">
        <w:rPr>
          <w:b/>
          <w:color w:val="auto"/>
          <w:lang w:val="is-IS"/>
        </w:rPr>
        <w:t>5</w:t>
      </w:r>
      <w:r w:rsidRPr="004E4257">
        <w:rPr>
          <w:b/>
          <w:color w:val="auto"/>
          <w:lang w:val="is-IS"/>
        </w:rPr>
        <w:tab/>
        <w:t>Gerð íláts og innihald</w:t>
      </w:r>
    </w:p>
    <w:p w14:paraId="29F1FC80" w14:textId="77777777" w:rsidR="005F36F3" w:rsidRPr="009F7642" w:rsidRDefault="005F36F3" w:rsidP="0073217C">
      <w:pPr>
        <w:keepNext/>
        <w:suppressAutoHyphens/>
        <w:spacing w:after="0" w:line="240" w:lineRule="auto"/>
        <w:ind w:left="0" w:firstLine="0"/>
        <w:rPr>
          <w:color w:val="auto"/>
          <w:lang w:val="is-IS"/>
        </w:rPr>
      </w:pPr>
    </w:p>
    <w:p w14:paraId="43708128" w14:textId="77777777" w:rsidR="006C06D6" w:rsidRPr="009F7642" w:rsidRDefault="00730614" w:rsidP="0073217C">
      <w:pPr>
        <w:suppressAutoHyphens/>
        <w:spacing w:after="0" w:line="240" w:lineRule="auto"/>
        <w:ind w:left="0" w:firstLine="0"/>
        <w:rPr>
          <w:color w:val="auto"/>
          <w:lang w:val="is-IS"/>
        </w:rPr>
      </w:pPr>
      <w:r w:rsidRPr="009F7642">
        <w:rPr>
          <w:color w:val="auto"/>
          <w:lang w:val="is-IS"/>
        </w:rPr>
        <w:t>4 </w:t>
      </w:r>
      <w:r w:rsidR="00564614" w:rsidRPr="009F7642">
        <w:rPr>
          <w:color w:val="auto"/>
          <w:lang w:val="is-IS"/>
        </w:rPr>
        <w:t>ml af lausn í hettuglasi (gler af gerð I) með tappa (</w:t>
      </w:r>
      <w:r w:rsidRPr="009F7642">
        <w:rPr>
          <w:color w:val="auto"/>
          <w:lang w:val="is-IS"/>
        </w:rPr>
        <w:t>bútýl gúmmí) sem inniheldur 100 </w:t>
      </w:r>
      <w:r w:rsidR="00564614" w:rsidRPr="009F7642">
        <w:rPr>
          <w:color w:val="auto"/>
          <w:lang w:val="is-IS"/>
        </w:rPr>
        <w:t>mg af bevacízúmabi.</w:t>
      </w:r>
    </w:p>
    <w:p w14:paraId="4E17C062" w14:textId="77777777" w:rsidR="006C06D6" w:rsidRPr="009F7642" w:rsidRDefault="00730614" w:rsidP="0073217C">
      <w:pPr>
        <w:suppressAutoHyphens/>
        <w:spacing w:after="0" w:line="240" w:lineRule="auto"/>
        <w:ind w:left="0" w:firstLine="0"/>
        <w:rPr>
          <w:color w:val="auto"/>
          <w:lang w:val="is-IS"/>
        </w:rPr>
      </w:pPr>
      <w:r w:rsidRPr="009F7642">
        <w:rPr>
          <w:color w:val="auto"/>
          <w:lang w:val="is-IS"/>
        </w:rPr>
        <w:t>16 </w:t>
      </w:r>
      <w:r w:rsidR="00564614" w:rsidRPr="009F7642">
        <w:rPr>
          <w:color w:val="auto"/>
          <w:lang w:val="is-IS"/>
        </w:rPr>
        <w:t>ml af lausn í hettuglasi (gler af gerð I) með tappa (</w:t>
      </w:r>
      <w:r w:rsidRPr="009F7642">
        <w:rPr>
          <w:color w:val="auto"/>
          <w:lang w:val="is-IS"/>
        </w:rPr>
        <w:t>bútýl gúmmí) sem inniheldur 400 </w:t>
      </w:r>
      <w:r w:rsidR="00564614" w:rsidRPr="009F7642">
        <w:rPr>
          <w:color w:val="auto"/>
          <w:lang w:val="is-IS"/>
        </w:rPr>
        <w:t>mg af bevacízúmabi.</w:t>
      </w:r>
    </w:p>
    <w:p w14:paraId="003C5C2D" w14:textId="77777777" w:rsidR="005F36F3" w:rsidRPr="009F7642" w:rsidRDefault="005F36F3" w:rsidP="0073217C">
      <w:pPr>
        <w:suppressAutoHyphens/>
        <w:spacing w:after="0" w:line="240" w:lineRule="auto"/>
        <w:ind w:left="0" w:firstLine="0"/>
        <w:rPr>
          <w:color w:val="auto"/>
          <w:lang w:val="is-IS"/>
        </w:rPr>
      </w:pPr>
    </w:p>
    <w:p w14:paraId="26A8E565"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Pakkning með 1 hettuglasi.</w:t>
      </w:r>
    </w:p>
    <w:p w14:paraId="38750C44" w14:textId="77777777" w:rsidR="005F36F3" w:rsidRPr="009F7642" w:rsidRDefault="005F36F3" w:rsidP="0073217C">
      <w:pPr>
        <w:suppressAutoHyphens/>
        <w:spacing w:after="0" w:line="240" w:lineRule="auto"/>
        <w:ind w:left="0" w:firstLine="0"/>
        <w:rPr>
          <w:color w:val="auto"/>
          <w:lang w:val="is-IS"/>
        </w:rPr>
      </w:pPr>
    </w:p>
    <w:p w14:paraId="7D6453E2" w14:textId="77777777" w:rsidR="006C06D6" w:rsidRPr="004E4257" w:rsidRDefault="00A8696B" w:rsidP="0073217C">
      <w:pPr>
        <w:keepNext/>
        <w:suppressAutoHyphens/>
        <w:spacing w:after="0" w:line="240" w:lineRule="auto"/>
        <w:ind w:left="567" w:hanging="567"/>
        <w:rPr>
          <w:b/>
          <w:color w:val="auto"/>
          <w:lang w:val="is-IS"/>
        </w:rPr>
      </w:pPr>
      <w:r w:rsidRPr="004E4257">
        <w:rPr>
          <w:b/>
          <w:color w:val="auto"/>
          <w:lang w:val="is-IS"/>
        </w:rPr>
        <w:t>6.6</w:t>
      </w:r>
      <w:r w:rsidR="00564614" w:rsidRPr="004E4257">
        <w:rPr>
          <w:b/>
          <w:color w:val="auto"/>
          <w:lang w:val="is-IS"/>
        </w:rPr>
        <w:tab/>
        <w:t>Sérstakar varúðarráðstafanir við förgun og önnur meðhöndlun</w:t>
      </w:r>
    </w:p>
    <w:p w14:paraId="0CF2F460" w14:textId="77777777" w:rsidR="005F36F3" w:rsidRPr="009F7642" w:rsidRDefault="005F36F3" w:rsidP="0073217C">
      <w:pPr>
        <w:keepNext/>
        <w:suppressAutoHyphens/>
        <w:spacing w:after="0" w:line="240" w:lineRule="auto"/>
        <w:ind w:left="0" w:firstLine="0"/>
        <w:rPr>
          <w:color w:val="auto"/>
          <w:lang w:val="is-IS"/>
        </w:rPr>
      </w:pPr>
    </w:p>
    <w:p w14:paraId="294CECF8" w14:textId="6E190D54" w:rsidR="00691E48" w:rsidRDefault="00691E48" w:rsidP="0073217C">
      <w:pPr>
        <w:suppressAutoHyphens/>
        <w:spacing w:after="0" w:line="240" w:lineRule="auto"/>
        <w:ind w:left="0" w:firstLine="0"/>
        <w:rPr>
          <w:color w:val="auto"/>
          <w:lang w:val="is-IS"/>
        </w:rPr>
      </w:pPr>
      <w:r w:rsidRPr="00691E48">
        <w:rPr>
          <w:color w:val="auto"/>
          <w:lang w:val="is-IS"/>
        </w:rPr>
        <w:t>Ekki má hrista hettuglasið.</w:t>
      </w:r>
    </w:p>
    <w:p w14:paraId="32F0B6B3" w14:textId="77777777" w:rsidR="00691E48" w:rsidRDefault="00691E48" w:rsidP="0073217C">
      <w:pPr>
        <w:suppressAutoHyphens/>
        <w:spacing w:after="0" w:line="240" w:lineRule="auto"/>
        <w:ind w:left="0" w:firstLine="0"/>
        <w:rPr>
          <w:color w:val="auto"/>
          <w:lang w:val="is-IS"/>
        </w:rPr>
      </w:pPr>
    </w:p>
    <w:p w14:paraId="5F95B04F" w14:textId="072BB5F9" w:rsidR="005F36F3" w:rsidRPr="00341F81" w:rsidRDefault="007C2914" w:rsidP="0073217C">
      <w:pPr>
        <w:suppressAutoHyphens/>
        <w:spacing w:after="0" w:line="240" w:lineRule="auto"/>
        <w:ind w:left="0" w:firstLine="0"/>
        <w:rPr>
          <w:color w:val="auto"/>
          <w:lang w:val="is-IS"/>
        </w:rPr>
      </w:pPr>
      <w:r w:rsidRPr="00504296">
        <w:rPr>
          <w:color w:val="auto"/>
          <w:lang w:val="is-IS"/>
        </w:rPr>
        <w:t>Heilbrigðisstarfsmenn eig</w:t>
      </w:r>
      <w:r>
        <w:rPr>
          <w:color w:val="auto"/>
          <w:lang w:val="is-IS"/>
        </w:rPr>
        <w:t xml:space="preserve">a </w:t>
      </w:r>
      <w:r w:rsidR="00564614" w:rsidRPr="009F7642">
        <w:rPr>
          <w:color w:val="auto"/>
          <w:lang w:val="is-IS"/>
        </w:rPr>
        <w:t xml:space="preserve">að undirbúa </w:t>
      </w:r>
      <w:r w:rsidR="001764F7" w:rsidRPr="00F2274F">
        <w:rPr>
          <w:lang w:val="is-IS"/>
        </w:rPr>
        <w:t>MVASI</w:t>
      </w:r>
      <w:r w:rsidR="00564614" w:rsidRPr="009F7642">
        <w:rPr>
          <w:color w:val="auto"/>
          <w:lang w:val="is-IS"/>
        </w:rPr>
        <w:t xml:space="preserve"> að viðhafðri smitgát til að gæta þess að tryggja að blönduð lausnin sé sæfð.</w:t>
      </w:r>
      <w:r w:rsidR="00341F81">
        <w:rPr>
          <w:color w:val="auto"/>
          <w:lang w:val="is-IS"/>
        </w:rPr>
        <w:t xml:space="preserve"> </w:t>
      </w:r>
      <w:r w:rsidR="00341F81" w:rsidRPr="00341F81">
        <w:rPr>
          <w:color w:val="auto"/>
          <w:lang w:val="is-IS"/>
        </w:rPr>
        <w:t xml:space="preserve">Nota á sæfða nál og sprautu til að undirbúa </w:t>
      </w:r>
      <w:r w:rsidR="00341F81">
        <w:rPr>
          <w:color w:val="auto"/>
          <w:lang w:val="is-IS"/>
        </w:rPr>
        <w:t>MVASI</w:t>
      </w:r>
      <w:r w:rsidR="00341F81" w:rsidRPr="00341F81">
        <w:rPr>
          <w:color w:val="auto"/>
          <w:lang w:val="is-IS"/>
        </w:rPr>
        <w:t>.</w:t>
      </w:r>
    </w:p>
    <w:p w14:paraId="0C99B1B3" w14:textId="77777777" w:rsidR="005F36F3" w:rsidRPr="009F7642" w:rsidRDefault="005F36F3" w:rsidP="0073217C">
      <w:pPr>
        <w:suppressAutoHyphens/>
        <w:spacing w:after="0" w:line="240" w:lineRule="auto"/>
        <w:ind w:left="0" w:firstLine="0"/>
        <w:rPr>
          <w:color w:val="auto"/>
          <w:lang w:val="is-IS"/>
        </w:rPr>
      </w:pPr>
    </w:p>
    <w:p w14:paraId="7F42E22F" w14:textId="4E271336" w:rsidR="006C06D6" w:rsidRPr="009F7642" w:rsidRDefault="00564614" w:rsidP="0073217C">
      <w:pPr>
        <w:suppressAutoHyphens/>
        <w:spacing w:after="0" w:line="240" w:lineRule="auto"/>
        <w:ind w:left="0" w:firstLine="0"/>
        <w:rPr>
          <w:color w:val="auto"/>
          <w:lang w:val="is-IS"/>
        </w:rPr>
      </w:pPr>
      <w:r w:rsidRPr="009F7642">
        <w:rPr>
          <w:color w:val="auto"/>
          <w:lang w:val="is-IS"/>
        </w:rPr>
        <w:t>Draga á upp það magn af bevacízúmabi sem þa</w:t>
      </w:r>
      <w:r w:rsidR="00730614" w:rsidRPr="009F7642">
        <w:rPr>
          <w:color w:val="auto"/>
          <w:lang w:val="is-IS"/>
        </w:rPr>
        <w:t>rf og þynna með natríumklóríð 9 </w:t>
      </w:r>
      <w:r w:rsidRPr="009F7642">
        <w:rPr>
          <w:color w:val="auto"/>
          <w:lang w:val="is-IS"/>
        </w:rPr>
        <w:t>mg/ml (0,9%) lausn fyrir stungulyf að því rúmmáli sem ætlað er fyrir skammt. Styrkleiki endanlegrar bevacízúmab lausnar á að v</w:t>
      </w:r>
      <w:r w:rsidR="00730614" w:rsidRPr="009F7642">
        <w:rPr>
          <w:color w:val="auto"/>
          <w:lang w:val="is-IS"/>
        </w:rPr>
        <w:t>era á bilinu 1,4 mg/ml til 16,5 </w:t>
      </w:r>
      <w:r w:rsidRPr="009F7642">
        <w:rPr>
          <w:color w:val="auto"/>
          <w:lang w:val="is-IS"/>
        </w:rPr>
        <w:t xml:space="preserve">mg/ml. Í flestum tilvikum er hægt að þynna það magn af </w:t>
      </w:r>
      <w:r w:rsidR="001764F7" w:rsidRPr="00F2274F">
        <w:rPr>
          <w:lang w:val="is-IS"/>
        </w:rPr>
        <w:t>MVASI</w:t>
      </w:r>
      <w:r w:rsidRPr="009F7642">
        <w:rPr>
          <w:color w:val="auto"/>
          <w:lang w:val="is-IS"/>
        </w:rPr>
        <w:t xml:space="preserve"> sem á að nota með </w:t>
      </w:r>
      <w:r w:rsidR="00CD2A7E">
        <w:rPr>
          <w:color w:val="auto"/>
          <w:lang w:val="is-IS"/>
        </w:rPr>
        <w:t>9 mg/ml (</w:t>
      </w:r>
      <w:r w:rsidRPr="009F7642">
        <w:rPr>
          <w:color w:val="auto"/>
          <w:lang w:val="is-IS"/>
        </w:rPr>
        <w:t>0,9%</w:t>
      </w:r>
      <w:r w:rsidR="00CD2A7E">
        <w:rPr>
          <w:color w:val="auto"/>
          <w:lang w:val="is-IS"/>
        </w:rPr>
        <w:t>)</w:t>
      </w:r>
      <w:r w:rsidRPr="009F7642">
        <w:rPr>
          <w:color w:val="auto"/>
          <w:lang w:val="is-IS"/>
        </w:rPr>
        <w:t xml:space="preserve"> natríumklóríðlausn fyrir </w:t>
      </w:r>
      <w:r w:rsidR="009D2BA1" w:rsidRPr="009F7642">
        <w:rPr>
          <w:color w:val="auto"/>
          <w:lang w:val="is-IS"/>
        </w:rPr>
        <w:t>stungulyf að heildarrúmmáli 100 </w:t>
      </w:r>
      <w:r w:rsidRPr="009F7642">
        <w:rPr>
          <w:color w:val="auto"/>
          <w:lang w:val="is-IS"/>
        </w:rPr>
        <w:t>ml.</w:t>
      </w:r>
    </w:p>
    <w:p w14:paraId="43EC3430" w14:textId="77777777" w:rsidR="005F36F3" w:rsidRPr="009F7642" w:rsidRDefault="005F36F3" w:rsidP="0073217C">
      <w:pPr>
        <w:suppressAutoHyphens/>
        <w:spacing w:after="0" w:line="240" w:lineRule="auto"/>
        <w:ind w:left="0" w:firstLine="0"/>
        <w:rPr>
          <w:color w:val="auto"/>
          <w:lang w:val="is-IS"/>
        </w:rPr>
      </w:pPr>
    </w:p>
    <w:p w14:paraId="579AECE1"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Skoða á stungulyf með berum augum fyrir gjöf með tilliti til agna og upplitunar.</w:t>
      </w:r>
    </w:p>
    <w:p w14:paraId="6D7E4C9A" w14:textId="77777777" w:rsidR="005F36F3" w:rsidRPr="009F7642" w:rsidRDefault="005F36F3" w:rsidP="0073217C">
      <w:pPr>
        <w:suppressAutoHyphens/>
        <w:spacing w:after="0" w:line="240" w:lineRule="auto"/>
        <w:ind w:left="0" w:firstLine="0"/>
        <w:rPr>
          <w:color w:val="auto"/>
          <w:lang w:val="is-IS"/>
        </w:rPr>
      </w:pPr>
    </w:p>
    <w:p w14:paraId="214D9A1F"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Ekki hefur orðið vart við neinn ósamrýmanleika milli </w:t>
      </w:r>
      <w:r w:rsidR="001764F7" w:rsidRPr="00F2274F">
        <w:rPr>
          <w:lang w:val="is-IS"/>
        </w:rPr>
        <w:t>MVASI</w:t>
      </w:r>
      <w:r w:rsidRPr="009F7642">
        <w:rPr>
          <w:color w:val="auto"/>
          <w:lang w:val="is-IS"/>
        </w:rPr>
        <w:t xml:space="preserve"> og poka eða innrennslisbúnaðar úr pólývínýl klóríði eða pólýólefíni.</w:t>
      </w:r>
    </w:p>
    <w:p w14:paraId="391E5993" w14:textId="77777777" w:rsidR="005F36F3" w:rsidRPr="009F7642" w:rsidRDefault="005F36F3" w:rsidP="0073217C">
      <w:pPr>
        <w:suppressAutoHyphens/>
        <w:spacing w:after="0" w:line="240" w:lineRule="auto"/>
        <w:ind w:left="0" w:firstLine="0"/>
        <w:rPr>
          <w:color w:val="auto"/>
          <w:lang w:val="is-IS"/>
        </w:rPr>
      </w:pPr>
    </w:p>
    <w:p w14:paraId="5C5F2CB9" w14:textId="77777777" w:rsidR="006C06D6" w:rsidRPr="009F7642" w:rsidRDefault="001764F7" w:rsidP="0073217C">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er einungis einnota þar sem lyfið inniheldur ekki rotvarnarefni. Farga skal öllum lyfjaleifum og/eða úrgangi í samræmi við gildandi reglur.</w:t>
      </w:r>
    </w:p>
    <w:p w14:paraId="4A43AA9F" w14:textId="77777777" w:rsidR="005F36F3" w:rsidRPr="009F7642" w:rsidRDefault="005F36F3" w:rsidP="0073217C">
      <w:pPr>
        <w:suppressAutoHyphens/>
        <w:spacing w:after="0" w:line="240" w:lineRule="auto"/>
        <w:ind w:left="0" w:firstLine="0"/>
        <w:rPr>
          <w:color w:val="auto"/>
          <w:lang w:val="is-IS"/>
        </w:rPr>
      </w:pPr>
    </w:p>
    <w:p w14:paraId="20F56171" w14:textId="77777777" w:rsidR="005F36F3" w:rsidRPr="009F7642" w:rsidRDefault="005F36F3" w:rsidP="0073217C">
      <w:pPr>
        <w:suppressAutoHyphens/>
        <w:spacing w:after="0" w:line="240" w:lineRule="auto"/>
        <w:ind w:left="0" w:firstLine="0"/>
        <w:rPr>
          <w:color w:val="auto"/>
          <w:lang w:val="is-IS"/>
        </w:rPr>
      </w:pPr>
    </w:p>
    <w:p w14:paraId="00A7F110" w14:textId="77777777" w:rsidR="006C06D6" w:rsidRPr="004E4257" w:rsidRDefault="00A8696B" w:rsidP="0073217C">
      <w:pPr>
        <w:keepNext/>
        <w:suppressAutoHyphens/>
        <w:spacing w:after="0" w:line="240" w:lineRule="auto"/>
        <w:ind w:left="567" w:hanging="567"/>
        <w:rPr>
          <w:b/>
          <w:color w:val="auto"/>
          <w:lang w:val="is-IS"/>
        </w:rPr>
      </w:pPr>
      <w:r w:rsidRPr="004E4257">
        <w:rPr>
          <w:b/>
          <w:color w:val="auto"/>
          <w:lang w:val="is-IS"/>
        </w:rPr>
        <w:lastRenderedPageBreak/>
        <w:t>7.</w:t>
      </w:r>
      <w:r w:rsidR="00564614" w:rsidRPr="004E4257">
        <w:rPr>
          <w:b/>
          <w:color w:val="auto"/>
          <w:lang w:val="is-IS"/>
        </w:rPr>
        <w:tab/>
        <w:t>MARKAÐSLEYFISHAFI</w:t>
      </w:r>
    </w:p>
    <w:p w14:paraId="45D7B174" w14:textId="77777777" w:rsidR="005F36F3" w:rsidRPr="009F7642" w:rsidRDefault="005F36F3" w:rsidP="0073217C">
      <w:pPr>
        <w:keepNext/>
        <w:suppressAutoHyphens/>
        <w:spacing w:after="0" w:line="240" w:lineRule="auto"/>
        <w:ind w:left="0" w:firstLine="0"/>
        <w:rPr>
          <w:color w:val="auto"/>
          <w:lang w:val="is-IS"/>
        </w:rPr>
      </w:pPr>
    </w:p>
    <w:p w14:paraId="7EBF8348" w14:textId="77777777" w:rsidR="007B76C4" w:rsidRPr="00537EA4" w:rsidRDefault="007B76C4" w:rsidP="007B76C4">
      <w:pPr>
        <w:keepNext/>
        <w:spacing w:line="240" w:lineRule="auto"/>
        <w:ind w:right="-1"/>
      </w:pPr>
      <w:bookmarkStart w:id="6" w:name="_Hlk31880736"/>
      <w:r w:rsidRPr="00B6605D">
        <w:t xml:space="preserve">Amgen Technology </w:t>
      </w:r>
      <w:r w:rsidRPr="00537EA4">
        <w:t>(Ireland) UC</w:t>
      </w:r>
      <w:r>
        <w:t>,</w:t>
      </w:r>
    </w:p>
    <w:p w14:paraId="141C6C27" w14:textId="77777777" w:rsidR="007B76C4" w:rsidRPr="00537EA4" w:rsidRDefault="007B76C4" w:rsidP="007B76C4">
      <w:pPr>
        <w:keepNext/>
        <w:spacing w:line="240" w:lineRule="auto"/>
        <w:ind w:right="-1"/>
      </w:pPr>
      <w:r w:rsidRPr="00537EA4">
        <w:t>Pottery Road</w:t>
      </w:r>
      <w:r>
        <w:t>,</w:t>
      </w:r>
    </w:p>
    <w:p w14:paraId="216DC58C" w14:textId="77777777" w:rsidR="007B76C4" w:rsidRPr="00537EA4" w:rsidRDefault="007B76C4" w:rsidP="007B76C4">
      <w:pPr>
        <w:keepNext/>
        <w:spacing w:line="240" w:lineRule="auto"/>
        <w:ind w:right="-1"/>
      </w:pPr>
      <w:r w:rsidRPr="00537EA4">
        <w:t>Dun Laoghaire</w:t>
      </w:r>
      <w:r>
        <w:t>,</w:t>
      </w:r>
    </w:p>
    <w:p w14:paraId="0B405A3D" w14:textId="77777777" w:rsidR="007B76C4" w:rsidRPr="00537EA4" w:rsidRDefault="007B76C4" w:rsidP="007B76C4">
      <w:pPr>
        <w:keepNext/>
        <w:spacing w:line="240" w:lineRule="auto"/>
        <w:ind w:right="-1"/>
      </w:pPr>
      <w:r w:rsidRPr="00537EA4">
        <w:t>Co</w:t>
      </w:r>
      <w:r>
        <w:t>.</w:t>
      </w:r>
      <w:r w:rsidRPr="00537EA4">
        <w:t xml:space="preserve"> Dublin</w:t>
      </w:r>
      <w:r>
        <w:t>,</w:t>
      </w:r>
    </w:p>
    <w:bookmarkEnd w:id="6"/>
    <w:p w14:paraId="3ED2897D" w14:textId="77777777" w:rsidR="007B76C4" w:rsidRPr="00B0370E" w:rsidRDefault="007B76C4" w:rsidP="007B76C4">
      <w:pPr>
        <w:widowControl w:val="0"/>
        <w:autoSpaceDE w:val="0"/>
        <w:autoSpaceDN w:val="0"/>
        <w:adjustRightInd w:val="0"/>
        <w:rPr>
          <w:lang w:val="sv-SE"/>
        </w:rPr>
      </w:pPr>
      <w:r w:rsidRPr="00B0370E">
        <w:rPr>
          <w:lang w:val="sv-SE"/>
        </w:rPr>
        <w:t>Írland</w:t>
      </w:r>
    </w:p>
    <w:p w14:paraId="2DF14426" w14:textId="77777777" w:rsidR="005F36F3" w:rsidRPr="009F7642" w:rsidRDefault="005F36F3" w:rsidP="0073217C">
      <w:pPr>
        <w:suppressAutoHyphens/>
        <w:spacing w:after="0" w:line="240" w:lineRule="auto"/>
        <w:ind w:left="0" w:firstLine="0"/>
        <w:rPr>
          <w:color w:val="auto"/>
          <w:lang w:val="is-IS"/>
        </w:rPr>
      </w:pPr>
    </w:p>
    <w:p w14:paraId="1BD02113" w14:textId="77777777" w:rsidR="005F36F3" w:rsidRPr="009F7642" w:rsidRDefault="005F36F3" w:rsidP="0073217C">
      <w:pPr>
        <w:suppressAutoHyphens/>
        <w:spacing w:after="0" w:line="240" w:lineRule="auto"/>
        <w:ind w:left="0" w:firstLine="0"/>
        <w:rPr>
          <w:color w:val="auto"/>
          <w:lang w:val="is-IS"/>
        </w:rPr>
      </w:pPr>
    </w:p>
    <w:p w14:paraId="1A91A361" w14:textId="77777777" w:rsidR="006C06D6" w:rsidRPr="004E4257" w:rsidRDefault="00A8696B" w:rsidP="0073217C">
      <w:pPr>
        <w:keepNext/>
        <w:suppressAutoHyphens/>
        <w:spacing w:after="0" w:line="240" w:lineRule="auto"/>
        <w:ind w:left="567" w:hanging="567"/>
        <w:rPr>
          <w:b/>
          <w:color w:val="auto"/>
          <w:lang w:val="is-IS"/>
        </w:rPr>
      </w:pPr>
      <w:r w:rsidRPr="004E4257">
        <w:rPr>
          <w:b/>
          <w:color w:val="auto"/>
          <w:lang w:val="is-IS"/>
        </w:rPr>
        <w:t>8.</w:t>
      </w:r>
      <w:r w:rsidR="00564614" w:rsidRPr="004E4257">
        <w:rPr>
          <w:b/>
          <w:color w:val="auto"/>
          <w:lang w:val="is-IS"/>
        </w:rPr>
        <w:tab/>
        <w:t>MARKAÐSLEYFISNÚMER</w:t>
      </w:r>
    </w:p>
    <w:p w14:paraId="60359308" w14:textId="77777777" w:rsidR="005F36F3" w:rsidRPr="009F7642" w:rsidRDefault="005F36F3" w:rsidP="0073217C">
      <w:pPr>
        <w:keepNext/>
        <w:suppressAutoHyphens/>
        <w:spacing w:after="0" w:line="240" w:lineRule="auto"/>
        <w:ind w:left="0" w:firstLine="0"/>
        <w:rPr>
          <w:color w:val="auto"/>
          <w:lang w:val="is-IS"/>
        </w:rPr>
      </w:pPr>
    </w:p>
    <w:p w14:paraId="02568F19" w14:textId="77777777" w:rsidR="00CF2AF3" w:rsidRPr="00D365ED" w:rsidRDefault="00CF2AF3" w:rsidP="00CF2AF3">
      <w:pPr>
        <w:pStyle w:val="Default"/>
        <w:rPr>
          <w:rFonts w:cs="Verdana"/>
          <w:sz w:val="22"/>
          <w:szCs w:val="22"/>
          <w:lang w:val="sv-SE"/>
        </w:rPr>
      </w:pPr>
      <w:r w:rsidRPr="00D365ED">
        <w:rPr>
          <w:rFonts w:cs="Verdana"/>
          <w:sz w:val="22"/>
          <w:szCs w:val="22"/>
          <w:lang w:val="sv-SE"/>
        </w:rPr>
        <w:t>EU/1/17/1246/001</w:t>
      </w:r>
    </w:p>
    <w:p w14:paraId="4DBC68DB" w14:textId="77777777" w:rsidR="00CF2AF3" w:rsidRPr="00D365ED" w:rsidRDefault="00CF2AF3" w:rsidP="00CF2AF3">
      <w:pPr>
        <w:pStyle w:val="Default"/>
        <w:rPr>
          <w:rFonts w:cs="Verdana"/>
          <w:sz w:val="22"/>
          <w:szCs w:val="22"/>
          <w:lang w:val="sv-SE"/>
        </w:rPr>
      </w:pPr>
      <w:r w:rsidRPr="00D365ED">
        <w:rPr>
          <w:rFonts w:cs="Verdana"/>
          <w:sz w:val="22"/>
          <w:szCs w:val="22"/>
          <w:lang w:val="sv-SE"/>
        </w:rPr>
        <w:t>EU/1/17/1246/002</w:t>
      </w:r>
    </w:p>
    <w:p w14:paraId="500F6AEF" w14:textId="77777777" w:rsidR="005F36F3" w:rsidRDefault="005F36F3" w:rsidP="0073217C">
      <w:pPr>
        <w:suppressAutoHyphens/>
        <w:spacing w:after="0" w:line="240" w:lineRule="auto"/>
        <w:ind w:left="0" w:firstLine="0"/>
        <w:rPr>
          <w:color w:val="auto"/>
          <w:lang w:val="is-IS"/>
        </w:rPr>
      </w:pPr>
    </w:p>
    <w:p w14:paraId="7A862757" w14:textId="77777777" w:rsidR="00CF2AF3" w:rsidRPr="009F7642" w:rsidRDefault="00CF2AF3" w:rsidP="0073217C">
      <w:pPr>
        <w:suppressAutoHyphens/>
        <w:spacing w:after="0" w:line="240" w:lineRule="auto"/>
        <w:ind w:left="0" w:firstLine="0"/>
        <w:rPr>
          <w:color w:val="auto"/>
          <w:lang w:val="is-IS"/>
        </w:rPr>
      </w:pPr>
    </w:p>
    <w:p w14:paraId="07A0309E" w14:textId="77777777" w:rsidR="006C06D6" w:rsidRPr="001E54DD" w:rsidRDefault="00A8696B" w:rsidP="0073217C">
      <w:pPr>
        <w:keepNext/>
        <w:suppressAutoHyphens/>
        <w:spacing w:after="0" w:line="240" w:lineRule="auto"/>
        <w:ind w:left="567" w:hanging="567"/>
        <w:rPr>
          <w:b/>
          <w:color w:val="auto"/>
          <w:lang w:val="is-IS"/>
        </w:rPr>
      </w:pPr>
      <w:r w:rsidRPr="004E4257">
        <w:rPr>
          <w:b/>
          <w:color w:val="auto"/>
          <w:lang w:val="is-IS"/>
        </w:rPr>
        <w:t>9.</w:t>
      </w:r>
      <w:r w:rsidR="00564614" w:rsidRPr="004E4257">
        <w:rPr>
          <w:b/>
          <w:color w:val="auto"/>
          <w:lang w:val="is-IS"/>
        </w:rPr>
        <w:tab/>
        <w:t>DAGSETNING FYRSTU ÚTGÁFU MARKAÐSLEYFIS/ENDURNÝJUNAR</w:t>
      </w:r>
      <w:r w:rsidR="00564614" w:rsidRPr="004F1644">
        <w:rPr>
          <w:b/>
          <w:color w:val="auto"/>
          <w:lang w:val="is-IS"/>
        </w:rPr>
        <w:t xml:space="preserve"> </w:t>
      </w:r>
      <w:r w:rsidR="00564614" w:rsidRPr="001E54DD">
        <w:rPr>
          <w:b/>
          <w:color w:val="auto"/>
          <w:lang w:val="is-IS"/>
        </w:rPr>
        <w:t>MARKAÐSLEYFIS</w:t>
      </w:r>
    </w:p>
    <w:p w14:paraId="2775C231" w14:textId="77777777" w:rsidR="005F36F3" w:rsidRPr="009F7642" w:rsidRDefault="005F36F3" w:rsidP="0073217C">
      <w:pPr>
        <w:keepNext/>
        <w:suppressAutoHyphens/>
        <w:spacing w:after="0" w:line="240" w:lineRule="auto"/>
        <w:ind w:left="0" w:firstLine="0"/>
        <w:rPr>
          <w:color w:val="auto"/>
          <w:lang w:val="is-IS"/>
        </w:rPr>
      </w:pPr>
    </w:p>
    <w:p w14:paraId="6BA78C64" w14:textId="2AADF0C4" w:rsidR="005F36F3" w:rsidRDefault="00564614" w:rsidP="0073217C">
      <w:pPr>
        <w:suppressAutoHyphens/>
        <w:spacing w:after="0" w:line="240" w:lineRule="auto"/>
        <w:ind w:left="0" w:firstLine="0"/>
        <w:rPr>
          <w:color w:val="auto"/>
          <w:lang w:val="is-IS"/>
        </w:rPr>
      </w:pPr>
      <w:r w:rsidRPr="009F7642">
        <w:rPr>
          <w:color w:val="auto"/>
          <w:lang w:val="is-IS"/>
        </w:rPr>
        <w:t xml:space="preserve">Dagsetning fyrstu útgáfu markaðsleyfis: </w:t>
      </w:r>
      <w:r w:rsidR="00F00BAD" w:rsidRPr="00F00BAD">
        <w:rPr>
          <w:color w:val="auto"/>
          <w:lang w:val="is-IS"/>
        </w:rPr>
        <w:t>1</w:t>
      </w:r>
      <w:r w:rsidR="00F00BAD">
        <w:rPr>
          <w:color w:val="auto"/>
          <w:lang w:val="is-IS"/>
        </w:rPr>
        <w:t>5</w:t>
      </w:r>
      <w:r w:rsidR="00F00BAD" w:rsidRPr="00F00BAD">
        <w:rPr>
          <w:color w:val="auto"/>
          <w:lang w:val="is-IS"/>
        </w:rPr>
        <w:t>. janúar 201</w:t>
      </w:r>
      <w:r w:rsidR="00F00BAD">
        <w:rPr>
          <w:color w:val="auto"/>
          <w:lang w:val="is-IS"/>
        </w:rPr>
        <w:t>8</w:t>
      </w:r>
    </w:p>
    <w:p w14:paraId="6DFA6B10" w14:textId="1C63D62C" w:rsidR="004D15E9" w:rsidRPr="009F7642" w:rsidRDefault="00F94A97" w:rsidP="0073217C">
      <w:pPr>
        <w:suppressAutoHyphens/>
        <w:spacing w:after="0" w:line="240" w:lineRule="auto"/>
        <w:ind w:left="0" w:firstLine="0"/>
        <w:rPr>
          <w:color w:val="auto"/>
          <w:lang w:val="is-IS"/>
        </w:rPr>
      </w:pPr>
      <w:r>
        <w:rPr>
          <w:color w:val="auto"/>
          <w:lang w:val="is-IS"/>
        </w:rPr>
        <w:t>Nýjasta d</w:t>
      </w:r>
      <w:r w:rsidR="004D15E9">
        <w:rPr>
          <w:color w:val="auto"/>
          <w:lang w:val="is-IS"/>
        </w:rPr>
        <w:t>agsetning endurnýjunar</w:t>
      </w:r>
      <w:r>
        <w:rPr>
          <w:color w:val="auto"/>
          <w:lang w:val="is-IS"/>
        </w:rPr>
        <w:t xml:space="preserve"> </w:t>
      </w:r>
      <w:r w:rsidR="00037269">
        <w:rPr>
          <w:color w:val="auto"/>
          <w:lang w:val="is-IS"/>
        </w:rPr>
        <w:t>markaðsleyfis</w:t>
      </w:r>
      <w:r w:rsidR="004D15E9">
        <w:rPr>
          <w:color w:val="auto"/>
          <w:lang w:val="is-IS"/>
        </w:rPr>
        <w:t>:</w:t>
      </w:r>
      <w:r w:rsidR="001C4A29">
        <w:rPr>
          <w:color w:val="auto"/>
          <w:lang w:val="is-IS"/>
        </w:rPr>
        <w:t xml:space="preserve"> 21. september 2022</w:t>
      </w:r>
    </w:p>
    <w:p w14:paraId="15C1DA2F" w14:textId="77777777" w:rsidR="005F36F3" w:rsidRDefault="005F36F3" w:rsidP="0073217C">
      <w:pPr>
        <w:suppressAutoHyphens/>
        <w:spacing w:after="0" w:line="240" w:lineRule="auto"/>
        <w:ind w:left="0" w:firstLine="0"/>
        <w:rPr>
          <w:color w:val="auto"/>
          <w:lang w:val="is-IS"/>
        </w:rPr>
      </w:pPr>
    </w:p>
    <w:p w14:paraId="48DBE84F" w14:textId="77777777" w:rsidR="000D7A09" w:rsidRPr="009F7642" w:rsidRDefault="000D7A09" w:rsidP="0073217C">
      <w:pPr>
        <w:suppressAutoHyphens/>
        <w:spacing w:after="0" w:line="240" w:lineRule="auto"/>
        <w:ind w:left="0" w:firstLine="0"/>
        <w:rPr>
          <w:color w:val="auto"/>
          <w:lang w:val="is-IS"/>
        </w:rPr>
      </w:pPr>
    </w:p>
    <w:p w14:paraId="376BF11F" w14:textId="77777777" w:rsidR="006C06D6" w:rsidRPr="004E4257" w:rsidRDefault="00A8696B" w:rsidP="0073217C">
      <w:pPr>
        <w:keepNext/>
        <w:suppressAutoHyphens/>
        <w:spacing w:after="0" w:line="240" w:lineRule="auto"/>
        <w:ind w:left="567" w:hanging="567"/>
        <w:rPr>
          <w:b/>
          <w:color w:val="auto"/>
          <w:lang w:val="is-IS"/>
        </w:rPr>
      </w:pPr>
      <w:r w:rsidRPr="004E4257">
        <w:rPr>
          <w:b/>
          <w:color w:val="auto"/>
          <w:lang w:val="is-IS"/>
        </w:rPr>
        <w:t>10.</w:t>
      </w:r>
      <w:r w:rsidR="00564614" w:rsidRPr="004E4257">
        <w:rPr>
          <w:b/>
          <w:color w:val="auto"/>
          <w:lang w:val="is-IS"/>
        </w:rPr>
        <w:tab/>
        <w:t>DAGSETNING ENDURSKOÐUNAR TEXTANS</w:t>
      </w:r>
    </w:p>
    <w:p w14:paraId="430E049C" w14:textId="77777777" w:rsidR="005F36F3" w:rsidRPr="009F7642" w:rsidRDefault="005F36F3" w:rsidP="0073217C">
      <w:pPr>
        <w:keepNext/>
        <w:suppressAutoHyphens/>
        <w:spacing w:after="0" w:line="240" w:lineRule="auto"/>
        <w:ind w:left="0" w:firstLine="0"/>
        <w:rPr>
          <w:color w:val="auto"/>
          <w:lang w:val="is-IS"/>
        </w:rPr>
      </w:pPr>
    </w:p>
    <w:p w14:paraId="0BD3A00E" w14:textId="77777777" w:rsidR="00F00BAD" w:rsidRDefault="00F00BAD" w:rsidP="0073217C">
      <w:pPr>
        <w:suppressAutoHyphens/>
        <w:spacing w:after="0" w:line="240" w:lineRule="auto"/>
        <w:ind w:left="0" w:firstLine="0"/>
        <w:rPr>
          <w:color w:val="auto"/>
          <w:lang w:val="is-IS"/>
        </w:rPr>
      </w:pPr>
    </w:p>
    <w:p w14:paraId="50AFE239" w14:textId="77777777" w:rsidR="00F00BAD" w:rsidRDefault="00F00BAD" w:rsidP="0073217C">
      <w:pPr>
        <w:suppressAutoHyphens/>
        <w:spacing w:after="0" w:line="240" w:lineRule="auto"/>
        <w:ind w:left="0" w:firstLine="0"/>
        <w:rPr>
          <w:color w:val="auto"/>
          <w:lang w:val="is-IS"/>
        </w:rPr>
      </w:pPr>
    </w:p>
    <w:p w14:paraId="068673D6"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Ítarlegar upplýsingar um lyfið eru birtar á vef Lyfjastofnunar Evrópu </w:t>
      </w:r>
      <w:r w:rsidR="00EA49EC">
        <w:fldChar w:fldCharType="begin"/>
      </w:r>
      <w:r w:rsidR="00EA49EC" w:rsidRPr="00AD2908">
        <w:rPr>
          <w:lang w:val="is-IS"/>
        </w:rPr>
        <w:instrText>HYPERLINK "http://www.ema.europa.eu/"</w:instrText>
      </w:r>
      <w:r w:rsidR="00EA49EC">
        <w:fldChar w:fldCharType="separate"/>
      </w:r>
      <w:r w:rsidR="00EA49EC" w:rsidRPr="00DF14E7">
        <w:rPr>
          <w:noProof/>
          <w:color w:val="0000FF"/>
          <w:u w:val="single"/>
          <w:lang w:val="is-IS"/>
        </w:rPr>
        <w:t>http://ww</w:t>
      </w:r>
      <w:r w:rsidR="00EA49EC" w:rsidRPr="00DF14E7">
        <w:rPr>
          <w:noProof/>
          <w:color w:val="0000FF"/>
          <w:u w:val="single"/>
          <w:lang w:val="is-IS"/>
        </w:rPr>
        <w:t>w</w:t>
      </w:r>
      <w:r w:rsidR="00EA49EC" w:rsidRPr="00DF14E7">
        <w:rPr>
          <w:noProof/>
          <w:color w:val="0000FF"/>
          <w:u w:val="single"/>
          <w:lang w:val="is-IS"/>
        </w:rPr>
        <w:t>.ema.europa.eu</w:t>
      </w:r>
      <w:r w:rsidR="00EA49EC">
        <w:fldChar w:fldCharType="end"/>
      </w:r>
      <w:r w:rsidR="00EA49EC">
        <w:rPr>
          <w:noProof/>
          <w:color w:val="auto"/>
          <w:lang w:val="is-IS"/>
        </w:rPr>
        <w:t>.</w:t>
      </w:r>
    </w:p>
    <w:p w14:paraId="6F168506" w14:textId="77777777" w:rsidR="005F36F3" w:rsidRDefault="00564614" w:rsidP="0073217C">
      <w:pPr>
        <w:suppressAutoHyphens/>
        <w:spacing w:after="0" w:line="240" w:lineRule="auto"/>
        <w:ind w:left="0" w:firstLine="0"/>
        <w:rPr>
          <w:color w:val="auto"/>
          <w:lang w:val="is-IS"/>
        </w:rPr>
      </w:pPr>
      <w:r w:rsidRPr="009F7642">
        <w:rPr>
          <w:color w:val="auto"/>
          <w:lang w:val="is-IS"/>
        </w:rPr>
        <w:t>Upplýsingar á íslensku eru á</w:t>
      </w:r>
      <w:r>
        <w:fldChar w:fldCharType="begin"/>
      </w:r>
      <w:r w:rsidRPr="00215918">
        <w:rPr>
          <w:lang w:val="is-IS"/>
        </w:rPr>
        <w:instrText>HYPERLINK "http://www.serlyfjaskra.is/" \h</w:instrText>
      </w:r>
      <w:r>
        <w:fldChar w:fldCharType="separate"/>
      </w:r>
      <w:r w:rsidRPr="009F7642">
        <w:rPr>
          <w:color w:val="auto"/>
          <w:lang w:val="is-IS"/>
        </w:rPr>
        <w:t xml:space="preserve"> </w:t>
      </w:r>
      <w:r>
        <w:rPr>
          <w:color w:val="auto"/>
          <w:lang w:val="is-IS"/>
        </w:rPr>
        <w:fldChar w:fldCharType="end"/>
      </w:r>
      <w:r w:rsidR="00801617">
        <w:fldChar w:fldCharType="begin"/>
      </w:r>
      <w:r w:rsidR="00801617" w:rsidRPr="00A2202F">
        <w:rPr>
          <w:lang w:val="is-IS"/>
          <w:rPrChange w:id="7" w:author="Author">
            <w:rPr/>
          </w:rPrChange>
        </w:rPr>
        <w:instrText>HYPERLINK "http://www.serlyfjaskra.is/" \h</w:instrText>
      </w:r>
      <w:r w:rsidR="00801617">
        <w:fldChar w:fldCharType="separate"/>
      </w:r>
      <w:r w:rsidR="00801617" w:rsidRPr="00EA49EC">
        <w:rPr>
          <w:noProof/>
          <w:color w:val="0000FF"/>
          <w:u w:val="single"/>
          <w:lang w:val="is-IS"/>
        </w:rPr>
        <w:t>http://www.serlyfjaskra.is</w:t>
      </w:r>
      <w:r w:rsidR="00801617">
        <w:fldChar w:fldCharType="end"/>
      </w:r>
      <w:r w:rsidR="00801617">
        <w:fldChar w:fldCharType="begin"/>
      </w:r>
      <w:r w:rsidR="00801617" w:rsidRPr="00A2202F">
        <w:rPr>
          <w:lang w:val="is-IS"/>
          <w:rPrChange w:id="8" w:author="Author">
            <w:rPr/>
          </w:rPrChange>
        </w:rPr>
        <w:instrText>HYPERLINK "http://www.serlyfjaskra.is/" \h</w:instrText>
      </w:r>
      <w:r w:rsidR="00801617">
        <w:fldChar w:fldCharType="separate"/>
      </w:r>
      <w:r w:rsidR="00801617">
        <w:rPr>
          <w:color w:val="auto"/>
          <w:lang w:val="is-IS"/>
        </w:rPr>
        <w:t>.</w:t>
      </w:r>
      <w:r w:rsidR="00801617">
        <w:fldChar w:fldCharType="end"/>
      </w:r>
    </w:p>
    <w:p w14:paraId="4DFA1E6E" w14:textId="77777777" w:rsidR="00F3098A" w:rsidRDefault="00F3098A" w:rsidP="0073217C">
      <w:pPr>
        <w:suppressAutoHyphens/>
        <w:spacing w:after="0" w:line="240" w:lineRule="auto"/>
        <w:ind w:left="0" w:firstLine="0"/>
        <w:rPr>
          <w:color w:val="auto"/>
          <w:lang w:val="is-IS"/>
        </w:rPr>
      </w:pPr>
    </w:p>
    <w:p w14:paraId="0F6E477E" w14:textId="77777777" w:rsidR="00F3098A" w:rsidRPr="009F7642" w:rsidRDefault="00F3098A" w:rsidP="0073217C">
      <w:pPr>
        <w:suppressAutoHyphens/>
        <w:spacing w:after="0" w:line="240" w:lineRule="auto"/>
        <w:ind w:left="0" w:firstLine="0"/>
        <w:rPr>
          <w:color w:val="auto"/>
          <w:lang w:val="is-IS"/>
        </w:rPr>
      </w:pPr>
    </w:p>
    <w:p w14:paraId="14B964F9" w14:textId="77777777" w:rsidR="00EC3FF6" w:rsidRPr="00F81336" w:rsidRDefault="00DB6482" w:rsidP="00EC3FF6">
      <w:pPr>
        <w:rPr>
          <w:noProof/>
          <w:lang w:val="is-IS"/>
        </w:rPr>
      </w:pPr>
      <w:r w:rsidRPr="009F7642">
        <w:rPr>
          <w:color w:val="auto"/>
          <w:lang w:val="is-IS"/>
        </w:rPr>
        <w:br w:type="page"/>
      </w:r>
    </w:p>
    <w:p w14:paraId="276360C7" w14:textId="77777777" w:rsidR="00EC3FF6" w:rsidRPr="00F81336" w:rsidRDefault="00EC3FF6" w:rsidP="00EC3FF6">
      <w:pPr>
        <w:rPr>
          <w:noProof/>
          <w:lang w:val="is-IS"/>
        </w:rPr>
      </w:pPr>
    </w:p>
    <w:p w14:paraId="2A846E3D" w14:textId="77777777" w:rsidR="00EC3FF6" w:rsidRPr="00F81336" w:rsidRDefault="00EC3FF6" w:rsidP="00EC3FF6">
      <w:pPr>
        <w:rPr>
          <w:noProof/>
          <w:lang w:val="is-IS"/>
        </w:rPr>
      </w:pPr>
    </w:p>
    <w:p w14:paraId="3585D9A0" w14:textId="77777777" w:rsidR="00EC3FF6" w:rsidRPr="00F81336" w:rsidRDefault="00EC3FF6" w:rsidP="00EC3FF6">
      <w:pPr>
        <w:rPr>
          <w:noProof/>
          <w:lang w:val="is-IS"/>
        </w:rPr>
      </w:pPr>
    </w:p>
    <w:p w14:paraId="6AFAA331" w14:textId="77777777" w:rsidR="00EC3FF6" w:rsidRPr="00F81336" w:rsidRDefault="00EC3FF6" w:rsidP="00EC3FF6">
      <w:pPr>
        <w:rPr>
          <w:noProof/>
          <w:lang w:val="is-IS"/>
        </w:rPr>
      </w:pPr>
    </w:p>
    <w:p w14:paraId="2C53875D" w14:textId="77777777" w:rsidR="00EC3FF6" w:rsidRPr="00F81336" w:rsidRDefault="00EC3FF6" w:rsidP="00EC3FF6">
      <w:pPr>
        <w:rPr>
          <w:noProof/>
          <w:lang w:val="is-IS"/>
        </w:rPr>
      </w:pPr>
    </w:p>
    <w:p w14:paraId="1B7CB84E" w14:textId="77777777" w:rsidR="00EC3FF6" w:rsidRPr="00F81336" w:rsidRDefault="00EC3FF6" w:rsidP="00EC3FF6">
      <w:pPr>
        <w:rPr>
          <w:noProof/>
          <w:lang w:val="is-IS"/>
        </w:rPr>
      </w:pPr>
    </w:p>
    <w:p w14:paraId="1AB740AF" w14:textId="77777777" w:rsidR="00EC3FF6" w:rsidRPr="00F81336" w:rsidRDefault="00EC3FF6" w:rsidP="00EC3FF6">
      <w:pPr>
        <w:rPr>
          <w:noProof/>
          <w:lang w:val="is-IS"/>
        </w:rPr>
      </w:pPr>
    </w:p>
    <w:p w14:paraId="033943D5" w14:textId="77777777" w:rsidR="00EC3FF6" w:rsidRPr="00F81336" w:rsidRDefault="00EC3FF6" w:rsidP="00EC3FF6">
      <w:pPr>
        <w:rPr>
          <w:noProof/>
          <w:lang w:val="is-IS"/>
        </w:rPr>
      </w:pPr>
    </w:p>
    <w:p w14:paraId="46EBF614" w14:textId="77777777" w:rsidR="00EC3FF6" w:rsidRPr="00F81336" w:rsidRDefault="00EC3FF6" w:rsidP="00EC3FF6">
      <w:pPr>
        <w:rPr>
          <w:noProof/>
          <w:lang w:val="is-IS"/>
        </w:rPr>
      </w:pPr>
    </w:p>
    <w:p w14:paraId="654C43D8" w14:textId="77777777" w:rsidR="00EC3FF6" w:rsidRPr="00F81336" w:rsidRDefault="00EC3FF6" w:rsidP="00EC3FF6">
      <w:pPr>
        <w:rPr>
          <w:noProof/>
          <w:lang w:val="is-IS"/>
        </w:rPr>
      </w:pPr>
    </w:p>
    <w:p w14:paraId="39D39980" w14:textId="77777777" w:rsidR="00EC3FF6" w:rsidRPr="00F81336" w:rsidRDefault="00EC3FF6" w:rsidP="00EC3FF6">
      <w:pPr>
        <w:rPr>
          <w:noProof/>
          <w:lang w:val="is-IS"/>
        </w:rPr>
      </w:pPr>
    </w:p>
    <w:p w14:paraId="05B489C9" w14:textId="77777777" w:rsidR="00EC3FF6" w:rsidRPr="00F81336" w:rsidRDefault="00EC3FF6" w:rsidP="00EC3FF6">
      <w:pPr>
        <w:rPr>
          <w:noProof/>
          <w:lang w:val="is-IS"/>
        </w:rPr>
      </w:pPr>
    </w:p>
    <w:p w14:paraId="7A16A607" w14:textId="77777777" w:rsidR="00EC3FF6" w:rsidRDefault="00EC3FF6" w:rsidP="00EC3FF6">
      <w:pPr>
        <w:rPr>
          <w:noProof/>
          <w:lang w:val="is-IS"/>
        </w:rPr>
      </w:pPr>
    </w:p>
    <w:p w14:paraId="2F32C6F1" w14:textId="77777777" w:rsidR="00EF2A59" w:rsidRPr="00F81336" w:rsidRDefault="00EF2A59" w:rsidP="00EC3FF6">
      <w:pPr>
        <w:rPr>
          <w:noProof/>
          <w:lang w:val="is-IS"/>
        </w:rPr>
      </w:pPr>
    </w:p>
    <w:p w14:paraId="51EC5BB8" w14:textId="77777777" w:rsidR="00EC3FF6" w:rsidRPr="00F81336" w:rsidRDefault="00EC3FF6" w:rsidP="00EC3FF6">
      <w:pPr>
        <w:rPr>
          <w:noProof/>
          <w:lang w:val="is-IS"/>
        </w:rPr>
      </w:pPr>
    </w:p>
    <w:p w14:paraId="73878160" w14:textId="77777777" w:rsidR="00EC3FF6" w:rsidRPr="00F81336" w:rsidRDefault="00EC3FF6" w:rsidP="00EC3FF6">
      <w:pPr>
        <w:rPr>
          <w:noProof/>
          <w:lang w:val="is-IS"/>
        </w:rPr>
      </w:pPr>
    </w:p>
    <w:p w14:paraId="307B306B" w14:textId="77777777" w:rsidR="00EC3FF6" w:rsidRPr="00F81336" w:rsidRDefault="00EC3FF6" w:rsidP="00EC3FF6">
      <w:pPr>
        <w:rPr>
          <w:noProof/>
          <w:lang w:val="is-IS"/>
        </w:rPr>
      </w:pPr>
    </w:p>
    <w:p w14:paraId="00FD4C1F" w14:textId="77777777" w:rsidR="00EC3FF6" w:rsidRPr="00F81336" w:rsidRDefault="00EC3FF6" w:rsidP="00EC3FF6">
      <w:pPr>
        <w:rPr>
          <w:noProof/>
          <w:lang w:val="is-IS"/>
        </w:rPr>
      </w:pPr>
    </w:p>
    <w:p w14:paraId="105DED2C" w14:textId="77777777" w:rsidR="00EC3FF6" w:rsidRPr="00F81336" w:rsidRDefault="00EC3FF6" w:rsidP="00EC3FF6">
      <w:pPr>
        <w:rPr>
          <w:noProof/>
          <w:lang w:val="is-IS"/>
        </w:rPr>
      </w:pPr>
    </w:p>
    <w:p w14:paraId="7E607564" w14:textId="77777777" w:rsidR="00EC3FF6" w:rsidRPr="00F81336" w:rsidRDefault="00EC3FF6" w:rsidP="00EC3FF6">
      <w:pPr>
        <w:rPr>
          <w:noProof/>
          <w:lang w:val="is-IS"/>
        </w:rPr>
      </w:pPr>
    </w:p>
    <w:p w14:paraId="558482D0" w14:textId="77777777" w:rsidR="00EC3FF6" w:rsidRPr="00F81336" w:rsidRDefault="00EC3FF6" w:rsidP="00EC3FF6">
      <w:pPr>
        <w:rPr>
          <w:noProof/>
          <w:lang w:val="is-IS"/>
        </w:rPr>
      </w:pPr>
    </w:p>
    <w:p w14:paraId="579B42FF" w14:textId="77777777" w:rsidR="00EC3FF6" w:rsidRPr="00F81336" w:rsidRDefault="00EC3FF6" w:rsidP="00EC3FF6">
      <w:pPr>
        <w:rPr>
          <w:noProof/>
          <w:lang w:val="is-IS"/>
        </w:rPr>
      </w:pPr>
    </w:p>
    <w:p w14:paraId="7A661DE1" w14:textId="77777777" w:rsidR="00EC3FF6" w:rsidRPr="00F81336" w:rsidRDefault="00EC3FF6" w:rsidP="00EC3FF6">
      <w:pPr>
        <w:rPr>
          <w:noProof/>
          <w:lang w:val="is-IS"/>
        </w:rPr>
      </w:pPr>
    </w:p>
    <w:p w14:paraId="3A953A7F" w14:textId="77777777" w:rsidR="00EC3FF6" w:rsidRPr="00F81336" w:rsidRDefault="00EC3FF6" w:rsidP="00EC3FF6">
      <w:pPr>
        <w:jc w:val="center"/>
        <w:rPr>
          <w:b/>
          <w:noProof/>
          <w:lang w:val="is-IS"/>
        </w:rPr>
      </w:pPr>
      <w:r w:rsidRPr="00F81336">
        <w:rPr>
          <w:b/>
          <w:noProof/>
          <w:lang w:val="is-IS"/>
        </w:rPr>
        <w:t>VIÐAUKI II</w:t>
      </w:r>
    </w:p>
    <w:p w14:paraId="09F1FA6C" w14:textId="77777777" w:rsidR="00EC3FF6" w:rsidRPr="00F81336" w:rsidRDefault="00EC3FF6" w:rsidP="00EC3FF6">
      <w:pPr>
        <w:rPr>
          <w:noProof/>
          <w:lang w:val="is-IS"/>
        </w:rPr>
      </w:pPr>
    </w:p>
    <w:p w14:paraId="2320C45F" w14:textId="77777777" w:rsidR="00EC3FF6" w:rsidRPr="00F81336" w:rsidRDefault="00EC3FF6" w:rsidP="00EC3FF6">
      <w:pPr>
        <w:ind w:left="1689" w:right="567" w:hanging="555"/>
        <w:rPr>
          <w:b/>
          <w:noProof/>
          <w:lang w:val="is-IS"/>
        </w:rPr>
      </w:pPr>
      <w:r w:rsidRPr="00F81336">
        <w:rPr>
          <w:b/>
          <w:noProof/>
          <w:lang w:val="is-IS"/>
        </w:rPr>
        <w:t>A.</w:t>
      </w:r>
      <w:r w:rsidRPr="00F81336">
        <w:rPr>
          <w:b/>
          <w:noProof/>
          <w:lang w:val="is-IS"/>
        </w:rPr>
        <w:tab/>
        <w:t>FRAMLEIÐENDUR LÍFFRÆÐILEGRA VIRKRA EFNA OG</w:t>
      </w:r>
      <w:r w:rsidRPr="00F81336" w:rsidDel="009C6076">
        <w:rPr>
          <w:b/>
          <w:noProof/>
          <w:lang w:val="is-IS"/>
        </w:rPr>
        <w:t xml:space="preserve"> </w:t>
      </w:r>
      <w:r w:rsidRPr="00F81336">
        <w:rPr>
          <w:b/>
          <w:noProof/>
          <w:lang w:val="is-IS"/>
        </w:rPr>
        <w:t>FRAMLEIÐENDUR SEM ERU ÁBYRGIR FYRIR LOKASAMÞYKKT</w:t>
      </w:r>
    </w:p>
    <w:p w14:paraId="3B1A40C3" w14:textId="77777777" w:rsidR="00EC3FF6" w:rsidRPr="00F81336" w:rsidRDefault="00EC3FF6" w:rsidP="00EC3FF6">
      <w:pPr>
        <w:ind w:right="567"/>
        <w:rPr>
          <w:noProof/>
          <w:lang w:val="is-IS"/>
        </w:rPr>
      </w:pPr>
    </w:p>
    <w:p w14:paraId="793340EB" w14:textId="77777777" w:rsidR="00EC3FF6" w:rsidRPr="00F81336" w:rsidRDefault="00EC3FF6" w:rsidP="00EC3FF6">
      <w:pPr>
        <w:ind w:left="1689" w:right="567" w:hanging="555"/>
        <w:rPr>
          <w:b/>
          <w:noProof/>
          <w:lang w:val="is-IS"/>
        </w:rPr>
      </w:pPr>
      <w:r w:rsidRPr="00F81336">
        <w:rPr>
          <w:b/>
          <w:noProof/>
          <w:lang w:val="is-IS"/>
        </w:rPr>
        <w:t>B.</w:t>
      </w:r>
      <w:r w:rsidRPr="00F81336">
        <w:rPr>
          <w:b/>
          <w:noProof/>
          <w:lang w:val="is-IS"/>
        </w:rPr>
        <w:tab/>
        <w:t>FORSENDUR FYRIR, EÐA TAKMARKANIR Á, AFGREIÐSLU OG NOTKUN</w:t>
      </w:r>
    </w:p>
    <w:p w14:paraId="3E4E6D89" w14:textId="77777777" w:rsidR="00EC3FF6" w:rsidRPr="00F81336" w:rsidRDefault="00EC3FF6" w:rsidP="00EC3FF6">
      <w:pPr>
        <w:ind w:right="567"/>
        <w:rPr>
          <w:noProof/>
          <w:lang w:val="is-IS"/>
        </w:rPr>
      </w:pPr>
    </w:p>
    <w:p w14:paraId="61CCE57A" w14:textId="77777777" w:rsidR="00EC3FF6" w:rsidRPr="00321CD1" w:rsidRDefault="00EC3FF6" w:rsidP="00EC3FF6">
      <w:pPr>
        <w:ind w:left="1689" w:right="567" w:hanging="555"/>
        <w:rPr>
          <w:b/>
          <w:noProof/>
          <w:lang w:val="sv-SE"/>
        </w:rPr>
      </w:pPr>
      <w:r w:rsidRPr="00321CD1">
        <w:rPr>
          <w:b/>
          <w:noProof/>
          <w:lang w:val="sv-SE"/>
        </w:rPr>
        <w:t>C.</w:t>
      </w:r>
      <w:r w:rsidRPr="00321CD1">
        <w:rPr>
          <w:b/>
          <w:noProof/>
          <w:lang w:val="sv-SE"/>
        </w:rPr>
        <w:tab/>
        <w:t>AÐRAR FORSENDUR OG SKILYRÐI MARKAÐSLEYFIS</w:t>
      </w:r>
    </w:p>
    <w:p w14:paraId="0C8C68D1" w14:textId="77777777" w:rsidR="00EC3FF6" w:rsidRPr="00321CD1" w:rsidRDefault="00EC3FF6" w:rsidP="00EC3FF6">
      <w:pPr>
        <w:ind w:right="567"/>
        <w:rPr>
          <w:noProof/>
          <w:lang w:val="sv-SE"/>
        </w:rPr>
      </w:pPr>
    </w:p>
    <w:p w14:paraId="019DD832" w14:textId="77777777" w:rsidR="00EC3FF6" w:rsidRPr="00321CD1" w:rsidRDefault="00EC3FF6" w:rsidP="00EC3FF6">
      <w:pPr>
        <w:ind w:left="1689" w:right="567" w:hanging="555"/>
        <w:rPr>
          <w:b/>
          <w:noProof/>
          <w:lang w:val="sv-SE"/>
        </w:rPr>
      </w:pPr>
      <w:r w:rsidRPr="00321CD1">
        <w:rPr>
          <w:b/>
          <w:noProof/>
          <w:lang w:val="sv-SE"/>
        </w:rPr>
        <w:t>D.</w:t>
      </w:r>
      <w:r w:rsidRPr="00321CD1">
        <w:rPr>
          <w:b/>
          <w:noProof/>
          <w:lang w:val="sv-SE"/>
        </w:rPr>
        <w:tab/>
        <w:t>FORSENDUR EÐA TAKMARKANIR ER VARÐA ÖRYGGI OG VERKUN VIÐ NOTKUN LYFSINS</w:t>
      </w:r>
    </w:p>
    <w:p w14:paraId="1F7BA778" w14:textId="77777777" w:rsidR="00EC3FF6" w:rsidRPr="00321CD1" w:rsidRDefault="00EC3FF6" w:rsidP="00EC3FF6">
      <w:pPr>
        <w:ind w:right="567"/>
        <w:rPr>
          <w:noProof/>
          <w:lang w:val="sv-SE"/>
        </w:rPr>
      </w:pPr>
    </w:p>
    <w:p w14:paraId="65D46E00" w14:textId="77777777" w:rsidR="00EC3FF6" w:rsidRPr="00321CD1" w:rsidRDefault="00EC3FF6" w:rsidP="00EF2A59">
      <w:pPr>
        <w:pStyle w:val="TitleB"/>
        <w:spacing w:after="0" w:line="240" w:lineRule="auto"/>
        <w:ind w:left="567" w:hanging="567"/>
        <w:jc w:val="left"/>
        <w:rPr>
          <w:noProof/>
          <w:lang w:val="sv-SE"/>
        </w:rPr>
      </w:pPr>
      <w:r w:rsidRPr="00321CD1">
        <w:rPr>
          <w:noProof/>
          <w:lang w:val="sv-SE"/>
        </w:rPr>
        <w:br w:type="page"/>
      </w:r>
      <w:r w:rsidRPr="00321CD1">
        <w:rPr>
          <w:noProof/>
          <w:lang w:val="sv-SE"/>
        </w:rPr>
        <w:lastRenderedPageBreak/>
        <w:t>A.</w:t>
      </w:r>
      <w:r w:rsidRPr="00321CD1">
        <w:rPr>
          <w:noProof/>
          <w:lang w:val="sv-SE"/>
        </w:rPr>
        <w:tab/>
        <w:t>FRAMLEIÐENDUR LÍFFRÆÐILEGRA VIRKRA EFNA OG FRAMLEIÐENDUR SEM ERU ÁBYRGIR FYRIR LOKASAMÞYKKT</w:t>
      </w:r>
    </w:p>
    <w:p w14:paraId="218CDF50" w14:textId="77777777" w:rsidR="00EC3FF6" w:rsidRPr="00321CD1" w:rsidRDefault="00EC3FF6" w:rsidP="00EF2A59">
      <w:pPr>
        <w:spacing w:after="0" w:line="240" w:lineRule="auto"/>
        <w:ind w:left="0" w:firstLine="0"/>
        <w:rPr>
          <w:noProof/>
          <w:lang w:val="sv-SE"/>
        </w:rPr>
      </w:pPr>
    </w:p>
    <w:p w14:paraId="345FD209" w14:textId="77777777" w:rsidR="00EC3FF6" w:rsidRPr="00321CD1" w:rsidRDefault="00EC3FF6" w:rsidP="00EF2A59">
      <w:pPr>
        <w:spacing w:after="0" w:line="240" w:lineRule="auto"/>
        <w:ind w:left="0" w:firstLine="0"/>
        <w:rPr>
          <w:noProof/>
          <w:u w:val="single"/>
          <w:lang w:val="sv-SE"/>
        </w:rPr>
      </w:pPr>
      <w:r w:rsidRPr="00321CD1">
        <w:rPr>
          <w:noProof/>
          <w:u w:val="single"/>
          <w:lang w:val="sv-SE"/>
        </w:rPr>
        <w:t>Heiti og heimilisfang framleiðenda líffræðilegra virkra efna</w:t>
      </w:r>
    </w:p>
    <w:p w14:paraId="5B09722B" w14:textId="77777777" w:rsidR="00EC3FF6" w:rsidRDefault="00EC3FF6" w:rsidP="00EF2A59">
      <w:pPr>
        <w:widowControl w:val="0"/>
        <w:autoSpaceDE w:val="0"/>
        <w:autoSpaceDN w:val="0"/>
        <w:adjustRightInd w:val="0"/>
        <w:spacing w:after="0" w:line="240" w:lineRule="auto"/>
        <w:ind w:left="0" w:firstLine="0"/>
      </w:pPr>
      <w:r>
        <w:t>Amgen Inc</w:t>
      </w:r>
    </w:p>
    <w:p w14:paraId="146DBFBA" w14:textId="77777777" w:rsidR="00EC3FF6" w:rsidRDefault="00EC3FF6" w:rsidP="00EF2A59">
      <w:pPr>
        <w:widowControl w:val="0"/>
        <w:autoSpaceDE w:val="0"/>
        <w:autoSpaceDN w:val="0"/>
        <w:adjustRightInd w:val="0"/>
        <w:spacing w:after="0" w:line="240" w:lineRule="auto"/>
        <w:ind w:left="0" w:firstLine="0"/>
      </w:pPr>
      <w:r>
        <w:t>1 Amgen Center Drive</w:t>
      </w:r>
    </w:p>
    <w:p w14:paraId="51610FD2" w14:textId="77777777" w:rsidR="00EC3FF6" w:rsidRDefault="00EC3FF6" w:rsidP="00EF2A59">
      <w:pPr>
        <w:widowControl w:val="0"/>
        <w:autoSpaceDE w:val="0"/>
        <w:autoSpaceDN w:val="0"/>
        <w:adjustRightInd w:val="0"/>
        <w:spacing w:after="0" w:line="240" w:lineRule="auto"/>
        <w:ind w:left="0" w:firstLine="0"/>
      </w:pPr>
      <w:r w:rsidRPr="00DE2F73">
        <w:t xml:space="preserve">91320 </w:t>
      </w:r>
      <w:proofErr w:type="gramStart"/>
      <w:r w:rsidRPr="00DE2F73">
        <w:t>Thousand</w:t>
      </w:r>
      <w:proofErr w:type="gramEnd"/>
      <w:r w:rsidRPr="00DE2F73">
        <w:t xml:space="preserve"> Oaks</w:t>
      </w:r>
    </w:p>
    <w:p w14:paraId="13A8CF8C" w14:textId="77777777" w:rsidR="008661D1" w:rsidRDefault="008661D1" w:rsidP="00EF2A59">
      <w:pPr>
        <w:widowControl w:val="0"/>
        <w:autoSpaceDE w:val="0"/>
        <w:autoSpaceDN w:val="0"/>
        <w:adjustRightInd w:val="0"/>
        <w:spacing w:after="0" w:line="240" w:lineRule="auto"/>
        <w:ind w:left="0" w:firstLine="0"/>
      </w:pPr>
      <w:r>
        <w:t>California</w:t>
      </w:r>
    </w:p>
    <w:p w14:paraId="7EC1E14E" w14:textId="77777777" w:rsidR="00201368" w:rsidRPr="001C3056" w:rsidRDefault="00201368" w:rsidP="00EF2A59">
      <w:pPr>
        <w:spacing w:after="0" w:line="240" w:lineRule="auto"/>
        <w:ind w:left="0" w:firstLine="0"/>
        <w:rPr>
          <w:noProof/>
        </w:rPr>
      </w:pPr>
      <w:proofErr w:type="spellStart"/>
      <w:r>
        <w:t>Bandaríkin</w:t>
      </w:r>
      <w:proofErr w:type="spellEnd"/>
    </w:p>
    <w:p w14:paraId="77BB2F95" w14:textId="77777777" w:rsidR="00EC3FF6" w:rsidRDefault="00EC3FF6" w:rsidP="00EF2A59">
      <w:pPr>
        <w:spacing w:after="0" w:line="240" w:lineRule="auto"/>
        <w:ind w:left="0" w:firstLine="0"/>
        <w:rPr>
          <w:noProof/>
          <w:u w:val="single"/>
        </w:rPr>
      </w:pPr>
    </w:p>
    <w:p w14:paraId="631D696D" w14:textId="77777777" w:rsidR="00C65D04" w:rsidRPr="00C65D04" w:rsidRDefault="00C65D04" w:rsidP="00EF2A59">
      <w:pPr>
        <w:widowControl w:val="0"/>
        <w:autoSpaceDE w:val="0"/>
        <w:autoSpaceDN w:val="0"/>
        <w:adjustRightInd w:val="0"/>
        <w:spacing w:after="0" w:line="240" w:lineRule="auto"/>
        <w:ind w:left="0" w:firstLine="0"/>
      </w:pPr>
      <w:r w:rsidRPr="00C65D04">
        <w:t>Immunex Rhode Island Corporation</w:t>
      </w:r>
    </w:p>
    <w:p w14:paraId="7A627600" w14:textId="77777777" w:rsidR="00C65D04" w:rsidRPr="00C65D04" w:rsidRDefault="00C65D04" w:rsidP="00EF2A59">
      <w:pPr>
        <w:widowControl w:val="0"/>
        <w:autoSpaceDE w:val="0"/>
        <w:autoSpaceDN w:val="0"/>
        <w:adjustRightInd w:val="0"/>
        <w:spacing w:after="0" w:line="240" w:lineRule="auto"/>
        <w:ind w:left="0" w:firstLine="0"/>
      </w:pPr>
      <w:r w:rsidRPr="00C65D04">
        <w:t>40 Technology Way</w:t>
      </w:r>
    </w:p>
    <w:p w14:paraId="2E55E46C" w14:textId="77777777" w:rsidR="00C65D04" w:rsidRPr="00C65D04" w:rsidRDefault="00C65D04" w:rsidP="00EF2A59">
      <w:pPr>
        <w:widowControl w:val="0"/>
        <w:autoSpaceDE w:val="0"/>
        <w:autoSpaceDN w:val="0"/>
        <w:adjustRightInd w:val="0"/>
        <w:spacing w:after="0" w:line="240" w:lineRule="auto"/>
        <w:ind w:left="0" w:firstLine="0"/>
      </w:pPr>
      <w:r w:rsidRPr="00C65D04">
        <w:t>West Greenwich</w:t>
      </w:r>
    </w:p>
    <w:p w14:paraId="3028D7FB" w14:textId="77777777" w:rsidR="00C65D04" w:rsidRPr="00C65D04" w:rsidRDefault="00C65D04" w:rsidP="00EF2A59">
      <w:pPr>
        <w:widowControl w:val="0"/>
        <w:autoSpaceDE w:val="0"/>
        <w:autoSpaceDN w:val="0"/>
        <w:adjustRightInd w:val="0"/>
        <w:spacing w:after="0" w:line="240" w:lineRule="auto"/>
        <w:ind w:left="0" w:firstLine="0"/>
      </w:pPr>
      <w:r w:rsidRPr="00C65D04">
        <w:t>Rhode Island, 02817</w:t>
      </w:r>
    </w:p>
    <w:p w14:paraId="29F27C5F" w14:textId="77777777" w:rsidR="00C65D04" w:rsidRPr="00215918" w:rsidRDefault="00C65D04" w:rsidP="00EF2A59">
      <w:pPr>
        <w:widowControl w:val="0"/>
        <w:autoSpaceDE w:val="0"/>
        <w:autoSpaceDN w:val="0"/>
        <w:adjustRightInd w:val="0"/>
        <w:spacing w:after="0" w:line="240" w:lineRule="auto"/>
        <w:ind w:left="0" w:firstLine="0"/>
      </w:pPr>
      <w:proofErr w:type="spellStart"/>
      <w:r w:rsidRPr="00215918">
        <w:t>Bandaríkin</w:t>
      </w:r>
      <w:proofErr w:type="spellEnd"/>
    </w:p>
    <w:p w14:paraId="569A073A" w14:textId="77777777" w:rsidR="00C65D04" w:rsidRPr="00215918" w:rsidRDefault="00C65D04" w:rsidP="00EF2A59">
      <w:pPr>
        <w:spacing w:after="0" w:line="240" w:lineRule="auto"/>
        <w:ind w:left="0" w:firstLine="0"/>
        <w:rPr>
          <w:noProof/>
          <w:u w:val="single"/>
        </w:rPr>
      </w:pPr>
    </w:p>
    <w:p w14:paraId="6E14172E" w14:textId="77777777" w:rsidR="00EC3FF6" w:rsidRPr="00215918" w:rsidRDefault="00EC3FF6" w:rsidP="00EF2A59">
      <w:pPr>
        <w:spacing w:after="0" w:line="240" w:lineRule="auto"/>
        <w:ind w:left="0" w:firstLine="0"/>
        <w:rPr>
          <w:noProof/>
        </w:rPr>
      </w:pPr>
      <w:r w:rsidRPr="00215918">
        <w:rPr>
          <w:noProof/>
          <w:u w:val="single"/>
        </w:rPr>
        <w:t>Heiti og heimilisfang framleiðenda sem eru ábyrgir fyrir lokasamþykkt</w:t>
      </w:r>
    </w:p>
    <w:p w14:paraId="13CA3B1F" w14:textId="77777777" w:rsidR="00EC3FF6" w:rsidRDefault="00EC3FF6" w:rsidP="00EF2A59">
      <w:pPr>
        <w:widowControl w:val="0"/>
        <w:autoSpaceDE w:val="0"/>
        <w:autoSpaceDN w:val="0"/>
        <w:adjustRightInd w:val="0"/>
        <w:spacing w:after="0" w:line="240" w:lineRule="auto"/>
        <w:ind w:left="0" w:firstLine="0"/>
      </w:pPr>
      <w:r>
        <w:t xml:space="preserve">Amgen Technology </w:t>
      </w:r>
      <w:bookmarkStart w:id="9" w:name="_Hlk31880815"/>
      <w:r w:rsidR="007B76C4" w:rsidRPr="000B7475">
        <w:rPr>
          <w:lang w:val="nl-NL"/>
        </w:rPr>
        <w:t>(</w:t>
      </w:r>
      <w:bookmarkEnd w:id="9"/>
      <w:r>
        <w:t>Ireland</w:t>
      </w:r>
      <w:bookmarkStart w:id="10" w:name="_Hlk31880829"/>
      <w:r w:rsidR="007B76C4" w:rsidRPr="000B7475">
        <w:rPr>
          <w:lang w:val="nl-NL"/>
        </w:rPr>
        <w:t>) UC,</w:t>
      </w:r>
      <w:bookmarkEnd w:id="10"/>
    </w:p>
    <w:p w14:paraId="504ACE08" w14:textId="77777777" w:rsidR="00EC3FF6" w:rsidRDefault="00EC3FF6" w:rsidP="00EF2A59">
      <w:pPr>
        <w:widowControl w:val="0"/>
        <w:autoSpaceDE w:val="0"/>
        <w:autoSpaceDN w:val="0"/>
        <w:adjustRightInd w:val="0"/>
        <w:spacing w:after="0" w:line="240" w:lineRule="auto"/>
        <w:ind w:left="0" w:firstLine="0"/>
      </w:pPr>
      <w:r w:rsidRPr="00DE2F73">
        <w:t>Pot</w:t>
      </w:r>
      <w:r>
        <w:t>tery Road</w:t>
      </w:r>
      <w:r w:rsidR="007B76C4">
        <w:t>,</w:t>
      </w:r>
    </w:p>
    <w:p w14:paraId="60CEE478" w14:textId="77777777" w:rsidR="00EC3FF6" w:rsidRDefault="00EC3FF6" w:rsidP="00EF2A59">
      <w:pPr>
        <w:widowControl w:val="0"/>
        <w:autoSpaceDE w:val="0"/>
        <w:autoSpaceDN w:val="0"/>
        <w:adjustRightInd w:val="0"/>
        <w:spacing w:after="0" w:line="240" w:lineRule="auto"/>
        <w:ind w:left="0" w:firstLine="0"/>
      </w:pPr>
      <w:r w:rsidRPr="00DE2F73">
        <w:t>Dun Laoghaire</w:t>
      </w:r>
      <w:r w:rsidR="007B76C4">
        <w:t>,</w:t>
      </w:r>
    </w:p>
    <w:p w14:paraId="7C1FA815" w14:textId="77777777" w:rsidR="00EC3FF6" w:rsidRDefault="00EC3FF6" w:rsidP="00EF2A59">
      <w:pPr>
        <w:widowControl w:val="0"/>
        <w:autoSpaceDE w:val="0"/>
        <w:autoSpaceDN w:val="0"/>
        <w:adjustRightInd w:val="0"/>
        <w:spacing w:after="0" w:line="240" w:lineRule="auto"/>
        <w:ind w:left="0" w:firstLine="0"/>
      </w:pPr>
      <w:r>
        <w:t>Co</w:t>
      </w:r>
      <w:r w:rsidR="007B76C4">
        <w:t>.</w:t>
      </w:r>
      <w:r>
        <w:t xml:space="preserve"> Dublin</w:t>
      </w:r>
      <w:r w:rsidR="007B76C4">
        <w:t>,</w:t>
      </w:r>
    </w:p>
    <w:p w14:paraId="65801B52" w14:textId="77777777" w:rsidR="00EC3FF6" w:rsidRPr="00DE2F73" w:rsidRDefault="00EC3FF6" w:rsidP="00EF2A59">
      <w:pPr>
        <w:widowControl w:val="0"/>
        <w:autoSpaceDE w:val="0"/>
        <w:autoSpaceDN w:val="0"/>
        <w:adjustRightInd w:val="0"/>
        <w:spacing w:after="0" w:line="240" w:lineRule="auto"/>
        <w:ind w:left="0" w:firstLine="0"/>
      </w:pPr>
      <w:proofErr w:type="spellStart"/>
      <w:r>
        <w:t>Írland</w:t>
      </w:r>
      <w:proofErr w:type="spellEnd"/>
    </w:p>
    <w:p w14:paraId="7EA515FE" w14:textId="77777777" w:rsidR="00955199" w:rsidRDefault="00955199" w:rsidP="00EF2A59">
      <w:pPr>
        <w:spacing w:after="0" w:line="240" w:lineRule="auto"/>
        <w:ind w:left="0" w:firstLine="0"/>
        <w:rPr>
          <w:ins w:id="11" w:author="Author"/>
          <w:noProof/>
          <w:lang w:val="is-IS"/>
        </w:rPr>
      </w:pPr>
    </w:p>
    <w:p w14:paraId="3E6A35E5" w14:textId="77777777" w:rsidR="000E763C" w:rsidRPr="000E763C" w:rsidRDefault="000E763C" w:rsidP="00EF2A59">
      <w:pPr>
        <w:spacing w:after="0" w:line="240" w:lineRule="auto"/>
        <w:ind w:left="0" w:firstLine="0"/>
        <w:rPr>
          <w:ins w:id="12" w:author="Author"/>
          <w:noProof/>
          <w:lang w:val="is-IS"/>
        </w:rPr>
      </w:pPr>
      <w:ins w:id="13" w:author="Author">
        <w:r w:rsidRPr="000E763C">
          <w:rPr>
            <w:noProof/>
            <w:lang w:val="is-IS"/>
          </w:rPr>
          <w:t xml:space="preserve">Amgen Europe B.V. </w:t>
        </w:r>
      </w:ins>
    </w:p>
    <w:p w14:paraId="0BA2630B" w14:textId="77777777" w:rsidR="000E763C" w:rsidRPr="000E763C" w:rsidRDefault="000E763C" w:rsidP="00EF2A59">
      <w:pPr>
        <w:spacing w:after="0" w:line="240" w:lineRule="auto"/>
        <w:ind w:left="0" w:firstLine="0"/>
        <w:rPr>
          <w:ins w:id="14" w:author="Author"/>
          <w:noProof/>
          <w:lang w:val="is-IS"/>
        </w:rPr>
      </w:pPr>
      <w:ins w:id="15" w:author="Author">
        <w:r w:rsidRPr="000E763C">
          <w:rPr>
            <w:noProof/>
            <w:lang w:val="is-IS"/>
          </w:rPr>
          <w:t xml:space="preserve">Minervum 7061 </w:t>
        </w:r>
      </w:ins>
    </w:p>
    <w:p w14:paraId="6FBE5018" w14:textId="77777777" w:rsidR="000E763C" w:rsidRPr="000E763C" w:rsidRDefault="000E763C" w:rsidP="00EF2A59">
      <w:pPr>
        <w:spacing w:after="0" w:line="240" w:lineRule="auto"/>
        <w:ind w:left="0" w:firstLine="0"/>
        <w:rPr>
          <w:ins w:id="16" w:author="Author"/>
          <w:noProof/>
          <w:lang w:val="is-IS"/>
        </w:rPr>
      </w:pPr>
      <w:ins w:id="17" w:author="Author">
        <w:r w:rsidRPr="000E763C">
          <w:rPr>
            <w:noProof/>
            <w:lang w:val="is-IS"/>
          </w:rPr>
          <w:t xml:space="preserve">4817 ZK Breda </w:t>
        </w:r>
      </w:ins>
    </w:p>
    <w:p w14:paraId="1635DE75" w14:textId="7313A446" w:rsidR="000E763C" w:rsidRDefault="000E763C" w:rsidP="00EF2A59">
      <w:pPr>
        <w:spacing w:after="0" w:line="240" w:lineRule="auto"/>
        <w:ind w:left="0" w:firstLine="0"/>
        <w:rPr>
          <w:ins w:id="18" w:author="Author"/>
          <w:noProof/>
          <w:lang w:val="is-IS"/>
        </w:rPr>
      </w:pPr>
      <w:ins w:id="19" w:author="Author">
        <w:r w:rsidRPr="000E763C">
          <w:rPr>
            <w:noProof/>
            <w:lang w:val="is-IS"/>
          </w:rPr>
          <w:t>Holland</w:t>
        </w:r>
      </w:ins>
    </w:p>
    <w:p w14:paraId="76303FFD" w14:textId="77777777" w:rsidR="000E763C" w:rsidRPr="003C6434" w:rsidRDefault="000E763C" w:rsidP="00EF2A59">
      <w:pPr>
        <w:spacing w:after="0" w:line="240" w:lineRule="auto"/>
        <w:ind w:left="0" w:firstLine="0"/>
        <w:rPr>
          <w:noProof/>
          <w:lang w:val="is-IS"/>
        </w:rPr>
      </w:pPr>
    </w:p>
    <w:p w14:paraId="1E499F1F" w14:textId="77777777" w:rsidR="00955199" w:rsidRPr="0060391B" w:rsidRDefault="00955199" w:rsidP="00EF2A59">
      <w:pPr>
        <w:spacing w:after="0" w:line="240" w:lineRule="auto"/>
        <w:ind w:left="0" w:firstLine="0"/>
        <w:rPr>
          <w:lang w:val="nl-BE" w:eastAsia="ja-JP"/>
        </w:rPr>
      </w:pPr>
      <w:r w:rsidRPr="0060391B">
        <w:rPr>
          <w:lang w:val="nl-BE" w:eastAsia="ja-JP"/>
        </w:rPr>
        <w:t>Amgen NV</w:t>
      </w:r>
    </w:p>
    <w:p w14:paraId="096A26D5" w14:textId="77777777" w:rsidR="004E063E" w:rsidRPr="00B64117" w:rsidRDefault="004E063E" w:rsidP="00EF2A59">
      <w:pPr>
        <w:spacing w:after="0" w:line="240" w:lineRule="auto"/>
        <w:ind w:left="0" w:firstLine="0"/>
        <w:rPr>
          <w:lang w:val="nl-BE" w:eastAsia="ja-JP"/>
        </w:rPr>
      </w:pPr>
      <w:r w:rsidRPr="00B64117">
        <w:rPr>
          <w:lang w:val="nl-BE" w:eastAsia="ja-JP"/>
        </w:rPr>
        <w:t>Telecomlaan 5-7</w:t>
      </w:r>
    </w:p>
    <w:p w14:paraId="48606031" w14:textId="77777777" w:rsidR="004E063E" w:rsidRPr="004E063E" w:rsidRDefault="004E063E" w:rsidP="00EF2A59">
      <w:pPr>
        <w:spacing w:after="0" w:line="240" w:lineRule="auto"/>
        <w:ind w:left="0" w:firstLine="0"/>
        <w:rPr>
          <w:lang w:val="nl-NL" w:eastAsia="ja-JP"/>
        </w:rPr>
      </w:pPr>
      <w:r w:rsidRPr="00B64117">
        <w:rPr>
          <w:lang w:val="nl-BE" w:eastAsia="ja-JP"/>
        </w:rPr>
        <w:t>1831 Diegem</w:t>
      </w:r>
    </w:p>
    <w:p w14:paraId="34571516" w14:textId="77777777" w:rsidR="00955199" w:rsidRDefault="00955199" w:rsidP="00EF2A59">
      <w:pPr>
        <w:spacing w:after="0" w:line="240" w:lineRule="auto"/>
        <w:ind w:left="0" w:firstLine="0"/>
        <w:rPr>
          <w:noProof/>
          <w:lang w:val="is-IS"/>
        </w:rPr>
      </w:pPr>
      <w:r w:rsidRPr="00B64117">
        <w:rPr>
          <w:lang w:val="nl-BE" w:eastAsia="ja-JP"/>
        </w:rPr>
        <w:t>Belgía</w:t>
      </w:r>
      <w:r w:rsidRPr="003C6434">
        <w:rPr>
          <w:noProof/>
          <w:lang w:val="is-IS"/>
        </w:rPr>
        <w:t xml:space="preserve"> </w:t>
      </w:r>
    </w:p>
    <w:p w14:paraId="0BD0CC4E" w14:textId="77777777" w:rsidR="00EC3FF6" w:rsidRPr="00B64117" w:rsidRDefault="00EC3FF6" w:rsidP="00EF2A59">
      <w:pPr>
        <w:spacing w:after="0" w:line="240" w:lineRule="auto"/>
        <w:ind w:left="0" w:firstLine="0"/>
        <w:rPr>
          <w:noProof/>
          <w:lang w:val="nl-BE"/>
        </w:rPr>
      </w:pPr>
    </w:p>
    <w:p w14:paraId="643A819C" w14:textId="77777777" w:rsidR="00EC3FF6" w:rsidRPr="00B64117" w:rsidRDefault="00EC3FF6" w:rsidP="00EF2A59">
      <w:pPr>
        <w:spacing w:after="0" w:line="240" w:lineRule="auto"/>
        <w:ind w:left="0" w:firstLine="0"/>
        <w:rPr>
          <w:noProof/>
          <w:lang w:val="nl-BE"/>
        </w:rPr>
      </w:pPr>
      <w:r w:rsidRPr="00B64117">
        <w:rPr>
          <w:noProof/>
          <w:lang w:val="nl-BE"/>
        </w:rPr>
        <w:t>Heiti og heimilisfang framleiðanda sem er ábyrgur fyrir lokasamþykkt viðkomandi lotu skal koma fram í prentuðum fylgiseðli.</w:t>
      </w:r>
    </w:p>
    <w:p w14:paraId="338B1D22" w14:textId="77777777" w:rsidR="00EC3FF6" w:rsidRPr="00B64117" w:rsidRDefault="00EC3FF6" w:rsidP="00EF2A59">
      <w:pPr>
        <w:spacing w:after="0" w:line="240" w:lineRule="auto"/>
        <w:ind w:left="0" w:firstLine="0"/>
        <w:rPr>
          <w:noProof/>
          <w:lang w:val="nl-BE"/>
        </w:rPr>
      </w:pPr>
    </w:p>
    <w:p w14:paraId="7AE9648F" w14:textId="77777777" w:rsidR="00E550A1" w:rsidRPr="00B64117" w:rsidRDefault="00E550A1" w:rsidP="00EF2A59">
      <w:pPr>
        <w:spacing w:after="0" w:line="240" w:lineRule="auto"/>
        <w:ind w:left="0" w:firstLine="0"/>
        <w:rPr>
          <w:noProof/>
          <w:lang w:val="nl-BE"/>
        </w:rPr>
      </w:pPr>
    </w:p>
    <w:p w14:paraId="66C3BF87" w14:textId="77777777" w:rsidR="00EC3FF6" w:rsidRPr="00B64117" w:rsidRDefault="00EC3FF6" w:rsidP="00EF2A59">
      <w:pPr>
        <w:pStyle w:val="TitleB"/>
        <w:spacing w:after="0" w:line="240" w:lineRule="auto"/>
        <w:ind w:left="567" w:hanging="567"/>
        <w:jc w:val="left"/>
        <w:rPr>
          <w:noProof/>
          <w:lang w:val="nl-BE"/>
        </w:rPr>
      </w:pPr>
      <w:r w:rsidRPr="00B64117">
        <w:rPr>
          <w:noProof/>
          <w:lang w:val="nl-BE"/>
        </w:rPr>
        <w:t>B.</w:t>
      </w:r>
      <w:r w:rsidRPr="00B64117">
        <w:rPr>
          <w:noProof/>
          <w:lang w:val="nl-BE"/>
        </w:rPr>
        <w:tab/>
        <w:t>FORSENDUR FYRIR, EÐA TAKMARKANIR Á, AFGREIÐSLU OG NOTKUN</w:t>
      </w:r>
    </w:p>
    <w:p w14:paraId="7E97885D" w14:textId="77777777" w:rsidR="00EC3FF6" w:rsidRPr="00B64117" w:rsidRDefault="00EC3FF6" w:rsidP="00EF2A59">
      <w:pPr>
        <w:spacing w:after="0" w:line="240" w:lineRule="auto"/>
        <w:ind w:left="0" w:firstLine="0"/>
        <w:rPr>
          <w:noProof/>
          <w:lang w:val="nl-BE"/>
        </w:rPr>
      </w:pPr>
    </w:p>
    <w:p w14:paraId="16574E53" w14:textId="77777777" w:rsidR="00EC3FF6" w:rsidRPr="00B64117" w:rsidRDefault="00EC3FF6" w:rsidP="00EF2A59">
      <w:pPr>
        <w:numPr>
          <w:ilvl w:val="12"/>
          <w:numId w:val="0"/>
        </w:numPr>
        <w:spacing w:after="0" w:line="240" w:lineRule="auto"/>
        <w:rPr>
          <w:noProof/>
          <w:lang w:val="nl-BE"/>
        </w:rPr>
      </w:pPr>
      <w:r w:rsidRPr="00B64117">
        <w:rPr>
          <w:noProof/>
          <w:lang w:val="nl-BE"/>
        </w:rPr>
        <w:t>Ávísun lyfsins er háð sérstökum takmörkunum (sjá viðauka I: Samantekt á eiginleikum lyfs, kafla 4.2).</w:t>
      </w:r>
    </w:p>
    <w:p w14:paraId="2E64876B" w14:textId="77777777" w:rsidR="00EC3FF6" w:rsidRPr="00B64117" w:rsidRDefault="00EC3FF6" w:rsidP="00EF2A59">
      <w:pPr>
        <w:numPr>
          <w:ilvl w:val="12"/>
          <w:numId w:val="0"/>
        </w:numPr>
        <w:spacing w:after="0" w:line="240" w:lineRule="auto"/>
        <w:rPr>
          <w:noProof/>
          <w:lang w:val="nl-BE"/>
        </w:rPr>
      </w:pPr>
    </w:p>
    <w:p w14:paraId="61ABCF5D" w14:textId="77777777" w:rsidR="00E550A1" w:rsidRPr="00B64117" w:rsidRDefault="00E550A1" w:rsidP="00EF2A59">
      <w:pPr>
        <w:numPr>
          <w:ilvl w:val="12"/>
          <w:numId w:val="0"/>
        </w:numPr>
        <w:spacing w:after="0" w:line="240" w:lineRule="auto"/>
        <w:rPr>
          <w:noProof/>
          <w:lang w:val="nl-BE"/>
        </w:rPr>
      </w:pPr>
    </w:p>
    <w:p w14:paraId="173F052B" w14:textId="77777777" w:rsidR="00EC3FF6" w:rsidRPr="00321CD1" w:rsidRDefault="00EC3FF6" w:rsidP="00EF2A59">
      <w:pPr>
        <w:pStyle w:val="TitleB"/>
        <w:spacing w:after="0" w:line="240" w:lineRule="auto"/>
        <w:ind w:left="567" w:hanging="567"/>
        <w:jc w:val="left"/>
        <w:rPr>
          <w:noProof/>
          <w:lang w:val="sv-SE"/>
        </w:rPr>
      </w:pPr>
      <w:r w:rsidRPr="00321CD1">
        <w:rPr>
          <w:noProof/>
          <w:lang w:val="sv-SE"/>
        </w:rPr>
        <w:t>C.</w:t>
      </w:r>
      <w:r w:rsidRPr="00321CD1">
        <w:rPr>
          <w:noProof/>
          <w:lang w:val="sv-SE"/>
        </w:rPr>
        <w:tab/>
        <w:t>AÐRAR FORSENDUR OG SKILYRÐI MARKAÐSLEYFIS</w:t>
      </w:r>
    </w:p>
    <w:p w14:paraId="67B6090D" w14:textId="77777777" w:rsidR="00EC3FF6" w:rsidRPr="00321CD1" w:rsidRDefault="00EC3FF6" w:rsidP="00EF2A59">
      <w:pPr>
        <w:pStyle w:val="Header"/>
        <w:spacing w:after="0" w:line="240" w:lineRule="auto"/>
        <w:ind w:left="0" w:firstLine="0"/>
        <w:rPr>
          <w:noProof/>
          <w:lang w:val="sv-SE"/>
        </w:rPr>
      </w:pPr>
    </w:p>
    <w:p w14:paraId="4D862E09" w14:textId="77777777" w:rsidR="00EC3FF6" w:rsidRPr="00321CD1" w:rsidRDefault="00EC3FF6" w:rsidP="00EF2A59">
      <w:pPr>
        <w:numPr>
          <w:ilvl w:val="12"/>
          <w:numId w:val="0"/>
        </w:numPr>
        <w:spacing w:after="0" w:line="240" w:lineRule="auto"/>
        <w:ind w:left="567" w:hanging="567"/>
        <w:rPr>
          <w:noProof/>
          <w:lang w:val="sv-SE"/>
        </w:rPr>
      </w:pPr>
      <w:r w:rsidRPr="00321CD1">
        <w:rPr>
          <w:b/>
          <w:noProof/>
          <w:lang w:val="sv-SE"/>
        </w:rPr>
        <w:t>•</w:t>
      </w:r>
      <w:r w:rsidRPr="00321CD1">
        <w:rPr>
          <w:b/>
          <w:noProof/>
          <w:lang w:val="sv-SE"/>
        </w:rPr>
        <w:tab/>
        <w:t>Samantektir um öryggi lyfsins (PSUR)</w:t>
      </w:r>
    </w:p>
    <w:p w14:paraId="2FA0E1D8" w14:textId="77777777" w:rsidR="00EC3FF6" w:rsidRPr="001C3056" w:rsidRDefault="00EC3FF6" w:rsidP="00EF2A59">
      <w:pPr>
        <w:pStyle w:val="NormalWeb"/>
        <w:spacing w:before="0" w:beforeAutospacing="0" w:after="0" w:afterAutospacing="0"/>
        <w:rPr>
          <w:sz w:val="22"/>
          <w:szCs w:val="22"/>
          <w:lang w:val="is-IS"/>
        </w:rPr>
      </w:pPr>
    </w:p>
    <w:p w14:paraId="4A04D563" w14:textId="77777777" w:rsidR="00EC3FF6" w:rsidRPr="001C3056" w:rsidRDefault="00EC3FF6" w:rsidP="00EF2A59">
      <w:pPr>
        <w:pStyle w:val="NormalWeb"/>
        <w:spacing w:before="0" w:beforeAutospacing="0" w:after="0" w:afterAutospacing="0"/>
        <w:rPr>
          <w:sz w:val="22"/>
          <w:szCs w:val="22"/>
          <w:lang w:val="is-IS"/>
        </w:rPr>
      </w:pPr>
      <w:r w:rsidRPr="001C3056">
        <w:rPr>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367B2077" w14:textId="77777777" w:rsidR="00EC3FF6" w:rsidRDefault="00EC3FF6" w:rsidP="00EF2A59">
      <w:pPr>
        <w:pStyle w:val="NormalWeb"/>
        <w:spacing w:before="0" w:beforeAutospacing="0" w:after="0" w:afterAutospacing="0"/>
        <w:rPr>
          <w:sz w:val="22"/>
          <w:szCs w:val="22"/>
          <w:lang w:val="is-IS"/>
        </w:rPr>
      </w:pPr>
    </w:p>
    <w:p w14:paraId="2C99457B" w14:textId="77777777" w:rsidR="00E550A1" w:rsidRPr="001C3056" w:rsidRDefault="00E550A1" w:rsidP="00EF2A59">
      <w:pPr>
        <w:pStyle w:val="NormalWeb"/>
        <w:spacing w:before="0" w:beforeAutospacing="0" w:after="0" w:afterAutospacing="0"/>
        <w:rPr>
          <w:sz w:val="22"/>
          <w:szCs w:val="22"/>
          <w:lang w:val="is-IS"/>
        </w:rPr>
      </w:pPr>
    </w:p>
    <w:p w14:paraId="0F0B47C5" w14:textId="77777777" w:rsidR="00EC3FF6" w:rsidRPr="00321CD1" w:rsidRDefault="00EC3FF6" w:rsidP="00EF2A59">
      <w:pPr>
        <w:pStyle w:val="TitleB"/>
        <w:spacing w:after="0" w:line="240" w:lineRule="auto"/>
        <w:ind w:left="567" w:hanging="567"/>
        <w:jc w:val="left"/>
        <w:rPr>
          <w:noProof/>
          <w:lang w:val="is-IS"/>
        </w:rPr>
      </w:pPr>
      <w:r w:rsidRPr="00321CD1">
        <w:rPr>
          <w:noProof/>
          <w:lang w:val="is-IS"/>
        </w:rPr>
        <w:lastRenderedPageBreak/>
        <w:t>D.</w:t>
      </w:r>
      <w:r w:rsidRPr="00321CD1">
        <w:rPr>
          <w:noProof/>
          <w:lang w:val="is-IS"/>
        </w:rPr>
        <w:tab/>
        <w:t>FORSENDUR EÐA TAKMARKANIR ER VARÐA ÖRYGGI OG VERKUN VIÐ NOTKUN LYFSINS</w:t>
      </w:r>
    </w:p>
    <w:p w14:paraId="3ECCFA01" w14:textId="77777777" w:rsidR="00EC3FF6" w:rsidRPr="00321CD1" w:rsidRDefault="00EC3FF6" w:rsidP="00EF2A59">
      <w:pPr>
        <w:keepNext/>
        <w:keepLines/>
        <w:spacing w:after="0" w:line="240" w:lineRule="auto"/>
        <w:ind w:left="0" w:firstLine="0"/>
        <w:rPr>
          <w:noProof/>
          <w:lang w:val="is-IS"/>
        </w:rPr>
      </w:pPr>
    </w:p>
    <w:p w14:paraId="589FBCFF" w14:textId="77777777" w:rsidR="00EC3FF6" w:rsidRPr="00321CD1" w:rsidRDefault="00EC3FF6" w:rsidP="00EF2A59">
      <w:pPr>
        <w:keepNext/>
        <w:keepLines/>
        <w:numPr>
          <w:ilvl w:val="12"/>
          <w:numId w:val="0"/>
        </w:numPr>
        <w:spacing w:after="0" w:line="240" w:lineRule="auto"/>
        <w:ind w:left="567" w:hanging="567"/>
        <w:rPr>
          <w:noProof/>
          <w:lang w:val="is-IS"/>
        </w:rPr>
      </w:pPr>
      <w:r w:rsidRPr="00321CD1">
        <w:rPr>
          <w:b/>
          <w:noProof/>
          <w:lang w:val="is-IS"/>
        </w:rPr>
        <w:t>•</w:t>
      </w:r>
      <w:r w:rsidRPr="00321CD1">
        <w:rPr>
          <w:b/>
          <w:noProof/>
          <w:lang w:val="is-IS"/>
        </w:rPr>
        <w:tab/>
        <w:t>Áætlun um áhættustjórnun</w:t>
      </w:r>
    </w:p>
    <w:p w14:paraId="03226B2A" w14:textId="77777777" w:rsidR="00EC3FF6" w:rsidRPr="00321CD1" w:rsidRDefault="00EC3FF6" w:rsidP="00EF2A59">
      <w:pPr>
        <w:keepNext/>
        <w:keepLines/>
        <w:spacing w:after="0" w:line="240" w:lineRule="auto"/>
        <w:ind w:left="0" w:firstLine="0"/>
        <w:rPr>
          <w:noProof/>
          <w:lang w:val="is-IS"/>
        </w:rPr>
      </w:pPr>
    </w:p>
    <w:p w14:paraId="5A75ECA5" w14:textId="77777777" w:rsidR="00EC3FF6" w:rsidRPr="00321CD1" w:rsidRDefault="00EC3FF6" w:rsidP="00EF2A59">
      <w:pPr>
        <w:spacing w:after="0" w:line="240" w:lineRule="auto"/>
        <w:ind w:left="0" w:firstLine="0"/>
        <w:rPr>
          <w:noProof/>
          <w:lang w:val="is-IS"/>
        </w:rPr>
      </w:pPr>
      <w:r w:rsidRPr="00321CD1">
        <w:rPr>
          <w:noProof/>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79044D3B" w14:textId="77777777" w:rsidR="00EC3FF6" w:rsidRPr="00321CD1" w:rsidRDefault="00EC3FF6" w:rsidP="00EF2A59">
      <w:pPr>
        <w:spacing w:after="0" w:line="240" w:lineRule="auto"/>
        <w:ind w:left="0" w:firstLine="0"/>
        <w:rPr>
          <w:noProof/>
          <w:lang w:val="is-IS"/>
        </w:rPr>
      </w:pPr>
    </w:p>
    <w:p w14:paraId="3513D8BB" w14:textId="77777777" w:rsidR="00EC3FF6" w:rsidRPr="00321CD1" w:rsidRDefault="00EC3FF6" w:rsidP="00EF2A59">
      <w:pPr>
        <w:spacing w:after="0" w:line="240" w:lineRule="auto"/>
        <w:ind w:left="0" w:firstLine="0"/>
        <w:rPr>
          <w:noProof/>
          <w:lang w:val="is-IS"/>
        </w:rPr>
      </w:pPr>
      <w:r w:rsidRPr="00321CD1">
        <w:rPr>
          <w:noProof/>
          <w:lang w:val="is-IS"/>
        </w:rPr>
        <w:t>Leggja skal fram uppfærða áætlun um áhættustjórnun:</w:t>
      </w:r>
    </w:p>
    <w:p w14:paraId="556E40FE" w14:textId="77777777" w:rsidR="00EC3FF6" w:rsidRPr="00321CD1" w:rsidRDefault="00EC3FF6" w:rsidP="00EF2A59">
      <w:pPr>
        <w:numPr>
          <w:ilvl w:val="12"/>
          <w:numId w:val="0"/>
        </w:numPr>
        <w:spacing w:after="0" w:line="240" w:lineRule="auto"/>
        <w:ind w:left="567" w:hanging="567"/>
        <w:rPr>
          <w:noProof/>
          <w:lang w:val="is-IS"/>
        </w:rPr>
      </w:pPr>
      <w:r w:rsidRPr="00321CD1">
        <w:rPr>
          <w:noProof/>
          <w:lang w:val="is-IS"/>
        </w:rPr>
        <w:t>•</w:t>
      </w:r>
      <w:r w:rsidRPr="00321CD1">
        <w:rPr>
          <w:noProof/>
          <w:lang w:val="is-IS"/>
        </w:rPr>
        <w:tab/>
        <w:t>Að beiðni Lyfjastofnunar Evrópu.</w:t>
      </w:r>
    </w:p>
    <w:p w14:paraId="01C03FEC" w14:textId="77777777" w:rsidR="00EC3FF6" w:rsidRPr="00321CD1" w:rsidRDefault="00EC3FF6" w:rsidP="00EF2A59">
      <w:pPr>
        <w:numPr>
          <w:ilvl w:val="12"/>
          <w:numId w:val="0"/>
        </w:numPr>
        <w:spacing w:after="0" w:line="240" w:lineRule="auto"/>
        <w:ind w:left="567" w:hanging="567"/>
        <w:rPr>
          <w:noProof/>
          <w:lang w:val="is-IS"/>
        </w:rPr>
      </w:pPr>
      <w:r w:rsidRPr="00321CD1">
        <w:rPr>
          <w:noProof/>
          <w:lang w:val="is-IS"/>
        </w:rPr>
        <w:t>•</w:t>
      </w:r>
      <w:r w:rsidRPr="00321CD1">
        <w:rPr>
          <w:noProof/>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4760E693" w14:textId="77777777" w:rsidR="00EC3FF6" w:rsidRPr="00321CD1" w:rsidRDefault="00EC3FF6" w:rsidP="00EF2A59">
      <w:pPr>
        <w:rPr>
          <w:lang w:val="is-IS"/>
        </w:rPr>
      </w:pPr>
    </w:p>
    <w:p w14:paraId="6B7A64D4" w14:textId="77777777" w:rsidR="00EC3FF6" w:rsidRPr="00321CD1" w:rsidRDefault="00EC3FF6" w:rsidP="00EF2A59">
      <w:pPr>
        <w:rPr>
          <w:noProof/>
          <w:lang w:val="is-IS"/>
        </w:rPr>
      </w:pPr>
    </w:p>
    <w:p w14:paraId="517AF82D" w14:textId="77777777" w:rsidR="005F36F3" w:rsidRPr="002930B6" w:rsidRDefault="00E550A1" w:rsidP="0073217C">
      <w:pPr>
        <w:suppressAutoHyphens/>
        <w:spacing w:after="0" w:line="240" w:lineRule="auto"/>
        <w:ind w:left="0" w:firstLine="0"/>
        <w:jc w:val="center"/>
        <w:rPr>
          <w:b/>
          <w:color w:val="auto"/>
          <w:lang w:val="is-IS"/>
        </w:rPr>
      </w:pPr>
      <w:r>
        <w:rPr>
          <w:b/>
          <w:color w:val="auto"/>
          <w:lang w:val="is-IS"/>
        </w:rPr>
        <w:br w:type="page"/>
      </w:r>
    </w:p>
    <w:p w14:paraId="758FA432" w14:textId="77777777" w:rsidR="005F36F3" w:rsidRPr="002930B6" w:rsidRDefault="005F36F3" w:rsidP="0073217C">
      <w:pPr>
        <w:suppressAutoHyphens/>
        <w:spacing w:after="0" w:line="240" w:lineRule="auto"/>
        <w:ind w:left="0" w:firstLine="0"/>
        <w:jc w:val="center"/>
        <w:rPr>
          <w:b/>
          <w:color w:val="auto"/>
          <w:lang w:val="is-IS"/>
        </w:rPr>
      </w:pPr>
    </w:p>
    <w:p w14:paraId="229B07CE" w14:textId="77777777" w:rsidR="005F36F3" w:rsidRPr="002930B6" w:rsidRDefault="005F36F3" w:rsidP="0073217C">
      <w:pPr>
        <w:suppressAutoHyphens/>
        <w:spacing w:after="0" w:line="240" w:lineRule="auto"/>
        <w:ind w:left="0" w:firstLine="0"/>
        <w:jc w:val="center"/>
        <w:rPr>
          <w:b/>
          <w:color w:val="auto"/>
          <w:lang w:val="is-IS"/>
        </w:rPr>
      </w:pPr>
    </w:p>
    <w:p w14:paraId="30872435" w14:textId="77777777" w:rsidR="005F36F3" w:rsidRPr="002930B6" w:rsidRDefault="005F36F3" w:rsidP="0073217C">
      <w:pPr>
        <w:suppressAutoHyphens/>
        <w:spacing w:after="0" w:line="240" w:lineRule="auto"/>
        <w:ind w:left="0" w:firstLine="0"/>
        <w:jc w:val="center"/>
        <w:rPr>
          <w:b/>
          <w:color w:val="auto"/>
          <w:lang w:val="is-IS"/>
        </w:rPr>
      </w:pPr>
    </w:p>
    <w:p w14:paraId="4B84CBD6" w14:textId="77777777" w:rsidR="005F36F3" w:rsidRPr="002930B6" w:rsidRDefault="005F36F3" w:rsidP="0073217C">
      <w:pPr>
        <w:suppressAutoHyphens/>
        <w:spacing w:after="0" w:line="240" w:lineRule="auto"/>
        <w:ind w:left="0" w:firstLine="0"/>
        <w:jc w:val="center"/>
        <w:rPr>
          <w:b/>
          <w:color w:val="auto"/>
          <w:lang w:val="is-IS"/>
        </w:rPr>
      </w:pPr>
    </w:p>
    <w:p w14:paraId="408CAEA1" w14:textId="77777777" w:rsidR="005F36F3" w:rsidRPr="002930B6" w:rsidRDefault="005F36F3" w:rsidP="0073217C">
      <w:pPr>
        <w:suppressAutoHyphens/>
        <w:spacing w:after="0" w:line="240" w:lineRule="auto"/>
        <w:ind w:left="0" w:firstLine="0"/>
        <w:jc w:val="center"/>
        <w:rPr>
          <w:b/>
          <w:color w:val="auto"/>
          <w:lang w:val="is-IS"/>
        </w:rPr>
      </w:pPr>
    </w:p>
    <w:p w14:paraId="701420D1" w14:textId="77777777" w:rsidR="005F36F3" w:rsidRPr="002930B6" w:rsidRDefault="005F36F3" w:rsidP="0073217C">
      <w:pPr>
        <w:suppressAutoHyphens/>
        <w:spacing w:after="0" w:line="240" w:lineRule="auto"/>
        <w:ind w:left="0" w:firstLine="0"/>
        <w:jc w:val="center"/>
        <w:rPr>
          <w:b/>
          <w:color w:val="auto"/>
          <w:lang w:val="is-IS"/>
        </w:rPr>
      </w:pPr>
    </w:p>
    <w:p w14:paraId="4F3BD2F5" w14:textId="77777777" w:rsidR="005F36F3" w:rsidRPr="002930B6" w:rsidRDefault="005F36F3" w:rsidP="0073217C">
      <w:pPr>
        <w:suppressAutoHyphens/>
        <w:spacing w:after="0" w:line="240" w:lineRule="auto"/>
        <w:ind w:left="0" w:firstLine="0"/>
        <w:jc w:val="center"/>
        <w:rPr>
          <w:b/>
          <w:color w:val="auto"/>
          <w:lang w:val="is-IS"/>
        </w:rPr>
      </w:pPr>
    </w:p>
    <w:p w14:paraId="4518E389" w14:textId="77777777" w:rsidR="005F36F3" w:rsidRPr="002930B6" w:rsidRDefault="005F36F3" w:rsidP="0073217C">
      <w:pPr>
        <w:suppressAutoHyphens/>
        <w:spacing w:after="0" w:line="240" w:lineRule="auto"/>
        <w:ind w:left="0" w:firstLine="0"/>
        <w:jc w:val="center"/>
        <w:rPr>
          <w:b/>
          <w:color w:val="auto"/>
          <w:lang w:val="is-IS"/>
        </w:rPr>
      </w:pPr>
    </w:p>
    <w:p w14:paraId="66DDD323" w14:textId="77777777" w:rsidR="005F36F3" w:rsidRPr="002930B6" w:rsidRDefault="005F36F3" w:rsidP="0073217C">
      <w:pPr>
        <w:suppressAutoHyphens/>
        <w:spacing w:after="0" w:line="240" w:lineRule="auto"/>
        <w:ind w:left="0" w:firstLine="0"/>
        <w:jc w:val="center"/>
        <w:rPr>
          <w:b/>
          <w:color w:val="auto"/>
          <w:lang w:val="is-IS"/>
        </w:rPr>
      </w:pPr>
    </w:p>
    <w:p w14:paraId="66F9D3C8" w14:textId="77777777" w:rsidR="005F36F3" w:rsidRPr="002930B6" w:rsidRDefault="005F36F3" w:rsidP="0073217C">
      <w:pPr>
        <w:suppressAutoHyphens/>
        <w:spacing w:after="0" w:line="240" w:lineRule="auto"/>
        <w:ind w:left="0" w:firstLine="0"/>
        <w:jc w:val="center"/>
        <w:rPr>
          <w:b/>
          <w:color w:val="auto"/>
          <w:lang w:val="is-IS"/>
        </w:rPr>
      </w:pPr>
    </w:p>
    <w:p w14:paraId="193E9958" w14:textId="77777777" w:rsidR="005F36F3" w:rsidRPr="002930B6" w:rsidRDefault="005F36F3" w:rsidP="0073217C">
      <w:pPr>
        <w:suppressAutoHyphens/>
        <w:spacing w:after="0" w:line="240" w:lineRule="auto"/>
        <w:ind w:left="0" w:firstLine="0"/>
        <w:jc w:val="center"/>
        <w:rPr>
          <w:b/>
          <w:color w:val="auto"/>
          <w:lang w:val="is-IS"/>
        </w:rPr>
      </w:pPr>
    </w:p>
    <w:p w14:paraId="118D77D9" w14:textId="77777777" w:rsidR="005F36F3" w:rsidRPr="002930B6" w:rsidRDefault="005F36F3" w:rsidP="0073217C">
      <w:pPr>
        <w:suppressAutoHyphens/>
        <w:spacing w:after="0" w:line="240" w:lineRule="auto"/>
        <w:ind w:left="0" w:firstLine="0"/>
        <w:jc w:val="center"/>
        <w:rPr>
          <w:b/>
          <w:color w:val="auto"/>
          <w:lang w:val="is-IS"/>
        </w:rPr>
      </w:pPr>
    </w:p>
    <w:p w14:paraId="7B3B801E" w14:textId="77777777" w:rsidR="005F36F3" w:rsidRPr="002930B6" w:rsidRDefault="005F36F3" w:rsidP="0073217C">
      <w:pPr>
        <w:suppressAutoHyphens/>
        <w:spacing w:after="0" w:line="240" w:lineRule="auto"/>
        <w:ind w:left="0" w:firstLine="0"/>
        <w:jc w:val="center"/>
        <w:rPr>
          <w:b/>
          <w:color w:val="auto"/>
          <w:lang w:val="is-IS"/>
        </w:rPr>
      </w:pPr>
    </w:p>
    <w:p w14:paraId="34AEF942" w14:textId="77777777" w:rsidR="005F36F3" w:rsidRPr="002930B6" w:rsidRDefault="005F36F3" w:rsidP="0073217C">
      <w:pPr>
        <w:suppressAutoHyphens/>
        <w:spacing w:after="0" w:line="240" w:lineRule="auto"/>
        <w:ind w:left="0" w:firstLine="0"/>
        <w:jc w:val="center"/>
        <w:rPr>
          <w:b/>
          <w:color w:val="auto"/>
          <w:lang w:val="is-IS"/>
        </w:rPr>
      </w:pPr>
    </w:p>
    <w:p w14:paraId="379D2448" w14:textId="77777777" w:rsidR="005F36F3" w:rsidRPr="002930B6" w:rsidRDefault="005F36F3" w:rsidP="0073217C">
      <w:pPr>
        <w:suppressAutoHyphens/>
        <w:spacing w:after="0" w:line="240" w:lineRule="auto"/>
        <w:ind w:left="0" w:firstLine="0"/>
        <w:jc w:val="center"/>
        <w:rPr>
          <w:b/>
          <w:color w:val="auto"/>
          <w:lang w:val="is-IS"/>
        </w:rPr>
      </w:pPr>
    </w:p>
    <w:p w14:paraId="2285A6B0" w14:textId="77777777" w:rsidR="005F36F3" w:rsidRPr="002930B6" w:rsidRDefault="005F36F3" w:rsidP="0073217C">
      <w:pPr>
        <w:suppressAutoHyphens/>
        <w:spacing w:after="0" w:line="240" w:lineRule="auto"/>
        <w:ind w:left="0" w:firstLine="0"/>
        <w:jc w:val="center"/>
        <w:rPr>
          <w:b/>
          <w:color w:val="auto"/>
          <w:lang w:val="is-IS"/>
        </w:rPr>
      </w:pPr>
    </w:p>
    <w:p w14:paraId="7C58812E" w14:textId="77777777" w:rsidR="005F36F3" w:rsidRPr="002930B6" w:rsidRDefault="005F36F3" w:rsidP="0073217C">
      <w:pPr>
        <w:suppressAutoHyphens/>
        <w:spacing w:after="0" w:line="240" w:lineRule="auto"/>
        <w:ind w:left="0" w:firstLine="0"/>
        <w:jc w:val="center"/>
        <w:rPr>
          <w:b/>
          <w:color w:val="auto"/>
          <w:lang w:val="is-IS"/>
        </w:rPr>
      </w:pPr>
    </w:p>
    <w:p w14:paraId="6A60BA58" w14:textId="77777777" w:rsidR="005F36F3" w:rsidRPr="002930B6" w:rsidRDefault="005F36F3" w:rsidP="0073217C">
      <w:pPr>
        <w:suppressAutoHyphens/>
        <w:spacing w:after="0" w:line="240" w:lineRule="auto"/>
        <w:ind w:left="0" w:firstLine="0"/>
        <w:jc w:val="center"/>
        <w:rPr>
          <w:b/>
          <w:color w:val="auto"/>
          <w:lang w:val="is-IS"/>
        </w:rPr>
      </w:pPr>
    </w:p>
    <w:p w14:paraId="1BD9ACE5" w14:textId="77777777" w:rsidR="005F36F3" w:rsidRPr="002930B6" w:rsidRDefault="005F36F3" w:rsidP="0073217C">
      <w:pPr>
        <w:suppressAutoHyphens/>
        <w:spacing w:after="0" w:line="240" w:lineRule="auto"/>
        <w:ind w:left="0" w:firstLine="0"/>
        <w:jc w:val="center"/>
        <w:rPr>
          <w:b/>
          <w:color w:val="auto"/>
          <w:lang w:val="is-IS"/>
        </w:rPr>
      </w:pPr>
    </w:p>
    <w:p w14:paraId="08CA8863" w14:textId="77777777" w:rsidR="005F36F3" w:rsidRDefault="005F36F3" w:rsidP="0073217C">
      <w:pPr>
        <w:suppressAutoHyphens/>
        <w:spacing w:after="0" w:line="240" w:lineRule="auto"/>
        <w:ind w:left="0" w:firstLine="0"/>
        <w:jc w:val="center"/>
        <w:rPr>
          <w:b/>
          <w:color w:val="auto"/>
          <w:lang w:val="is-IS"/>
        </w:rPr>
      </w:pPr>
    </w:p>
    <w:p w14:paraId="3B32952D" w14:textId="77777777" w:rsidR="00EF2A59" w:rsidRPr="002930B6" w:rsidRDefault="00EF2A59" w:rsidP="0073217C">
      <w:pPr>
        <w:suppressAutoHyphens/>
        <w:spacing w:after="0" w:line="240" w:lineRule="auto"/>
        <w:ind w:left="0" w:firstLine="0"/>
        <w:jc w:val="center"/>
        <w:rPr>
          <w:b/>
          <w:color w:val="auto"/>
          <w:lang w:val="is-IS"/>
        </w:rPr>
      </w:pPr>
    </w:p>
    <w:p w14:paraId="5CDF0479" w14:textId="77777777" w:rsidR="005F36F3" w:rsidRPr="002930B6" w:rsidRDefault="005F36F3" w:rsidP="0073217C">
      <w:pPr>
        <w:suppressAutoHyphens/>
        <w:spacing w:after="0" w:line="240" w:lineRule="auto"/>
        <w:ind w:left="0" w:firstLine="0"/>
        <w:jc w:val="center"/>
        <w:rPr>
          <w:b/>
          <w:color w:val="auto"/>
          <w:lang w:val="is-IS"/>
        </w:rPr>
      </w:pPr>
    </w:p>
    <w:p w14:paraId="72BB6CDF" w14:textId="77777777" w:rsidR="00366CA3" w:rsidRPr="002930B6" w:rsidRDefault="00366CA3" w:rsidP="0073217C">
      <w:pPr>
        <w:suppressAutoHyphens/>
        <w:spacing w:after="0" w:line="240" w:lineRule="auto"/>
        <w:ind w:left="0" w:firstLine="0"/>
        <w:jc w:val="center"/>
        <w:rPr>
          <w:b/>
          <w:color w:val="auto"/>
          <w:lang w:val="is-IS"/>
        </w:rPr>
      </w:pPr>
    </w:p>
    <w:p w14:paraId="1B4C9BD4" w14:textId="77777777" w:rsidR="006C06D6" w:rsidRPr="002930B6" w:rsidRDefault="00564614" w:rsidP="0073217C">
      <w:pPr>
        <w:suppressAutoHyphens/>
        <w:spacing w:after="0" w:line="240" w:lineRule="auto"/>
        <w:ind w:left="0" w:firstLine="0"/>
        <w:jc w:val="center"/>
        <w:rPr>
          <w:b/>
          <w:color w:val="auto"/>
          <w:lang w:val="is-IS"/>
        </w:rPr>
      </w:pPr>
      <w:r w:rsidRPr="002930B6">
        <w:rPr>
          <w:b/>
          <w:color w:val="auto"/>
          <w:lang w:val="is-IS"/>
        </w:rPr>
        <w:t>VIÐAUKI III</w:t>
      </w:r>
    </w:p>
    <w:p w14:paraId="6502CE62" w14:textId="77777777" w:rsidR="005F36F3" w:rsidRPr="00066D20" w:rsidRDefault="005F36F3" w:rsidP="0073217C">
      <w:pPr>
        <w:suppressAutoHyphens/>
        <w:jc w:val="center"/>
        <w:rPr>
          <w:b/>
          <w:lang w:val="is-IS"/>
        </w:rPr>
      </w:pPr>
    </w:p>
    <w:p w14:paraId="37B4728C" w14:textId="77777777" w:rsidR="006C06D6" w:rsidRPr="00066D20" w:rsidRDefault="00564614" w:rsidP="0073217C">
      <w:pPr>
        <w:suppressAutoHyphens/>
        <w:jc w:val="center"/>
        <w:rPr>
          <w:b/>
          <w:lang w:val="is-IS"/>
        </w:rPr>
      </w:pPr>
      <w:r w:rsidRPr="00066D20">
        <w:rPr>
          <w:b/>
          <w:lang w:val="is-IS"/>
        </w:rPr>
        <w:t>ÁLETRANIR OG FYLGISEÐILL</w:t>
      </w:r>
    </w:p>
    <w:p w14:paraId="209B42BF" w14:textId="77777777" w:rsidR="005F36F3" w:rsidRPr="009F7642" w:rsidRDefault="00564614" w:rsidP="0073217C">
      <w:pPr>
        <w:suppressAutoHyphens/>
        <w:spacing w:after="0" w:line="240" w:lineRule="auto"/>
        <w:ind w:left="0" w:firstLine="0"/>
        <w:jc w:val="center"/>
        <w:rPr>
          <w:color w:val="auto"/>
          <w:lang w:val="is-IS"/>
        </w:rPr>
      </w:pPr>
      <w:r w:rsidRPr="009F7642">
        <w:rPr>
          <w:color w:val="auto"/>
          <w:lang w:val="is-IS"/>
        </w:rPr>
        <w:br w:type="page"/>
      </w:r>
    </w:p>
    <w:p w14:paraId="7F5C63B6" w14:textId="77777777" w:rsidR="005F36F3" w:rsidRPr="009F7642" w:rsidRDefault="005F36F3" w:rsidP="0073217C">
      <w:pPr>
        <w:suppressAutoHyphens/>
        <w:spacing w:after="0" w:line="240" w:lineRule="auto"/>
        <w:ind w:left="0" w:firstLine="0"/>
        <w:jc w:val="center"/>
        <w:rPr>
          <w:color w:val="auto"/>
          <w:lang w:val="is-IS"/>
        </w:rPr>
      </w:pPr>
    </w:p>
    <w:p w14:paraId="166A4484" w14:textId="77777777" w:rsidR="005F36F3" w:rsidRPr="009F7642" w:rsidRDefault="005F36F3" w:rsidP="0073217C">
      <w:pPr>
        <w:suppressAutoHyphens/>
        <w:spacing w:after="0" w:line="240" w:lineRule="auto"/>
        <w:ind w:left="0" w:firstLine="0"/>
        <w:jc w:val="center"/>
        <w:rPr>
          <w:color w:val="auto"/>
          <w:lang w:val="is-IS"/>
        </w:rPr>
      </w:pPr>
    </w:p>
    <w:p w14:paraId="05D33820" w14:textId="77777777" w:rsidR="005F36F3" w:rsidRPr="009F7642" w:rsidRDefault="005F36F3" w:rsidP="0073217C">
      <w:pPr>
        <w:suppressAutoHyphens/>
        <w:spacing w:after="0" w:line="240" w:lineRule="auto"/>
        <w:ind w:left="0" w:firstLine="0"/>
        <w:jc w:val="center"/>
        <w:rPr>
          <w:color w:val="auto"/>
          <w:lang w:val="is-IS"/>
        </w:rPr>
      </w:pPr>
    </w:p>
    <w:p w14:paraId="131CD1A2" w14:textId="77777777" w:rsidR="005F36F3" w:rsidRPr="009F7642" w:rsidRDefault="005F36F3" w:rsidP="0073217C">
      <w:pPr>
        <w:suppressAutoHyphens/>
        <w:spacing w:after="0" w:line="240" w:lineRule="auto"/>
        <w:ind w:left="0" w:firstLine="0"/>
        <w:jc w:val="center"/>
        <w:rPr>
          <w:color w:val="auto"/>
          <w:lang w:val="is-IS"/>
        </w:rPr>
      </w:pPr>
    </w:p>
    <w:p w14:paraId="53A2FB8F" w14:textId="77777777" w:rsidR="005F36F3" w:rsidRPr="009F7642" w:rsidRDefault="005F36F3" w:rsidP="0073217C">
      <w:pPr>
        <w:suppressAutoHyphens/>
        <w:spacing w:after="0" w:line="240" w:lineRule="auto"/>
        <w:ind w:left="0" w:firstLine="0"/>
        <w:jc w:val="center"/>
        <w:rPr>
          <w:color w:val="auto"/>
          <w:lang w:val="is-IS"/>
        </w:rPr>
      </w:pPr>
    </w:p>
    <w:p w14:paraId="2E997045" w14:textId="77777777" w:rsidR="005F36F3" w:rsidRPr="009F7642" w:rsidRDefault="005F36F3" w:rsidP="0073217C">
      <w:pPr>
        <w:suppressAutoHyphens/>
        <w:spacing w:after="0" w:line="240" w:lineRule="auto"/>
        <w:ind w:left="0" w:firstLine="0"/>
        <w:jc w:val="center"/>
        <w:rPr>
          <w:color w:val="auto"/>
          <w:lang w:val="is-IS"/>
        </w:rPr>
      </w:pPr>
    </w:p>
    <w:p w14:paraId="4F74E04E" w14:textId="77777777" w:rsidR="005F36F3" w:rsidRPr="009F7642" w:rsidRDefault="005F36F3" w:rsidP="0073217C">
      <w:pPr>
        <w:suppressAutoHyphens/>
        <w:spacing w:after="0" w:line="240" w:lineRule="auto"/>
        <w:ind w:left="0" w:firstLine="0"/>
        <w:jc w:val="center"/>
        <w:rPr>
          <w:color w:val="auto"/>
          <w:lang w:val="is-IS"/>
        </w:rPr>
      </w:pPr>
    </w:p>
    <w:p w14:paraId="51CDF6FD" w14:textId="77777777" w:rsidR="005F36F3" w:rsidRPr="009F7642" w:rsidRDefault="005F36F3" w:rsidP="0073217C">
      <w:pPr>
        <w:suppressAutoHyphens/>
        <w:spacing w:after="0" w:line="240" w:lineRule="auto"/>
        <w:ind w:left="0" w:firstLine="0"/>
        <w:jc w:val="center"/>
        <w:rPr>
          <w:color w:val="auto"/>
          <w:lang w:val="is-IS"/>
        </w:rPr>
      </w:pPr>
    </w:p>
    <w:p w14:paraId="65891BE7" w14:textId="77777777" w:rsidR="005F36F3" w:rsidRPr="009F7642" w:rsidRDefault="005F36F3" w:rsidP="0073217C">
      <w:pPr>
        <w:suppressAutoHyphens/>
        <w:spacing w:after="0" w:line="240" w:lineRule="auto"/>
        <w:ind w:left="0" w:firstLine="0"/>
        <w:jc w:val="center"/>
        <w:rPr>
          <w:color w:val="auto"/>
          <w:lang w:val="is-IS"/>
        </w:rPr>
      </w:pPr>
    </w:p>
    <w:p w14:paraId="58005E82" w14:textId="77777777" w:rsidR="005F36F3" w:rsidRPr="009F7642" w:rsidRDefault="005F36F3" w:rsidP="0073217C">
      <w:pPr>
        <w:suppressAutoHyphens/>
        <w:spacing w:after="0" w:line="240" w:lineRule="auto"/>
        <w:ind w:left="0" w:firstLine="0"/>
        <w:jc w:val="center"/>
        <w:rPr>
          <w:color w:val="auto"/>
          <w:lang w:val="is-IS"/>
        </w:rPr>
      </w:pPr>
    </w:p>
    <w:p w14:paraId="21368928" w14:textId="77777777" w:rsidR="005F36F3" w:rsidRPr="009F7642" w:rsidRDefault="005F36F3" w:rsidP="0073217C">
      <w:pPr>
        <w:suppressAutoHyphens/>
        <w:spacing w:after="0" w:line="240" w:lineRule="auto"/>
        <w:ind w:left="0" w:firstLine="0"/>
        <w:jc w:val="center"/>
        <w:rPr>
          <w:color w:val="auto"/>
          <w:lang w:val="is-IS"/>
        </w:rPr>
      </w:pPr>
    </w:p>
    <w:p w14:paraId="44387489" w14:textId="77777777" w:rsidR="005F36F3" w:rsidRPr="009F7642" w:rsidRDefault="005F36F3" w:rsidP="0073217C">
      <w:pPr>
        <w:suppressAutoHyphens/>
        <w:spacing w:after="0" w:line="240" w:lineRule="auto"/>
        <w:ind w:left="0" w:firstLine="0"/>
        <w:jc w:val="center"/>
        <w:rPr>
          <w:color w:val="auto"/>
          <w:lang w:val="is-IS"/>
        </w:rPr>
      </w:pPr>
    </w:p>
    <w:p w14:paraId="44DB7DAB" w14:textId="77777777" w:rsidR="005F36F3" w:rsidRPr="009F7642" w:rsidRDefault="005F36F3" w:rsidP="0073217C">
      <w:pPr>
        <w:suppressAutoHyphens/>
        <w:spacing w:after="0" w:line="240" w:lineRule="auto"/>
        <w:ind w:left="0" w:firstLine="0"/>
        <w:jc w:val="center"/>
        <w:rPr>
          <w:color w:val="auto"/>
          <w:lang w:val="is-IS"/>
        </w:rPr>
      </w:pPr>
    </w:p>
    <w:p w14:paraId="3370D10E" w14:textId="77777777" w:rsidR="005F36F3" w:rsidRPr="009F7642" w:rsidRDefault="005F36F3" w:rsidP="0073217C">
      <w:pPr>
        <w:suppressAutoHyphens/>
        <w:spacing w:after="0" w:line="240" w:lineRule="auto"/>
        <w:ind w:left="0" w:firstLine="0"/>
        <w:jc w:val="center"/>
        <w:rPr>
          <w:color w:val="auto"/>
          <w:lang w:val="is-IS"/>
        </w:rPr>
      </w:pPr>
    </w:p>
    <w:p w14:paraId="0A10C7F4" w14:textId="77777777" w:rsidR="005F36F3" w:rsidRPr="009F7642" w:rsidRDefault="005F36F3" w:rsidP="0073217C">
      <w:pPr>
        <w:suppressAutoHyphens/>
        <w:spacing w:after="0" w:line="240" w:lineRule="auto"/>
        <w:ind w:left="0" w:firstLine="0"/>
        <w:jc w:val="center"/>
        <w:rPr>
          <w:color w:val="auto"/>
          <w:lang w:val="is-IS"/>
        </w:rPr>
      </w:pPr>
    </w:p>
    <w:p w14:paraId="40D38227" w14:textId="77777777" w:rsidR="005F36F3" w:rsidRPr="009F7642" w:rsidRDefault="005F36F3" w:rsidP="0073217C">
      <w:pPr>
        <w:suppressAutoHyphens/>
        <w:spacing w:after="0" w:line="240" w:lineRule="auto"/>
        <w:ind w:left="0" w:firstLine="0"/>
        <w:jc w:val="center"/>
        <w:rPr>
          <w:color w:val="auto"/>
          <w:lang w:val="is-IS"/>
        </w:rPr>
      </w:pPr>
    </w:p>
    <w:p w14:paraId="0D34F9F2" w14:textId="77777777" w:rsidR="005F36F3" w:rsidRPr="009F7642" w:rsidRDefault="005F36F3" w:rsidP="0073217C">
      <w:pPr>
        <w:suppressAutoHyphens/>
        <w:spacing w:after="0" w:line="240" w:lineRule="auto"/>
        <w:ind w:left="0" w:firstLine="0"/>
        <w:jc w:val="center"/>
        <w:rPr>
          <w:color w:val="auto"/>
          <w:lang w:val="is-IS"/>
        </w:rPr>
      </w:pPr>
    </w:p>
    <w:p w14:paraId="44658258" w14:textId="77777777" w:rsidR="005F36F3" w:rsidRPr="009F7642" w:rsidRDefault="005F36F3" w:rsidP="0073217C">
      <w:pPr>
        <w:suppressAutoHyphens/>
        <w:spacing w:after="0" w:line="240" w:lineRule="auto"/>
        <w:ind w:left="0" w:firstLine="0"/>
        <w:jc w:val="center"/>
        <w:rPr>
          <w:color w:val="auto"/>
          <w:lang w:val="is-IS"/>
        </w:rPr>
      </w:pPr>
    </w:p>
    <w:p w14:paraId="0546441D" w14:textId="77777777" w:rsidR="005F36F3" w:rsidRPr="009F7642" w:rsidRDefault="005F36F3" w:rsidP="0073217C">
      <w:pPr>
        <w:suppressAutoHyphens/>
        <w:spacing w:after="0" w:line="240" w:lineRule="auto"/>
        <w:ind w:left="0" w:firstLine="0"/>
        <w:jc w:val="center"/>
        <w:rPr>
          <w:color w:val="auto"/>
          <w:lang w:val="is-IS"/>
        </w:rPr>
      </w:pPr>
    </w:p>
    <w:p w14:paraId="73AFAD5A" w14:textId="77777777" w:rsidR="005F36F3" w:rsidRPr="009F7642" w:rsidRDefault="005F36F3" w:rsidP="0073217C">
      <w:pPr>
        <w:suppressAutoHyphens/>
        <w:spacing w:after="0" w:line="240" w:lineRule="auto"/>
        <w:ind w:left="0" w:firstLine="0"/>
        <w:jc w:val="center"/>
        <w:rPr>
          <w:color w:val="auto"/>
          <w:lang w:val="is-IS"/>
        </w:rPr>
      </w:pPr>
    </w:p>
    <w:p w14:paraId="359A44F7" w14:textId="77777777" w:rsidR="005F36F3" w:rsidRDefault="005F36F3" w:rsidP="0073217C">
      <w:pPr>
        <w:suppressAutoHyphens/>
        <w:spacing w:after="0" w:line="240" w:lineRule="auto"/>
        <w:ind w:left="0" w:firstLine="0"/>
        <w:jc w:val="center"/>
        <w:rPr>
          <w:color w:val="auto"/>
          <w:lang w:val="is-IS"/>
        </w:rPr>
      </w:pPr>
    </w:p>
    <w:p w14:paraId="18FF2FAC" w14:textId="77777777" w:rsidR="00EF2A59" w:rsidRPr="009F7642" w:rsidRDefault="00EF2A59" w:rsidP="0073217C">
      <w:pPr>
        <w:suppressAutoHyphens/>
        <w:spacing w:after="0" w:line="240" w:lineRule="auto"/>
        <w:ind w:left="0" w:firstLine="0"/>
        <w:jc w:val="center"/>
        <w:rPr>
          <w:color w:val="auto"/>
          <w:lang w:val="is-IS"/>
        </w:rPr>
      </w:pPr>
    </w:p>
    <w:p w14:paraId="7A548787" w14:textId="77777777" w:rsidR="005F36F3" w:rsidRPr="009F7642" w:rsidRDefault="005F36F3" w:rsidP="0073217C">
      <w:pPr>
        <w:suppressAutoHyphens/>
        <w:spacing w:after="0" w:line="240" w:lineRule="auto"/>
        <w:ind w:left="0" w:firstLine="0"/>
        <w:jc w:val="center"/>
        <w:rPr>
          <w:color w:val="auto"/>
          <w:lang w:val="is-IS"/>
        </w:rPr>
      </w:pPr>
    </w:p>
    <w:p w14:paraId="17E0310B" w14:textId="451C8447" w:rsidR="00CD5B6F" w:rsidRPr="009F7642" w:rsidRDefault="00EE55DD" w:rsidP="0073217C">
      <w:pPr>
        <w:pStyle w:val="TitleA"/>
        <w:suppressAutoHyphens/>
        <w:spacing w:line="240" w:lineRule="auto"/>
        <w:ind w:left="0"/>
        <w:jc w:val="center"/>
        <w:rPr>
          <w:color w:val="auto"/>
          <w:lang w:val="is-IS"/>
        </w:rPr>
      </w:pPr>
      <w:r w:rsidRPr="009F7642">
        <w:rPr>
          <w:color w:val="auto"/>
          <w:lang w:val="is-IS"/>
        </w:rPr>
        <w:t>A.</w:t>
      </w:r>
      <w:r w:rsidR="00CE046F">
        <w:rPr>
          <w:color w:val="auto"/>
          <w:lang w:val="is-IS"/>
        </w:rPr>
        <w:t xml:space="preserve"> </w:t>
      </w:r>
      <w:r w:rsidR="00564614" w:rsidRPr="009F7642">
        <w:rPr>
          <w:color w:val="auto"/>
          <w:lang w:val="is-IS"/>
        </w:rPr>
        <w:t>ÁLETRANIR</w:t>
      </w:r>
    </w:p>
    <w:p w14:paraId="0EC63529" w14:textId="77777777" w:rsidR="00BD11C0" w:rsidRPr="008B0B5D" w:rsidRDefault="00564614" w:rsidP="0073217C">
      <w:pPr>
        <w:suppressAutoHyphens/>
        <w:spacing w:after="0" w:line="240" w:lineRule="auto"/>
        <w:ind w:left="0" w:firstLine="0"/>
        <w:rPr>
          <w:lang w:val="is-IS"/>
        </w:rPr>
      </w:pPr>
      <w:r w:rsidRPr="009F7642">
        <w:rPr>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BD11C0" w:rsidRPr="008B0B5D" w14:paraId="60594ACE" w14:textId="77777777" w:rsidTr="003F4B52">
        <w:tc>
          <w:tcPr>
            <w:tcW w:w="9289" w:type="dxa"/>
          </w:tcPr>
          <w:p w14:paraId="64F22847" w14:textId="77777777" w:rsidR="006C06D6" w:rsidRPr="008B0B5D" w:rsidRDefault="00BD11C0" w:rsidP="0073217C">
            <w:pPr>
              <w:suppressAutoHyphens/>
              <w:spacing w:after="0" w:line="240" w:lineRule="auto"/>
              <w:ind w:left="0" w:firstLine="0"/>
              <w:rPr>
                <w:b/>
                <w:lang w:val="is-IS"/>
              </w:rPr>
            </w:pPr>
            <w:r w:rsidRPr="008B0B5D">
              <w:rPr>
                <w:b/>
                <w:lang w:val="is-IS"/>
              </w:rPr>
              <w:lastRenderedPageBreak/>
              <w:t>UPPLÝSINGAR SEM EIGA AÐ KOMA FRAM Á YTRI UMBÚÐUM</w:t>
            </w:r>
          </w:p>
          <w:p w14:paraId="39002973" w14:textId="77777777" w:rsidR="00BD11C0" w:rsidRPr="008B0B5D" w:rsidRDefault="00BD11C0" w:rsidP="0073217C">
            <w:pPr>
              <w:suppressAutoHyphens/>
              <w:spacing w:after="0" w:line="240" w:lineRule="auto"/>
              <w:ind w:left="0" w:firstLine="0"/>
              <w:rPr>
                <w:b/>
                <w:lang w:val="is-IS"/>
              </w:rPr>
            </w:pPr>
          </w:p>
          <w:p w14:paraId="5642EBB4" w14:textId="77777777" w:rsidR="00BD11C0" w:rsidRPr="008B0B5D" w:rsidRDefault="00BD11C0" w:rsidP="0073217C">
            <w:pPr>
              <w:suppressAutoHyphens/>
              <w:spacing w:after="0" w:line="240" w:lineRule="auto"/>
              <w:ind w:left="0" w:firstLine="0"/>
              <w:rPr>
                <w:b/>
                <w:lang w:val="is-IS"/>
              </w:rPr>
            </w:pPr>
            <w:r w:rsidRPr="008B0B5D">
              <w:rPr>
                <w:b/>
                <w:lang w:val="is-IS"/>
              </w:rPr>
              <w:t>ASKJA</w:t>
            </w:r>
          </w:p>
        </w:tc>
      </w:tr>
    </w:tbl>
    <w:p w14:paraId="5C97A8AF" w14:textId="77777777" w:rsidR="00BD11C0" w:rsidRPr="008B0B5D" w:rsidRDefault="00BD11C0" w:rsidP="0073217C">
      <w:pPr>
        <w:suppressAutoHyphens/>
        <w:spacing w:after="0" w:line="240" w:lineRule="auto"/>
        <w:ind w:left="0" w:firstLine="0"/>
        <w:rPr>
          <w:lang w:val="is-IS"/>
        </w:rPr>
      </w:pPr>
    </w:p>
    <w:p w14:paraId="412F3856" w14:textId="77777777" w:rsidR="00BD11C0" w:rsidRPr="008B0B5D" w:rsidRDefault="00BD11C0"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BD11C0" w:rsidRPr="008B0B5D" w14:paraId="174FFEE6" w14:textId="77777777" w:rsidTr="003F4B52">
        <w:tc>
          <w:tcPr>
            <w:tcW w:w="9288" w:type="dxa"/>
          </w:tcPr>
          <w:p w14:paraId="4B911142" w14:textId="77777777" w:rsidR="00BD11C0" w:rsidRPr="008B0B5D" w:rsidRDefault="00B36A53" w:rsidP="0073217C">
            <w:pPr>
              <w:keepNext/>
              <w:suppressAutoHyphens/>
              <w:spacing w:after="0" w:line="240" w:lineRule="auto"/>
              <w:ind w:left="567" w:hanging="567"/>
              <w:rPr>
                <w:color w:val="auto"/>
                <w:lang w:val="is-IS"/>
              </w:rPr>
            </w:pPr>
            <w:r w:rsidRPr="008B0B5D">
              <w:rPr>
                <w:b/>
                <w:color w:val="auto"/>
                <w:lang w:val="is-IS"/>
              </w:rPr>
              <w:t>1.</w:t>
            </w:r>
            <w:r w:rsidRPr="008B0B5D">
              <w:rPr>
                <w:b/>
                <w:color w:val="auto"/>
                <w:lang w:val="is-IS"/>
              </w:rPr>
              <w:tab/>
            </w:r>
            <w:r w:rsidR="00BD11C0" w:rsidRPr="008B0B5D">
              <w:rPr>
                <w:b/>
                <w:color w:val="auto"/>
                <w:lang w:val="is-IS"/>
              </w:rPr>
              <w:t>HEITI LYFS</w:t>
            </w:r>
          </w:p>
        </w:tc>
      </w:tr>
    </w:tbl>
    <w:p w14:paraId="72F282EF" w14:textId="77777777" w:rsidR="00366CA3" w:rsidRPr="008B0B5D" w:rsidRDefault="00366CA3" w:rsidP="0073217C">
      <w:pPr>
        <w:keepNext/>
        <w:suppressAutoHyphens/>
        <w:spacing w:after="0" w:line="240" w:lineRule="auto"/>
        <w:ind w:left="0" w:firstLine="0"/>
        <w:rPr>
          <w:lang w:val="is-IS"/>
        </w:rPr>
      </w:pPr>
    </w:p>
    <w:p w14:paraId="5C9612AB" w14:textId="77777777" w:rsidR="006C06D6" w:rsidRPr="008B0B5D" w:rsidRDefault="001764F7" w:rsidP="0073217C">
      <w:pPr>
        <w:suppressAutoHyphens/>
        <w:spacing w:after="0" w:line="240" w:lineRule="auto"/>
        <w:ind w:left="0" w:firstLine="0"/>
        <w:rPr>
          <w:lang w:val="is-IS"/>
        </w:rPr>
      </w:pPr>
      <w:bookmarkStart w:id="20" w:name="_Hlk497119623"/>
      <w:r>
        <w:rPr>
          <w:lang w:val="is-IS"/>
        </w:rPr>
        <w:t>MVASI</w:t>
      </w:r>
      <w:r w:rsidR="00513553" w:rsidRPr="008B0B5D">
        <w:rPr>
          <w:lang w:val="is-IS"/>
        </w:rPr>
        <w:t xml:space="preserve"> </w:t>
      </w:r>
      <w:r w:rsidR="00730614" w:rsidRPr="008B0B5D">
        <w:rPr>
          <w:lang w:val="is-IS"/>
        </w:rPr>
        <w:t>25 </w:t>
      </w:r>
      <w:r w:rsidR="00BD11C0" w:rsidRPr="008B0B5D">
        <w:rPr>
          <w:lang w:val="is-IS"/>
        </w:rPr>
        <w:t>mg/ml innrennslisþykkni, lausn</w:t>
      </w:r>
    </w:p>
    <w:p w14:paraId="0457101A" w14:textId="77777777" w:rsidR="00366CA3" w:rsidRPr="008B0B5D" w:rsidRDefault="007C2914" w:rsidP="0073217C">
      <w:pPr>
        <w:suppressAutoHyphens/>
        <w:spacing w:after="0" w:line="240" w:lineRule="auto"/>
        <w:ind w:left="0" w:firstLine="0"/>
        <w:rPr>
          <w:lang w:val="is-IS"/>
        </w:rPr>
      </w:pPr>
      <w:r w:rsidRPr="00504296">
        <w:rPr>
          <w:lang w:val="is-IS"/>
        </w:rPr>
        <w:t>bevacízúmab</w:t>
      </w:r>
    </w:p>
    <w:bookmarkEnd w:id="20"/>
    <w:p w14:paraId="1B117117" w14:textId="77777777" w:rsidR="00366CA3" w:rsidRPr="008B0B5D" w:rsidRDefault="00366CA3" w:rsidP="0073217C">
      <w:pPr>
        <w:suppressAutoHyphens/>
        <w:spacing w:after="0" w:line="240" w:lineRule="auto"/>
        <w:ind w:left="0" w:firstLine="0"/>
        <w:rPr>
          <w:lang w:val="is-IS"/>
        </w:rPr>
      </w:pPr>
    </w:p>
    <w:p w14:paraId="072C4950" w14:textId="77777777" w:rsidR="00BD11C0" w:rsidRPr="008B0B5D" w:rsidRDefault="00BD11C0"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BD11C0" w:rsidRPr="008B0B5D" w14:paraId="697ECE4F" w14:textId="77777777" w:rsidTr="003F4B52">
        <w:tc>
          <w:tcPr>
            <w:tcW w:w="9289" w:type="dxa"/>
          </w:tcPr>
          <w:p w14:paraId="49054041" w14:textId="77777777" w:rsidR="00BD11C0" w:rsidRPr="008B0B5D" w:rsidRDefault="00B36A53" w:rsidP="0073217C">
            <w:pPr>
              <w:keepNext/>
              <w:suppressAutoHyphens/>
              <w:spacing w:after="0" w:line="240" w:lineRule="auto"/>
              <w:ind w:left="567" w:hanging="567"/>
              <w:rPr>
                <w:b/>
                <w:color w:val="auto"/>
                <w:lang w:val="is-IS"/>
              </w:rPr>
            </w:pPr>
            <w:r w:rsidRPr="008B0B5D">
              <w:rPr>
                <w:b/>
                <w:color w:val="auto"/>
                <w:lang w:val="is-IS"/>
              </w:rPr>
              <w:t>2.</w:t>
            </w:r>
            <w:r w:rsidRPr="008B0B5D">
              <w:rPr>
                <w:b/>
                <w:color w:val="auto"/>
                <w:lang w:val="is-IS"/>
              </w:rPr>
              <w:tab/>
            </w:r>
            <w:r w:rsidR="00BD11C0" w:rsidRPr="008B0B5D">
              <w:rPr>
                <w:b/>
                <w:color w:val="auto"/>
                <w:lang w:val="is-IS"/>
              </w:rPr>
              <w:t>VIRK(T) EFNI</w:t>
            </w:r>
          </w:p>
        </w:tc>
      </w:tr>
    </w:tbl>
    <w:p w14:paraId="40BD9E97" w14:textId="77777777" w:rsidR="005F36F3" w:rsidRPr="008B0B5D" w:rsidRDefault="005F36F3" w:rsidP="0073217C">
      <w:pPr>
        <w:keepNext/>
        <w:suppressAutoHyphens/>
        <w:spacing w:after="0" w:line="240" w:lineRule="auto"/>
        <w:ind w:left="0" w:firstLine="0"/>
        <w:rPr>
          <w:lang w:val="is-IS"/>
        </w:rPr>
      </w:pPr>
      <w:bookmarkStart w:id="21" w:name="_Hlk497119694"/>
    </w:p>
    <w:p w14:paraId="4579E44B" w14:textId="77CCAC9A" w:rsidR="00BD11C0" w:rsidRPr="008B0B5D" w:rsidRDefault="00730614" w:rsidP="0073217C">
      <w:pPr>
        <w:suppressAutoHyphens/>
        <w:spacing w:after="0" w:line="240" w:lineRule="auto"/>
        <w:ind w:left="0" w:firstLine="0"/>
        <w:rPr>
          <w:lang w:val="is-IS"/>
        </w:rPr>
      </w:pPr>
      <w:r w:rsidRPr="008B0B5D">
        <w:rPr>
          <w:lang w:val="is-IS"/>
        </w:rPr>
        <w:t xml:space="preserve">Hvert </w:t>
      </w:r>
      <w:r w:rsidR="00513553">
        <w:rPr>
          <w:lang w:val="is-IS"/>
        </w:rPr>
        <w:t xml:space="preserve">4 ml </w:t>
      </w:r>
      <w:r w:rsidRPr="008B0B5D">
        <w:rPr>
          <w:lang w:val="is-IS"/>
        </w:rPr>
        <w:t>hettuglas</w:t>
      </w:r>
      <w:r w:rsidR="00513553">
        <w:rPr>
          <w:lang w:val="is-IS"/>
        </w:rPr>
        <w:t xml:space="preserve"> með þykkni</w:t>
      </w:r>
      <w:r w:rsidRPr="008B0B5D">
        <w:rPr>
          <w:lang w:val="is-IS"/>
        </w:rPr>
        <w:t xml:space="preserve"> inniheldur 100 </w:t>
      </w:r>
      <w:r w:rsidR="00BD11C0" w:rsidRPr="008B0B5D">
        <w:rPr>
          <w:lang w:val="is-IS"/>
        </w:rPr>
        <w:t xml:space="preserve">mg af </w:t>
      </w:r>
      <w:r w:rsidR="00690564">
        <w:rPr>
          <w:lang w:val="is-IS"/>
        </w:rPr>
        <w:t>bevacízúmab</w:t>
      </w:r>
      <w:r w:rsidR="00513553">
        <w:rPr>
          <w:lang w:val="is-IS"/>
        </w:rPr>
        <w:t>i</w:t>
      </w:r>
      <w:r w:rsidR="00BD11C0" w:rsidRPr="008B0B5D">
        <w:rPr>
          <w:lang w:val="is-IS"/>
        </w:rPr>
        <w:t>.</w:t>
      </w:r>
    </w:p>
    <w:p w14:paraId="7037D820" w14:textId="77777777" w:rsidR="00513553" w:rsidRDefault="00513553" w:rsidP="00513553">
      <w:pPr>
        <w:suppressAutoHyphens/>
        <w:spacing w:after="0" w:line="240" w:lineRule="auto"/>
        <w:ind w:left="0" w:firstLine="0"/>
        <w:rPr>
          <w:color w:val="auto"/>
          <w:lang w:val="is-IS"/>
        </w:rPr>
      </w:pPr>
    </w:p>
    <w:p w14:paraId="296B3D63" w14:textId="77777777" w:rsidR="004F218F" w:rsidRDefault="004F218F" w:rsidP="004F218F">
      <w:pPr>
        <w:spacing w:line="240" w:lineRule="auto"/>
        <w:rPr>
          <w:noProof/>
        </w:rPr>
      </w:pPr>
      <w:r>
        <w:rPr>
          <w:noProof/>
        </w:rPr>
        <w:t>100 mg/4 ml</w:t>
      </w:r>
    </w:p>
    <w:bookmarkEnd w:id="21"/>
    <w:p w14:paraId="121EB8E3" w14:textId="77777777" w:rsidR="00BD11C0" w:rsidRDefault="00BD11C0" w:rsidP="0073217C">
      <w:pPr>
        <w:suppressAutoHyphens/>
        <w:spacing w:after="0" w:line="240" w:lineRule="auto"/>
        <w:ind w:left="0" w:firstLine="0"/>
        <w:rPr>
          <w:lang w:val="is-IS"/>
        </w:rPr>
      </w:pPr>
    </w:p>
    <w:p w14:paraId="3FA79F9A" w14:textId="77777777" w:rsidR="000F69A9" w:rsidRPr="008B0B5D" w:rsidRDefault="000F69A9"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BD11C0" w:rsidRPr="008B0B5D" w14:paraId="26F4F13F" w14:textId="77777777" w:rsidTr="003F4B52">
        <w:tc>
          <w:tcPr>
            <w:tcW w:w="9289" w:type="dxa"/>
          </w:tcPr>
          <w:p w14:paraId="1CA2A732" w14:textId="77777777" w:rsidR="00BD11C0" w:rsidRPr="008B0B5D" w:rsidRDefault="00B36A53" w:rsidP="0073217C">
            <w:pPr>
              <w:keepNext/>
              <w:suppressAutoHyphens/>
              <w:spacing w:after="0" w:line="240" w:lineRule="auto"/>
              <w:ind w:left="567" w:hanging="567"/>
              <w:rPr>
                <w:b/>
                <w:color w:val="auto"/>
                <w:lang w:val="is-IS"/>
              </w:rPr>
            </w:pPr>
            <w:r w:rsidRPr="008B0B5D">
              <w:rPr>
                <w:b/>
                <w:color w:val="auto"/>
                <w:lang w:val="is-IS"/>
              </w:rPr>
              <w:t>3.</w:t>
            </w:r>
            <w:r w:rsidRPr="008B0B5D">
              <w:rPr>
                <w:b/>
                <w:color w:val="auto"/>
                <w:lang w:val="is-IS"/>
              </w:rPr>
              <w:tab/>
            </w:r>
            <w:r w:rsidR="00BD11C0" w:rsidRPr="008B0B5D">
              <w:rPr>
                <w:b/>
                <w:color w:val="auto"/>
                <w:lang w:val="is-IS"/>
              </w:rPr>
              <w:t>HJÁLPAREFNI</w:t>
            </w:r>
          </w:p>
        </w:tc>
      </w:tr>
    </w:tbl>
    <w:p w14:paraId="1DD7CDB0" w14:textId="77777777" w:rsidR="005F36F3" w:rsidRPr="008B0B5D" w:rsidRDefault="005F36F3" w:rsidP="0073217C">
      <w:pPr>
        <w:keepNext/>
        <w:suppressAutoHyphens/>
        <w:spacing w:after="0" w:line="240" w:lineRule="auto"/>
        <w:ind w:left="0" w:firstLine="0"/>
        <w:rPr>
          <w:lang w:val="is-IS"/>
        </w:rPr>
      </w:pPr>
    </w:p>
    <w:p w14:paraId="7AFA9D92" w14:textId="77777777" w:rsidR="006C06D6" w:rsidRPr="008B0B5D" w:rsidRDefault="007C7AC4" w:rsidP="0073217C">
      <w:pPr>
        <w:suppressAutoHyphens/>
        <w:spacing w:after="0" w:line="240" w:lineRule="auto"/>
        <w:ind w:left="0" w:firstLine="0"/>
        <w:rPr>
          <w:lang w:val="is-IS"/>
        </w:rPr>
      </w:pPr>
      <w:bookmarkStart w:id="22" w:name="_Hlk497119766"/>
      <w:r w:rsidRPr="008B0B5D">
        <w:rPr>
          <w:lang w:val="is-IS"/>
        </w:rPr>
        <w:t>Trehalós díhýdrat, natríum fosfat, pólýsorbat 20, vatn fyrir stungulyf.</w:t>
      </w:r>
    </w:p>
    <w:bookmarkEnd w:id="22"/>
    <w:p w14:paraId="7B7BD290" w14:textId="77777777" w:rsidR="005F36F3" w:rsidRPr="008B0B5D" w:rsidRDefault="005F36F3" w:rsidP="0073217C">
      <w:pPr>
        <w:suppressAutoHyphens/>
        <w:spacing w:after="0" w:line="240" w:lineRule="auto"/>
        <w:ind w:left="0" w:firstLine="0"/>
        <w:rPr>
          <w:lang w:val="is-IS"/>
        </w:rPr>
      </w:pPr>
    </w:p>
    <w:p w14:paraId="5849C723" w14:textId="77777777" w:rsidR="007C7AC4" w:rsidRPr="008B0B5D" w:rsidRDefault="007C7AC4"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7C7AC4" w:rsidRPr="008B0B5D" w14:paraId="63C9887F" w14:textId="77777777" w:rsidTr="003F4B52">
        <w:tc>
          <w:tcPr>
            <w:tcW w:w="9289" w:type="dxa"/>
          </w:tcPr>
          <w:p w14:paraId="2169680D" w14:textId="77777777" w:rsidR="007C7AC4" w:rsidRPr="008B0B5D" w:rsidRDefault="00B36A53" w:rsidP="0073217C">
            <w:pPr>
              <w:keepNext/>
              <w:suppressAutoHyphens/>
              <w:spacing w:after="0" w:line="240" w:lineRule="auto"/>
              <w:ind w:left="567" w:hanging="567"/>
              <w:rPr>
                <w:b/>
                <w:color w:val="auto"/>
                <w:lang w:val="is-IS"/>
              </w:rPr>
            </w:pPr>
            <w:r w:rsidRPr="008B0B5D">
              <w:rPr>
                <w:b/>
                <w:color w:val="auto"/>
                <w:lang w:val="is-IS"/>
              </w:rPr>
              <w:t>4.</w:t>
            </w:r>
            <w:r w:rsidRPr="008B0B5D">
              <w:rPr>
                <w:b/>
                <w:color w:val="auto"/>
                <w:lang w:val="is-IS"/>
              </w:rPr>
              <w:tab/>
            </w:r>
            <w:r w:rsidR="007C7AC4" w:rsidRPr="008B0B5D">
              <w:rPr>
                <w:b/>
                <w:color w:val="auto"/>
                <w:lang w:val="is-IS"/>
              </w:rPr>
              <w:t>LYFJAFORM OG INNIHALD</w:t>
            </w:r>
          </w:p>
        </w:tc>
      </w:tr>
    </w:tbl>
    <w:p w14:paraId="45865ECE" w14:textId="77777777" w:rsidR="007C7AC4" w:rsidRPr="008B0B5D" w:rsidRDefault="007C7AC4" w:rsidP="0073217C">
      <w:pPr>
        <w:keepNext/>
        <w:suppressAutoHyphens/>
        <w:spacing w:after="0" w:line="240" w:lineRule="auto"/>
        <w:ind w:left="0" w:firstLine="0"/>
        <w:rPr>
          <w:lang w:val="is-IS"/>
        </w:rPr>
      </w:pPr>
    </w:p>
    <w:p w14:paraId="4EEFE98A" w14:textId="77777777" w:rsidR="007C7AC4" w:rsidRPr="008B0B5D" w:rsidRDefault="007C7AC4" w:rsidP="0073217C">
      <w:pPr>
        <w:suppressAutoHyphens/>
        <w:spacing w:after="0" w:line="240" w:lineRule="auto"/>
        <w:ind w:left="0" w:firstLine="0"/>
        <w:rPr>
          <w:lang w:val="is-IS"/>
        </w:rPr>
      </w:pPr>
      <w:bookmarkStart w:id="23" w:name="_Hlk497119844"/>
      <w:r w:rsidRPr="00DC4128">
        <w:rPr>
          <w:highlight w:val="lightGray"/>
          <w:lang w:val="is-IS"/>
        </w:rPr>
        <w:t>Innrennslisþykkni, lausn</w:t>
      </w:r>
      <w:r w:rsidR="00C81594" w:rsidRPr="00DC4128">
        <w:rPr>
          <w:highlight w:val="lightGray"/>
          <w:lang w:val="is-IS"/>
        </w:rPr>
        <w:t>.</w:t>
      </w:r>
    </w:p>
    <w:p w14:paraId="64DF31C4" w14:textId="77777777" w:rsidR="006C06D6" w:rsidRPr="008B0B5D" w:rsidRDefault="00730614" w:rsidP="0073217C">
      <w:pPr>
        <w:suppressAutoHyphens/>
        <w:spacing w:after="0" w:line="240" w:lineRule="auto"/>
        <w:ind w:left="0" w:firstLine="0"/>
        <w:rPr>
          <w:lang w:val="is-IS"/>
        </w:rPr>
      </w:pPr>
      <w:r w:rsidRPr="008B0B5D">
        <w:rPr>
          <w:lang w:val="is-IS"/>
        </w:rPr>
        <w:t>1 hettuglas</w:t>
      </w:r>
    </w:p>
    <w:bookmarkEnd w:id="23"/>
    <w:p w14:paraId="618515DA" w14:textId="77777777" w:rsidR="007C7AC4" w:rsidRPr="008B0B5D" w:rsidRDefault="007C7AC4" w:rsidP="0073217C">
      <w:pPr>
        <w:suppressAutoHyphens/>
        <w:spacing w:after="0" w:line="240" w:lineRule="auto"/>
        <w:ind w:left="0" w:firstLine="0"/>
        <w:rPr>
          <w:lang w:val="is-IS"/>
        </w:rPr>
      </w:pPr>
    </w:p>
    <w:p w14:paraId="49A42A61" w14:textId="77777777" w:rsidR="007C7AC4" w:rsidRPr="008B0B5D" w:rsidRDefault="007C7AC4"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7C7AC4" w:rsidRPr="00AD2908" w14:paraId="61760C99" w14:textId="77777777" w:rsidTr="003F4B52">
        <w:tc>
          <w:tcPr>
            <w:tcW w:w="9289" w:type="dxa"/>
          </w:tcPr>
          <w:p w14:paraId="39FAB171" w14:textId="77777777" w:rsidR="007C7AC4" w:rsidRPr="008B0B5D" w:rsidRDefault="00B36A53" w:rsidP="0073217C">
            <w:pPr>
              <w:keepNext/>
              <w:suppressAutoHyphens/>
              <w:spacing w:after="0" w:line="240" w:lineRule="auto"/>
              <w:ind w:left="567" w:hanging="567"/>
              <w:rPr>
                <w:b/>
                <w:color w:val="auto"/>
                <w:lang w:val="is-IS"/>
              </w:rPr>
            </w:pPr>
            <w:r w:rsidRPr="008B0B5D">
              <w:rPr>
                <w:b/>
                <w:color w:val="auto"/>
                <w:lang w:val="is-IS"/>
              </w:rPr>
              <w:t>5.</w:t>
            </w:r>
            <w:r w:rsidRPr="008B0B5D">
              <w:rPr>
                <w:b/>
                <w:color w:val="auto"/>
                <w:lang w:val="is-IS"/>
              </w:rPr>
              <w:tab/>
            </w:r>
            <w:r w:rsidR="007C7AC4" w:rsidRPr="008B0B5D">
              <w:rPr>
                <w:b/>
                <w:color w:val="auto"/>
                <w:lang w:val="is-IS"/>
              </w:rPr>
              <w:t>AÐFERÐ VIÐ LYFJAGJÖF OG ÍKOMULEIÐ(IR)</w:t>
            </w:r>
          </w:p>
        </w:tc>
      </w:tr>
    </w:tbl>
    <w:p w14:paraId="08CE2D8A" w14:textId="77777777" w:rsidR="005F36F3" w:rsidRPr="008B0B5D" w:rsidRDefault="005F36F3" w:rsidP="0073217C">
      <w:pPr>
        <w:keepNext/>
        <w:suppressAutoHyphens/>
        <w:spacing w:after="0" w:line="240" w:lineRule="auto"/>
        <w:ind w:left="0" w:firstLine="0"/>
        <w:rPr>
          <w:lang w:val="is-IS"/>
        </w:rPr>
      </w:pPr>
    </w:p>
    <w:p w14:paraId="68B5C672" w14:textId="77777777" w:rsidR="006C06D6" w:rsidRPr="008B0B5D" w:rsidRDefault="007C7AC4" w:rsidP="0073217C">
      <w:pPr>
        <w:suppressAutoHyphens/>
        <w:spacing w:after="0" w:line="240" w:lineRule="auto"/>
        <w:ind w:left="0" w:firstLine="0"/>
        <w:rPr>
          <w:lang w:val="is-IS"/>
        </w:rPr>
      </w:pPr>
      <w:bookmarkStart w:id="24" w:name="_Hlk497119917"/>
      <w:r w:rsidRPr="008B0B5D">
        <w:rPr>
          <w:lang w:val="is-IS"/>
        </w:rPr>
        <w:t>Til notkunar í bláæð eftir þynningu</w:t>
      </w:r>
      <w:r w:rsidR="00DB6482" w:rsidRPr="008B0B5D">
        <w:rPr>
          <w:lang w:val="is-IS"/>
        </w:rPr>
        <w:t>.</w:t>
      </w:r>
    </w:p>
    <w:p w14:paraId="208AEFEA" w14:textId="77777777" w:rsidR="007C7AC4" w:rsidRPr="008B0B5D" w:rsidRDefault="007C7AC4" w:rsidP="0073217C">
      <w:pPr>
        <w:suppressAutoHyphens/>
        <w:spacing w:after="0" w:line="240" w:lineRule="auto"/>
        <w:ind w:left="0" w:firstLine="0"/>
        <w:rPr>
          <w:lang w:val="is-IS"/>
        </w:rPr>
      </w:pPr>
      <w:r w:rsidRPr="008B0B5D">
        <w:rPr>
          <w:lang w:val="is-IS"/>
        </w:rPr>
        <w:t>Lesið fylgiseðilinn fyrir notkun</w:t>
      </w:r>
      <w:r w:rsidR="00DB6482" w:rsidRPr="008B0B5D">
        <w:rPr>
          <w:lang w:val="is-IS"/>
        </w:rPr>
        <w:t>.</w:t>
      </w:r>
    </w:p>
    <w:bookmarkEnd w:id="24"/>
    <w:p w14:paraId="0D229816" w14:textId="77777777" w:rsidR="007C7AC4" w:rsidRPr="008B0B5D" w:rsidRDefault="007C7AC4" w:rsidP="0073217C">
      <w:pPr>
        <w:suppressAutoHyphens/>
        <w:spacing w:after="0" w:line="240" w:lineRule="auto"/>
        <w:ind w:left="0" w:firstLine="0"/>
        <w:rPr>
          <w:lang w:val="is-IS"/>
        </w:rPr>
      </w:pPr>
    </w:p>
    <w:p w14:paraId="033140B0" w14:textId="77777777" w:rsidR="007C7AC4" w:rsidRPr="008B0B5D" w:rsidRDefault="007C7AC4"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7C7AC4" w:rsidRPr="00777A07" w14:paraId="63C992A5" w14:textId="77777777" w:rsidTr="003F4B52">
        <w:tc>
          <w:tcPr>
            <w:tcW w:w="9289" w:type="dxa"/>
          </w:tcPr>
          <w:p w14:paraId="138B585D" w14:textId="77777777" w:rsidR="007C7AC4" w:rsidRPr="008B0B5D" w:rsidRDefault="00B36A53" w:rsidP="0073217C">
            <w:pPr>
              <w:keepNext/>
              <w:suppressAutoHyphens/>
              <w:spacing w:after="0" w:line="240" w:lineRule="auto"/>
              <w:ind w:left="567" w:hanging="567"/>
              <w:rPr>
                <w:b/>
                <w:color w:val="auto"/>
                <w:lang w:val="is-IS"/>
              </w:rPr>
            </w:pPr>
            <w:r w:rsidRPr="008B0B5D">
              <w:rPr>
                <w:b/>
                <w:color w:val="auto"/>
                <w:lang w:val="is-IS"/>
              </w:rPr>
              <w:t>6.</w:t>
            </w:r>
            <w:r w:rsidRPr="008B0B5D">
              <w:rPr>
                <w:b/>
                <w:color w:val="auto"/>
                <w:lang w:val="is-IS"/>
              </w:rPr>
              <w:tab/>
            </w:r>
            <w:r w:rsidR="007C7AC4" w:rsidRPr="008B0B5D">
              <w:rPr>
                <w:b/>
                <w:color w:val="auto"/>
                <w:lang w:val="is-IS"/>
              </w:rPr>
              <w:t>SÉRSTÖK VARNAÐARORÐ UM AÐ LYFIÐ SKULI GEYMT ÞAR SEM BÖRN HVORKI NÁ TIL NÉ SJÁ</w:t>
            </w:r>
          </w:p>
        </w:tc>
      </w:tr>
    </w:tbl>
    <w:p w14:paraId="470BB0E3" w14:textId="77777777" w:rsidR="005F36F3" w:rsidRPr="008B0B5D" w:rsidRDefault="005F36F3" w:rsidP="0073217C">
      <w:pPr>
        <w:keepNext/>
        <w:suppressAutoHyphens/>
        <w:spacing w:after="0" w:line="240" w:lineRule="auto"/>
        <w:ind w:left="0" w:firstLine="0"/>
        <w:rPr>
          <w:lang w:val="is-IS"/>
        </w:rPr>
      </w:pPr>
    </w:p>
    <w:p w14:paraId="268DD25A" w14:textId="77777777" w:rsidR="007C7AC4" w:rsidRPr="008B0B5D" w:rsidRDefault="007C7AC4" w:rsidP="0073217C">
      <w:pPr>
        <w:suppressAutoHyphens/>
        <w:spacing w:after="0" w:line="240" w:lineRule="auto"/>
        <w:ind w:left="0" w:firstLine="0"/>
        <w:rPr>
          <w:lang w:val="is-IS"/>
        </w:rPr>
      </w:pPr>
      <w:bookmarkStart w:id="25" w:name="_Hlk497119965"/>
      <w:r w:rsidRPr="008B0B5D">
        <w:rPr>
          <w:lang w:val="is-IS"/>
        </w:rPr>
        <w:t>Geymið þar sem börn hvorki ná til né sjá</w:t>
      </w:r>
      <w:r w:rsidR="00DB6482" w:rsidRPr="008B0B5D">
        <w:rPr>
          <w:lang w:val="is-IS"/>
        </w:rPr>
        <w:t>.</w:t>
      </w:r>
    </w:p>
    <w:bookmarkEnd w:id="25"/>
    <w:p w14:paraId="29CB9107" w14:textId="77777777" w:rsidR="007C7AC4" w:rsidRPr="008B0B5D" w:rsidRDefault="007C7AC4" w:rsidP="0073217C">
      <w:pPr>
        <w:suppressAutoHyphens/>
        <w:spacing w:after="0" w:line="240" w:lineRule="auto"/>
        <w:ind w:left="0" w:firstLine="0"/>
        <w:rPr>
          <w:lang w:val="is-IS"/>
        </w:rPr>
      </w:pPr>
    </w:p>
    <w:p w14:paraId="01877437" w14:textId="77777777" w:rsidR="007C7AC4" w:rsidRPr="008B0B5D" w:rsidRDefault="007C7AC4"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7C7AC4" w:rsidRPr="00777A07" w14:paraId="4EC88C4E" w14:textId="77777777" w:rsidTr="003F4B52">
        <w:tc>
          <w:tcPr>
            <w:tcW w:w="9289" w:type="dxa"/>
          </w:tcPr>
          <w:p w14:paraId="44821E13" w14:textId="77777777" w:rsidR="007C7AC4" w:rsidRPr="008B0B5D" w:rsidRDefault="00B36A53" w:rsidP="0073217C">
            <w:pPr>
              <w:keepNext/>
              <w:suppressAutoHyphens/>
              <w:spacing w:after="0" w:line="240" w:lineRule="auto"/>
              <w:ind w:left="567" w:hanging="567"/>
              <w:rPr>
                <w:b/>
                <w:color w:val="auto"/>
                <w:lang w:val="is-IS"/>
              </w:rPr>
            </w:pPr>
            <w:r w:rsidRPr="008B0B5D">
              <w:rPr>
                <w:b/>
                <w:color w:val="auto"/>
                <w:lang w:val="is-IS"/>
              </w:rPr>
              <w:t>7.</w:t>
            </w:r>
            <w:r w:rsidRPr="008B0B5D">
              <w:rPr>
                <w:b/>
                <w:color w:val="auto"/>
                <w:lang w:val="is-IS"/>
              </w:rPr>
              <w:tab/>
            </w:r>
            <w:r w:rsidR="007C7AC4" w:rsidRPr="008B0B5D">
              <w:rPr>
                <w:b/>
                <w:color w:val="auto"/>
                <w:lang w:val="is-IS"/>
              </w:rPr>
              <w:t>ÖNNUR SÉRSTÖK VARNAÐARORÐ, EF MEÐ ÞARF</w:t>
            </w:r>
          </w:p>
        </w:tc>
      </w:tr>
    </w:tbl>
    <w:p w14:paraId="7EBB63A0" w14:textId="77777777" w:rsidR="007C7AC4" w:rsidRPr="008B0B5D" w:rsidRDefault="007C7AC4" w:rsidP="0073217C">
      <w:pPr>
        <w:keepNext/>
        <w:suppressAutoHyphens/>
        <w:spacing w:after="0" w:line="240" w:lineRule="auto"/>
        <w:ind w:left="0" w:firstLine="0"/>
        <w:rPr>
          <w:lang w:val="is-IS"/>
        </w:rPr>
      </w:pPr>
    </w:p>
    <w:p w14:paraId="75E9E26A" w14:textId="77777777" w:rsidR="007C7AC4" w:rsidRPr="008B0B5D" w:rsidRDefault="007C7AC4"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7C7AC4" w:rsidRPr="008B0B5D" w14:paraId="1A9DBBAA" w14:textId="77777777" w:rsidTr="00A04938">
        <w:tc>
          <w:tcPr>
            <w:tcW w:w="9289" w:type="dxa"/>
          </w:tcPr>
          <w:p w14:paraId="289FEEED" w14:textId="77777777" w:rsidR="007C7AC4" w:rsidRPr="008B0B5D" w:rsidRDefault="00B36A53" w:rsidP="0073217C">
            <w:pPr>
              <w:keepNext/>
              <w:suppressAutoHyphens/>
              <w:spacing w:after="0" w:line="240" w:lineRule="auto"/>
              <w:ind w:left="567" w:hanging="567"/>
              <w:rPr>
                <w:b/>
                <w:color w:val="auto"/>
                <w:lang w:val="is-IS"/>
              </w:rPr>
            </w:pPr>
            <w:r w:rsidRPr="008B0B5D">
              <w:rPr>
                <w:b/>
                <w:color w:val="auto"/>
                <w:lang w:val="is-IS"/>
              </w:rPr>
              <w:t>8.</w:t>
            </w:r>
            <w:r w:rsidRPr="008B0B5D">
              <w:rPr>
                <w:b/>
                <w:color w:val="auto"/>
                <w:lang w:val="is-IS"/>
              </w:rPr>
              <w:tab/>
            </w:r>
            <w:r w:rsidR="007C7AC4" w:rsidRPr="008B0B5D">
              <w:rPr>
                <w:b/>
                <w:color w:val="auto"/>
                <w:lang w:val="is-IS"/>
              </w:rPr>
              <w:t>FYRNINGARDAGSETNING</w:t>
            </w:r>
          </w:p>
        </w:tc>
      </w:tr>
    </w:tbl>
    <w:p w14:paraId="303519C3" w14:textId="77777777" w:rsidR="005F36F3" w:rsidRPr="008B0B5D" w:rsidRDefault="005F36F3" w:rsidP="0073217C">
      <w:pPr>
        <w:keepNext/>
        <w:suppressAutoHyphens/>
        <w:spacing w:after="0" w:line="240" w:lineRule="auto"/>
        <w:ind w:left="0" w:firstLine="0"/>
        <w:rPr>
          <w:lang w:val="is-IS"/>
        </w:rPr>
      </w:pPr>
    </w:p>
    <w:p w14:paraId="002A1FBE" w14:textId="77777777" w:rsidR="007C7AC4" w:rsidRPr="008B0B5D" w:rsidRDefault="007C7AC4" w:rsidP="0073217C">
      <w:pPr>
        <w:suppressAutoHyphens/>
        <w:spacing w:after="0" w:line="240" w:lineRule="auto"/>
        <w:ind w:left="0" w:firstLine="0"/>
        <w:rPr>
          <w:lang w:val="is-IS"/>
        </w:rPr>
      </w:pPr>
      <w:bookmarkStart w:id="26" w:name="_Hlk497120019"/>
      <w:r w:rsidRPr="008B0B5D">
        <w:rPr>
          <w:lang w:val="is-IS"/>
        </w:rPr>
        <w:t>EXP</w:t>
      </w:r>
    </w:p>
    <w:bookmarkEnd w:id="26"/>
    <w:p w14:paraId="6B105D97" w14:textId="77777777" w:rsidR="007C7AC4" w:rsidRPr="008B0B5D" w:rsidRDefault="007C7AC4" w:rsidP="0073217C">
      <w:pPr>
        <w:suppressAutoHyphens/>
        <w:spacing w:after="0" w:line="240" w:lineRule="auto"/>
        <w:ind w:left="0" w:firstLine="0"/>
        <w:rPr>
          <w:lang w:val="is-IS"/>
        </w:rPr>
      </w:pPr>
    </w:p>
    <w:p w14:paraId="6DE35214" w14:textId="77777777" w:rsidR="007C7AC4" w:rsidRPr="008B0B5D" w:rsidRDefault="007C7AC4"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7C7AC4" w:rsidRPr="008B0B5D" w14:paraId="19074FC2" w14:textId="77777777" w:rsidTr="003F4B52">
        <w:tc>
          <w:tcPr>
            <w:tcW w:w="9289" w:type="dxa"/>
          </w:tcPr>
          <w:p w14:paraId="44D0CAF7" w14:textId="77777777" w:rsidR="007C7AC4" w:rsidRPr="008B0B5D" w:rsidRDefault="00B36A53" w:rsidP="0073217C">
            <w:pPr>
              <w:keepNext/>
              <w:suppressAutoHyphens/>
              <w:spacing w:after="0" w:line="240" w:lineRule="auto"/>
              <w:ind w:left="567" w:hanging="567"/>
              <w:rPr>
                <w:b/>
                <w:color w:val="auto"/>
                <w:lang w:val="is-IS"/>
              </w:rPr>
            </w:pPr>
            <w:r w:rsidRPr="008B0B5D">
              <w:rPr>
                <w:b/>
                <w:color w:val="auto"/>
                <w:lang w:val="is-IS"/>
              </w:rPr>
              <w:t>9.</w:t>
            </w:r>
            <w:r w:rsidRPr="008B0B5D">
              <w:rPr>
                <w:b/>
                <w:color w:val="auto"/>
                <w:lang w:val="is-IS"/>
              </w:rPr>
              <w:tab/>
            </w:r>
            <w:r w:rsidR="007C7AC4" w:rsidRPr="008B0B5D">
              <w:rPr>
                <w:b/>
                <w:color w:val="auto"/>
                <w:lang w:val="is-IS"/>
              </w:rPr>
              <w:t>SÉRSTÖK GEYMSLUSKILYRÐI</w:t>
            </w:r>
          </w:p>
        </w:tc>
      </w:tr>
    </w:tbl>
    <w:p w14:paraId="488B79C7" w14:textId="77777777" w:rsidR="005F36F3" w:rsidRPr="008B0B5D" w:rsidRDefault="005F36F3" w:rsidP="0073217C">
      <w:pPr>
        <w:keepNext/>
        <w:suppressAutoHyphens/>
        <w:spacing w:after="0" w:line="240" w:lineRule="auto"/>
        <w:ind w:left="0" w:firstLine="0"/>
        <w:rPr>
          <w:lang w:val="is-IS"/>
        </w:rPr>
      </w:pPr>
    </w:p>
    <w:p w14:paraId="29CB98E4" w14:textId="77777777" w:rsidR="00CC2FC8" w:rsidRDefault="007C7AC4" w:rsidP="007309A2">
      <w:pPr>
        <w:keepNext/>
        <w:suppressAutoHyphens/>
        <w:spacing w:after="0" w:line="240" w:lineRule="auto"/>
        <w:ind w:left="0" w:firstLine="0"/>
        <w:rPr>
          <w:lang w:val="is-IS"/>
        </w:rPr>
      </w:pPr>
      <w:r w:rsidRPr="008B0B5D">
        <w:rPr>
          <w:lang w:val="is-IS"/>
        </w:rPr>
        <w:t>Geymið í kæli.</w:t>
      </w:r>
      <w:r w:rsidR="00605F95" w:rsidRPr="008B0B5D" w:rsidDel="00605F95">
        <w:rPr>
          <w:lang w:val="is-IS"/>
        </w:rPr>
        <w:t xml:space="preserve"> </w:t>
      </w:r>
    </w:p>
    <w:p w14:paraId="02B53541" w14:textId="77777777" w:rsidR="007C7AC4" w:rsidRPr="008B0B5D" w:rsidRDefault="007C7AC4" w:rsidP="007309A2">
      <w:pPr>
        <w:keepNext/>
        <w:suppressAutoHyphens/>
        <w:spacing w:after="0" w:line="240" w:lineRule="auto"/>
        <w:ind w:left="0" w:firstLine="0"/>
        <w:rPr>
          <w:lang w:val="is-IS"/>
        </w:rPr>
      </w:pPr>
      <w:r w:rsidRPr="008B0B5D">
        <w:rPr>
          <w:lang w:val="is-IS"/>
        </w:rPr>
        <w:t>Má ekki frjósa</w:t>
      </w:r>
      <w:r w:rsidR="00DB6482" w:rsidRPr="008B0B5D">
        <w:rPr>
          <w:lang w:val="is-IS"/>
        </w:rPr>
        <w:t>.</w:t>
      </w:r>
    </w:p>
    <w:p w14:paraId="7CC8AA98" w14:textId="77777777" w:rsidR="007C7AC4" w:rsidRPr="008B0B5D" w:rsidRDefault="007C7AC4" w:rsidP="0073217C">
      <w:pPr>
        <w:suppressAutoHyphens/>
        <w:spacing w:after="0" w:line="240" w:lineRule="auto"/>
        <w:ind w:left="0" w:firstLine="0"/>
        <w:rPr>
          <w:lang w:val="is-IS"/>
        </w:rPr>
      </w:pPr>
      <w:r w:rsidRPr="008B0B5D">
        <w:rPr>
          <w:lang w:val="is-IS"/>
        </w:rPr>
        <w:t>Geymið í ytri umbúðum</w:t>
      </w:r>
      <w:r w:rsidR="00605F95">
        <w:rPr>
          <w:lang w:val="is-IS"/>
        </w:rPr>
        <w:t xml:space="preserve"> til varnar gegn ljósi</w:t>
      </w:r>
      <w:r w:rsidR="00DB6482" w:rsidRPr="008B0B5D">
        <w:rPr>
          <w:lang w:val="is-IS"/>
        </w:rPr>
        <w:t>.</w:t>
      </w:r>
    </w:p>
    <w:p w14:paraId="39457AF7" w14:textId="77777777" w:rsidR="007C7AC4" w:rsidRPr="008B0B5D" w:rsidRDefault="007C7AC4" w:rsidP="0073217C">
      <w:pPr>
        <w:suppressAutoHyphens/>
        <w:spacing w:after="0" w:line="240" w:lineRule="auto"/>
        <w:ind w:left="0" w:firstLine="0"/>
        <w:rPr>
          <w:lang w:val="is-IS"/>
        </w:rPr>
      </w:pPr>
    </w:p>
    <w:p w14:paraId="398B15F2" w14:textId="77777777" w:rsidR="007C7AC4" w:rsidRPr="008B0B5D" w:rsidRDefault="007C7AC4"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7C7AC4" w:rsidRPr="00777A07" w14:paraId="4C1839E6" w14:textId="77777777" w:rsidTr="003F4B52">
        <w:tc>
          <w:tcPr>
            <w:tcW w:w="9289" w:type="dxa"/>
          </w:tcPr>
          <w:p w14:paraId="27D5B1F1" w14:textId="77777777" w:rsidR="007C7AC4" w:rsidRPr="008B0B5D" w:rsidRDefault="00B36A53" w:rsidP="0073217C">
            <w:pPr>
              <w:keepNext/>
              <w:suppressAutoHyphens/>
              <w:spacing w:after="0" w:line="240" w:lineRule="auto"/>
              <w:ind w:left="567" w:hanging="567"/>
              <w:rPr>
                <w:b/>
                <w:color w:val="auto"/>
                <w:lang w:val="is-IS"/>
              </w:rPr>
            </w:pPr>
            <w:r w:rsidRPr="008B0B5D">
              <w:rPr>
                <w:b/>
                <w:color w:val="auto"/>
                <w:lang w:val="is-IS"/>
              </w:rPr>
              <w:lastRenderedPageBreak/>
              <w:t>10.</w:t>
            </w:r>
            <w:r w:rsidRPr="008B0B5D">
              <w:rPr>
                <w:b/>
                <w:color w:val="auto"/>
                <w:lang w:val="is-IS"/>
              </w:rPr>
              <w:tab/>
            </w:r>
            <w:r w:rsidR="007C7AC4" w:rsidRPr="008B0B5D">
              <w:rPr>
                <w:b/>
                <w:color w:val="auto"/>
                <w:lang w:val="is-IS"/>
              </w:rPr>
              <w:t>SÉRSTAKAR VARÚÐARRÁÐSTAFANIR VIÐ FÖRGUN LYFJALEIFA EÐA ÚRGANGS VEGNA LYFSINS ÞAR SEM VIÐ Á</w:t>
            </w:r>
          </w:p>
        </w:tc>
      </w:tr>
    </w:tbl>
    <w:p w14:paraId="5872141B" w14:textId="77777777" w:rsidR="005F36F3" w:rsidRPr="008B0B5D" w:rsidRDefault="005F36F3" w:rsidP="0073217C">
      <w:pPr>
        <w:keepNext/>
        <w:suppressAutoHyphens/>
        <w:spacing w:after="0" w:line="240" w:lineRule="auto"/>
        <w:ind w:left="0" w:firstLine="0"/>
        <w:rPr>
          <w:lang w:val="is-IS"/>
        </w:rPr>
      </w:pPr>
    </w:p>
    <w:p w14:paraId="2B7A2AB3" w14:textId="77777777" w:rsidR="005F36F3" w:rsidRPr="008B0B5D" w:rsidRDefault="005F36F3"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465727" w:rsidRPr="008B0B5D" w14:paraId="023298AF" w14:textId="77777777" w:rsidTr="003F4B52">
        <w:tc>
          <w:tcPr>
            <w:tcW w:w="9289" w:type="dxa"/>
          </w:tcPr>
          <w:p w14:paraId="08C4D52B" w14:textId="77777777" w:rsidR="007C7AC4" w:rsidRPr="008B0B5D" w:rsidRDefault="00B36A53" w:rsidP="0073217C">
            <w:pPr>
              <w:keepNext/>
              <w:suppressAutoHyphens/>
              <w:spacing w:after="0" w:line="240" w:lineRule="auto"/>
              <w:ind w:left="567" w:hanging="567"/>
              <w:rPr>
                <w:b/>
                <w:color w:val="auto"/>
                <w:lang w:val="is-IS"/>
              </w:rPr>
            </w:pPr>
            <w:r w:rsidRPr="008B0B5D">
              <w:rPr>
                <w:b/>
                <w:color w:val="auto"/>
                <w:lang w:val="is-IS"/>
              </w:rPr>
              <w:t>11.</w:t>
            </w:r>
            <w:r w:rsidRPr="008B0B5D">
              <w:rPr>
                <w:b/>
                <w:color w:val="auto"/>
                <w:lang w:val="is-IS"/>
              </w:rPr>
              <w:tab/>
            </w:r>
            <w:r w:rsidR="007C7AC4" w:rsidRPr="008B0B5D">
              <w:rPr>
                <w:b/>
                <w:color w:val="auto"/>
                <w:lang w:val="is-IS"/>
              </w:rPr>
              <w:t>NAFN OG HEIMILISFANG MARKAÐSLEYFISHAFA</w:t>
            </w:r>
          </w:p>
        </w:tc>
      </w:tr>
    </w:tbl>
    <w:p w14:paraId="6A181EAE" w14:textId="77777777" w:rsidR="005F36F3" w:rsidRPr="008B0B5D" w:rsidRDefault="005F36F3" w:rsidP="0073217C">
      <w:pPr>
        <w:keepNext/>
        <w:suppressAutoHyphens/>
        <w:spacing w:after="0" w:line="240" w:lineRule="auto"/>
        <w:ind w:left="0" w:firstLine="0"/>
        <w:rPr>
          <w:lang w:val="is-IS"/>
        </w:rPr>
      </w:pPr>
    </w:p>
    <w:p w14:paraId="3A5DE064" w14:textId="77777777" w:rsidR="007B76C4" w:rsidRPr="00BD2EEF" w:rsidRDefault="007B76C4" w:rsidP="007B76C4">
      <w:pPr>
        <w:keepNext/>
        <w:spacing w:line="240" w:lineRule="auto"/>
        <w:ind w:right="-1"/>
      </w:pPr>
      <w:bookmarkStart w:id="27" w:name="_Hlk31880950"/>
      <w:r w:rsidRPr="00BD2EEF">
        <w:t xml:space="preserve">Amgen Technology </w:t>
      </w:r>
      <w:r>
        <w:t>(</w:t>
      </w:r>
      <w:r w:rsidRPr="00BD2EEF">
        <w:t>Ireland</w:t>
      </w:r>
      <w:r>
        <w:t>)</w:t>
      </w:r>
      <w:r w:rsidRPr="00BD2EEF">
        <w:t xml:space="preserve"> UC</w:t>
      </w:r>
      <w:r>
        <w:t>,</w:t>
      </w:r>
    </w:p>
    <w:p w14:paraId="3E762B61" w14:textId="77777777" w:rsidR="007B76C4" w:rsidRPr="00BD2EEF" w:rsidRDefault="007B76C4" w:rsidP="007B76C4">
      <w:pPr>
        <w:keepNext/>
        <w:spacing w:line="240" w:lineRule="auto"/>
        <w:ind w:right="-1"/>
      </w:pPr>
      <w:r w:rsidRPr="00BD2EEF">
        <w:t>Pottery Road</w:t>
      </w:r>
      <w:r>
        <w:t>,</w:t>
      </w:r>
    </w:p>
    <w:p w14:paraId="566AF3EA" w14:textId="77777777" w:rsidR="007B76C4" w:rsidRPr="00BD2EEF" w:rsidRDefault="007B76C4" w:rsidP="007B76C4">
      <w:pPr>
        <w:keepNext/>
        <w:spacing w:line="240" w:lineRule="auto"/>
        <w:ind w:right="-1"/>
      </w:pPr>
      <w:r w:rsidRPr="00BD2EEF">
        <w:t>Dun Laoghaire</w:t>
      </w:r>
      <w:r>
        <w:t>,</w:t>
      </w:r>
    </w:p>
    <w:p w14:paraId="601C4361" w14:textId="77777777" w:rsidR="007B76C4" w:rsidRPr="00BD2EEF" w:rsidRDefault="007B76C4" w:rsidP="007B76C4">
      <w:pPr>
        <w:keepNext/>
        <w:spacing w:line="240" w:lineRule="auto"/>
        <w:ind w:right="-1"/>
      </w:pPr>
      <w:r w:rsidRPr="00BD2EEF">
        <w:t>Co</w:t>
      </w:r>
      <w:r>
        <w:t>.</w:t>
      </w:r>
      <w:r w:rsidRPr="00BD2EEF">
        <w:t xml:space="preserve"> Dublin</w:t>
      </w:r>
      <w:r>
        <w:t>,</w:t>
      </w:r>
    </w:p>
    <w:bookmarkEnd w:id="27"/>
    <w:p w14:paraId="3751C53E" w14:textId="77777777" w:rsidR="007B76C4" w:rsidRPr="00DE2F73" w:rsidRDefault="007B76C4" w:rsidP="007B76C4">
      <w:pPr>
        <w:widowControl w:val="0"/>
        <w:autoSpaceDE w:val="0"/>
        <w:autoSpaceDN w:val="0"/>
        <w:adjustRightInd w:val="0"/>
      </w:pPr>
      <w:proofErr w:type="spellStart"/>
      <w:r>
        <w:t>Írland</w:t>
      </w:r>
      <w:proofErr w:type="spellEnd"/>
    </w:p>
    <w:p w14:paraId="5708AFAB" w14:textId="77777777" w:rsidR="004F5008" w:rsidRDefault="004F5008" w:rsidP="0073217C">
      <w:pPr>
        <w:suppressAutoHyphens/>
        <w:spacing w:after="0" w:line="240" w:lineRule="auto"/>
        <w:ind w:left="0" w:firstLine="0"/>
        <w:rPr>
          <w:lang w:val="is-IS"/>
        </w:rPr>
      </w:pPr>
    </w:p>
    <w:p w14:paraId="03480C4A" w14:textId="77777777" w:rsidR="00684097" w:rsidRPr="008B0B5D" w:rsidRDefault="00684097"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465727" w:rsidRPr="00465727" w14:paraId="34089F02" w14:textId="77777777" w:rsidTr="003F4B52">
        <w:tc>
          <w:tcPr>
            <w:tcW w:w="9289" w:type="dxa"/>
          </w:tcPr>
          <w:p w14:paraId="7E0C2C33" w14:textId="77777777" w:rsidR="004F5008" w:rsidRPr="008B0B5D" w:rsidRDefault="00B36A53" w:rsidP="0073217C">
            <w:pPr>
              <w:keepNext/>
              <w:suppressAutoHyphens/>
              <w:spacing w:after="0" w:line="240" w:lineRule="auto"/>
              <w:ind w:left="567" w:hanging="567"/>
              <w:rPr>
                <w:b/>
                <w:color w:val="auto"/>
                <w:lang w:val="is-IS"/>
              </w:rPr>
            </w:pPr>
            <w:r w:rsidRPr="008B0B5D">
              <w:rPr>
                <w:b/>
                <w:color w:val="auto"/>
                <w:lang w:val="is-IS"/>
              </w:rPr>
              <w:t>12.</w:t>
            </w:r>
            <w:r w:rsidRPr="008B0B5D">
              <w:rPr>
                <w:b/>
                <w:color w:val="auto"/>
                <w:lang w:val="is-IS"/>
              </w:rPr>
              <w:tab/>
            </w:r>
            <w:r w:rsidR="004F5008" w:rsidRPr="008B0B5D">
              <w:rPr>
                <w:b/>
                <w:color w:val="auto"/>
                <w:lang w:val="is-IS"/>
              </w:rPr>
              <w:t>MARKAÐSLEYFISNÚMER</w:t>
            </w:r>
          </w:p>
        </w:tc>
      </w:tr>
    </w:tbl>
    <w:p w14:paraId="49C8F1A8" w14:textId="77777777" w:rsidR="004F5008" w:rsidRPr="008B0B5D" w:rsidRDefault="004F5008" w:rsidP="0073217C">
      <w:pPr>
        <w:keepNext/>
        <w:suppressAutoHyphens/>
        <w:spacing w:after="0" w:line="240" w:lineRule="auto"/>
        <w:ind w:left="0" w:firstLine="0"/>
        <w:rPr>
          <w:lang w:val="is-IS"/>
        </w:rPr>
      </w:pPr>
    </w:p>
    <w:p w14:paraId="3CEBA362" w14:textId="77777777" w:rsidR="00CF2AF3" w:rsidRDefault="00CF2AF3" w:rsidP="00CF2AF3">
      <w:pPr>
        <w:pStyle w:val="Default"/>
        <w:rPr>
          <w:rFonts w:cs="Verdana"/>
          <w:sz w:val="22"/>
          <w:szCs w:val="22"/>
        </w:rPr>
      </w:pPr>
      <w:r w:rsidRPr="00684BBC">
        <w:rPr>
          <w:rFonts w:cs="Verdana"/>
          <w:sz w:val="22"/>
          <w:szCs w:val="22"/>
        </w:rPr>
        <w:t>EU/1/17/1246/001</w:t>
      </w:r>
    </w:p>
    <w:p w14:paraId="36E7A8EA" w14:textId="77777777" w:rsidR="002F00C2" w:rsidRPr="008B0B5D" w:rsidRDefault="002F00C2" w:rsidP="0073217C">
      <w:pPr>
        <w:suppressAutoHyphens/>
        <w:spacing w:after="0" w:line="240" w:lineRule="auto"/>
        <w:ind w:left="0" w:firstLine="0"/>
        <w:rPr>
          <w:lang w:val="is-IS"/>
        </w:rPr>
      </w:pPr>
    </w:p>
    <w:p w14:paraId="7047E954" w14:textId="77777777" w:rsidR="002F00C2" w:rsidRPr="008B0B5D" w:rsidRDefault="002F00C2"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465727" w:rsidRPr="008B0B5D" w14:paraId="5494E636" w14:textId="77777777" w:rsidTr="003F4B52">
        <w:tc>
          <w:tcPr>
            <w:tcW w:w="9289" w:type="dxa"/>
          </w:tcPr>
          <w:p w14:paraId="11CF30EE" w14:textId="77777777" w:rsidR="002F00C2" w:rsidRPr="008B0B5D" w:rsidRDefault="00B36A53" w:rsidP="0073217C">
            <w:pPr>
              <w:suppressAutoHyphens/>
              <w:spacing w:after="0" w:line="240" w:lineRule="auto"/>
              <w:ind w:left="567" w:hanging="567"/>
              <w:rPr>
                <w:b/>
                <w:color w:val="auto"/>
                <w:lang w:val="is-IS"/>
              </w:rPr>
            </w:pPr>
            <w:r w:rsidRPr="008B0B5D">
              <w:rPr>
                <w:b/>
                <w:color w:val="auto"/>
                <w:lang w:val="is-IS"/>
              </w:rPr>
              <w:t>13.</w:t>
            </w:r>
            <w:r w:rsidRPr="008B0B5D">
              <w:rPr>
                <w:b/>
                <w:color w:val="auto"/>
                <w:lang w:val="is-IS"/>
              </w:rPr>
              <w:tab/>
            </w:r>
            <w:r w:rsidR="002F00C2" w:rsidRPr="008B0B5D">
              <w:rPr>
                <w:b/>
                <w:color w:val="auto"/>
                <w:lang w:val="is-IS"/>
              </w:rPr>
              <w:t>LOTUNÚMER</w:t>
            </w:r>
          </w:p>
        </w:tc>
      </w:tr>
    </w:tbl>
    <w:p w14:paraId="6F5097F5" w14:textId="77777777" w:rsidR="002F00C2" w:rsidRPr="008B0B5D" w:rsidRDefault="002F00C2" w:rsidP="0073217C">
      <w:pPr>
        <w:keepNext/>
        <w:suppressAutoHyphens/>
        <w:spacing w:after="0" w:line="240" w:lineRule="auto"/>
        <w:ind w:left="0" w:firstLine="0"/>
        <w:rPr>
          <w:lang w:val="is-IS"/>
        </w:rPr>
      </w:pPr>
    </w:p>
    <w:p w14:paraId="01E272E4" w14:textId="77777777" w:rsidR="005F36F3" w:rsidRPr="008B0B5D" w:rsidRDefault="002F00C2" w:rsidP="0073217C">
      <w:pPr>
        <w:suppressAutoHyphens/>
        <w:spacing w:after="0" w:line="240" w:lineRule="auto"/>
        <w:ind w:left="0" w:firstLine="0"/>
        <w:rPr>
          <w:lang w:val="is-IS"/>
        </w:rPr>
      </w:pPr>
      <w:r w:rsidRPr="008B0B5D">
        <w:rPr>
          <w:lang w:val="is-IS"/>
        </w:rPr>
        <w:t>Lot</w:t>
      </w:r>
    </w:p>
    <w:p w14:paraId="675E430F" w14:textId="77777777" w:rsidR="005F36F3" w:rsidRPr="008B0B5D" w:rsidRDefault="005F36F3" w:rsidP="0073217C">
      <w:pPr>
        <w:suppressAutoHyphens/>
        <w:spacing w:after="0" w:line="240" w:lineRule="auto"/>
        <w:ind w:left="0" w:firstLine="0"/>
        <w:rPr>
          <w:lang w:val="is-IS"/>
        </w:rPr>
      </w:pPr>
    </w:p>
    <w:p w14:paraId="263F7311" w14:textId="77777777" w:rsidR="002F00C2" w:rsidRPr="008B0B5D" w:rsidRDefault="002F00C2"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465727" w:rsidRPr="00465727" w14:paraId="60601F3A" w14:textId="77777777" w:rsidTr="003F4B52">
        <w:tc>
          <w:tcPr>
            <w:tcW w:w="9289" w:type="dxa"/>
          </w:tcPr>
          <w:p w14:paraId="6B2E0AC5" w14:textId="77777777" w:rsidR="002F00C2" w:rsidRPr="008B0B5D" w:rsidRDefault="00B36A53" w:rsidP="0073217C">
            <w:pPr>
              <w:keepNext/>
              <w:suppressAutoHyphens/>
              <w:spacing w:after="0" w:line="240" w:lineRule="auto"/>
              <w:ind w:left="567" w:hanging="567"/>
              <w:rPr>
                <w:b/>
                <w:color w:val="auto"/>
                <w:lang w:val="is-IS"/>
              </w:rPr>
            </w:pPr>
            <w:r w:rsidRPr="008B0B5D">
              <w:rPr>
                <w:b/>
                <w:color w:val="auto"/>
                <w:lang w:val="is-IS"/>
              </w:rPr>
              <w:t>14.</w:t>
            </w:r>
            <w:r w:rsidRPr="008B0B5D">
              <w:rPr>
                <w:b/>
                <w:color w:val="auto"/>
                <w:lang w:val="is-IS"/>
              </w:rPr>
              <w:tab/>
            </w:r>
            <w:r w:rsidR="002F00C2" w:rsidRPr="008B0B5D">
              <w:rPr>
                <w:b/>
                <w:color w:val="auto"/>
                <w:lang w:val="is-IS"/>
              </w:rPr>
              <w:t>AFGREIÐSLUTILHÖGUN</w:t>
            </w:r>
          </w:p>
        </w:tc>
      </w:tr>
    </w:tbl>
    <w:p w14:paraId="629AD10E" w14:textId="77777777" w:rsidR="005F36F3" w:rsidRPr="008B0B5D" w:rsidRDefault="005F36F3" w:rsidP="0073217C">
      <w:pPr>
        <w:keepNext/>
        <w:suppressAutoHyphens/>
        <w:spacing w:after="0" w:line="240" w:lineRule="auto"/>
        <w:ind w:left="0" w:firstLine="0"/>
        <w:rPr>
          <w:lang w:val="is-IS"/>
        </w:rPr>
      </w:pPr>
    </w:p>
    <w:p w14:paraId="6852EFE2" w14:textId="77777777" w:rsidR="002F00C2" w:rsidRPr="008B0B5D" w:rsidRDefault="002F00C2"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465727" w:rsidRPr="00465727" w14:paraId="61A171AA" w14:textId="77777777" w:rsidTr="003F4B52">
        <w:tc>
          <w:tcPr>
            <w:tcW w:w="9289" w:type="dxa"/>
          </w:tcPr>
          <w:p w14:paraId="50C99D39" w14:textId="77777777" w:rsidR="002F00C2" w:rsidRPr="008B0B5D" w:rsidRDefault="00B36A53" w:rsidP="0073217C">
            <w:pPr>
              <w:keepNext/>
              <w:suppressAutoHyphens/>
              <w:spacing w:after="0" w:line="240" w:lineRule="auto"/>
              <w:ind w:left="567" w:hanging="567"/>
              <w:rPr>
                <w:b/>
                <w:color w:val="auto"/>
                <w:lang w:val="is-IS"/>
              </w:rPr>
            </w:pPr>
            <w:r w:rsidRPr="008B0B5D">
              <w:rPr>
                <w:b/>
                <w:color w:val="auto"/>
                <w:lang w:val="is-IS"/>
              </w:rPr>
              <w:t>15.</w:t>
            </w:r>
            <w:r w:rsidRPr="008B0B5D">
              <w:rPr>
                <w:b/>
                <w:color w:val="auto"/>
                <w:lang w:val="is-IS"/>
              </w:rPr>
              <w:tab/>
            </w:r>
            <w:r w:rsidR="002F00C2" w:rsidRPr="008B0B5D">
              <w:rPr>
                <w:b/>
                <w:color w:val="auto"/>
                <w:lang w:val="is-IS"/>
              </w:rPr>
              <w:t>NOTKUNARLEIÐBEININGAR</w:t>
            </w:r>
          </w:p>
        </w:tc>
      </w:tr>
    </w:tbl>
    <w:p w14:paraId="09927E6C" w14:textId="77777777" w:rsidR="005F36F3" w:rsidRPr="008B0B5D" w:rsidRDefault="005F36F3" w:rsidP="0073217C">
      <w:pPr>
        <w:keepNext/>
        <w:suppressAutoHyphens/>
        <w:spacing w:after="0" w:line="240" w:lineRule="auto"/>
        <w:ind w:left="0" w:firstLine="0"/>
        <w:rPr>
          <w:lang w:val="is-IS"/>
        </w:rPr>
      </w:pPr>
    </w:p>
    <w:p w14:paraId="5408ABC8" w14:textId="77777777" w:rsidR="002F00C2" w:rsidRPr="008B0B5D" w:rsidRDefault="002F00C2" w:rsidP="0073217C">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465727" w:rsidRPr="00465727" w14:paraId="4C40574A" w14:textId="77777777" w:rsidTr="003F4B52">
        <w:tc>
          <w:tcPr>
            <w:tcW w:w="9289" w:type="dxa"/>
          </w:tcPr>
          <w:p w14:paraId="6BB2FA7C" w14:textId="77777777" w:rsidR="002F00C2" w:rsidRPr="008B0B5D" w:rsidRDefault="00B36A53" w:rsidP="0073217C">
            <w:pPr>
              <w:keepNext/>
              <w:suppressAutoHyphens/>
              <w:spacing w:after="0" w:line="240" w:lineRule="auto"/>
              <w:ind w:left="567" w:hanging="567"/>
              <w:rPr>
                <w:b/>
                <w:color w:val="auto"/>
                <w:lang w:val="is-IS"/>
              </w:rPr>
            </w:pPr>
            <w:r w:rsidRPr="008B0B5D">
              <w:rPr>
                <w:b/>
                <w:color w:val="auto"/>
                <w:lang w:val="is-IS"/>
              </w:rPr>
              <w:t>16.</w:t>
            </w:r>
            <w:r w:rsidRPr="008B0B5D">
              <w:rPr>
                <w:b/>
                <w:color w:val="auto"/>
                <w:lang w:val="is-IS"/>
              </w:rPr>
              <w:tab/>
            </w:r>
            <w:r w:rsidR="002F00C2" w:rsidRPr="008B0B5D">
              <w:rPr>
                <w:b/>
                <w:color w:val="auto"/>
                <w:lang w:val="is-IS"/>
              </w:rPr>
              <w:t>UPPLÝSINGAR MEÐ BLINDRALETRI</w:t>
            </w:r>
          </w:p>
        </w:tc>
      </w:tr>
    </w:tbl>
    <w:p w14:paraId="5B618F9E" w14:textId="77777777" w:rsidR="002F00C2" w:rsidRPr="008B0B5D" w:rsidRDefault="002F00C2" w:rsidP="0073217C">
      <w:pPr>
        <w:keepNext/>
        <w:suppressAutoHyphens/>
        <w:spacing w:after="0" w:line="240" w:lineRule="auto"/>
        <w:ind w:left="0" w:firstLine="0"/>
        <w:rPr>
          <w:color w:val="auto"/>
          <w:lang w:val="is-IS"/>
        </w:rPr>
      </w:pPr>
    </w:p>
    <w:p w14:paraId="48CF8327" w14:textId="77777777" w:rsidR="005F36F3" w:rsidRPr="008B0B5D" w:rsidRDefault="002F00C2" w:rsidP="0073217C">
      <w:pPr>
        <w:suppressAutoHyphens/>
        <w:spacing w:after="0" w:line="240" w:lineRule="auto"/>
        <w:ind w:left="0" w:firstLine="0"/>
        <w:rPr>
          <w:color w:val="auto"/>
          <w:lang w:val="is-IS"/>
        </w:rPr>
      </w:pPr>
      <w:r w:rsidRPr="00DC4128">
        <w:rPr>
          <w:color w:val="auto"/>
          <w:highlight w:val="lightGray"/>
          <w:lang w:val="is-IS"/>
        </w:rPr>
        <w:t>Fallist hefur verið á rök fyrir undanþágu frá kröfu um blindraletur</w:t>
      </w:r>
      <w:r w:rsidR="00DB6482" w:rsidRPr="00DC4128">
        <w:rPr>
          <w:color w:val="auto"/>
          <w:highlight w:val="lightGray"/>
          <w:lang w:val="is-IS"/>
        </w:rPr>
        <w:t>.</w:t>
      </w:r>
    </w:p>
    <w:p w14:paraId="5BE75871" w14:textId="77777777" w:rsidR="002F00C2" w:rsidRPr="008B0B5D" w:rsidRDefault="002F00C2" w:rsidP="0073217C">
      <w:pPr>
        <w:suppressAutoHyphens/>
        <w:spacing w:after="0" w:line="240" w:lineRule="auto"/>
        <w:ind w:left="0" w:firstLine="0"/>
        <w:rPr>
          <w:color w:val="auto"/>
          <w:lang w:val="is-IS"/>
        </w:rPr>
      </w:pPr>
    </w:p>
    <w:p w14:paraId="5538C8C2" w14:textId="77777777" w:rsidR="002F00C2" w:rsidRPr="008B0B5D" w:rsidRDefault="002F00C2" w:rsidP="0073217C">
      <w:pPr>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465727" w:rsidRPr="00465727" w14:paraId="3EC9C269" w14:textId="77777777" w:rsidTr="003F4B52">
        <w:tc>
          <w:tcPr>
            <w:tcW w:w="9289" w:type="dxa"/>
          </w:tcPr>
          <w:p w14:paraId="7E7A8EEB" w14:textId="77777777" w:rsidR="002F00C2" w:rsidRPr="008B0B5D" w:rsidRDefault="00B36A53" w:rsidP="0073217C">
            <w:pPr>
              <w:keepNext/>
              <w:suppressAutoHyphens/>
              <w:spacing w:after="0" w:line="240" w:lineRule="auto"/>
              <w:ind w:left="567" w:hanging="567"/>
              <w:rPr>
                <w:b/>
                <w:color w:val="auto"/>
                <w:lang w:val="is-IS"/>
              </w:rPr>
            </w:pPr>
            <w:r w:rsidRPr="008B0B5D">
              <w:rPr>
                <w:b/>
                <w:color w:val="auto"/>
                <w:lang w:val="is-IS"/>
              </w:rPr>
              <w:t>17.</w:t>
            </w:r>
            <w:r w:rsidRPr="008B0B5D">
              <w:rPr>
                <w:b/>
                <w:color w:val="auto"/>
                <w:lang w:val="is-IS"/>
              </w:rPr>
              <w:tab/>
            </w:r>
            <w:r w:rsidR="002F00C2" w:rsidRPr="008B0B5D">
              <w:rPr>
                <w:b/>
                <w:color w:val="auto"/>
                <w:lang w:val="is-IS"/>
              </w:rPr>
              <w:t>EINKVÆMT AUÐKENNI – TVÍVÍTT STRIKAMERKI</w:t>
            </w:r>
          </w:p>
        </w:tc>
      </w:tr>
    </w:tbl>
    <w:p w14:paraId="5D34057E" w14:textId="77777777" w:rsidR="002F00C2" w:rsidRPr="008B0B5D" w:rsidRDefault="002F00C2" w:rsidP="0073217C">
      <w:pPr>
        <w:keepNext/>
        <w:suppressAutoHyphens/>
        <w:spacing w:after="0" w:line="240" w:lineRule="auto"/>
        <w:ind w:left="0" w:firstLine="0"/>
        <w:rPr>
          <w:color w:val="auto"/>
          <w:lang w:val="is-IS"/>
        </w:rPr>
      </w:pPr>
    </w:p>
    <w:p w14:paraId="2FC39A53" w14:textId="77777777" w:rsidR="005F36F3" w:rsidRPr="008B0B5D" w:rsidRDefault="002F00C2" w:rsidP="0073217C">
      <w:pPr>
        <w:suppressAutoHyphens/>
        <w:spacing w:after="0" w:line="240" w:lineRule="auto"/>
        <w:ind w:left="0" w:firstLine="0"/>
        <w:rPr>
          <w:color w:val="auto"/>
          <w:lang w:val="is-IS"/>
        </w:rPr>
      </w:pPr>
      <w:r w:rsidRPr="00DC4128">
        <w:rPr>
          <w:color w:val="auto"/>
          <w:highlight w:val="lightGray"/>
          <w:lang w:val="is-IS"/>
        </w:rPr>
        <w:t>Á pakkningunni er tvívítt strikamerki með einkvæmu auðkenni.</w:t>
      </w:r>
    </w:p>
    <w:p w14:paraId="7E043D09" w14:textId="77777777" w:rsidR="002F00C2" w:rsidRPr="008B0B5D" w:rsidRDefault="002F00C2" w:rsidP="0073217C">
      <w:pPr>
        <w:suppressAutoHyphens/>
        <w:spacing w:after="0" w:line="240" w:lineRule="auto"/>
        <w:ind w:left="0" w:firstLine="0"/>
        <w:rPr>
          <w:color w:val="auto"/>
          <w:lang w:val="is-IS"/>
        </w:rPr>
      </w:pPr>
    </w:p>
    <w:p w14:paraId="03A68F24" w14:textId="77777777" w:rsidR="002F00C2" w:rsidRPr="008B0B5D" w:rsidRDefault="002F00C2" w:rsidP="0073217C">
      <w:pPr>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465727" w:rsidRPr="00777A07" w14:paraId="23A73A67" w14:textId="77777777" w:rsidTr="003F4B52">
        <w:tc>
          <w:tcPr>
            <w:tcW w:w="9289" w:type="dxa"/>
          </w:tcPr>
          <w:p w14:paraId="27CDF7C6" w14:textId="77777777" w:rsidR="002F00C2" w:rsidRPr="008B0B5D" w:rsidRDefault="00B36A53" w:rsidP="0073217C">
            <w:pPr>
              <w:keepNext/>
              <w:suppressAutoHyphens/>
              <w:spacing w:after="0" w:line="240" w:lineRule="auto"/>
              <w:ind w:left="567" w:hanging="567"/>
              <w:rPr>
                <w:b/>
                <w:color w:val="auto"/>
                <w:lang w:val="is-IS"/>
              </w:rPr>
            </w:pPr>
            <w:r w:rsidRPr="008B0B5D">
              <w:rPr>
                <w:b/>
                <w:color w:val="auto"/>
                <w:lang w:val="is-IS"/>
              </w:rPr>
              <w:t>18.</w:t>
            </w:r>
            <w:r w:rsidRPr="008B0B5D">
              <w:rPr>
                <w:b/>
                <w:color w:val="auto"/>
                <w:lang w:val="is-IS"/>
              </w:rPr>
              <w:tab/>
            </w:r>
            <w:r w:rsidR="002F00C2" w:rsidRPr="008B0B5D">
              <w:rPr>
                <w:b/>
                <w:color w:val="auto"/>
                <w:lang w:val="is-IS"/>
              </w:rPr>
              <w:t>EINKVÆMT AUÐKENNI – UPPLÝSINGAR SEM FÓLK GETUR LESIÐ</w:t>
            </w:r>
          </w:p>
        </w:tc>
      </w:tr>
    </w:tbl>
    <w:p w14:paraId="6178423B" w14:textId="77777777" w:rsidR="005F36F3" w:rsidRPr="008B0B5D" w:rsidRDefault="005F36F3" w:rsidP="0073217C">
      <w:pPr>
        <w:keepNext/>
        <w:suppressAutoHyphens/>
        <w:spacing w:after="0" w:line="240" w:lineRule="auto"/>
        <w:ind w:left="0" w:firstLine="0"/>
        <w:rPr>
          <w:color w:val="auto"/>
          <w:lang w:val="is-IS"/>
        </w:rPr>
      </w:pPr>
    </w:p>
    <w:p w14:paraId="5D91AFD7" w14:textId="77777777" w:rsidR="002F00C2" w:rsidRPr="008B0B5D" w:rsidRDefault="001A2666" w:rsidP="0073217C">
      <w:pPr>
        <w:suppressAutoHyphens/>
        <w:spacing w:after="0" w:line="240" w:lineRule="auto"/>
        <w:ind w:left="0" w:firstLine="0"/>
        <w:rPr>
          <w:color w:val="auto"/>
          <w:lang w:val="is-IS"/>
        </w:rPr>
      </w:pPr>
      <w:r w:rsidRPr="008B0B5D">
        <w:rPr>
          <w:color w:val="auto"/>
          <w:lang w:val="is-IS"/>
        </w:rPr>
        <w:t>PC</w:t>
      </w:r>
    </w:p>
    <w:p w14:paraId="3913C637" w14:textId="77777777" w:rsidR="002F00C2" w:rsidRPr="008B0B5D" w:rsidRDefault="001A2666" w:rsidP="0073217C">
      <w:pPr>
        <w:suppressAutoHyphens/>
        <w:spacing w:after="0" w:line="240" w:lineRule="auto"/>
        <w:ind w:left="0" w:firstLine="0"/>
        <w:rPr>
          <w:color w:val="auto"/>
          <w:lang w:val="is-IS"/>
        </w:rPr>
      </w:pPr>
      <w:r w:rsidRPr="008B0B5D">
        <w:rPr>
          <w:color w:val="auto"/>
          <w:lang w:val="is-IS"/>
        </w:rPr>
        <w:t>SN</w:t>
      </w:r>
    </w:p>
    <w:p w14:paraId="46A7F02A" w14:textId="77777777" w:rsidR="00C0018C" w:rsidRPr="008B0B5D" w:rsidRDefault="001A2666" w:rsidP="0073217C">
      <w:pPr>
        <w:suppressAutoHyphens/>
        <w:spacing w:after="0" w:line="240" w:lineRule="auto"/>
        <w:ind w:left="0" w:firstLine="0"/>
        <w:rPr>
          <w:color w:val="auto"/>
          <w:lang w:val="is-IS"/>
        </w:rPr>
      </w:pPr>
      <w:r w:rsidRPr="008B0B5D">
        <w:rPr>
          <w:color w:val="auto"/>
          <w:lang w:val="is-IS"/>
        </w:rPr>
        <w:t>NN</w:t>
      </w:r>
    </w:p>
    <w:p w14:paraId="33B56056" w14:textId="77777777" w:rsidR="000572D2" w:rsidRPr="009F7642" w:rsidRDefault="000572D2" w:rsidP="0073217C">
      <w:pPr>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0572D2" w:rsidRPr="009F7642" w14:paraId="367A0875" w14:textId="77777777" w:rsidTr="003F4B52">
        <w:tc>
          <w:tcPr>
            <w:tcW w:w="9289" w:type="dxa"/>
          </w:tcPr>
          <w:p w14:paraId="503D9E5B" w14:textId="77777777" w:rsidR="000572D2" w:rsidRPr="009F7642" w:rsidRDefault="000572D2" w:rsidP="00321CD1">
            <w:pPr>
              <w:keepNext/>
              <w:suppressAutoHyphens/>
              <w:spacing w:after="0" w:line="240" w:lineRule="auto"/>
              <w:ind w:left="0" w:firstLine="0"/>
              <w:rPr>
                <w:b/>
                <w:color w:val="auto"/>
                <w:lang w:val="is-IS"/>
              </w:rPr>
            </w:pPr>
            <w:r w:rsidRPr="009F7642">
              <w:rPr>
                <w:b/>
                <w:color w:val="auto"/>
                <w:lang w:val="is-IS"/>
              </w:rPr>
              <w:lastRenderedPageBreak/>
              <w:t>LÁGMARKS UPPLÝSINGAR SEM SKULU KOMA FRAM Á INNRI UMBÚÐUM LÍTILLA EININGA</w:t>
            </w:r>
          </w:p>
          <w:p w14:paraId="66F0DE1A" w14:textId="77777777" w:rsidR="000572D2" w:rsidRPr="009F7642" w:rsidRDefault="000572D2" w:rsidP="00321CD1">
            <w:pPr>
              <w:keepNext/>
              <w:suppressAutoHyphens/>
              <w:spacing w:after="0" w:line="240" w:lineRule="auto"/>
              <w:ind w:left="0" w:firstLine="0"/>
              <w:rPr>
                <w:b/>
                <w:color w:val="auto"/>
                <w:lang w:val="is-IS"/>
              </w:rPr>
            </w:pPr>
          </w:p>
          <w:p w14:paraId="41856B81" w14:textId="77777777" w:rsidR="000572D2" w:rsidRPr="009F7642" w:rsidRDefault="000572D2" w:rsidP="00321CD1">
            <w:pPr>
              <w:keepNext/>
              <w:suppressAutoHyphens/>
              <w:spacing w:after="0" w:line="240" w:lineRule="auto"/>
              <w:ind w:left="0" w:firstLine="0"/>
              <w:rPr>
                <w:color w:val="auto"/>
                <w:lang w:val="is-IS"/>
              </w:rPr>
            </w:pPr>
            <w:r w:rsidRPr="009F7642">
              <w:rPr>
                <w:b/>
                <w:color w:val="auto"/>
                <w:lang w:val="is-IS"/>
              </w:rPr>
              <w:t>HETTUGLAS</w:t>
            </w:r>
          </w:p>
        </w:tc>
      </w:tr>
    </w:tbl>
    <w:p w14:paraId="02A34D1F" w14:textId="77777777" w:rsidR="000572D2" w:rsidRPr="009F7642" w:rsidRDefault="000572D2" w:rsidP="00321CD1">
      <w:pPr>
        <w:keepNext/>
        <w:suppressAutoHyphens/>
        <w:spacing w:after="0" w:line="240" w:lineRule="auto"/>
        <w:ind w:left="0" w:firstLine="0"/>
        <w:rPr>
          <w:color w:val="auto"/>
          <w:lang w:val="is-IS"/>
        </w:rPr>
      </w:pPr>
    </w:p>
    <w:p w14:paraId="4DD23EDB" w14:textId="77777777" w:rsidR="000572D2" w:rsidRPr="009F7642" w:rsidRDefault="000572D2" w:rsidP="00321CD1">
      <w:pPr>
        <w:keepNext/>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0572D2" w:rsidRPr="00777A07" w14:paraId="56021DD3" w14:textId="77777777" w:rsidTr="003F4B52">
        <w:tc>
          <w:tcPr>
            <w:tcW w:w="9289" w:type="dxa"/>
          </w:tcPr>
          <w:p w14:paraId="15C231ED" w14:textId="77777777" w:rsidR="000572D2" w:rsidRPr="009F7642" w:rsidRDefault="00B36A53" w:rsidP="00DF2F34">
            <w:pPr>
              <w:keepNext/>
              <w:suppressAutoHyphens/>
              <w:spacing w:after="0" w:line="240" w:lineRule="auto"/>
              <w:ind w:left="567" w:hanging="567"/>
              <w:rPr>
                <w:color w:val="auto"/>
                <w:lang w:val="is-IS"/>
              </w:rPr>
            </w:pPr>
            <w:r w:rsidRPr="009F7642">
              <w:rPr>
                <w:b/>
                <w:color w:val="auto"/>
                <w:lang w:val="is-IS"/>
              </w:rPr>
              <w:t>1.</w:t>
            </w:r>
            <w:r w:rsidRPr="009F7642">
              <w:rPr>
                <w:b/>
                <w:color w:val="auto"/>
                <w:lang w:val="is-IS"/>
              </w:rPr>
              <w:tab/>
            </w:r>
            <w:r w:rsidR="00D26B4E" w:rsidRPr="009F7642">
              <w:rPr>
                <w:b/>
                <w:color w:val="auto"/>
                <w:lang w:val="is-IS"/>
              </w:rPr>
              <w:t>HEITI LYFS OG ÍKOMULEIÐ(IR)</w:t>
            </w:r>
          </w:p>
        </w:tc>
      </w:tr>
    </w:tbl>
    <w:p w14:paraId="2A3F017E" w14:textId="77777777" w:rsidR="000572D2" w:rsidRPr="009F7642" w:rsidRDefault="000572D2" w:rsidP="00DF2F34">
      <w:pPr>
        <w:keepNext/>
        <w:suppressAutoHyphens/>
        <w:spacing w:after="0" w:line="240" w:lineRule="auto"/>
        <w:ind w:left="0" w:firstLine="0"/>
        <w:rPr>
          <w:color w:val="auto"/>
          <w:lang w:val="is-IS"/>
        </w:rPr>
      </w:pPr>
    </w:p>
    <w:p w14:paraId="4E291072" w14:textId="77777777" w:rsidR="00C81594" w:rsidRDefault="001764F7" w:rsidP="00321CD1">
      <w:pPr>
        <w:keepNext/>
        <w:suppressAutoHyphens/>
        <w:spacing w:after="0" w:line="240" w:lineRule="auto"/>
        <w:ind w:left="0" w:firstLine="0"/>
        <w:rPr>
          <w:color w:val="auto"/>
          <w:lang w:val="is-IS"/>
        </w:rPr>
      </w:pPr>
      <w:r w:rsidRPr="00F2274F">
        <w:rPr>
          <w:noProof/>
          <w:lang w:val="is-IS"/>
        </w:rPr>
        <w:t>MVASI</w:t>
      </w:r>
      <w:r w:rsidR="00730614" w:rsidRPr="009F7642">
        <w:rPr>
          <w:color w:val="auto"/>
          <w:lang w:val="is-IS"/>
        </w:rPr>
        <w:t xml:space="preserve"> 25 </w:t>
      </w:r>
      <w:r w:rsidR="00D26B4E" w:rsidRPr="009F7642">
        <w:rPr>
          <w:color w:val="auto"/>
          <w:lang w:val="is-IS"/>
        </w:rPr>
        <w:t xml:space="preserve">mg/ml </w:t>
      </w:r>
      <w:r w:rsidR="00B54A7A" w:rsidRPr="00B54A7A">
        <w:rPr>
          <w:color w:val="auto"/>
          <w:lang w:val="is-IS"/>
        </w:rPr>
        <w:t>s</w:t>
      </w:r>
      <w:r w:rsidR="00B54A7A" w:rsidRPr="007309A2">
        <w:rPr>
          <w:color w:val="auto"/>
          <w:lang w:val="is-IS"/>
        </w:rPr>
        <w:t>æft þykkni</w:t>
      </w:r>
      <w:r w:rsidR="00D26B4E" w:rsidRPr="009F7642">
        <w:rPr>
          <w:color w:val="auto"/>
          <w:lang w:val="is-IS"/>
        </w:rPr>
        <w:t xml:space="preserve"> </w:t>
      </w:r>
    </w:p>
    <w:p w14:paraId="1868BECE" w14:textId="77777777" w:rsidR="006C06D6" w:rsidRPr="009F7642" w:rsidRDefault="007C2914" w:rsidP="00321CD1">
      <w:pPr>
        <w:keepNext/>
        <w:suppressAutoHyphens/>
        <w:spacing w:after="0" w:line="240" w:lineRule="auto"/>
        <w:ind w:left="0" w:firstLine="0"/>
        <w:rPr>
          <w:color w:val="auto"/>
          <w:lang w:val="is-IS"/>
        </w:rPr>
      </w:pPr>
      <w:r w:rsidRPr="00504296">
        <w:rPr>
          <w:color w:val="auto"/>
          <w:lang w:val="is-IS"/>
        </w:rPr>
        <w:t>bevacízúm</w:t>
      </w:r>
      <w:r w:rsidRPr="009F7642">
        <w:rPr>
          <w:color w:val="auto"/>
          <w:lang w:val="is-IS"/>
        </w:rPr>
        <w:t>ab</w:t>
      </w:r>
    </w:p>
    <w:p w14:paraId="056CB311" w14:textId="77777777" w:rsidR="000572D2" w:rsidRPr="009F7642" w:rsidRDefault="00D26B4E" w:rsidP="00321CD1">
      <w:pPr>
        <w:keepNext/>
        <w:suppressAutoHyphens/>
        <w:spacing w:after="0" w:line="240" w:lineRule="auto"/>
        <w:ind w:left="0" w:firstLine="0"/>
        <w:rPr>
          <w:color w:val="auto"/>
          <w:lang w:val="is-IS"/>
        </w:rPr>
      </w:pPr>
      <w:r w:rsidRPr="009F7642">
        <w:rPr>
          <w:color w:val="auto"/>
          <w:lang w:val="is-IS"/>
        </w:rPr>
        <w:t>i.v.</w:t>
      </w:r>
    </w:p>
    <w:p w14:paraId="361E3891" w14:textId="77777777" w:rsidR="000572D2" w:rsidRPr="009F7642" w:rsidRDefault="000572D2" w:rsidP="00321CD1">
      <w:pPr>
        <w:keepNext/>
        <w:suppressAutoHyphens/>
        <w:spacing w:after="0" w:line="240" w:lineRule="auto"/>
        <w:ind w:left="0" w:firstLine="0"/>
        <w:rPr>
          <w:color w:val="auto"/>
          <w:lang w:val="is-IS"/>
        </w:rPr>
      </w:pPr>
    </w:p>
    <w:p w14:paraId="406CDEA7" w14:textId="77777777" w:rsidR="000572D2" w:rsidRPr="009F7642" w:rsidRDefault="000572D2" w:rsidP="00321CD1">
      <w:pPr>
        <w:keepNext/>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26B4E" w:rsidRPr="009F7642" w14:paraId="2F912EBE" w14:textId="77777777" w:rsidTr="003F4B52">
        <w:tc>
          <w:tcPr>
            <w:tcW w:w="9289" w:type="dxa"/>
          </w:tcPr>
          <w:p w14:paraId="2BA68D8D" w14:textId="77777777" w:rsidR="00D26B4E" w:rsidRPr="009F7642" w:rsidRDefault="00B36A53" w:rsidP="00DF2F34">
            <w:pPr>
              <w:keepNext/>
              <w:suppressAutoHyphens/>
              <w:spacing w:after="0" w:line="240" w:lineRule="auto"/>
              <w:ind w:left="567" w:hanging="567"/>
              <w:rPr>
                <w:b/>
                <w:color w:val="auto"/>
                <w:lang w:val="is-IS"/>
              </w:rPr>
            </w:pPr>
            <w:r w:rsidRPr="009F7642">
              <w:rPr>
                <w:b/>
                <w:color w:val="auto"/>
                <w:lang w:val="is-IS"/>
              </w:rPr>
              <w:t>2.</w:t>
            </w:r>
            <w:r w:rsidRPr="009F7642">
              <w:rPr>
                <w:b/>
                <w:color w:val="auto"/>
                <w:lang w:val="is-IS"/>
              </w:rPr>
              <w:tab/>
            </w:r>
            <w:r w:rsidR="00D26B4E" w:rsidRPr="009F7642">
              <w:rPr>
                <w:b/>
                <w:color w:val="auto"/>
                <w:lang w:val="is-IS"/>
              </w:rPr>
              <w:t>AÐFERÐ VIÐ LYFJAGJÖF</w:t>
            </w:r>
          </w:p>
        </w:tc>
      </w:tr>
    </w:tbl>
    <w:p w14:paraId="6FBB04AA" w14:textId="77777777" w:rsidR="000572D2" w:rsidRPr="009F7642" w:rsidRDefault="000572D2" w:rsidP="00DF2F34">
      <w:pPr>
        <w:keepNext/>
        <w:suppressAutoHyphens/>
        <w:spacing w:after="0" w:line="240" w:lineRule="auto"/>
        <w:ind w:left="0" w:firstLine="0"/>
        <w:rPr>
          <w:color w:val="auto"/>
          <w:lang w:val="is-IS"/>
        </w:rPr>
      </w:pPr>
    </w:p>
    <w:p w14:paraId="74AEDF32" w14:textId="77777777" w:rsidR="005F36F3" w:rsidRPr="009F7642" w:rsidRDefault="005F36F3" w:rsidP="00321CD1">
      <w:pPr>
        <w:keepNext/>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26B4E" w:rsidRPr="009F7642" w14:paraId="153C4461" w14:textId="77777777" w:rsidTr="003F4B52">
        <w:tc>
          <w:tcPr>
            <w:tcW w:w="9289" w:type="dxa"/>
          </w:tcPr>
          <w:p w14:paraId="73B581AA" w14:textId="77777777" w:rsidR="00D26B4E" w:rsidRPr="009F7642" w:rsidRDefault="00B36A53" w:rsidP="00DF2F34">
            <w:pPr>
              <w:keepNext/>
              <w:suppressAutoHyphens/>
              <w:spacing w:after="0" w:line="240" w:lineRule="auto"/>
              <w:ind w:left="567" w:hanging="567"/>
              <w:rPr>
                <w:b/>
                <w:color w:val="auto"/>
                <w:lang w:val="is-IS"/>
              </w:rPr>
            </w:pPr>
            <w:r w:rsidRPr="009F7642">
              <w:rPr>
                <w:b/>
                <w:color w:val="auto"/>
                <w:lang w:val="is-IS"/>
              </w:rPr>
              <w:t>3.</w:t>
            </w:r>
            <w:r w:rsidRPr="009F7642">
              <w:rPr>
                <w:b/>
                <w:color w:val="auto"/>
                <w:lang w:val="is-IS"/>
              </w:rPr>
              <w:tab/>
            </w:r>
            <w:r w:rsidR="00D26B4E" w:rsidRPr="009F7642">
              <w:rPr>
                <w:b/>
                <w:color w:val="auto"/>
                <w:lang w:val="is-IS"/>
              </w:rPr>
              <w:t>FYRNINGARDAGSETNING</w:t>
            </w:r>
          </w:p>
        </w:tc>
      </w:tr>
    </w:tbl>
    <w:p w14:paraId="44180D30" w14:textId="77777777" w:rsidR="005F36F3" w:rsidRPr="009F7642" w:rsidRDefault="005F36F3" w:rsidP="00DF2F34">
      <w:pPr>
        <w:keepNext/>
        <w:suppressAutoHyphens/>
        <w:spacing w:after="0" w:line="240" w:lineRule="auto"/>
        <w:ind w:left="0" w:firstLine="0"/>
        <w:rPr>
          <w:color w:val="auto"/>
          <w:lang w:val="is-IS"/>
        </w:rPr>
      </w:pPr>
    </w:p>
    <w:p w14:paraId="69BEBD02" w14:textId="77777777" w:rsidR="005F36F3" w:rsidRPr="009F7642" w:rsidRDefault="00D26B4E" w:rsidP="00321CD1">
      <w:pPr>
        <w:keepNext/>
        <w:suppressAutoHyphens/>
        <w:spacing w:after="0" w:line="240" w:lineRule="auto"/>
        <w:ind w:left="0" w:firstLine="0"/>
        <w:rPr>
          <w:color w:val="auto"/>
          <w:lang w:val="is-IS"/>
        </w:rPr>
      </w:pPr>
      <w:r w:rsidRPr="009F7642">
        <w:rPr>
          <w:color w:val="auto"/>
          <w:lang w:val="is-IS"/>
        </w:rPr>
        <w:t>EXP</w:t>
      </w:r>
    </w:p>
    <w:p w14:paraId="5565D602" w14:textId="77777777" w:rsidR="005F36F3" w:rsidRPr="009F7642" w:rsidRDefault="005F36F3" w:rsidP="00321CD1">
      <w:pPr>
        <w:keepNext/>
        <w:suppressAutoHyphens/>
        <w:spacing w:after="0" w:line="240" w:lineRule="auto"/>
        <w:ind w:left="0" w:firstLine="0"/>
        <w:rPr>
          <w:color w:val="auto"/>
          <w:lang w:val="is-IS"/>
        </w:rPr>
      </w:pPr>
    </w:p>
    <w:p w14:paraId="3ECFF43A" w14:textId="77777777" w:rsidR="005F36F3" w:rsidRPr="009F7642" w:rsidRDefault="005F36F3" w:rsidP="00321CD1">
      <w:pPr>
        <w:keepNext/>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26B4E" w:rsidRPr="009F7642" w14:paraId="077982E0" w14:textId="77777777" w:rsidTr="003F4B52">
        <w:tc>
          <w:tcPr>
            <w:tcW w:w="9289" w:type="dxa"/>
          </w:tcPr>
          <w:p w14:paraId="4AD92551" w14:textId="77777777" w:rsidR="00D26B4E" w:rsidRPr="009F7642" w:rsidRDefault="00B36A53" w:rsidP="00DF2F34">
            <w:pPr>
              <w:keepNext/>
              <w:suppressAutoHyphens/>
              <w:spacing w:after="0" w:line="240" w:lineRule="auto"/>
              <w:ind w:left="567" w:hanging="567"/>
              <w:rPr>
                <w:b/>
                <w:color w:val="auto"/>
                <w:lang w:val="is-IS"/>
              </w:rPr>
            </w:pPr>
            <w:r w:rsidRPr="009F7642">
              <w:rPr>
                <w:b/>
                <w:color w:val="auto"/>
                <w:lang w:val="is-IS"/>
              </w:rPr>
              <w:t>4.</w:t>
            </w:r>
            <w:r w:rsidRPr="009F7642">
              <w:rPr>
                <w:b/>
                <w:color w:val="auto"/>
                <w:lang w:val="is-IS"/>
              </w:rPr>
              <w:tab/>
            </w:r>
            <w:r w:rsidR="00D26B4E" w:rsidRPr="009F7642">
              <w:rPr>
                <w:b/>
                <w:color w:val="auto"/>
                <w:lang w:val="is-IS"/>
              </w:rPr>
              <w:t>LOTUNÚMER</w:t>
            </w:r>
          </w:p>
        </w:tc>
      </w:tr>
    </w:tbl>
    <w:p w14:paraId="5B9E74CF" w14:textId="77777777" w:rsidR="005F36F3" w:rsidRPr="009F7642" w:rsidRDefault="005F36F3" w:rsidP="00321CD1">
      <w:pPr>
        <w:keepNext/>
        <w:suppressAutoHyphens/>
        <w:spacing w:after="0" w:line="240" w:lineRule="auto"/>
        <w:ind w:left="0" w:firstLine="0"/>
        <w:rPr>
          <w:color w:val="auto"/>
          <w:lang w:val="is-IS"/>
        </w:rPr>
      </w:pPr>
    </w:p>
    <w:p w14:paraId="68F41432" w14:textId="77777777" w:rsidR="005F36F3" w:rsidRPr="009F7642" w:rsidRDefault="00D26B4E" w:rsidP="00321CD1">
      <w:pPr>
        <w:keepNext/>
        <w:suppressAutoHyphens/>
        <w:spacing w:after="0" w:line="240" w:lineRule="auto"/>
        <w:ind w:left="0" w:firstLine="0"/>
        <w:rPr>
          <w:color w:val="auto"/>
          <w:lang w:val="is-IS"/>
        </w:rPr>
      </w:pPr>
      <w:r w:rsidRPr="009F7642">
        <w:rPr>
          <w:color w:val="auto"/>
          <w:lang w:val="is-IS"/>
        </w:rPr>
        <w:t>Lot</w:t>
      </w:r>
    </w:p>
    <w:p w14:paraId="76B7AAB0" w14:textId="77777777" w:rsidR="00D26B4E" w:rsidRPr="009F7642" w:rsidRDefault="00D26B4E" w:rsidP="00321CD1">
      <w:pPr>
        <w:keepNext/>
        <w:suppressAutoHyphens/>
        <w:spacing w:after="0" w:line="240" w:lineRule="auto"/>
        <w:ind w:left="0" w:firstLine="0"/>
        <w:rPr>
          <w:color w:val="auto"/>
          <w:lang w:val="is-IS"/>
        </w:rPr>
      </w:pPr>
    </w:p>
    <w:p w14:paraId="7F1C0AAF" w14:textId="77777777" w:rsidR="00D26B4E" w:rsidRPr="009F7642" w:rsidRDefault="00D26B4E" w:rsidP="00321CD1">
      <w:pPr>
        <w:keepNext/>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26B4E" w:rsidRPr="00777A07" w14:paraId="40EA372E" w14:textId="77777777" w:rsidTr="003F4B52">
        <w:tc>
          <w:tcPr>
            <w:tcW w:w="9289" w:type="dxa"/>
          </w:tcPr>
          <w:p w14:paraId="71D2D960" w14:textId="77777777" w:rsidR="00D26B4E" w:rsidRPr="009F7642" w:rsidRDefault="00B36A53" w:rsidP="00DF2F34">
            <w:pPr>
              <w:keepNext/>
              <w:suppressAutoHyphens/>
              <w:spacing w:after="0" w:line="240" w:lineRule="auto"/>
              <w:ind w:left="567" w:hanging="567"/>
              <w:rPr>
                <w:b/>
                <w:color w:val="auto"/>
                <w:lang w:val="is-IS"/>
              </w:rPr>
            </w:pPr>
            <w:r w:rsidRPr="009F7642">
              <w:rPr>
                <w:b/>
                <w:color w:val="auto"/>
                <w:lang w:val="is-IS"/>
              </w:rPr>
              <w:t>5.</w:t>
            </w:r>
            <w:r w:rsidRPr="009F7642">
              <w:rPr>
                <w:b/>
                <w:color w:val="auto"/>
                <w:lang w:val="is-IS"/>
              </w:rPr>
              <w:tab/>
            </w:r>
            <w:r w:rsidR="00D26B4E" w:rsidRPr="009F7642">
              <w:rPr>
                <w:b/>
                <w:color w:val="auto"/>
                <w:lang w:val="is-IS"/>
              </w:rPr>
              <w:t>INNIHALD TILGREINT SEM ÞYNGD, RÚMMÁL EÐA FJÖLDI EININGA</w:t>
            </w:r>
          </w:p>
        </w:tc>
      </w:tr>
    </w:tbl>
    <w:p w14:paraId="7453AA90" w14:textId="77777777" w:rsidR="005F36F3" w:rsidRPr="009F7642" w:rsidRDefault="005F36F3" w:rsidP="00DF2F34">
      <w:pPr>
        <w:keepNext/>
        <w:suppressAutoHyphens/>
        <w:spacing w:after="0" w:line="240" w:lineRule="auto"/>
        <w:ind w:left="0" w:firstLine="0"/>
        <w:rPr>
          <w:color w:val="auto"/>
          <w:lang w:val="is-IS"/>
        </w:rPr>
      </w:pPr>
    </w:p>
    <w:p w14:paraId="48C341C2" w14:textId="77777777" w:rsidR="005F36F3" w:rsidRPr="009F7642" w:rsidRDefault="00730614" w:rsidP="00321CD1">
      <w:pPr>
        <w:keepNext/>
        <w:suppressAutoHyphens/>
        <w:spacing w:after="0" w:line="240" w:lineRule="auto"/>
        <w:ind w:left="0" w:firstLine="0"/>
        <w:rPr>
          <w:color w:val="auto"/>
          <w:lang w:val="is-IS"/>
        </w:rPr>
      </w:pPr>
      <w:r w:rsidRPr="009F7642">
        <w:rPr>
          <w:color w:val="auto"/>
          <w:lang w:val="is-IS"/>
        </w:rPr>
        <w:t>100 mg/4 </w:t>
      </w:r>
      <w:r w:rsidR="00D26B4E" w:rsidRPr="009F7642">
        <w:rPr>
          <w:color w:val="auto"/>
          <w:lang w:val="is-IS"/>
        </w:rPr>
        <w:t>ml</w:t>
      </w:r>
    </w:p>
    <w:p w14:paraId="05BE9B9A" w14:textId="77777777" w:rsidR="00D26B4E" w:rsidRPr="009F7642" w:rsidRDefault="00D26B4E" w:rsidP="00321CD1">
      <w:pPr>
        <w:keepNext/>
        <w:suppressAutoHyphens/>
        <w:spacing w:after="0" w:line="240" w:lineRule="auto"/>
        <w:ind w:left="0" w:firstLine="0"/>
        <w:rPr>
          <w:color w:val="auto"/>
          <w:lang w:val="is-IS"/>
        </w:rPr>
      </w:pPr>
    </w:p>
    <w:p w14:paraId="7C641A8A" w14:textId="77777777" w:rsidR="00D26B4E" w:rsidRPr="009F7642" w:rsidRDefault="00D26B4E" w:rsidP="00321CD1">
      <w:pPr>
        <w:keepNext/>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D26B4E" w:rsidRPr="009F7642" w14:paraId="6CACA3BB" w14:textId="77777777" w:rsidTr="003F4B52">
        <w:tc>
          <w:tcPr>
            <w:tcW w:w="9289" w:type="dxa"/>
          </w:tcPr>
          <w:p w14:paraId="275B17CC" w14:textId="77777777" w:rsidR="00D26B4E" w:rsidRPr="009F7642" w:rsidRDefault="00B36A53" w:rsidP="0073217C">
            <w:pPr>
              <w:keepNext/>
              <w:suppressAutoHyphens/>
              <w:spacing w:after="0" w:line="240" w:lineRule="auto"/>
              <w:ind w:left="567" w:hanging="567"/>
              <w:rPr>
                <w:b/>
                <w:color w:val="auto"/>
                <w:lang w:val="is-IS"/>
              </w:rPr>
            </w:pPr>
            <w:r w:rsidRPr="009F7642">
              <w:rPr>
                <w:b/>
                <w:color w:val="auto"/>
                <w:lang w:val="is-IS"/>
              </w:rPr>
              <w:t>6.</w:t>
            </w:r>
            <w:r w:rsidRPr="009F7642">
              <w:rPr>
                <w:b/>
                <w:color w:val="auto"/>
                <w:lang w:val="is-IS"/>
              </w:rPr>
              <w:tab/>
            </w:r>
            <w:r w:rsidR="00D26B4E" w:rsidRPr="009F7642">
              <w:rPr>
                <w:b/>
                <w:color w:val="auto"/>
                <w:lang w:val="is-IS"/>
              </w:rPr>
              <w:t>ANNAÐ</w:t>
            </w:r>
          </w:p>
        </w:tc>
      </w:tr>
    </w:tbl>
    <w:p w14:paraId="361226BC" w14:textId="77777777" w:rsidR="00BB392D" w:rsidRDefault="00BB392D" w:rsidP="0073217C">
      <w:pPr>
        <w:keepNext/>
        <w:suppressAutoHyphens/>
        <w:spacing w:after="0" w:line="240" w:lineRule="auto"/>
        <w:ind w:left="0" w:firstLine="0"/>
        <w:rPr>
          <w:color w:val="auto"/>
          <w:lang w:val="is-IS"/>
        </w:rPr>
      </w:pPr>
    </w:p>
    <w:p w14:paraId="7164C00D" w14:textId="77777777" w:rsidR="00CA0492" w:rsidRPr="009F7642" w:rsidRDefault="00CA0492" w:rsidP="0073217C">
      <w:pPr>
        <w:suppressAutoHyphens/>
        <w:spacing w:after="0" w:line="240" w:lineRule="auto"/>
        <w:ind w:left="0" w:firstLine="0"/>
        <w:rPr>
          <w:color w:val="auto"/>
          <w:lang w:val="is-IS"/>
        </w:rPr>
      </w:pPr>
    </w:p>
    <w:p w14:paraId="4128B70C" w14:textId="77777777" w:rsidR="00CF2AF3" w:rsidRPr="008B0B5D" w:rsidRDefault="00BB392D" w:rsidP="00CF2AF3">
      <w:pPr>
        <w:suppressAutoHyphens/>
        <w:spacing w:after="0" w:line="240" w:lineRule="auto"/>
        <w:ind w:left="0" w:firstLine="0"/>
        <w:rPr>
          <w:lang w:val="is-IS"/>
        </w:rPr>
      </w:pPr>
      <w:r w:rsidRPr="009F7642">
        <w:rPr>
          <w:color w:val="auto"/>
          <w:lang w:val="is-I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F2AF3" w:rsidRPr="008B0B5D" w14:paraId="31D2A2E3" w14:textId="77777777" w:rsidTr="006A795C">
        <w:tc>
          <w:tcPr>
            <w:tcW w:w="9289" w:type="dxa"/>
          </w:tcPr>
          <w:p w14:paraId="520318CE" w14:textId="77777777" w:rsidR="00CF2AF3" w:rsidRPr="008B0B5D" w:rsidRDefault="00CF2AF3" w:rsidP="006A795C">
            <w:pPr>
              <w:suppressAutoHyphens/>
              <w:spacing w:after="0" w:line="240" w:lineRule="auto"/>
              <w:ind w:left="0" w:firstLine="0"/>
              <w:rPr>
                <w:b/>
                <w:lang w:val="is-IS"/>
              </w:rPr>
            </w:pPr>
            <w:r w:rsidRPr="008B0B5D">
              <w:rPr>
                <w:b/>
                <w:lang w:val="is-IS"/>
              </w:rPr>
              <w:lastRenderedPageBreak/>
              <w:t>UPPLÝSINGAR SEM EIGA AÐ KOMA FRAM Á YTRI UMBÚÐUM</w:t>
            </w:r>
          </w:p>
          <w:p w14:paraId="5BDB81AF" w14:textId="77777777" w:rsidR="00CF2AF3" w:rsidRPr="008B0B5D" w:rsidRDefault="00CF2AF3" w:rsidP="006A795C">
            <w:pPr>
              <w:suppressAutoHyphens/>
              <w:spacing w:after="0" w:line="240" w:lineRule="auto"/>
              <w:ind w:left="0" w:firstLine="0"/>
              <w:rPr>
                <w:b/>
                <w:lang w:val="is-IS"/>
              </w:rPr>
            </w:pPr>
          </w:p>
          <w:p w14:paraId="0F0AF12A" w14:textId="77777777" w:rsidR="00CF2AF3" w:rsidRPr="008B0B5D" w:rsidRDefault="00CF2AF3" w:rsidP="006A795C">
            <w:pPr>
              <w:suppressAutoHyphens/>
              <w:spacing w:after="0" w:line="240" w:lineRule="auto"/>
              <w:ind w:left="0" w:firstLine="0"/>
              <w:rPr>
                <w:b/>
                <w:lang w:val="is-IS"/>
              </w:rPr>
            </w:pPr>
            <w:r w:rsidRPr="008B0B5D">
              <w:rPr>
                <w:b/>
                <w:lang w:val="is-IS"/>
              </w:rPr>
              <w:t>ASKJA</w:t>
            </w:r>
          </w:p>
        </w:tc>
      </w:tr>
    </w:tbl>
    <w:p w14:paraId="78BFB501" w14:textId="77777777" w:rsidR="00CF2AF3" w:rsidRPr="008B0B5D" w:rsidRDefault="00CF2AF3" w:rsidP="00CF2AF3">
      <w:pPr>
        <w:suppressAutoHyphens/>
        <w:spacing w:after="0" w:line="240" w:lineRule="auto"/>
        <w:ind w:left="0" w:firstLine="0"/>
        <w:rPr>
          <w:lang w:val="is-IS"/>
        </w:rPr>
      </w:pPr>
    </w:p>
    <w:p w14:paraId="6D8FDFB2"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8B0B5D" w14:paraId="791ABC04" w14:textId="77777777" w:rsidTr="006A795C">
        <w:tc>
          <w:tcPr>
            <w:tcW w:w="9288" w:type="dxa"/>
          </w:tcPr>
          <w:p w14:paraId="4385A514" w14:textId="77777777" w:rsidR="00CF2AF3" w:rsidRPr="008B0B5D" w:rsidRDefault="00CF2AF3" w:rsidP="006A795C">
            <w:pPr>
              <w:keepNext/>
              <w:suppressAutoHyphens/>
              <w:spacing w:after="0" w:line="240" w:lineRule="auto"/>
              <w:ind w:left="567" w:hanging="567"/>
              <w:rPr>
                <w:color w:val="auto"/>
                <w:lang w:val="is-IS"/>
              </w:rPr>
            </w:pPr>
            <w:r w:rsidRPr="008B0B5D">
              <w:rPr>
                <w:b/>
                <w:color w:val="auto"/>
                <w:lang w:val="is-IS"/>
              </w:rPr>
              <w:t>1.</w:t>
            </w:r>
            <w:r w:rsidRPr="008B0B5D">
              <w:rPr>
                <w:b/>
                <w:color w:val="auto"/>
                <w:lang w:val="is-IS"/>
              </w:rPr>
              <w:tab/>
              <w:t>HEITI LYFS</w:t>
            </w:r>
          </w:p>
        </w:tc>
      </w:tr>
    </w:tbl>
    <w:p w14:paraId="11ABD7CC" w14:textId="77777777" w:rsidR="00CF2AF3" w:rsidRPr="008B0B5D" w:rsidRDefault="00CF2AF3" w:rsidP="00CF2AF3">
      <w:pPr>
        <w:keepNext/>
        <w:suppressAutoHyphens/>
        <w:spacing w:after="0" w:line="240" w:lineRule="auto"/>
        <w:ind w:left="0" w:firstLine="0"/>
        <w:rPr>
          <w:lang w:val="is-IS"/>
        </w:rPr>
      </w:pPr>
    </w:p>
    <w:p w14:paraId="088267C8" w14:textId="77777777" w:rsidR="00CF2AF3" w:rsidRPr="008B0B5D" w:rsidRDefault="00CF2AF3" w:rsidP="00CF2AF3">
      <w:pPr>
        <w:suppressAutoHyphens/>
        <w:spacing w:after="0" w:line="240" w:lineRule="auto"/>
        <w:ind w:left="0" w:firstLine="0"/>
        <w:rPr>
          <w:lang w:val="is-IS"/>
        </w:rPr>
      </w:pPr>
      <w:r>
        <w:rPr>
          <w:lang w:val="is-IS"/>
        </w:rPr>
        <w:t>MVASI</w:t>
      </w:r>
      <w:r w:rsidRPr="008B0B5D">
        <w:rPr>
          <w:lang w:val="is-IS"/>
        </w:rPr>
        <w:t xml:space="preserve"> 25 mg/ml innrennslisþykkni, lausn</w:t>
      </w:r>
    </w:p>
    <w:p w14:paraId="0DD41FC1" w14:textId="77777777" w:rsidR="00CF2AF3" w:rsidRPr="008B0B5D" w:rsidRDefault="00CF2AF3" w:rsidP="00CF2AF3">
      <w:pPr>
        <w:suppressAutoHyphens/>
        <w:spacing w:after="0" w:line="240" w:lineRule="auto"/>
        <w:ind w:left="0" w:firstLine="0"/>
        <w:rPr>
          <w:lang w:val="is-IS"/>
        </w:rPr>
      </w:pPr>
      <w:r w:rsidRPr="00504296">
        <w:rPr>
          <w:lang w:val="is-IS"/>
        </w:rPr>
        <w:t>bevacízúmab</w:t>
      </w:r>
    </w:p>
    <w:p w14:paraId="1DD2D627" w14:textId="77777777" w:rsidR="00CF2AF3" w:rsidRPr="008B0B5D" w:rsidRDefault="00CF2AF3" w:rsidP="00CF2AF3">
      <w:pPr>
        <w:suppressAutoHyphens/>
        <w:spacing w:after="0" w:line="240" w:lineRule="auto"/>
        <w:ind w:left="0" w:firstLine="0"/>
        <w:rPr>
          <w:lang w:val="is-IS"/>
        </w:rPr>
      </w:pPr>
    </w:p>
    <w:p w14:paraId="3C6E61FF"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8B0B5D" w14:paraId="5F4A9EE3" w14:textId="77777777" w:rsidTr="006A795C">
        <w:tc>
          <w:tcPr>
            <w:tcW w:w="9289" w:type="dxa"/>
          </w:tcPr>
          <w:p w14:paraId="71B24694"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2.</w:t>
            </w:r>
            <w:r w:rsidRPr="008B0B5D">
              <w:rPr>
                <w:b/>
                <w:color w:val="auto"/>
                <w:lang w:val="is-IS"/>
              </w:rPr>
              <w:tab/>
              <w:t>VIRK(T) EFNI</w:t>
            </w:r>
          </w:p>
        </w:tc>
      </w:tr>
    </w:tbl>
    <w:p w14:paraId="4CBE65DF" w14:textId="77777777" w:rsidR="00CF2AF3" w:rsidRPr="008B0B5D" w:rsidRDefault="00CF2AF3" w:rsidP="00CF2AF3">
      <w:pPr>
        <w:keepNext/>
        <w:suppressAutoHyphens/>
        <w:spacing w:after="0" w:line="240" w:lineRule="auto"/>
        <w:ind w:left="0" w:firstLine="0"/>
        <w:rPr>
          <w:lang w:val="is-IS"/>
        </w:rPr>
      </w:pPr>
    </w:p>
    <w:p w14:paraId="3F56FC12" w14:textId="1E2FCADD" w:rsidR="00CF2AF3" w:rsidRPr="00321CD1" w:rsidRDefault="00CF2AF3" w:rsidP="00CF2AF3">
      <w:pPr>
        <w:suppressAutoHyphens/>
        <w:spacing w:after="0" w:line="240" w:lineRule="auto"/>
        <w:ind w:left="0" w:firstLine="0"/>
        <w:rPr>
          <w:noProof/>
          <w:lang w:val="is-IS"/>
        </w:rPr>
      </w:pPr>
      <w:r w:rsidRPr="00321CD1">
        <w:rPr>
          <w:noProof/>
          <w:lang w:val="is-IS"/>
        </w:rPr>
        <w:t>Hvert 16 ml hettuglas með þykkni inniheldur 400 mg af bevacízúmabi.</w:t>
      </w:r>
    </w:p>
    <w:p w14:paraId="07111323" w14:textId="77777777" w:rsidR="00CF2AF3" w:rsidRDefault="00CF2AF3" w:rsidP="00CF2AF3">
      <w:pPr>
        <w:suppressAutoHyphens/>
        <w:spacing w:after="0" w:line="240" w:lineRule="auto"/>
        <w:ind w:left="0" w:firstLine="0"/>
        <w:rPr>
          <w:color w:val="auto"/>
          <w:lang w:val="is-IS"/>
        </w:rPr>
      </w:pPr>
    </w:p>
    <w:p w14:paraId="3517DBF7" w14:textId="77777777" w:rsidR="00CF2AF3" w:rsidRPr="009F7642" w:rsidRDefault="00CF2AF3" w:rsidP="00CF2AF3">
      <w:pPr>
        <w:suppressAutoHyphens/>
        <w:spacing w:after="0" w:line="240" w:lineRule="auto"/>
        <w:ind w:left="0" w:firstLine="0"/>
        <w:rPr>
          <w:color w:val="auto"/>
          <w:lang w:val="is-IS"/>
        </w:rPr>
      </w:pPr>
      <w:r w:rsidRPr="00321CD1">
        <w:rPr>
          <w:noProof/>
        </w:rPr>
        <w:t>400 mg/16 ml</w:t>
      </w:r>
    </w:p>
    <w:p w14:paraId="6F5E59AF" w14:textId="77777777" w:rsidR="00CF2AF3" w:rsidRDefault="00CF2AF3" w:rsidP="00CF2AF3">
      <w:pPr>
        <w:suppressAutoHyphens/>
        <w:spacing w:after="0" w:line="240" w:lineRule="auto"/>
        <w:ind w:left="0" w:firstLine="0"/>
        <w:rPr>
          <w:lang w:val="is-IS"/>
        </w:rPr>
      </w:pPr>
    </w:p>
    <w:p w14:paraId="11A38F4E"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8B0B5D" w14:paraId="5D143718" w14:textId="77777777" w:rsidTr="006A795C">
        <w:tc>
          <w:tcPr>
            <w:tcW w:w="9289" w:type="dxa"/>
          </w:tcPr>
          <w:p w14:paraId="4ABD5936"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3.</w:t>
            </w:r>
            <w:r w:rsidRPr="008B0B5D">
              <w:rPr>
                <w:b/>
                <w:color w:val="auto"/>
                <w:lang w:val="is-IS"/>
              </w:rPr>
              <w:tab/>
              <w:t>HJÁLPAREFNI</w:t>
            </w:r>
          </w:p>
        </w:tc>
      </w:tr>
    </w:tbl>
    <w:p w14:paraId="6B9282AF" w14:textId="77777777" w:rsidR="00CF2AF3" w:rsidRPr="008B0B5D" w:rsidRDefault="00CF2AF3" w:rsidP="00CF2AF3">
      <w:pPr>
        <w:keepNext/>
        <w:suppressAutoHyphens/>
        <w:spacing w:after="0" w:line="240" w:lineRule="auto"/>
        <w:ind w:left="0" w:firstLine="0"/>
        <w:rPr>
          <w:lang w:val="is-IS"/>
        </w:rPr>
      </w:pPr>
    </w:p>
    <w:p w14:paraId="6EAC7426" w14:textId="77777777" w:rsidR="00CF2AF3" w:rsidRPr="008B0B5D" w:rsidRDefault="00CF2AF3" w:rsidP="00CF2AF3">
      <w:pPr>
        <w:suppressAutoHyphens/>
        <w:spacing w:after="0" w:line="240" w:lineRule="auto"/>
        <w:ind w:left="0" w:firstLine="0"/>
        <w:rPr>
          <w:lang w:val="is-IS"/>
        </w:rPr>
      </w:pPr>
      <w:r w:rsidRPr="008B0B5D">
        <w:rPr>
          <w:lang w:val="is-IS"/>
        </w:rPr>
        <w:t>Trehalós díhýdrat, natríum fosfat, pólýsorbat 20, vatn fyrir stungulyf.</w:t>
      </w:r>
    </w:p>
    <w:p w14:paraId="68F0CA51" w14:textId="77777777" w:rsidR="00CF2AF3" w:rsidRPr="008B0B5D" w:rsidRDefault="00CF2AF3" w:rsidP="00CF2AF3">
      <w:pPr>
        <w:suppressAutoHyphens/>
        <w:spacing w:after="0" w:line="240" w:lineRule="auto"/>
        <w:ind w:left="0" w:firstLine="0"/>
        <w:rPr>
          <w:lang w:val="is-IS"/>
        </w:rPr>
      </w:pPr>
    </w:p>
    <w:p w14:paraId="788E70A5"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8B0B5D" w14:paraId="717E840C" w14:textId="77777777" w:rsidTr="006A795C">
        <w:tc>
          <w:tcPr>
            <w:tcW w:w="9289" w:type="dxa"/>
          </w:tcPr>
          <w:p w14:paraId="0B846760"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4.</w:t>
            </w:r>
            <w:r w:rsidRPr="008B0B5D">
              <w:rPr>
                <w:b/>
                <w:color w:val="auto"/>
                <w:lang w:val="is-IS"/>
              </w:rPr>
              <w:tab/>
              <w:t>LYFJAFORM OG INNIHALD</w:t>
            </w:r>
          </w:p>
        </w:tc>
      </w:tr>
    </w:tbl>
    <w:p w14:paraId="1D9CA6B7" w14:textId="77777777" w:rsidR="00CF2AF3" w:rsidRPr="008B0B5D" w:rsidRDefault="00CF2AF3" w:rsidP="00CF2AF3">
      <w:pPr>
        <w:keepNext/>
        <w:suppressAutoHyphens/>
        <w:spacing w:after="0" w:line="240" w:lineRule="auto"/>
        <w:ind w:left="0" w:firstLine="0"/>
        <w:rPr>
          <w:lang w:val="is-IS"/>
        </w:rPr>
      </w:pPr>
    </w:p>
    <w:p w14:paraId="1DB472C1" w14:textId="77777777" w:rsidR="00CF2AF3" w:rsidRPr="008B0B5D" w:rsidRDefault="00CF2AF3" w:rsidP="00CF2AF3">
      <w:pPr>
        <w:suppressAutoHyphens/>
        <w:spacing w:after="0" w:line="240" w:lineRule="auto"/>
        <w:ind w:left="0" w:firstLine="0"/>
        <w:rPr>
          <w:lang w:val="is-IS"/>
        </w:rPr>
      </w:pPr>
      <w:r w:rsidRPr="00DC4128">
        <w:rPr>
          <w:highlight w:val="lightGray"/>
          <w:lang w:val="is-IS"/>
        </w:rPr>
        <w:t>Innrennslisþykkni, lausn.</w:t>
      </w:r>
    </w:p>
    <w:p w14:paraId="2EA31966" w14:textId="77777777" w:rsidR="00CF2AF3" w:rsidRPr="008B0B5D" w:rsidRDefault="00CF2AF3" w:rsidP="00CF2AF3">
      <w:pPr>
        <w:suppressAutoHyphens/>
        <w:spacing w:after="0" w:line="240" w:lineRule="auto"/>
        <w:ind w:left="0" w:firstLine="0"/>
        <w:rPr>
          <w:lang w:val="is-IS"/>
        </w:rPr>
      </w:pPr>
      <w:r w:rsidRPr="008B0B5D">
        <w:rPr>
          <w:lang w:val="is-IS"/>
        </w:rPr>
        <w:t>1 hettuglas</w:t>
      </w:r>
    </w:p>
    <w:p w14:paraId="42123C3D" w14:textId="77777777" w:rsidR="00CF2AF3" w:rsidRPr="008B0B5D" w:rsidRDefault="00CF2AF3" w:rsidP="00CF2AF3">
      <w:pPr>
        <w:suppressAutoHyphens/>
        <w:spacing w:after="0" w:line="240" w:lineRule="auto"/>
        <w:ind w:left="0" w:firstLine="0"/>
        <w:rPr>
          <w:lang w:val="is-IS"/>
        </w:rPr>
      </w:pPr>
    </w:p>
    <w:p w14:paraId="509DD65D"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777A07" w14:paraId="693C66D5" w14:textId="77777777" w:rsidTr="006A795C">
        <w:tc>
          <w:tcPr>
            <w:tcW w:w="9289" w:type="dxa"/>
          </w:tcPr>
          <w:p w14:paraId="52357E55"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5.</w:t>
            </w:r>
            <w:r w:rsidRPr="008B0B5D">
              <w:rPr>
                <w:b/>
                <w:color w:val="auto"/>
                <w:lang w:val="is-IS"/>
              </w:rPr>
              <w:tab/>
              <w:t>AÐFERÐ VIÐ LYFJAGJÖF OG ÍKOMULEIÐ(IR)</w:t>
            </w:r>
          </w:p>
        </w:tc>
      </w:tr>
    </w:tbl>
    <w:p w14:paraId="4D41DF0E" w14:textId="77777777" w:rsidR="00CF2AF3" w:rsidRPr="008B0B5D" w:rsidRDefault="00CF2AF3" w:rsidP="00CF2AF3">
      <w:pPr>
        <w:keepNext/>
        <w:suppressAutoHyphens/>
        <w:spacing w:after="0" w:line="240" w:lineRule="auto"/>
        <w:ind w:left="0" w:firstLine="0"/>
        <w:rPr>
          <w:lang w:val="is-IS"/>
        </w:rPr>
      </w:pPr>
    </w:p>
    <w:p w14:paraId="73170894" w14:textId="77777777" w:rsidR="00CF2AF3" w:rsidRPr="008B0B5D" w:rsidRDefault="00CF2AF3" w:rsidP="00CF2AF3">
      <w:pPr>
        <w:suppressAutoHyphens/>
        <w:spacing w:after="0" w:line="240" w:lineRule="auto"/>
        <w:ind w:left="0" w:firstLine="0"/>
        <w:rPr>
          <w:lang w:val="is-IS"/>
        </w:rPr>
      </w:pPr>
      <w:r w:rsidRPr="008B0B5D">
        <w:rPr>
          <w:lang w:val="is-IS"/>
        </w:rPr>
        <w:t>Til notkunar í bláæð eftir þynningu.</w:t>
      </w:r>
    </w:p>
    <w:p w14:paraId="55B11691" w14:textId="77777777" w:rsidR="00CF2AF3" w:rsidRPr="008B0B5D" w:rsidRDefault="00CF2AF3" w:rsidP="00CF2AF3">
      <w:pPr>
        <w:suppressAutoHyphens/>
        <w:spacing w:after="0" w:line="240" w:lineRule="auto"/>
        <w:ind w:left="0" w:firstLine="0"/>
        <w:rPr>
          <w:lang w:val="is-IS"/>
        </w:rPr>
      </w:pPr>
      <w:r w:rsidRPr="008B0B5D">
        <w:rPr>
          <w:lang w:val="is-IS"/>
        </w:rPr>
        <w:t>Lesið fylgiseðilinn fyrir notkun.</w:t>
      </w:r>
    </w:p>
    <w:p w14:paraId="05BB9BCF" w14:textId="77777777" w:rsidR="00CF2AF3" w:rsidRPr="008B0B5D" w:rsidRDefault="00CF2AF3" w:rsidP="00CF2AF3">
      <w:pPr>
        <w:suppressAutoHyphens/>
        <w:spacing w:after="0" w:line="240" w:lineRule="auto"/>
        <w:ind w:left="0" w:firstLine="0"/>
        <w:rPr>
          <w:lang w:val="is-IS"/>
        </w:rPr>
      </w:pPr>
    </w:p>
    <w:p w14:paraId="09551398"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777A07" w14:paraId="09111153" w14:textId="77777777" w:rsidTr="006A795C">
        <w:tc>
          <w:tcPr>
            <w:tcW w:w="9289" w:type="dxa"/>
          </w:tcPr>
          <w:p w14:paraId="1FDD54F5"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6.</w:t>
            </w:r>
            <w:r w:rsidRPr="008B0B5D">
              <w:rPr>
                <w:b/>
                <w:color w:val="auto"/>
                <w:lang w:val="is-IS"/>
              </w:rPr>
              <w:tab/>
              <w:t>SÉRSTÖK VARNAÐARORÐ UM AÐ LYFIÐ SKULI GEYMT ÞAR SEM BÖRN HVORKI NÁ TIL NÉ SJÁ</w:t>
            </w:r>
          </w:p>
        </w:tc>
      </w:tr>
    </w:tbl>
    <w:p w14:paraId="6ED25A37" w14:textId="77777777" w:rsidR="00CF2AF3" w:rsidRPr="008B0B5D" w:rsidRDefault="00CF2AF3" w:rsidP="00CF2AF3">
      <w:pPr>
        <w:keepNext/>
        <w:suppressAutoHyphens/>
        <w:spacing w:after="0" w:line="240" w:lineRule="auto"/>
        <w:ind w:left="0" w:firstLine="0"/>
        <w:rPr>
          <w:lang w:val="is-IS"/>
        </w:rPr>
      </w:pPr>
    </w:p>
    <w:p w14:paraId="16DBF19C" w14:textId="77777777" w:rsidR="00CF2AF3" w:rsidRPr="008B0B5D" w:rsidRDefault="00CF2AF3" w:rsidP="00CF2AF3">
      <w:pPr>
        <w:suppressAutoHyphens/>
        <w:spacing w:after="0" w:line="240" w:lineRule="auto"/>
        <w:ind w:left="0" w:firstLine="0"/>
        <w:rPr>
          <w:lang w:val="is-IS"/>
        </w:rPr>
      </w:pPr>
      <w:r w:rsidRPr="008B0B5D">
        <w:rPr>
          <w:lang w:val="is-IS"/>
        </w:rPr>
        <w:t>Geymið þar sem börn hvorki ná til né sjá.</w:t>
      </w:r>
    </w:p>
    <w:p w14:paraId="0ED0AA71" w14:textId="77777777" w:rsidR="00CF2AF3" w:rsidRPr="008B0B5D" w:rsidRDefault="00CF2AF3" w:rsidP="00CF2AF3">
      <w:pPr>
        <w:suppressAutoHyphens/>
        <w:spacing w:after="0" w:line="240" w:lineRule="auto"/>
        <w:ind w:left="0" w:firstLine="0"/>
        <w:rPr>
          <w:lang w:val="is-IS"/>
        </w:rPr>
      </w:pPr>
    </w:p>
    <w:p w14:paraId="76277070"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777A07" w14:paraId="516EEA8F" w14:textId="77777777" w:rsidTr="006A795C">
        <w:tc>
          <w:tcPr>
            <w:tcW w:w="9289" w:type="dxa"/>
          </w:tcPr>
          <w:p w14:paraId="62116C26"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7.</w:t>
            </w:r>
            <w:r w:rsidRPr="008B0B5D">
              <w:rPr>
                <w:b/>
                <w:color w:val="auto"/>
                <w:lang w:val="is-IS"/>
              </w:rPr>
              <w:tab/>
              <w:t>ÖNNUR SÉRSTÖK VARNAÐARORÐ, EF MEÐ ÞARF</w:t>
            </w:r>
          </w:p>
        </w:tc>
      </w:tr>
    </w:tbl>
    <w:p w14:paraId="27295A59" w14:textId="77777777" w:rsidR="00CF2AF3" w:rsidRPr="008B0B5D" w:rsidRDefault="00CF2AF3" w:rsidP="00CF2AF3">
      <w:pPr>
        <w:keepNext/>
        <w:suppressAutoHyphens/>
        <w:spacing w:after="0" w:line="240" w:lineRule="auto"/>
        <w:ind w:left="0" w:firstLine="0"/>
        <w:rPr>
          <w:lang w:val="is-IS"/>
        </w:rPr>
      </w:pPr>
    </w:p>
    <w:p w14:paraId="787BDF78"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8B0B5D" w14:paraId="7E00B981" w14:textId="77777777" w:rsidTr="006A795C">
        <w:tc>
          <w:tcPr>
            <w:tcW w:w="9289" w:type="dxa"/>
          </w:tcPr>
          <w:p w14:paraId="43390850"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8.</w:t>
            </w:r>
            <w:r w:rsidRPr="008B0B5D">
              <w:rPr>
                <w:b/>
                <w:color w:val="auto"/>
                <w:lang w:val="is-IS"/>
              </w:rPr>
              <w:tab/>
              <w:t>FYRNINGARDAGSETNING</w:t>
            </w:r>
          </w:p>
        </w:tc>
      </w:tr>
    </w:tbl>
    <w:p w14:paraId="7CD97EE6" w14:textId="77777777" w:rsidR="00CF2AF3" w:rsidRPr="008B0B5D" w:rsidRDefault="00CF2AF3" w:rsidP="00CF2AF3">
      <w:pPr>
        <w:keepNext/>
        <w:suppressAutoHyphens/>
        <w:spacing w:after="0" w:line="240" w:lineRule="auto"/>
        <w:ind w:left="0" w:firstLine="0"/>
        <w:rPr>
          <w:lang w:val="is-IS"/>
        </w:rPr>
      </w:pPr>
    </w:p>
    <w:p w14:paraId="3EE63344" w14:textId="77777777" w:rsidR="00CF2AF3" w:rsidRPr="008B0B5D" w:rsidRDefault="00CF2AF3" w:rsidP="00CF2AF3">
      <w:pPr>
        <w:suppressAutoHyphens/>
        <w:spacing w:after="0" w:line="240" w:lineRule="auto"/>
        <w:ind w:left="0" w:firstLine="0"/>
        <w:rPr>
          <w:lang w:val="is-IS"/>
        </w:rPr>
      </w:pPr>
      <w:r w:rsidRPr="008B0B5D">
        <w:rPr>
          <w:lang w:val="is-IS"/>
        </w:rPr>
        <w:t>EXP</w:t>
      </w:r>
    </w:p>
    <w:p w14:paraId="20499F55" w14:textId="77777777" w:rsidR="00CF2AF3" w:rsidRPr="008B0B5D" w:rsidRDefault="00CF2AF3" w:rsidP="00CF2AF3">
      <w:pPr>
        <w:suppressAutoHyphens/>
        <w:spacing w:after="0" w:line="240" w:lineRule="auto"/>
        <w:ind w:left="0" w:firstLine="0"/>
        <w:rPr>
          <w:lang w:val="is-IS"/>
        </w:rPr>
      </w:pPr>
    </w:p>
    <w:p w14:paraId="43723B5F"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8B0B5D" w14:paraId="49BC50A0" w14:textId="77777777" w:rsidTr="006A795C">
        <w:tc>
          <w:tcPr>
            <w:tcW w:w="9289" w:type="dxa"/>
          </w:tcPr>
          <w:p w14:paraId="105C8DE5"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9.</w:t>
            </w:r>
            <w:r w:rsidRPr="008B0B5D">
              <w:rPr>
                <w:b/>
                <w:color w:val="auto"/>
                <w:lang w:val="is-IS"/>
              </w:rPr>
              <w:tab/>
              <w:t>SÉRSTÖK GEYMSLUSKILYRÐI</w:t>
            </w:r>
          </w:p>
        </w:tc>
      </w:tr>
    </w:tbl>
    <w:p w14:paraId="586DDA13" w14:textId="77777777" w:rsidR="00CF2AF3" w:rsidRPr="008B0B5D" w:rsidRDefault="00CF2AF3" w:rsidP="00CF2AF3">
      <w:pPr>
        <w:keepNext/>
        <w:suppressAutoHyphens/>
        <w:spacing w:after="0" w:line="240" w:lineRule="auto"/>
        <w:ind w:left="0" w:firstLine="0"/>
        <w:rPr>
          <w:lang w:val="is-IS"/>
        </w:rPr>
      </w:pPr>
    </w:p>
    <w:p w14:paraId="0953DD7A" w14:textId="77777777" w:rsidR="00CF2AF3" w:rsidRDefault="00CF2AF3" w:rsidP="00CF2AF3">
      <w:pPr>
        <w:keepNext/>
        <w:suppressAutoHyphens/>
        <w:spacing w:after="0" w:line="240" w:lineRule="auto"/>
        <w:ind w:left="0" w:firstLine="0"/>
        <w:rPr>
          <w:lang w:val="is-IS"/>
        </w:rPr>
      </w:pPr>
      <w:r w:rsidRPr="008B0B5D">
        <w:rPr>
          <w:lang w:val="is-IS"/>
        </w:rPr>
        <w:t>Geymið í kæli.</w:t>
      </w:r>
      <w:r w:rsidRPr="008B0B5D" w:rsidDel="00605F95">
        <w:rPr>
          <w:lang w:val="is-IS"/>
        </w:rPr>
        <w:t xml:space="preserve"> </w:t>
      </w:r>
    </w:p>
    <w:p w14:paraId="71644B3D" w14:textId="77777777" w:rsidR="00CF2AF3" w:rsidRPr="008B0B5D" w:rsidRDefault="00CF2AF3" w:rsidP="00CF2AF3">
      <w:pPr>
        <w:keepNext/>
        <w:suppressAutoHyphens/>
        <w:spacing w:after="0" w:line="240" w:lineRule="auto"/>
        <w:ind w:left="0" w:firstLine="0"/>
        <w:rPr>
          <w:lang w:val="is-IS"/>
        </w:rPr>
      </w:pPr>
      <w:r w:rsidRPr="008B0B5D">
        <w:rPr>
          <w:lang w:val="is-IS"/>
        </w:rPr>
        <w:t>Má ekki frjósa.</w:t>
      </w:r>
    </w:p>
    <w:p w14:paraId="2FA74CA9" w14:textId="77777777" w:rsidR="00CF2AF3" w:rsidRPr="008B0B5D" w:rsidRDefault="00CF2AF3" w:rsidP="00CF2AF3">
      <w:pPr>
        <w:suppressAutoHyphens/>
        <w:spacing w:after="0" w:line="240" w:lineRule="auto"/>
        <w:ind w:left="0" w:firstLine="0"/>
        <w:rPr>
          <w:lang w:val="is-IS"/>
        </w:rPr>
      </w:pPr>
      <w:r w:rsidRPr="008B0B5D">
        <w:rPr>
          <w:lang w:val="is-IS"/>
        </w:rPr>
        <w:t>Geymið í ytri umbúðum</w:t>
      </w:r>
      <w:r>
        <w:rPr>
          <w:lang w:val="is-IS"/>
        </w:rPr>
        <w:t xml:space="preserve"> til varnar gegn ljósi</w:t>
      </w:r>
      <w:r w:rsidRPr="008B0B5D">
        <w:rPr>
          <w:lang w:val="is-IS"/>
        </w:rPr>
        <w:t>.</w:t>
      </w:r>
    </w:p>
    <w:p w14:paraId="4034BFA5" w14:textId="77777777" w:rsidR="00CF2AF3" w:rsidRPr="008B0B5D" w:rsidRDefault="00CF2AF3" w:rsidP="00CF2AF3">
      <w:pPr>
        <w:suppressAutoHyphens/>
        <w:spacing w:after="0" w:line="240" w:lineRule="auto"/>
        <w:ind w:left="0" w:firstLine="0"/>
        <w:rPr>
          <w:lang w:val="is-IS"/>
        </w:rPr>
      </w:pPr>
    </w:p>
    <w:p w14:paraId="42A8E506"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777A07" w14:paraId="5AB7EFD1" w14:textId="77777777" w:rsidTr="006A795C">
        <w:tc>
          <w:tcPr>
            <w:tcW w:w="9289" w:type="dxa"/>
          </w:tcPr>
          <w:p w14:paraId="6466E6FA"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lastRenderedPageBreak/>
              <w:t>10.</w:t>
            </w:r>
            <w:r w:rsidRPr="008B0B5D">
              <w:rPr>
                <w:b/>
                <w:color w:val="auto"/>
                <w:lang w:val="is-IS"/>
              </w:rPr>
              <w:tab/>
              <w:t>SÉRSTAKAR VARÚÐARRÁÐSTAFANIR VIÐ FÖRGUN LYFJALEIFA EÐA ÚRGANGS VEGNA LYFSINS ÞAR SEM VIÐ Á</w:t>
            </w:r>
          </w:p>
        </w:tc>
      </w:tr>
    </w:tbl>
    <w:p w14:paraId="5D780D73" w14:textId="77777777" w:rsidR="00CF2AF3" w:rsidRPr="008B0B5D" w:rsidRDefault="00CF2AF3" w:rsidP="00CF2AF3">
      <w:pPr>
        <w:keepNext/>
        <w:suppressAutoHyphens/>
        <w:spacing w:after="0" w:line="240" w:lineRule="auto"/>
        <w:ind w:left="0" w:firstLine="0"/>
        <w:rPr>
          <w:lang w:val="is-IS"/>
        </w:rPr>
      </w:pPr>
    </w:p>
    <w:p w14:paraId="61A8DD86"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8B0B5D" w14:paraId="1A87BD2C" w14:textId="77777777" w:rsidTr="006A795C">
        <w:tc>
          <w:tcPr>
            <w:tcW w:w="9289" w:type="dxa"/>
          </w:tcPr>
          <w:p w14:paraId="26475B56"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11.</w:t>
            </w:r>
            <w:r w:rsidRPr="008B0B5D">
              <w:rPr>
                <w:b/>
                <w:color w:val="auto"/>
                <w:lang w:val="is-IS"/>
              </w:rPr>
              <w:tab/>
              <w:t>NAFN OG HEIMILISFANG MARKAÐSLEYFISHAFA</w:t>
            </w:r>
          </w:p>
        </w:tc>
      </w:tr>
    </w:tbl>
    <w:p w14:paraId="64710D09" w14:textId="77777777" w:rsidR="00CF2AF3" w:rsidRPr="008B0B5D" w:rsidRDefault="00CF2AF3" w:rsidP="00CF2AF3">
      <w:pPr>
        <w:keepNext/>
        <w:suppressAutoHyphens/>
        <w:spacing w:after="0" w:line="240" w:lineRule="auto"/>
        <w:ind w:left="0" w:firstLine="0"/>
        <w:rPr>
          <w:lang w:val="is-IS"/>
        </w:rPr>
      </w:pPr>
    </w:p>
    <w:p w14:paraId="600DFA1E" w14:textId="77777777" w:rsidR="007B76C4" w:rsidRPr="00BD2EEF" w:rsidRDefault="007B76C4" w:rsidP="007B76C4">
      <w:pPr>
        <w:keepNext/>
        <w:spacing w:line="240" w:lineRule="auto"/>
        <w:ind w:right="-1"/>
      </w:pPr>
      <w:bookmarkStart w:id="28" w:name="_Hlk31881020"/>
      <w:r w:rsidRPr="00BD2EEF">
        <w:t xml:space="preserve">Amgen Technology </w:t>
      </w:r>
      <w:r>
        <w:t>(</w:t>
      </w:r>
      <w:r w:rsidRPr="00BD2EEF">
        <w:t>Ireland</w:t>
      </w:r>
      <w:r>
        <w:t>)</w:t>
      </w:r>
      <w:r w:rsidRPr="00BD2EEF">
        <w:t xml:space="preserve"> UC</w:t>
      </w:r>
      <w:r>
        <w:t>,</w:t>
      </w:r>
    </w:p>
    <w:p w14:paraId="134147AA" w14:textId="77777777" w:rsidR="007B76C4" w:rsidRPr="00BD2EEF" w:rsidRDefault="007B76C4" w:rsidP="007B76C4">
      <w:pPr>
        <w:keepNext/>
        <w:spacing w:line="240" w:lineRule="auto"/>
        <w:ind w:right="-1"/>
      </w:pPr>
      <w:r w:rsidRPr="00BD2EEF">
        <w:t>Pottery Road</w:t>
      </w:r>
      <w:r>
        <w:t>,</w:t>
      </w:r>
    </w:p>
    <w:p w14:paraId="4A66F469" w14:textId="77777777" w:rsidR="007B76C4" w:rsidRPr="00BD2EEF" w:rsidRDefault="007B76C4" w:rsidP="007B76C4">
      <w:pPr>
        <w:keepNext/>
        <w:spacing w:line="240" w:lineRule="auto"/>
        <w:ind w:right="-1"/>
      </w:pPr>
      <w:r w:rsidRPr="00BD2EEF">
        <w:t>Dun Laoghaire</w:t>
      </w:r>
      <w:r>
        <w:t>,</w:t>
      </w:r>
    </w:p>
    <w:p w14:paraId="6ABB4E10" w14:textId="77777777" w:rsidR="007B76C4" w:rsidRPr="00BD2EEF" w:rsidRDefault="007B76C4" w:rsidP="007B76C4">
      <w:pPr>
        <w:keepNext/>
        <w:spacing w:line="240" w:lineRule="auto"/>
        <w:ind w:right="-1"/>
      </w:pPr>
      <w:r w:rsidRPr="00BD2EEF">
        <w:t>Co</w:t>
      </w:r>
      <w:r>
        <w:t>.</w:t>
      </w:r>
      <w:r w:rsidRPr="00BD2EEF">
        <w:t xml:space="preserve"> Dublin</w:t>
      </w:r>
      <w:r>
        <w:t>,</w:t>
      </w:r>
    </w:p>
    <w:bookmarkEnd w:id="28"/>
    <w:p w14:paraId="2EAEA790" w14:textId="77777777" w:rsidR="007B76C4" w:rsidRPr="00DE2F73" w:rsidRDefault="007B76C4" w:rsidP="007B76C4">
      <w:pPr>
        <w:widowControl w:val="0"/>
        <w:autoSpaceDE w:val="0"/>
        <w:autoSpaceDN w:val="0"/>
        <w:adjustRightInd w:val="0"/>
      </w:pPr>
      <w:proofErr w:type="spellStart"/>
      <w:r>
        <w:t>Írland</w:t>
      </w:r>
      <w:proofErr w:type="spellEnd"/>
    </w:p>
    <w:p w14:paraId="7D5EFA6D" w14:textId="77777777" w:rsidR="00CF2AF3" w:rsidRDefault="00CF2AF3" w:rsidP="00CF2AF3">
      <w:pPr>
        <w:suppressAutoHyphens/>
        <w:spacing w:after="0" w:line="240" w:lineRule="auto"/>
        <w:ind w:left="0" w:firstLine="0"/>
        <w:rPr>
          <w:lang w:val="is-IS"/>
        </w:rPr>
      </w:pPr>
    </w:p>
    <w:p w14:paraId="3FBA33DD"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465727" w14:paraId="5B9BBE3A" w14:textId="77777777" w:rsidTr="006A795C">
        <w:tc>
          <w:tcPr>
            <w:tcW w:w="9289" w:type="dxa"/>
          </w:tcPr>
          <w:p w14:paraId="65648052"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12.</w:t>
            </w:r>
            <w:r w:rsidRPr="008B0B5D">
              <w:rPr>
                <w:b/>
                <w:color w:val="auto"/>
                <w:lang w:val="is-IS"/>
              </w:rPr>
              <w:tab/>
              <w:t>MARKAÐSLEYFISNÚMER</w:t>
            </w:r>
          </w:p>
        </w:tc>
      </w:tr>
    </w:tbl>
    <w:p w14:paraId="00DD9B41" w14:textId="77777777" w:rsidR="00CF2AF3" w:rsidRPr="008B0B5D" w:rsidRDefault="00CF2AF3" w:rsidP="00CF2AF3">
      <w:pPr>
        <w:keepNext/>
        <w:suppressAutoHyphens/>
        <w:spacing w:after="0" w:line="240" w:lineRule="auto"/>
        <w:ind w:left="0" w:firstLine="0"/>
        <w:rPr>
          <w:lang w:val="is-IS"/>
        </w:rPr>
      </w:pPr>
    </w:p>
    <w:p w14:paraId="5099BA78" w14:textId="77777777" w:rsidR="00CF2AF3" w:rsidRPr="00321CD1" w:rsidRDefault="00CF2AF3" w:rsidP="00321CD1">
      <w:pPr>
        <w:pStyle w:val="Default"/>
        <w:rPr>
          <w:sz w:val="22"/>
          <w:szCs w:val="22"/>
        </w:rPr>
      </w:pPr>
      <w:r>
        <w:rPr>
          <w:rFonts w:cs="Verdana"/>
          <w:sz w:val="22"/>
          <w:szCs w:val="22"/>
        </w:rPr>
        <w:t>EU/1/17/1246/002</w:t>
      </w:r>
    </w:p>
    <w:p w14:paraId="34936DBB" w14:textId="77777777" w:rsidR="00CF2AF3" w:rsidRPr="008B0B5D" w:rsidRDefault="00CF2AF3" w:rsidP="00CF2AF3">
      <w:pPr>
        <w:suppressAutoHyphens/>
        <w:spacing w:after="0" w:line="240" w:lineRule="auto"/>
        <w:ind w:left="0" w:firstLine="0"/>
        <w:rPr>
          <w:lang w:val="is-IS"/>
        </w:rPr>
      </w:pPr>
    </w:p>
    <w:p w14:paraId="16E55F99"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8B0B5D" w14:paraId="77799312" w14:textId="77777777" w:rsidTr="006A795C">
        <w:tc>
          <w:tcPr>
            <w:tcW w:w="9289" w:type="dxa"/>
          </w:tcPr>
          <w:p w14:paraId="7891410D" w14:textId="77777777" w:rsidR="00CF2AF3" w:rsidRPr="008B0B5D" w:rsidRDefault="00CF2AF3" w:rsidP="006A795C">
            <w:pPr>
              <w:suppressAutoHyphens/>
              <w:spacing w:after="0" w:line="240" w:lineRule="auto"/>
              <w:ind w:left="567" w:hanging="567"/>
              <w:rPr>
                <w:b/>
                <w:color w:val="auto"/>
                <w:lang w:val="is-IS"/>
              </w:rPr>
            </w:pPr>
            <w:r w:rsidRPr="008B0B5D">
              <w:rPr>
                <w:b/>
                <w:color w:val="auto"/>
                <w:lang w:val="is-IS"/>
              </w:rPr>
              <w:t>13.</w:t>
            </w:r>
            <w:r w:rsidRPr="008B0B5D">
              <w:rPr>
                <w:b/>
                <w:color w:val="auto"/>
                <w:lang w:val="is-IS"/>
              </w:rPr>
              <w:tab/>
              <w:t>LOTUNÚMER</w:t>
            </w:r>
          </w:p>
        </w:tc>
      </w:tr>
    </w:tbl>
    <w:p w14:paraId="0E0C036B" w14:textId="77777777" w:rsidR="00CF2AF3" w:rsidRPr="008B0B5D" w:rsidRDefault="00CF2AF3" w:rsidP="00CF2AF3">
      <w:pPr>
        <w:keepNext/>
        <w:suppressAutoHyphens/>
        <w:spacing w:after="0" w:line="240" w:lineRule="auto"/>
        <w:ind w:left="0" w:firstLine="0"/>
        <w:rPr>
          <w:lang w:val="is-IS"/>
        </w:rPr>
      </w:pPr>
    </w:p>
    <w:p w14:paraId="7DEBC64E" w14:textId="77777777" w:rsidR="00CF2AF3" w:rsidRPr="008B0B5D" w:rsidRDefault="00CF2AF3" w:rsidP="00CF2AF3">
      <w:pPr>
        <w:suppressAutoHyphens/>
        <w:spacing w:after="0" w:line="240" w:lineRule="auto"/>
        <w:ind w:left="0" w:firstLine="0"/>
        <w:rPr>
          <w:lang w:val="is-IS"/>
        </w:rPr>
      </w:pPr>
      <w:r w:rsidRPr="008B0B5D">
        <w:rPr>
          <w:lang w:val="is-IS"/>
        </w:rPr>
        <w:t>Lot</w:t>
      </w:r>
    </w:p>
    <w:p w14:paraId="5923A581" w14:textId="77777777" w:rsidR="00CF2AF3" w:rsidRPr="008B0B5D" w:rsidRDefault="00CF2AF3" w:rsidP="00CF2AF3">
      <w:pPr>
        <w:suppressAutoHyphens/>
        <w:spacing w:after="0" w:line="240" w:lineRule="auto"/>
        <w:ind w:left="0" w:firstLine="0"/>
        <w:rPr>
          <w:lang w:val="is-IS"/>
        </w:rPr>
      </w:pPr>
    </w:p>
    <w:p w14:paraId="479139C7"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465727" w14:paraId="3E324727" w14:textId="77777777" w:rsidTr="006A795C">
        <w:tc>
          <w:tcPr>
            <w:tcW w:w="9289" w:type="dxa"/>
          </w:tcPr>
          <w:p w14:paraId="2962610F"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14.</w:t>
            </w:r>
            <w:r w:rsidRPr="008B0B5D">
              <w:rPr>
                <w:b/>
                <w:color w:val="auto"/>
                <w:lang w:val="is-IS"/>
              </w:rPr>
              <w:tab/>
              <w:t>AFGREIÐSLUTILHÖGUN</w:t>
            </w:r>
          </w:p>
        </w:tc>
      </w:tr>
    </w:tbl>
    <w:p w14:paraId="29E080AE" w14:textId="77777777" w:rsidR="00CF2AF3" w:rsidRPr="008B0B5D" w:rsidRDefault="00CF2AF3" w:rsidP="00CF2AF3">
      <w:pPr>
        <w:keepNext/>
        <w:suppressAutoHyphens/>
        <w:spacing w:after="0" w:line="240" w:lineRule="auto"/>
        <w:ind w:left="0" w:firstLine="0"/>
        <w:rPr>
          <w:lang w:val="is-IS"/>
        </w:rPr>
      </w:pPr>
    </w:p>
    <w:p w14:paraId="24B56110"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465727" w14:paraId="4B7A9693" w14:textId="77777777" w:rsidTr="006A795C">
        <w:tc>
          <w:tcPr>
            <w:tcW w:w="9289" w:type="dxa"/>
          </w:tcPr>
          <w:p w14:paraId="5D597216"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15.</w:t>
            </w:r>
            <w:r w:rsidRPr="008B0B5D">
              <w:rPr>
                <w:b/>
                <w:color w:val="auto"/>
                <w:lang w:val="is-IS"/>
              </w:rPr>
              <w:tab/>
              <w:t>NOTKUNARLEIÐBEININGAR</w:t>
            </w:r>
          </w:p>
        </w:tc>
      </w:tr>
    </w:tbl>
    <w:p w14:paraId="38EF646A" w14:textId="77777777" w:rsidR="00CF2AF3" w:rsidRPr="008B0B5D" w:rsidRDefault="00CF2AF3" w:rsidP="00CF2AF3">
      <w:pPr>
        <w:keepNext/>
        <w:suppressAutoHyphens/>
        <w:spacing w:after="0" w:line="240" w:lineRule="auto"/>
        <w:ind w:left="0" w:firstLine="0"/>
        <w:rPr>
          <w:lang w:val="is-IS"/>
        </w:rPr>
      </w:pPr>
    </w:p>
    <w:p w14:paraId="52EBF645" w14:textId="77777777" w:rsidR="00CF2AF3" w:rsidRPr="008B0B5D" w:rsidRDefault="00CF2AF3" w:rsidP="00CF2AF3">
      <w:pPr>
        <w:suppressAutoHyphens/>
        <w:spacing w:after="0" w:line="240" w:lineRule="auto"/>
        <w:ind w:left="0" w:firstLine="0"/>
        <w:rPr>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465727" w14:paraId="40EE25CD" w14:textId="77777777" w:rsidTr="006A795C">
        <w:tc>
          <w:tcPr>
            <w:tcW w:w="9289" w:type="dxa"/>
          </w:tcPr>
          <w:p w14:paraId="4153A502"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16.</w:t>
            </w:r>
            <w:r w:rsidRPr="008B0B5D">
              <w:rPr>
                <w:b/>
                <w:color w:val="auto"/>
                <w:lang w:val="is-IS"/>
              </w:rPr>
              <w:tab/>
              <w:t>UPPLÝSINGAR MEÐ BLINDRALETRI</w:t>
            </w:r>
          </w:p>
        </w:tc>
      </w:tr>
    </w:tbl>
    <w:p w14:paraId="0B2D0EC7" w14:textId="77777777" w:rsidR="00CF2AF3" w:rsidRPr="008B0B5D" w:rsidRDefault="00CF2AF3" w:rsidP="00CF2AF3">
      <w:pPr>
        <w:keepNext/>
        <w:suppressAutoHyphens/>
        <w:spacing w:after="0" w:line="240" w:lineRule="auto"/>
        <w:ind w:left="0" w:firstLine="0"/>
        <w:rPr>
          <w:color w:val="auto"/>
          <w:lang w:val="is-IS"/>
        </w:rPr>
      </w:pPr>
    </w:p>
    <w:p w14:paraId="5A9CB1F2" w14:textId="77777777" w:rsidR="00CF2AF3" w:rsidRPr="008B0B5D" w:rsidRDefault="00CF2AF3" w:rsidP="00CF2AF3">
      <w:pPr>
        <w:suppressAutoHyphens/>
        <w:spacing w:after="0" w:line="240" w:lineRule="auto"/>
        <w:ind w:left="0" w:firstLine="0"/>
        <w:rPr>
          <w:color w:val="auto"/>
          <w:lang w:val="is-IS"/>
        </w:rPr>
      </w:pPr>
      <w:r w:rsidRPr="00DC4128">
        <w:rPr>
          <w:color w:val="auto"/>
          <w:highlight w:val="lightGray"/>
          <w:lang w:val="is-IS"/>
        </w:rPr>
        <w:t>Fallist hefur verið á rök fyrir undanþágu frá kröfu um blindraletur.</w:t>
      </w:r>
    </w:p>
    <w:p w14:paraId="48637FF5" w14:textId="77777777" w:rsidR="00CF2AF3" w:rsidRPr="008B0B5D" w:rsidRDefault="00CF2AF3" w:rsidP="00CF2AF3">
      <w:pPr>
        <w:suppressAutoHyphens/>
        <w:spacing w:after="0" w:line="240" w:lineRule="auto"/>
        <w:ind w:left="0" w:firstLine="0"/>
        <w:rPr>
          <w:color w:val="auto"/>
          <w:lang w:val="is-IS"/>
        </w:rPr>
      </w:pPr>
    </w:p>
    <w:p w14:paraId="2C30BB30" w14:textId="77777777" w:rsidR="00CF2AF3" w:rsidRPr="008B0B5D" w:rsidRDefault="00CF2AF3" w:rsidP="00CF2AF3">
      <w:pPr>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465727" w14:paraId="19F4C2C1" w14:textId="77777777" w:rsidTr="006A795C">
        <w:tc>
          <w:tcPr>
            <w:tcW w:w="9289" w:type="dxa"/>
          </w:tcPr>
          <w:p w14:paraId="6489EA77"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17.</w:t>
            </w:r>
            <w:r w:rsidRPr="008B0B5D">
              <w:rPr>
                <w:b/>
                <w:color w:val="auto"/>
                <w:lang w:val="is-IS"/>
              </w:rPr>
              <w:tab/>
              <w:t>EINKVÆMT AUÐKENNI – TVÍVÍTT STRIKAMERKI</w:t>
            </w:r>
          </w:p>
        </w:tc>
      </w:tr>
    </w:tbl>
    <w:p w14:paraId="5DE032B0" w14:textId="77777777" w:rsidR="00CF2AF3" w:rsidRPr="008B0B5D" w:rsidRDefault="00CF2AF3" w:rsidP="00CF2AF3">
      <w:pPr>
        <w:keepNext/>
        <w:suppressAutoHyphens/>
        <w:spacing w:after="0" w:line="240" w:lineRule="auto"/>
        <w:ind w:left="0" w:firstLine="0"/>
        <w:rPr>
          <w:color w:val="auto"/>
          <w:lang w:val="is-IS"/>
        </w:rPr>
      </w:pPr>
    </w:p>
    <w:p w14:paraId="7D057C33" w14:textId="77777777" w:rsidR="00CF2AF3" w:rsidRPr="008B0B5D" w:rsidRDefault="00CF2AF3" w:rsidP="00CF2AF3">
      <w:pPr>
        <w:suppressAutoHyphens/>
        <w:spacing w:after="0" w:line="240" w:lineRule="auto"/>
        <w:ind w:left="0" w:firstLine="0"/>
        <w:rPr>
          <w:color w:val="auto"/>
          <w:lang w:val="is-IS"/>
        </w:rPr>
      </w:pPr>
      <w:r w:rsidRPr="00DC4128">
        <w:rPr>
          <w:color w:val="auto"/>
          <w:highlight w:val="lightGray"/>
          <w:lang w:val="is-IS"/>
        </w:rPr>
        <w:t>Á pakkningunni er tvívítt strikamerki með einkvæmu auðkenni.</w:t>
      </w:r>
    </w:p>
    <w:p w14:paraId="567AB0CE" w14:textId="77777777" w:rsidR="00CF2AF3" w:rsidRPr="008B0B5D" w:rsidRDefault="00CF2AF3" w:rsidP="00CF2AF3">
      <w:pPr>
        <w:suppressAutoHyphens/>
        <w:spacing w:after="0" w:line="240" w:lineRule="auto"/>
        <w:ind w:left="0" w:firstLine="0"/>
        <w:rPr>
          <w:color w:val="auto"/>
          <w:lang w:val="is-IS"/>
        </w:rPr>
      </w:pPr>
    </w:p>
    <w:p w14:paraId="3BDDA77A" w14:textId="77777777" w:rsidR="00CF2AF3" w:rsidRPr="008B0B5D" w:rsidRDefault="00CF2AF3" w:rsidP="00CF2AF3">
      <w:pPr>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CF2AF3" w:rsidRPr="00777A07" w14:paraId="52121774" w14:textId="77777777" w:rsidTr="006A795C">
        <w:tc>
          <w:tcPr>
            <w:tcW w:w="9289" w:type="dxa"/>
          </w:tcPr>
          <w:p w14:paraId="416EC897" w14:textId="77777777" w:rsidR="00CF2AF3" w:rsidRPr="008B0B5D" w:rsidRDefault="00CF2AF3" w:rsidP="006A795C">
            <w:pPr>
              <w:keepNext/>
              <w:suppressAutoHyphens/>
              <w:spacing w:after="0" w:line="240" w:lineRule="auto"/>
              <w:ind w:left="567" w:hanging="567"/>
              <w:rPr>
                <w:b/>
                <w:color w:val="auto"/>
                <w:lang w:val="is-IS"/>
              </w:rPr>
            </w:pPr>
            <w:r w:rsidRPr="008B0B5D">
              <w:rPr>
                <w:b/>
                <w:color w:val="auto"/>
                <w:lang w:val="is-IS"/>
              </w:rPr>
              <w:t>18.</w:t>
            </w:r>
            <w:r w:rsidRPr="008B0B5D">
              <w:rPr>
                <w:b/>
                <w:color w:val="auto"/>
                <w:lang w:val="is-IS"/>
              </w:rPr>
              <w:tab/>
              <w:t>EINKVÆMT AUÐKENNI – UPPLÝSINGAR SEM FÓLK GETUR LESIÐ</w:t>
            </w:r>
          </w:p>
        </w:tc>
      </w:tr>
    </w:tbl>
    <w:p w14:paraId="1B1AABBD" w14:textId="77777777" w:rsidR="00CF2AF3" w:rsidRPr="008B0B5D" w:rsidRDefault="00CF2AF3" w:rsidP="00CF2AF3">
      <w:pPr>
        <w:keepNext/>
        <w:suppressAutoHyphens/>
        <w:spacing w:after="0" w:line="240" w:lineRule="auto"/>
        <w:ind w:left="0" w:firstLine="0"/>
        <w:rPr>
          <w:color w:val="auto"/>
          <w:lang w:val="is-IS"/>
        </w:rPr>
      </w:pPr>
    </w:p>
    <w:p w14:paraId="693B2908" w14:textId="77777777" w:rsidR="00CF2AF3" w:rsidRPr="008B0B5D" w:rsidRDefault="00CF2AF3" w:rsidP="00CF2AF3">
      <w:pPr>
        <w:suppressAutoHyphens/>
        <w:spacing w:after="0" w:line="240" w:lineRule="auto"/>
        <w:ind w:left="0" w:firstLine="0"/>
        <w:rPr>
          <w:color w:val="auto"/>
          <w:lang w:val="is-IS"/>
        </w:rPr>
      </w:pPr>
      <w:r w:rsidRPr="008B0B5D">
        <w:rPr>
          <w:color w:val="auto"/>
          <w:lang w:val="is-IS"/>
        </w:rPr>
        <w:t>PC</w:t>
      </w:r>
    </w:p>
    <w:p w14:paraId="1DA1FAAA" w14:textId="77777777" w:rsidR="00CF2AF3" w:rsidRPr="008B0B5D" w:rsidRDefault="00CF2AF3" w:rsidP="00CF2AF3">
      <w:pPr>
        <w:suppressAutoHyphens/>
        <w:spacing w:after="0" w:line="240" w:lineRule="auto"/>
        <w:ind w:left="0" w:firstLine="0"/>
        <w:rPr>
          <w:color w:val="auto"/>
          <w:lang w:val="is-IS"/>
        </w:rPr>
      </w:pPr>
      <w:r w:rsidRPr="008B0B5D">
        <w:rPr>
          <w:color w:val="auto"/>
          <w:lang w:val="is-IS"/>
        </w:rPr>
        <w:t>SN</w:t>
      </w:r>
    </w:p>
    <w:p w14:paraId="6A1A0EAB" w14:textId="77777777" w:rsidR="00CF2AF3" w:rsidRPr="008B0B5D" w:rsidRDefault="00CF2AF3" w:rsidP="00CF2AF3">
      <w:pPr>
        <w:suppressAutoHyphens/>
        <w:spacing w:after="0" w:line="240" w:lineRule="auto"/>
        <w:ind w:left="0" w:firstLine="0"/>
        <w:rPr>
          <w:color w:val="auto"/>
          <w:lang w:val="is-IS"/>
        </w:rPr>
      </w:pPr>
      <w:r w:rsidRPr="008B0B5D">
        <w:rPr>
          <w:color w:val="auto"/>
          <w:lang w:val="is-IS"/>
        </w:rPr>
        <w:t>NN</w:t>
      </w:r>
    </w:p>
    <w:p w14:paraId="04B197D5" w14:textId="77777777" w:rsidR="00267BC4" w:rsidRPr="009F7642" w:rsidRDefault="00267BC4" w:rsidP="00ED1E79">
      <w:pPr>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267BC4" w:rsidRPr="009F7642" w14:paraId="27EF2648" w14:textId="77777777" w:rsidTr="003F4B52">
        <w:tc>
          <w:tcPr>
            <w:tcW w:w="9289" w:type="dxa"/>
          </w:tcPr>
          <w:p w14:paraId="2C1A7476" w14:textId="77777777" w:rsidR="006C06D6" w:rsidRPr="009F7642" w:rsidRDefault="00267BC4" w:rsidP="00321CD1">
            <w:pPr>
              <w:keepNext/>
              <w:suppressAutoHyphens/>
              <w:spacing w:after="0" w:line="240" w:lineRule="auto"/>
              <w:ind w:left="0" w:firstLine="0"/>
              <w:rPr>
                <w:b/>
                <w:color w:val="auto"/>
                <w:lang w:val="is-IS"/>
              </w:rPr>
            </w:pPr>
            <w:r w:rsidRPr="009F7642">
              <w:rPr>
                <w:b/>
                <w:color w:val="auto"/>
                <w:lang w:val="is-IS"/>
              </w:rPr>
              <w:lastRenderedPageBreak/>
              <w:t>LÁGMARKS UPPLÝSINGAR SEM SKULU KOMA FRAM Á INNRI UMBÚÐUM LÍTILLA EININGA</w:t>
            </w:r>
          </w:p>
          <w:p w14:paraId="0DF2A18C" w14:textId="77777777" w:rsidR="00267BC4" w:rsidRPr="009F7642" w:rsidRDefault="00267BC4" w:rsidP="00321CD1">
            <w:pPr>
              <w:keepNext/>
              <w:suppressAutoHyphens/>
              <w:spacing w:after="0" w:line="240" w:lineRule="auto"/>
              <w:ind w:left="0" w:firstLine="0"/>
              <w:rPr>
                <w:b/>
                <w:color w:val="auto"/>
                <w:lang w:val="is-IS"/>
              </w:rPr>
            </w:pPr>
          </w:p>
          <w:p w14:paraId="302C20B2" w14:textId="77777777" w:rsidR="00267BC4" w:rsidRPr="009F7642" w:rsidRDefault="00267BC4" w:rsidP="00321CD1">
            <w:pPr>
              <w:keepNext/>
              <w:suppressAutoHyphens/>
              <w:spacing w:after="0" w:line="240" w:lineRule="auto"/>
              <w:ind w:left="0" w:firstLine="0"/>
              <w:rPr>
                <w:color w:val="auto"/>
                <w:lang w:val="is-IS"/>
              </w:rPr>
            </w:pPr>
            <w:r w:rsidRPr="009F7642">
              <w:rPr>
                <w:b/>
                <w:color w:val="auto"/>
                <w:lang w:val="is-IS"/>
              </w:rPr>
              <w:t>HETTUGLAS</w:t>
            </w:r>
          </w:p>
        </w:tc>
      </w:tr>
    </w:tbl>
    <w:p w14:paraId="1C9C54ED" w14:textId="77777777" w:rsidR="00267BC4" w:rsidRPr="009F7642" w:rsidRDefault="00267BC4" w:rsidP="00321CD1">
      <w:pPr>
        <w:keepNext/>
        <w:suppressAutoHyphens/>
        <w:spacing w:after="0" w:line="240" w:lineRule="auto"/>
        <w:ind w:left="0" w:firstLine="0"/>
        <w:rPr>
          <w:color w:val="auto"/>
          <w:lang w:val="is-IS"/>
        </w:rPr>
      </w:pPr>
    </w:p>
    <w:p w14:paraId="3472C77D" w14:textId="77777777" w:rsidR="00267BC4" w:rsidRDefault="00267BC4" w:rsidP="00321CD1">
      <w:pPr>
        <w:keepNext/>
        <w:suppressAutoHyphens/>
        <w:spacing w:after="0" w:line="240" w:lineRule="auto"/>
        <w:ind w:left="0" w:firstLine="0"/>
        <w:rPr>
          <w:color w:val="auto"/>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81B87" w:rsidRPr="00777A07" w14:paraId="07CE1EE9" w14:textId="77777777" w:rsidTr="00040B8D">
        <w:tc>
          <w:tcPr>
            <w:tcW w:w="9286" w:type="dxa"/>
          </w:tcPr>
          <w:p w14:paraId="325BD383" w14:textId="77777777" w:rsidR="00281B87" w:rsidRPr="00040B8D" w:rsidRDefault="00281B87" w:rsidP="00DF2F34">
            <w:pPr>
              <w:keepNext/>
              <w:suppressAutoHyphens/>
              <w:spacing w:after="0" w:line="240" w:lineRule="auto"/>
              <w:ind w:left="567" w:hanging="567"/>
              <w:rPr>
                <w:b/>
                <w:color w:val="auto"/>
                <w:lang w:val="is-IS"/>
              </w:rPr>
            </w:pPr>
            <w:r w:rsidRPr="00040B8D">
              <w:rPr>
                <w:b/>
                <w:color w:val="auto"/>
                <w:lang w:val="is-IS"/>
              </w:rPr>
              <w:t>1.</w:t>
            </w:r>
            <w:r w:rsidRPr="00040B8D">
              <w:rPr>
                <w:b/>
                <w:color w:val="auto"/>
                <w:lang w:val="is-IS"/>
              </w:rPr>
              <w:tab/>
              <w:t>HEITI LYFS OG ÍKOMULEIÐ(IR</w:t>
            </w:r>
            <w:r w:rsidR="00B508B7">
              <w:rPr>
                <w:b/>
                <w:color w:val="auto"/>
                <w:lang w:val="is-IS"/>
              </w:rPr>
              <w:t>)</w:t>
            </w:r>
          </w:p>
        </w:tc>
      </w:tr>
    </w:tbl>
    <w:p w14:paraId="09848DB7" w14:textId="77777777" w:rsidR="00515E33" w:rsidRPr="009F7642" w:rsidRDefault="00515E33" w:rsidP="00DF2F34">
      <w:pPr>
        <w:keepNext/>
        <w:suppressAutoHyphens/>
        <w:spacing w:after="0" w:line="240" w:lineRule="auto"/>
        <w:ind w:left="0" w:firstLine="0"/>
        <w:rPr>
          <w:color w:val="auto"/>
          <w:lang w:val="is-IS"/>
        </w:rPr>
      </w:pPr>
    </w:p>
    <w:p w14:paraId="3D3D5A61" w14:textId="77777777" w:rsidR="00693E58" w:rsidRDefault="001764F7" w:rsidP="00321CD1">
      <w:pPr>
        <w:keepNext/>
        <w:suppressAutoHyphens/>
        <w:spacing w:after="0" w:line="240" w:lineRule="auto"/>
        <w:ind w:left="0" w:firstLine="0"/>
        <w:rPr>
          <w:color w:val="auto"/>
          <w:lang w:val="is-IS"/>
        </w:rPr>
      </w:pPr>
      <w:r w:rsidRPr="00F2274F">
        <w:rPr>
          <w:noProof/>
          <w:lang w:val="is-IS"/>
        </w:rPr>
        <w:t>MVASI</w:t>
      </w:r>
      <w:r w:rsidR="009D2BA1" w:rsidRPr="009F7642">
        <w:rPr>
          <w:color w:val="auto"/>
          <w:lang w:val="is-IS"/>
        </w:rPr>
        <w:t xml:space="preserve"> 25 </w:t>
      </w:r>
      <w:r w:rsidR="00515E33" w:rsidRPr="009F7642">
        <w:rPr>
          <w:color w:val="auto"/>
          <w:lang w:val="is-IS"/>
        </w:rPr>
        <w:t xml:space="preserve">mg/ml </w:t>
      </w:r>
      <w:r w:rsidR="00B54A7A" w:rsidRPr="00B54A7A">
        <w:rPr>
          <w:color w:val="auto"/>
          <w:lang w:val="is-IS"/>
        </w:rPr>
        <w:t>s</w:t>
      </w:r>
      <w:r w:rsidR="00B54A7A" w:rsidRPr="001D5FC0">
        <w:rPr>
          <w:color w:val="auto"/>
          <w:lang w:val="is-IS"/>
        </w:rPr>
        <w:t>æft þykkni</w:t>
      </w:r>
      <w:r w:rsidR="00515E33" w:rsidRPr="009F7642">
        <w:rPr>
          <w:color w:val="auto"/>
          <w:lang w:val="is-IS"/>
        </w:rPr>
        <w:t xml:space="preserve"> </w:t>
      </w:r>
    </w:p>
    <w:p w14:paraId="75C11E37" w14:textId="77777777" w:rsidR="006C06D6" w:rsidRPr="009F7642" w:rsidRDefault="007C2914" w:rsidP="00321CD1">
      <w:pPr>
        <w:keepNext/>
        <w:suppressAutoHyphens/>
        <w:spacing w:after="0" w:line="240" w:lineRule="auto"/>
        <w:ind w:left="0" w:firstLine="0"/>
        <w:rPr>
          <w:color w:val="auto"/>
          <w:lang w:val="is-IS"/>
        </w:rPr>
      </w:pPr>
      <w:r w:rsidRPr="00504296">
        <w:rPr>
          <w:color w:val="auto"/>
          <w:lang w:val="is-IS"/>
        </w:rPr>
        <w:t>bevacízú</w:t>
      </w:r>
      <w:r w:rsidRPr="00693E58">
        <w:rPr>
          <w:color w:val="auto"/>
          <w:lang w:val="is-IS"/>
        </w:rPr>
        <w:t>mab</w:t>
      </w:r>
    </w:p>
    <w:p w14:paraId="0CB1222A" w14:textId="77777777" w:rsidR="00267BC4" w:rsidRPr="00DC4128" w:rsidRDefault="00515E33" w:rsidP="00321CD1">
      <w:pPr>
        <w:keepNext/>
        <w:tabs>
          <w:tab w:val="left" w:pos="567"/>
        </w:tabs>
        <w:spacing w:after="0" w:line="240" w:lineRule="auto"/>
        <w:ind w:left="0" w:firstLine="0"/>
        <w:rPr>
          <w:color w:val="auto"/>
          <w:szCs w:val="20"/>
          <w:highlight w:val="lightGray"/>
          <w:lang w:val="en-GB"/>
        </w:rPr>
      </w:pPr>
      <w:proofErr w:type="spellStart"/>
      <w:r w:rsidRPr="00DC4128">
        <w:rPr>
          <w:color w:val="auto"/>
          <w:szCs w:val="20"/>
          <w:highlight w:val="lightGray"/>
          <w:lang w:val="en-GB"/>
        </w:rPr>
        <w:t>i.v.</w:t>
      </w:r>
      <w:proofErr w:type="spellEnd"/>
    </w:p>
    <w:p w14:paraId="0278543E" w14:textId="77777777" w:rsidR="005F36F3" w:rsidRPr="009F7642" w:rsidRDefault="005F36F3" w:rsidP="00321CD1">
      <w:pPr>
        <w:keepNext/>
        <w:suppressAutoHyphens/>
        <w:spacing w:after="0" w:line="240" w:lineRule="auto"/>
        <w:ind w:left="0" w:firstLine="0"/>
        <w:rPr>
          <w:color w:val="auto"/>
          <w:lang w:val="is-IS"/>
        </w:rPr>
      </w:pPr>
    </w:p>
    <w:p w14:paraId="5D447DBA" w14:textId="77777777" w:rsidR="00515E33" w:rsidRDefault="00515E33" w:rsidP="00321CD1">
      <w:pPr>
        <w:keepNext/>
        <w:suppressAutoHyphens/>
        <w:spacing w:after="0" w:line="240" w:lineRule="auto"/>
        <w:ind w:left="0" w:firstLine="0"/>
        <w:rPr>
          <w:color w:val="auto"/>
          <w:lang w:val="is-I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281B87" w:rsidRPr="00040B8D" w14:paraId="14EB221D" w14:textId="77777777" w:rsidTr="00040B8D">
        <w:tc>
          <w:tcPr>
            <w:tcW w:w="9286" w:type="dxa"/>
          </w:tcPr>
          <w:p w14:paraId="2798330C" w14:textId="77777777" w:rsidR="00281B87" w:rsidRPr="00040B8D" w:rsidRDefault="00281B87" w:rsidP="00DF2F34">
            <w:pPr>
              <w:keepNext/>
              <w:suppressAutoHyphens/>
              <w:spacing w:after="0" w:line="240" w:lineRule="auto"/>
              <w:ind w:left="567" w:hanging="567"/>
              <w:rPr>
                <w:b/>
                <w:color w:val="auto"/>
                <w:lang w:val="is-IS"/>
              </w:rPr>
            </w:pPr>
            <w:r w:rsidRPr="00040B8D">
              <w:rPr>
                <w:b/>
                <w:color w:val="auto"/>
                <w:lang w:val="is-IS"/>
              </w:rPr>
              <w:t>2.</w:t>
            </w:r>
            <w:r w:rsidRPr="00040B8D">
              <w:rPr>
                <w:b/>
                <w:color w:val="auto"/>
                <w:lang w:val="is-IS"/>
              </w:rPr>
              <w:tab/>
              <w:t>AÐFERÐ VIÐ LYFJAGJÖF</w:t>
            </w:r>
          </w:p>
        </w:tc>
      </w:tr>
    </w:tbl>
    <w:p w14:paraId="1B886258" w14:textId="77777777" w:rsidR="005F36F3" w:rsidRPr="009F7642" w:rsidRDefault="005F36F3" w:rsidP="00DF2F34">
      <w:pPr>
        <w:keepNext/>
        <w:suppressAutoHyphens/>
        <w:spacing w:after="0" w:line="240" w:lineRule="auto"/>
        <w:ind w:left="0" w:firstLine="0"/>
        <w:rPr>
          <w:color w:val="auto"/>
          <w:lang w:val="is-IS"/>
        </w:rPr>
      </w:pPr>
    </w:p>
    <w:p w14:paraId="5A317919" w14:textId="77777777" w:rsidR="00515E33" w:rsidRPr="009F7642" w:rsidRDefault="00515E33" w:rsidP="00321CD1">
      <w:pPr>
        <w:keepNext/>
        <w:suppressAutoHyphens/>
        <w:spacing w:after="0" w:line="240" w:lineRule="auto"/>
        <w:ind w:left="0" w:firstLine="0"/>
        <w:rPr>
          <w:color w:val="auto"/>
          <w:lang w:val="is-IS"/>
        </w:rPr>
      </w:pPr>
      <w:r w:rsidRPr="009F7642">
        <w:rPr>
          <w:color w:val="auto"/>
          <w:lang w:val="is-IS"/>
        </w:rPr>
        <w:t>Til notkunar í bláæð eftir þynningu</w:t>
      </w:r>
    </w:p>
    <w:p w14:paraId="36FF9796" w14:textId="77777777" w:rsidR="00515E33" w:rsidRDefault="00515E33" w:rsidP="00321CD1">
      <w:pPr>
        <w:keepNext/>
        <w:suppressAutoHyphens/>
        <w:spacing w:after="0" w:line="240" w:lineRule="auto"/>
        <w:ind w:left="0" w:firstLine="0"/>
        <w:rPr>
          <w:color w:val="auto"/>
          <w:lang w:val="is-IS"/>
        </w:rPr>
      </w:pPr>
    </w:p>
    <w:p w14:paraId="066737BA" w14:textId="77777777" w:rsidR="00281B87" w:rsidRPr="009F7642" w:rsidRDefault="00281B87" w:rsidP="00321CD1">
      <w:pPr>
        <w:keepNext/>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15E33" w:rsidRPr="00281B87" w14:paraId="4303CB5E" w14:textId="77777777" w:rsidTr="003F4B52">
        <w:tc>
          <w:tcPr>
            <w:tcW w:w="9289" w:type="dxa"/>
          </w:tcPr>
          <w:p w14:paraId="40D19311" w14:textId="77777777" w:rsidR="00515E33" w:rsidRPr="009F7642" w:rsidRDefault="00B36A53" w:rsidP="00DF2F34">
            <w:pPr>
              <w:keepNext/>
              <w:suppressAutoHyphens/>
              <w:spacing w:after="0" w:line="240" w:lineRule="auto"/>
              <w:ind w:left="567" w:hanging="567"/>
              <w:rPr>
                <w:b/>
                <w:color w:val="auto"/>
                <w:lang w:val="is-IS"/>
              </w:rPr>
            </w:pPr>
            <w:r w:rsidRPr="009F7642">
              <w:rPr>
                <w:b/>
                <w:color w:val="auto"/>
                <w:lang w:val="is-IS"/>
              </w:rPr>
              <w:t>3.</w:t>
            </w:r>
            <w:r w:rsidRPr="009F7642">
              <w:rPr>
                <w:b/>
                <w:color w:val="auto"/>
                <w:lang w:val="is-IS"/>
              </w:rPr>
              <w:tab/>
            </w:r>
            <w:r w:rsidR="00515E33" w:rsidRPr="009F7642">
              <w:rPr>
                <w:b/>
                <w:color w:val="auto"/>
                <w:lang w:val="is-IS"/>
              </w:rPr>
              <w:t>FYRNINGARDAGSETNING</w:t>
            </w:r>
          </w:p>
        </w:tc>
      </w:tr>
    </w:tbl>
    <w:p w14:paraId="039DA6F9" w14:textId="77777777" w:rsidR="00515E33" w:rsidRPr="009F7642" w:rsidRDefault="00515E33" w:rsidP="00DF2F34">
      <w:pPr>
        <w:keepNext/>
        <w:suppressAutoHyphens/>
        <w:spacing w:after="0" w:line="240" w:lineRule="auto"/>
        <w:ind w:left="0" w:firstLine="0"/>
        <w:rPr>
          <w:color w:val="auto"/>
          <w:lang w:val="is-IS"/>
        </w:rPr>
      </w:pPr>
    </w:p>
    <w:p w14:paraId="521B5F6B" w14:textId="77777777" w:rsidR="00515E33" w:rsidRPr="009F7642" w:rsidRDefault="00515E33" w:rsidP="00321CD1">
      <w:pPr>
        <w:keepNext/>
        <w:suppressAutoHyphens/>
        <w:spacing w:after="0" w:line="240" w:lineRule="auto"/>
        <w:ind w:left="0" w:firstLine="0"/>
        <w:rPr>
          <w:color w:val="auto"/>
          <w:lang w:val="is-IS"/>
        </w:rPr>
      </w:pPr>
      <w:r w:rsidRPr="009F7642">
        <w:rPr>
          <w:color w:val="auto"/>
          <w:lang w:val="is-IS"/>
        </w:rPr>
        <w:t>EXP</w:t>
      </w:r>
    </w:p>
    <w:p w14:paraId="7F287837" w14:textId="77777777" w:rsidR="00515E33" w:rsidRPr="009F7642" w:rsidRDefault="00515E33" w:rsidP="0073217C">
      <w:pPr>
        <w:suppressAutoHyphens/>
        <w:spacing w:after="0" w:line="240" w:lineRule="auto"/>
        <w:ind w:left="0" w:firstLine="0"/>
        <w:rPr>
          <w:color w:val="auto"/>
          <w:lang w:val="is-IS"/>
        </w:rPr>
      </w:pPr>
    </w:p>
    <w:p w14:paraId="4E98C8D8" w14:textId="77777777" w:rsidR="00515E33" w:rsidRPr="009F7642" w:rsidRDefault="00515E33" w:rsidP="0073217C">
      <w:pPr>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15E33" w:rsidRPr="009F7642" w14:paraId="6D13AA1B" w14:textId="77777777" w:rsidTr="003F4B52">
        <w:tc>
          <w:tcPr>
            <w:tcW w:w="9289" w:type="dxa"/>
          </w:tcPr>
          <w:p w14:paraId="565DF1D7" w14:textId="77777777" w:rsidR="00515E33" w:rsidRPr="009F7642" w:rsidRDefault="00B36A53" w:rsidP="0073217C">
            <w:pPr>
              <w:keepNext/>
              <w:suppressAutoHyphens/>
              <w:spacing w:after="0" w:line="240" w:lineRule="auto"/>
              <w:ind w:left="567" w:hanging="567"/>
              <w:outlineLvl w:val="0"/>
              <w:rPr>
                <w:b/>
                <w:color w:val="auto"/>
                <w:lang w:val="is-IS"/>
              </w:rPr>
            </w:pPr>
            <w:r w:rsidRPr="009F7642">
              <w:rPr>
                <w:b/>
                <w:color w:val="auto"/>
                <w:lang w:val="is-IS"/>
              </w:rPr>
              <w:t>4.</w:t>
            </w:r>
            <w:r w:rsidRPr="009F7642">
              <w:rPr>
                <w:b/>
                <w:color w:val="auto"/>
                <w:lang w:val="is-IS"/>
              </w:rPr>
              <w:tab/>
            </w:r>
            <w:r w:rsidR="00515E33" w:rsidRPr="009F7642">
              <w:rPr>
                <w:b/>
                <w:color w:val="auto"/>
                <w:lang w:val="is-IS"/>
              </w:rPr>
              <w:t>LOTUNÚMER</w:t>
            </w:r>
          </w:p>
        </w:tc>
      </w:tr>
    </w:tbl>
    <w:p w14:paraId="2671C851" w14:textId="77777777" w:rsidR="00515E33" w:rsidRPr="009F7642" w:rsidRDefault="00515E33" w:rsidP="0073217C">
      <w:pPr>
        <w:keepNext/>
        <w:suppressAutoHyphens/>
        <w:spacing w:after="0" w:line="240" w:lineRule="auto"/>
        <w:ind w:left="0" w:firstLine="0"/>
        <w:rPr>
          <w:color w:val="auto"/>
          <w:lang w:val="is-IS"/>
        </w:rPr>
      </w:pPr>
    </w:p>
    <w:p w14:paraId="761EA4AA" w14:textId="77777777" w:rsidR="00515E33" w:rsidRPr="009F7642" w:rsidRDefault="00515E33" w:rsidP="0073217C">
      <w:pPr>
        <w:suppressAutoHyphens/>
        <w:spacing w:after="0" w:line="240" w:lineRule="auto"/>
        <w:ind w:left="0" w:firstLine="0"/>
        <w:rPr>
          <w:color w:val="auto"/>
          <w:lang w:val="is-IS"/>
        </w:rPr>
      </w:pPr>
      <w:r w:rsidRPr="009F7642">
        <w:rPr>
          <w:color w:val="auto"/>
          <w:lang w:val="is-IS"/>
        </w:rPr>
        <w:t>Lot</w:t>
      </w:r>
    </w:p>
    <w:p w14:paraId="109FF46A" w14:textId="77777777" w:rsidR="00515E33" w:rsidRPr="009F7642" w:rsidRDefault="00515E33" w:rsidP="0073217C">
      <w:pPr>
        <w:suppressAutoHyphens/>
        <w:spacing w:after="0" w:line="240" w:lineRule="auto"/>
        <w:ind w:left="0" w:firstLine="0"/>
        <w:rPr>
          <w:color w:val="auto"/>
          <w:lang w:val="is-IS"/>
        </w:rPr>
      </w:pPr>
    </w:p>
    <w:p w14:paraId="6370344A" w14:textId="77777777" w:rsidR="00515E33" w:rsidRPr="009F7642" w:rsidRDefault="00515E33" w:rsidP="0073217C">
      <w:pPr>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15E33" w:rsidRPr="00777A07" w14:paraId="35DDB00B" w14:textId="77777777" w:rsidTr="003F4B52">
        <w:tc>
          <w:tcPr>
            <w:tcW w:w="9289" w:type="dxa"/>
          </w:tcPr>
          <w:p w14:paraId="6292D40C" w14:textId="77777777" w:rsidR="00515E33" w:rsidRPr="009F7642" w:rsidRDefault="00B36A53" w:rsidP="0073217C">
            <w:pPr>
              <w:keepNext/>
              <w:suppressAutoHyphens/>
              <w:spacing w:after="0" w:line="240" w:lineRule="auto"/>
              <w:ind w:left="567" w:hanging="567"/>
              <w:outlineLvl w:val="0"/>
              <w:rPr>
                <w:b/>
                <w:color w:val="auto"/>
                <w:lang w:val="is-IS"/>
              </w:rPr>
            </w:pPr>
            <w:r w:rsidRPr="009F7642">
              <w:rPr>
                <w:b/>
                <w:color w:val="auto"/>
                <w:lang w:val="is-IS"/>
              </w:rPr>
              <w:t>5.</w:t>
            </w:r>
            <w:r w:rsidRPr="009F7642">
              <w:rPr>
                <w:b/>
                <w:color w:val="auto"/>
                <w:lang w:val="is-IS"/>
              </w:rPr>
              <w:tab/>
            </w:r>
            <w:r w:rsidR="00515E33" w:rsidRPr="009F7642">
              <w:rPr>
                <w:b/>
                <w:color w:val="auto"/>
                <w:lang w:val="is-IS"/>
              </w:rPr>
              <w:t>INNIHALD TILGREINT SEM ÞYNGD, RÚMMÁL EÐA FJÖLDI EININGA</w:t>
            </w:r>
          </w:p>
        </w:tc>
      </w:tr>
    </w:tbl>
    <w:p w14:paraId="14B76E1D" w14:textId="77777777" w:rsidR="005F36F3" w:rsidRPr="009F7642" w:rsidRDefault="005F36F3" w:rsidP="0073217C">
      <w:pPr>
        <w:keepNext/>
        <w:suppressAutoHyphens/>
        <w:spacing w:after="0" w:line="240" w:lineRule="auto"/>
        <w:ind w:left="0" w:firstLine="0"/>
        <w:rPr>
          <w:color w:val="auto"/>
          <w:lang w:val="is-IS"/>
        </w:rPr>
      </w:pPr>
    </w:p>
    <w:p w14:paraId="5C081963" w14:textId="77777777" w:rsidR="00515E33" w:rsidRPr="009F7642" w:rsidRDefault="009D2BA1" w:rsidP="0073217C">
      <w:pPr>
        <w:suppressAutoHyphens/>
        <w:spacing w:after="0" w:line="240" w:lineRule="auto"/>
        <w:ind w:left="0" w:firstLine="0"/>
        <w:rPr>
          <w:color w:val="auto"/>
          <w:lang w:val="is-IS"/>
        </w:rPr>
      </w:pPr>
      <w:r w:rsidRPr="009F7642">
        <w:rPr>
          <w:color w:val="auto"/>
          <w:lang w:val="is-IS"/>
        </w:rPr>
        <w:t>400 mg/16 </w:t>
      </w:r>
      <w:r w:rsidR="00515E33" w:rsidRPr="009F7642">
        <w:rPr>
          <w:color w:val="auto"/>
          <w:lang w:val="is-IS"/>
        </w:rPr>
        <w:t>ml</w:t>
      </w:r>
    </w:p>
    <w:p w14:paraId="3DC2D66A" w14:textId="77777777" w:rsidR="00515E33" w:rsidRPr="009F7642" w:rsidRDefault="00515E33" w:rsidP="0073217C">
      <w:pPr>
        <w:suppressAutoHyphens/>
        <w:spacing w:after="0" w:line="240" w:lineRule="auto"/>
        <w:ind w:left="0" w:firstLine="0"/>
        <w:rPr>
          <w:color w:val="auto"/>
          <w:lang w:val="is-IS"/>
        </w:rPr>
      </w:pPr>
    </w:p>
    <w:p w14:paraId="76A8661D" w14:textId="77777777" w:rsidR="00515E33" w:rsidRPr="009F7642" w:rsidRDefault="00515E33" w:rsidP="0073217C">
      <w:pPr>
        <w:suppressAutoHyphens/>
        <w:spacing w:after="0" w:line="240" w:lineRule="auto"/>
        <w:ind w:left="0" w:firstLine="0"/>
        <w:rPr>
          <w:color w:val="auto"/>
          <w:lang w:val="is-IS"/>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515E33" w:rsidRPr="009F7642" w14:paraId="1993A347" w14:textId="77777777" w:rsidTr="003F4B52">
        <w:tc>
          <w:tcPr>
            <w:tcW w:w="9289" w:type="dxa"/>
          </w:tcPr>
          <w:p w14:paraId="35625CEC" w14:textId="77777777" w:rsidR="00515E33" w:rsidRPr="009F7642" w:rsidRDefault="00B36A53" w:rsidP="0073217C">
            <w:pPr>
              <w:keepNext/>
              <w:suppressAutoHyphens/>
              <w:spacing w:after="0" w:line="240" w:lineRule="auto"/>
              <w:ind w:left="567" w:hanging="567"/>
              <w:outlineLvl w:val="0"/>
              <w:rPr>
                <w:b/>
                <w:color w:val="auto"/>
                <w:lang w:val="is-IS"/>
              </w:rPr>
            </w:pPr>
            <w:r w:rsidRPr="009F7642">
              <w:rPr>
                <w:b/>
                <w:color w:val="auto"/>
                <w:lang w:val="is-IS"/>
              </w:rPr>
              <w:t>6.</w:t>
            </w:r>
            <w:r w:rsidRPr="009F7642">
              <w:rPr>
                <w:b/>
                <w:color w:val="auto"/>
                <w:lang w:val="is-IS"/>
              </w:rPr>
              <w:tab/>
            </w:r>
            <w:r w:rsidR="00515E33" w:rsidRPr="009F7642">
              <w:rPr>
                <w:b/>
                <w:color w:val="auto"/>
                <w:lang w:val="is-IS"/>
              </w:rPr>
              <w:t>ANNAÐ</w:t>
            </w:r>
          </w:p>
        </w:tc>
      </w:tr>
    </w:tbl>
    <w:p w14:paraId="4FEB9097" w14:textId="77777777" w:rsidR="00281B87" w:rsidRDefault="00281B87" w:rsidP="0073217C">
      <w:pPr>
        <w:keepNext/>
        <w:suppressAutoHyphens/>
        <w:spacing w:after="0" w:line="259" w:lineRule="auto"/>
        <w:ind w:left="1" w:firstLine="0"/>
        <w:rPr>
          <w:color w:val="auto"/>
          <w:lang w:val="is-IS"/>
        </w:rPr>
      </w:pPr>
    </w:p>
    <w:p w14:paraId="1B16DABB" w14:textId="77777777" w:rsidR="00281B87" w:rsidRDefault="00281B87" w:rsidP="0073217C">
      <w:pPr>
        <w:suppressAutoHyphens/>
        <w:spacing w:after="0" w:line="259" w:lineRule="auto"/>
        <w:ind w:left="1" w:firstLine="0"/>
        <w:rPr>
          <w:color w:val="auto"/>
          <w:lang w:val="is-IS"/>
        </w:rPr>
      </w:pPr>
    </w:p>
    <w:p w14:paraId="56D204A9" w14:textId="77777777" w:rsidR="005F36F3" w:rsidRPr="009F7642" w:rsidRDefault="00281B87" w:rsidP="0073217C">
      <w:pPr>
        <w:suppressAutoHyphens/>
        <w:spacing w:after="0" w:line="240" w:lineRule="auto"/>
        <w:ind w:left="0" w:firstLine="0"/>
        <w:jc w:val="center"/>
        <w:rPr>
          <w:color w:val="auto"/>
          <w:lang w:val="is-IS"/>
        </w:rPr>
      </w:pPr>
      <w:r>
        <w:rPr>
          <w:color w:val="auto"/>
          <w:lang w:val="is-IS"/>
        </w:rPr>
        <w:br w:type="page"/>
      </w:r>
    </w:p>
    <w:p w14:paraId="5209A13C" w14:textId="77777777" w:rsidR="005F36F3" w:rsidRPr="009F7642" w:rsidRDefault="005F36F3" w:rsidP="0073217C">
      <w:pPr>
        <w:suppressAutoHyphens/>
        <w:spacing w:after="0" w:line="240" w:lineRule="auto"/>
        <w:ind w:left="0" w:firstLine="0"/>
        <w:jc w:val="center"/>
        <w:rPr>
          <w:color w:val="auto"/>
          <w:lang w:val="is-IS"/>
        </w:rPr>
      </w:pPr>
    </w:p>
    <w:p w14:paraId="567B4C78" w14:textId="77777777" w:rsidR="005F36F3" w:rsidRPr="009F7642" w:rsidRDefault="005F36F3" w:rsidP="0073217C">
      <w:pPr>
        <w:suppressAutoHyphens/>
        <w:spacing w:after="0" w:line="240" w:lineRule="auto"/>
        <w:ind w:left="0" w:firstLine="0"/>
        <w:jc w:val="center"/>
        <w:rPr>
          <w:color w:val="auto"/>
          <w:lang w:val="is-IS"/>
        </w:rPr>
      </w:pPr>
    </w:p>
    <w:p w14:paraId="533170FB" w14:textId="77777777" w:rsidR="005F36F3" w:rsidRPr="009F7642" w:rsidRDefault="005F36F3" w:rsidP="0073217C">
      <w:pPr>
        <w:suppressAutoHyphens/>
        <w:spacing w:after="0" w:line="240" w:lineRule="auto"/>
        <w:ind w:left="0" w:firstLine="0"/>
        <w:jc w:val="center"/>
        <w:rPr>
          <w:color w:val="auto"/>
          <w:lang w:val="is-IS"/>
        </w:rPr>
      </w:pPr>
    </w:p>
    <w:p w14:paraId="2AC841C6" w14:textId="77777777" w:rsidR="005F36F3" w:rsidRPr="009F7642" w:rsidRDefault="005F36F3" w:rsidP="0073217C">
      <w:pPr>
        <w:suppressAutoHyphens/>
        <w:spacing w:after="0" w:line="240" w:lineRule="auto"/>
        <w:ind w:left="0" w:firstLine="0"/>
        <w:jc w:val="center"/>
        <w:rPr>
          <w:color w:val="auto"/>
          <w:lang w:val="is-IS"/>
        </w:rPr>
      </w:pPr>
    </w:p>
    <w:p w14:paraId="5F9014AE" w14:textId="77777777" w:rsidR="005F36F3" w:rsidRPr="009F7642" w:rsidRDefault="005F36F3" w:rsidP="0073217C">
      <w:pPr>
        <w:suppressAutoHyphens/>
        <w:spacing w:after="0" w:line="240" w:lineRule="auto"/>
        <w:ind w:left="0" w:firstLine="0"/>
        <w:jc w:val="center"/>
        <w:rPr>
          <w:color w:val="auto"/>
          <w:lang w:val="is-IS"/>
        </w:rPr>
      </w:pPr>
    </w:p>
    <w:p w14:paraId="3576498D" w14:textId="77777777" w:rsidR="005F36F3" w:rsidRPr="009F7642" w:rsidRDefault="005F36F3" w:rsidP="0073217C">
      <w:pPr>
        <w:suppressAutoHyphens/>
        <w:spacing w:after="0" w:line="240" w:lineRule="auto"/>
        <w:ind w:left="0" w:firstLine="0"/>
        <w:jc w:val="center"/>
        <w:rPr>
          <w:color w:val="auto"/>
          <w:lang w:val="is-IS"/>
        </w:rPr>
      </w:pPr>
    </w:p>
    <w:p w14:paraId="15F0871C" w14:textId="77777777" w:rsidR="005F36F3" w:rsidRPr="009F7642" w:rsidRDefault="005F36F3" w:rsidP="0073217C">
      <w:pPr>
        <w:suppressAutoHyphens/>
        <w:spacing w:after="0" w:line="240" w:lineRule="auto"/>
        <w:ind w:left="0" w:firstLine="0"/>
        <w:jc w:val="center"/>
        <w:rPr>
          <w:color w:val="auto"/>
          <w:lang w:val="is-IS"/>
        </w:rPr>
      </w:pPr>
    </w:p>
    <w:p w14:paraId="477BEB54" w14:textId="77777777" w:rsidR="005F36F3" w:rsidRPr="009F7642" w:rsidRDefault="005F36F3" w:rsidP="0073217C">
      <w:pPr>
        <w:suppressAutoHyphens/>
        <w:spacing w:after="0" w:line="240" w:lineRule="auto"/>
        <w:ind w:left="0" w:firstLine="0"/>
        <w:jc w:val="center"/>
        <w:rPr>
          <w:color w:val="auto"/>
          <w:lang w:val="is-IS"/>
        </w:rPr>
      </w:pPr>
    </w:p>
    <w:p w14:paraId="77FFCB28" w14:textId="77777777" w:rsidR="005F36F3" w:rsidRPr="009F7642" w:rsidRDefault="005F36F3" w:rsidP="0073217C">
      <w:pPr>
        <w:suppressAutoHyphens/>
        <w:spacing w:after="0" w:line="240" w:lineRule="auto"/>
        <w:ind w:left="0" w:firstLine="0"/>
        <w:jc w:val="center"/>
        <w:rPr>
          <w:color w:val="auto"/>
          <w:lang w:val="is-IS"/>
        </w:rPr>
      </w:pPr>
    </w:p>
    <w:p w14:paraId="2B21AEF9" w14:textId="77777777" w:rsidR="005F36F3" w:rsidRPr="009F7642" w:rsidRDefault="005F36F3" w:rsidP="0073217C">
      <w:pPr>
        <w:suppressAutoHyphens/>
        <w:spacing w:after="0" w:line="240" w:lineRule="auto"/>
        <w:ind w:left="0" w:firstLine="0"/>
        <w:jc w:val="center"/>
        <w:rPr>
          <w:color w:val="auto"/>
          <w:lang w:val="is-IS"/>
        </w:rPr>
      </w:pPr>
    </w:p>
    <w:p w14:paraId="46426099" w14:textId="77777777" w:rsidR="005F36F3" w:rsidRPr="009F7642" w:rsidRDefault="005F36F3" w:rsidP="0073217C">
      <w:pPr>
        <w:suppressAutoHyphens/>
        <w:spacing w:after="0" w:line="240" w:lineRule="auto"/>
        <w:ind w:left="0" w:firstLine="0"/>
        <w:jc w:val="center"/>
        <w:rPr>
          <w:color w:val="auto"/>
          <w:lang w:val="is-IS"/>
        </w:rPr>
      </w:pPr>
    </w:p>
    <w:p w14:paraId="7B8094C3" w14:textId="77777777" w:rsidR="005F36F3" w:rsidRDefault="005F36F3" w:rsidP="0073217C">
      <w:pPr>
        <w:suppressAutoHyphens/>
        <w:spacing w:after="0" w:line="240" w:lineRule="auto"/>
        <w:ind w:left="0" w:firstLine="0"/>
        <w:jc w:val="center"/>
        <w:rPr>
          <w:color w:val="auto"/>
          <w:lang w:val="is-IS"/>
        </w:rPr>
      </w:pPr>
    </w:p>
    <w:p w14:paraId="6CFDF766" w14:textId="77777777" w:rsidR="00EF2A59" w:rsidRPr="009F7642" w:rsidRDefault="00EF2A59" w:rsidP="0073217C">
      <w:pPr>
        <w:suppressAutoHyphens/>
        <w:spacing w:after="0" w:line="240" w:lineRule="auto"/>
        <w:ind w:left="0" w:firstLine="0"/>
        <w:jc w:val="center"/>
        <w:rPr>
          <w:color w:val="auto"/>
          <w:lang w:val="is-IS"/>
        </w:rPr>
      </w:pPr>
    </w:p>
    <w:p w14:paraId="0ED7EC1D" w14:textId="77777777" w:rsidR="005F36F3" w:rsidRPr="009F7642" w:rsidRDefault="005F36F3" w:rsidP="0073217C">
      <w:pPr>
        <w:suppressAutoHyphens/>
        <w:spacing w:after="0" w:line="240" w:lineRule="auto"/>
        <w:ind w:left="0" w:firstLine="0"/>
        <w:jc w:val="center"/>
        <w:rPr>
          <w:color w:val="auto"/>
          <w:lang w:val="is-IS"/>
        </w:rPr>
      </w:pPr>
    </w:p>
    <w:p w14:paraId="0C89BDF9" w14:textId="77777777" w:rsidR="005F36F3" w:rsidRPr="009F7642" w:rsidRDefault="005F36F3" w:rsidP="0073217C">
      <w:pPr>
        <w:suppressAutoHyphens/>
        <w:spacing w:after="0" w:line="240" w:lineRule="auto"/>
        <w:ind w:left="0" w:firstLine="0"/>
        <w:jc w:val="center"/>
        <w:rPr>
          <w:color w:val="auto"/>
          <w:lang w:val="is-IS"/>
        </w:rPr>
      </w:pPr>
    </w:p>
    <w:p w14:paraId="1B49BE18" w14:textId="77777777" w:rsidR="005F36F3" w:rsidRPr="009F7642" w:rsidRDefault="005F36F3" w:rsidP="0073217C">
      <w:pPr>
        <w:suppressAutoHyphens/>
        <w:spacing w:after="0" w:line="240" w:lineRule="auto"/>
        <w:ind w:left="0" w:firstLine="0"/>
        <w:jc w:val="center"/>
        <w:rPr>
          <w:color w:val="auto"/>
          <w:lang w:val="is-IS"/>
        </w:rPr>
      </w:pPr>
    </w:p>
    <w:p w14:paraId="770E60E1" w14:textId="77777777" w:rsidR="005F36F3" w:rsidRPr="009F7642" w:rsidRDefault="005F36F3" w:rsidP="0073217C">
      <w:pPr>
        <w:suppressAutoHyphens/>
        <w:spacing w:after="0" w:line="240" w:lineRule="auto"/>
        <w:ind w:left="0" w:firstLine="0"/>
        <w:jc w:val="center"/>
        <w:rPr>
          <w:color w:val="auto"/>
          <w:lang w:val="is-IS"/>
        </w:rPr>
      </w:pPr>
    </w:p>
    <w:p w14:paraId="7DA7807C" w14:textId="77777777" w:rsidR="005F36F3" w:rsidRPr="009F7642" w:rsidRDefault="005F36F3" w:rsidP="0073217C">
      <w:pPr>
        <w:suppressAutoHyphens/>
        <w:spacing w:after="0" w:line="240" w:lineRule="auto"/>
        <w:ind w:left="0" w:firstLine="0"/>
        <w:jc w:val="center"/>
        <w:rPr>
          <w:color w:val="auto"/>
          <w:lang w:val="is-IS"/>
        </w:rPr>
      </w:pPr>
    </w:p>
    <w:p w14:paraId="1DF912DB" w14:textId="77777777" w:rsidR="005F36F3" w:rsidRPr="009F7642" w:rsidRDefault="005F36F3" w:rsidP="0073217C">
      <w:pPr>
        <w:suppressAutoHyphens/>
        <w:spacing w:after="0" w:line="240" w:lineRule="auto"/>
        <w:ind w:left="0" w:firstLine="0"/>
        <w:jc w:val="center"/>
        <w:rPr>
          <w:color w:val="auto"/>
          <w:lang w:val="is-IS"/>
        </w:rPr>
      </w:pPr>
    </w:p>
    <w:p w14:paraId="77550E22" w14:textId="77777777" w:rsidR="005F36F3" w:rsidRPr="009F7642" w:rsidRDefault="005F36F3" w:rsidP="0073217C">
      <w:pPr>
        <w:suppressAutoHyphens/>
        <w:spacing w:after="0" w:line="240" w:lineRule="auto"/>
        <w:ind w:left="0" w:firstLine="0"/>
        <w:jc w:val="center"/>
        <w:rPr>
          <w:color w:val="auto"/>
          <w:lang w:val="is-IS"/>
        </w:rPr>
      </w:pPr>
    </w:p>
    <w:p w14:paraId="150C1F7F" w14:textId="77777777" w:rsidR="005F36F3" w:rsidRPr="009F7642" w:rsidRDefault="005F36F3" w:rsidP="0073217C">
      <w:pPr>
        <w:suppressAutoHyphens/>
        <w:spacing w:after="0" w:line="240" w:lineRule="auto"/>
        <w:ind w:left="0" w:firstLine="0"/>
        <w:jc w:val="center"/>
        <w:rPr>
          <w:color w:val="auto"/>
          <w:lang w:val="is-IS"/>
        </w:rPr>
      </w:pPr>
    </w:p>
    <w:p w14:paraId="0D210968" w14:textId="77777777" w:rsidR="00281B87" w:rsidRDefault="00281B87" w:rsidP="0073217C">
      <w:pPr>
        <w:pStyle w:val="TitleA"/>
        <w:suppressAutoHyphens/>
        <w:spacing w:line="240" w:lineRule="auto"/>
        <w:ind w:left="0"/>
        <w:jc w:val="center"/>
        <w:rPr>
          <w:color w:val="auto"/>
          <w:lang w:val="is-IS"/>
        </w:rPr>
      </w:pPr>
    </w:p>
    <w:p w14:paraId="47728C15" w14:textId="77777777" w:rsidR="00281B87" w:rsidRDefault="00281B87" w:rsidP="0073217C">
      <w:pPr>
        <w:pStyle w:val="TitleA"/>
        <w:suppressAutoHyphens/>
        <w:spacing w:line="240" w:lineRule="auto"/>
        <w:ind w:left="0"/>
        <w:jc w:val="center"/>
        <w:rPr>
          <w:color w:val="auto"/>
          <w:lang w:val="is-IS"/>
        </w:rPr>
      </w:pPr>
    </w:p>
    <w:p w14:paraId="1074EF67" w14:textId="77777777" w:rsidR="006851BF" w:rsidRDefault="00564614" w:rsidP="0073217C">
      <w:pPr>
        <w:pStyle w:val="TitleA"/>
        <w:suppressAutoHyphens/>
        <w:spacing w:line="240" w:lineRule="auto"/>
        <w:ind w:left="0"/>
        <w:jc w:val="center"/>
        <w:rPr>
          <w:color w:val="auto"/>
          <w:lang w:val="is-IS"/>
        </w:rPr>
      </w:pPr>
      <w:r w:rsidRPr="009F7642">
        <w:rPr>
          <w:color w:val="auto"/>
          <w:lang w:val="is-IS"/>
        </w:rPr>
        <w:t>B. FYLGISEÐILL</w:t>
      </w:r>
    </w:p>
    <w:p w14:paraId="7110F9DD" w14:textId="77777777" w:rsidR="005F36F3" w:rsidRPr="006851BF" w:rsidRDefault="006851BF" w:rsidP="0073217C">
      <w:pPr>
        <w:pStyle w:val="TitleA"/>
        <w:suppressAutoHyphens/>
        <w:jc w:val="center"/>
        <w:rPr>
          <w:color w:val="auto"/>
          <w:lang w:val="is-IS"/>
        </w:rPr>
      </w:pPr>
      <w:r>
        <w:rPr>
          <w:color w:val="auto"/>
          <w:lang w:val="is-IS"/>
        </w:rPr>
        <w:br w:type="page"/>
      </w:r>
      <w:r w:rsidR="00564614" w:rsidRPr="006851BF">
        <w:rPr>
          <w:color w:val="auto"/>
          <w:lang w:val="is-IS"/>
        </w:rPr>
        <w:lastRenderedPageBreak/>
        <w:t>Fylgiseðill: Up</w:t>
      </w:r>
      <w:r w:rsidR="004A6586" w:rsidRPr="006851BF">
        <w:rPr>
          <w:color w:val="auto"/>
          <w:lang w:val="is-IS"/>
        </w:rPr>
        <w:t>plýsingar fyrir notanda lyfsins</w:t>
      </w:r>
    </w:p>
    <w:p w14:paraId="334E7D03" w14:textId="77777777" w:rsidR="005F36F3" w:rsidRPr="006851BF" w:rsidRDefault="005F36F3" w:rsidP="0073217C">
      <w:pPr>
        <w:pStyle w:val="TitleA"/>
        <w:suppressAutoHyphens/>
        <w:jc w:val="center"/>
        <w:rPr>
          <w:color w:val="auto"/>
          <w:lang w:val="is-IS"/>
        </w:rPr>
      </w:pPr>
    </w:p>
    <w:p w14:paraId="651E9AF4" w14:textId="77777777" w:rsidR="006C06D6" w:rsidRPr="006851BF" w:rsidRDefault="001764F7" w:rsidP="0073217C">
      <w:pPr>
        <w:pStyle w:val="TitleA"/>
        <w:suppressAutoHyphens/>
        <w:jc w:val="center"/>
        <w:rPr>
          <w:color w:val="auto"/>
          <w:lang w:val="is-IS"/>
        </w:rPr>
      </w:pPr>
      <w:r>
        <w:rPr>
          <w:color w:val="auto"/>
          <w:lang w:val="is-IS"/>
        </w:rPr>
        <w:t>MVASI</w:t>
      </w:r>
      <w:r w:rsidR="00605F95" w:rsidRPr="006851BF">
        <w:rPr>
          <w:color w:val="auto"/>
          <w:lang w:val="is-IS"/>
        </w:rPr>
        <w:t xml:space="preserve"> </w:t>
      </w:r>
      <w:r w:rsidR="009D2BA1" w:rsidRPr="006851BF">
        <w:rPr>
          <w:color w:val="auto"/>
          <w:lang w:val="is-IS"/>
        </w:rPr>
        <w:t>25 </w:t>
      </w:r>
      <w:r w:rsidR="00564614" w:rsidRPr="006851BF">
        <w:rPr>
          <w:color w:val="auto"/>
          <w:lang w:val="is-IS"/>
        </w:rPr>
        <w:t>mg/ml innrennslisþykkni, lausn</w:t>
      </w:r>
    </w:p>
    <w:p w14:paraId="622B6BB0" w14:textId="77777777" w:rsidR="005F36F3" w:rsidRPr="006851BF" w:rsidRDefault="00851CF6" w:rsidP="0073217C">
      <w:pPr>
        <w:pStyle w:val="TitleA"/>
        <w:suppressAutoHyphens/>
        <w:jc w:val="center"/>
        <w:rPr>
          <w:b w:val="0"/>
          <w:color w:val="auto"/>
          <w:lang w:val="is-IS"/>
        </w:rPr>
      </w:pPr>
      <w:r w:rsidRPr="006851BF">
        <w:rPr>
          <w:b w:val="0"/>
          <w:color w:val="auto"/>
          <w:lang w:val="is-IS"/>
        </w:rPr>
        <w:t>b</w:t>
      </w:r>
      <w:r w:rsidR="004A6586" w:rsidRPr="006851BF">
        <w:rPr>
          <w:b w:val="0"/>
          <w:color w:val="auto"/>
          <w:lang w:val="is-IS"/>
        </w:rPr>
        <w:t>evacízúmab</w:t>
      </w:r>
    </w:p>
    <w:p w14:paraId="36CF321A" w14:textId="77777777" w:rsidR="005F36F3" w:rsidRDefault="005F36F3" w:rsidP="0073217C">
      <w:pPr>
        <w:suppressAutoHyphens/>
        <w:spacing w:after="0" w:line="240" w:lineRule="auto"/>
        <w:ind w:left="0" w:firstLine="0"/>
        <w:rPr>
          <w:color w:val="auto"/>
          <w:lang w:val="is-IS"/>
        </w:rPr>
      </w:pPr>
    </w:p>
    <w:p w14:paraId="4E5B1405" w14:textId="77777777" w:rsidR="006C06D6" w:rsidRPr="009F7642" w:rsidRDefault="00564614" w:rsidP="0073217C">
      <w:pPr>
        <w:keepNext/>
        <w:suppressAutoHyphens/>
        <w:spacing w:after="0" w:line="240" w:lineRule="auto"/>
        <w:ind w:left="0" w:firstLine="0"/>
        <w:rPr>
          <w:b/>
          <w:color w:val="auto"/>
          <w:lang w:val="is-IS"/>
        </w:rPr>
      </w:pPr>
      <w:r w:rsidRPr="009F7642">
        <w:rPr>
          <w:b/>
          <w:color w:val="auto"/>
          <w:lang w:val="is-IS"/>
        </w:rPr>
        <w:t>Lesið allan fylgiseðilinn vandlega áður en byrjað er að nota lyfið. Í honum eru mikilvægar upplýsingar.</w:t>
      </w:r>
    </w:p>
    <w:p w14:paraId="171BF4E3" w14:textId="77777777" w:rsidR="005F36F3" w:rsidRPr="009F7642" w:rsidRDefault="00564614" w:rsidP="00321CD1">
      <w:pPr>
        <w:numPr>
          <w:ilvl w:val="0"/>
          <w:numId w:val="60"/>
        </w:numPr>
        <w:suppressAutoHyphens/>
        <w:spacing w:after="0" w:line="240" w:lineRule="auto"/>
        <w:ind w:hanging="567"/>
        <w:rPr>
          <w:color w:val="auto"/>
          <w:lang w:val="is-IS"/>
        </w:rPr>
      </w:pPr>
      <w:r w:rsidRPr="009F7642">
        <w:rPr>
          <w:color w:val="auto"/>
          <w:lang w:val="is-IS"/>
        </w:rPr>
        <w:t xml:space="preserve">Geymið fylgiseðilinn. Nauðsynlegt </w:t>
      </w:r>
      <w:r w:rsidR="00D30BAE" w:rsidRPr="009F7642">
        <w:rPr>
          <w:color w:val="auto"/>
          <w:lang w:val="is-IS"/>
        </w:rPr>
        <w:t>getur verið að lesa hann síðar.</w:t>
      </w:r>
    </w:p>
    <w:p w14:paraId="268E5F9D" w14:textId="77777777" w:rsidR="005F36F3" w:rsidRPr="009F7642" w:rsidRDefault="00564614" w:rsidP="00321CD1">
      <w:pPr>
        <w:numPr>
          <w:ilvl w:val="0"/>
          <w:numId w:val="60"/>
        </w:numPr>
        <w:suppressAutoHyphens/>
        <w:spacing w:after="0" w:line="240" w:lineRule="auto"/>
        <w:ind w:hanging="567"/>
        <w:rPr>
          <w:color w:val="auto"/>
          <w:lang w:val="is-IS"/>
        </w:rPr>
      </w:pPr>
      <w:r w:rsidRPr="009F7642">
        <w:rPr>
          <w:color w:val="auto"/>
          <w:lang w:val="is-IS"/>
        </w:rPr>
        <w:t>Leitið til læknisins, lyfjafræðings eða hjúkrunarfræðingsins ef</w:t>
      </w:r>
      <w:r w:rsidR="00D30BAE" w:rsidRPr="009F7642">
        <w:rPr>
          <w:color w:val="auto"/>
          <w:lang w:val="is-IS"/>
        </w:rPr>
        <w:t xml:space="preserve"> þörf er á frekari upplýsingum.</w:t>
      </w:r>
    </w:p>
    <w:p w14:paraId="3EF6D7E3" w14:textId="77777777" w:rsidR="005F36F3" w:rsidRPr="009F7642" w:rsidRDefault="00564614" w:rsidP="00321CD1">
      <w:pPr>
        <w:numPr>
          <w:ilvl w:val="0"/>
          <w:numId w:val="60"/>
        </w:numPr>
        <w:suppressAutoHyphens/>
        <w:spacing w:after="0" w:line="240" w:lineRule="auto"/>
        <w:ind w:hanging="567"/>
        <w:rPr>
          <w:color w:val="auto"/>
          <w:lang w:val="is-IS"/>
        </w:rPr>
      </w:pPr>
      <w:r w:rsidRPr="009F7642">
        <w:rPr>
          <w:color w:val="auto"/>
          <w:lang w:val="is-IS"/>
        </w:rPr>
        <w:t>Látið lækninn, lyfjafræðing eða hjúkrunarfræðing vita um allar aukaverkanir. Þetta gildir einnig um aukaverkanir sem ekki er minnst á í þessum fylgiseðli. Sjá kafla 4.</w:t>
      </w:r>
    </w:p>
    <w:p w14:paraId="1EC4EEBE" w14:textId="77777777" w:rsidR="005F36F3" w:rsidRPr="009F7642" w:rsidRDefault="005F36F3" w:rsidP="0073217C">
      <w:pPr>
        <w:suppressAutoHyphens/>
        <w:spacing w:after="0" w:line="240" w:lineRule="auto"/>
        <w:ind w:left="0" w:firstLine="0"/>
        <w:rPr>
          <w:color w:val="auto"/>
          <w:lang w:val="is-IS"/>
        </w:rPr>
      </w:pPr>
    </w:p>
    <w:p w14:paraId="0407A93F" w14:textId="77777777" w:rsidR="005F36F3" w:rsidRDefault="00564614" w:rsidP="0073217C">
      <w:pPr>
        <w:keepNext/>
        <w:suppressAutoHyphens/>
        <w:spacing w:after="0" w:line="240" w:lineRule="auto"/>
        <w:ind w:left="0" w:firstLine="0"/>
        <w:rPr>
          <w:b/>
          <w:color w:val="auto"/>
          <w:lang w:val="is-IS"/>
        </w:rPr>
      </w:pPr>
      <w:r w:rsidRPr="009F7642">
        <w:rPr>
          <w:b/>
          <w:color w:val="auto"/>
          <w:lang w:val="is-IS"/>
        </w:rPr>
        <w:t>Í fylgiseðlinum eru eftirfarandi kaflar:</w:t>
      </w:r>
    </w:p>
    <w:p w14:paraId="34F48E89" w14:textId="77777777" w:rsidR="00851CF6" w:rsidRPr="009F7642" w:rsidRDefault="00851CF6" w:rsidP="0073217C">
      <w:pPr>
        <w:keepNext/>
        <w:suppressAutoHyphens/>
        <w:spacing w:after="0" w:line="240" w:lineRule="auto"/>
        <w:ind w:left="0" w:firstLine="0"/>
        <w:rPr>
          <w:color w:val="auto"/>
          <w:lang w:val="is-IS"/>
        </w:rPr>
      </w:pPr>
    </w:p>
    <w:p w14:paraId="250CDD89" w14:textId="77777777" w:rsidR="005F36F3" w:rsidRPr="009F7642" w:rsidRDefault="00564614" w:rsidP="0073217C">
      <w:pPr>
        <w:numPr>
          <w:ilvl w:val="0"/>
          <w:numId w:val="23"/>
        </w:numPr>
        <w:suppressAutoHyphens/>
        <w:spacing w:after="0" w:line="240" w:lineRule="auto"/>
        <w:ind w:left="567" w:hanging="567"/>
        <w:rPr>
          <w:color w:val="auto"/>
          <w:lang w:val="is-IS"/>
        </w:rPr>
      </w:pPr>
      <w:r w:rsidRPr="009F7642">
        <w:rPr>
          <w:color w:val="auto"/>
          <w:lang w:val="is-IS"/>
        </w:rPr>
        <w:t xml:space="preserve">Upplýsingar um </w:t>
      </w:r>
      <w:r w:rsidR="001764F7">
        <w:rPr>
          <w:color w:val="auto"/>
          <w:lang w:val="is-IS"/>
        </w:rPr>
        <w:t>MVASI</w:t>
      </w:r>
      <w:r w:rsidR="00605F95" w:rsidRPr="009F7642">
        <w:rPr>
          <w:color w:val="auto"/>
          <w:lang w:val="is-IS"/>
        </w:rPr>
        <w:t xml:space="preserve"> </w:t>
      </w:r>
      <w:r w:rsidRPr="009F7642">
        <w:rPr>
          <w:color w:val="auto"/>
          <w:lang w:val="is-IS"/>
        </w:rPr>
        <w:t>og við hverju það er notað</w:t>
      </w:r>
    </w:p>
    <w:p w14:paraId="799B9A59" w14:textId="77777777" w:rsidR="005F36F3" w:rsidRPr="009F7642" w:rsidRDefault="00564614" w:rsidP="0073217C">
      <w:pPr>
        <w:numPr>
          <w:ilvl w:val="0"/>
          <w:numId w:val="23"/>
        </w:numPr>
        <w:suppressAutoHyphens/>
        <w:spacing w:after="0" w:line="240" w:lineRule="auto"/>
        <w:ind w:left="567" w:hanging="567"/>
        <w:rPr>
          <w:color w:val="auto"/>
          <w:lang w:val="is-IS"/>
        </w:rPr>
      </w:pPr>
      <w:r w:rsidRPr="009F7642">
        <w:rPr>
          <w:color w:val="auto"/>
          <w:lang w:val="is-IS"/>
        </w:rPr>
        <w:t>Áð</w:t>
      </w:r>
      <w:r w:rsidR="004A6586" w:rsidRPr="009F7642">
        <w:rPr>
          <w:color w:val="auto"/>
          <w:lang w:val="is-IS"/>
        </w:rPr>
        <w:t xml:space="preserve">ur en byrjað er að nota </w:t>
      </w:r>
      <w:r w:rsidR="001764F7">
        <w:rPr>
          <w:color w:val="auto"/>
          <w:lang w:val="is-IS"/>
        </w:rPr>
        <w:t>MVASI</w:t>
      </w:r>
    </w:p>
    <w:p w14:paraId="617D3068" w14:textId="77777777" w:rsidR="005F36F3" w:rsidRPr="009F7642" w:rsidRDefault="00564614" w:rsidP="0073217C">
      <w:pPr>
        <w:numPr>
          <w:ilvl w:val="0"/>
          <w:numId w:val="23"/>
        </w:numPr>
        <w:suppressAutoHyphens/>
        <w:spacing w:after="0" w:line="240" w:lineRule="auto"/>
        <w:ind w:left="567" w:hanging="567"/>
        <w:rPr>
          <w:color w:val="auto"/>
          <w:lang w:val="is-IS"/>
        </w:rPr>
      </w:pPr>
      <w:r w:rsidRPr="009F7642">
        <w:rPr>
          <w:color w:val="auto"/>
          <w:lang w:val="is-IS"/>
        </w:rPr>
        <w:t xml:space="preserve">Hvernig nota á </w:t>
      </w:r>
      <w:r w:rsidR="001764F7">
        <w:rPr>
          <w:color w:val="auto"/>
          <w:lang w:val="is-IS"/>
        </w:rPr>
        <w:t>MVASI</w:t>
      </w:r>
    </w:p>
    <w:p w14:paraId="1AB6EB29" w14:textId="77777777" w:rsidR="005F36F3" w:rsidRPr="009F7642" w:rsidRDefault="00564614" w:rsidP="0073217C">
      <w:pPr>
        <w:numPr>
          <w:ilvl w:val="0"/>
          <w:numId w:val="23"/>
        </w:numPr>
        <w:suppressAutoHyphens/>
        <w:spacing w:after="0" w:line="240" w:lineRule="auto"/>
        <w:ind w:left="567" w:hanging="567"/>
        <w:rPr>
          <w:color w:val="auto"/>
          <w:lang w:val="is-IS"/>
        </w:rPr>
      </w:pPr>
      <w:r w:rsidRPr="009F7642">
        <w:rPr>
          <w:color w:val="auto"/>
          <w:lang w:val="is-IS"/>
        </w:rPr>
        <w:t>Hugsanlegar aukaverkanir</w:t>
      </w:r>
    </w:p>
    <w:p w14:paraId="76685484" w14:textId="77777777" w:rsidR="005F36F3" w:rsidRPr="009F7642" w:rsidRDefault="004A6586" w:rsidP="0073217C">
      <w:pPr>
        <w:numPr>
          <w:ilvl w:val="0"/>
          <w:numId w:val="23"/>
        </w:numPr>
        <w:suppressAutoHyphens/>
        <w:spacing w:after="0" w:line="240" w:lineRule="auto"/>
        <w:ind w:left="567" w:hanging="567"/>
        <w:rPr>
          <w:color w:val="auto"/>
          <w:lang w:val="is-IS"/>
        </w:rPr>
      </w:pPr>
      <w:r w:rsidRPr="009F7642">
        <w:rPr>
          <w:color w:val="auto"/>
          <w:lang w:val="is-IS"/>
        </w:rPr>
        <w:t xml:space="preserve">Hvernig geyma á </w:t>
      </w:r>
      <w:r w:rsidR="001764F7">
        <w:rPr>
          <w:color w:val="auto"/>
          <w:lang w:val="is-IS"/>
        </w:rPr>
        <w:t>MVASI</w:t>
      </w:r>
    </w:p>
    <w:p w14:paraId="1B7F36E1" w14:textId="77777777" w:rsidR="005F36F3" w:rsidRPr="009F7642" w:rsidRDefault="00564614" w:rsidP="0073217C">
      <w:pPr>
        <w:numPr>
          <w:ilvl w:val="0"/>
          <w:numId w:val="23"/>
        </w:numPr>
        <w:suppressAutoHyphens/>
        <w:spacing w:after="0" w:line="240" w:lineRule="auto"/>
        <w:ind w:left="567" w:hanging="567"/>
        <w:rPr>
          <w:color w:val="auto"/>
          <w:lang w:val="is-IS"/>
        </w:rPr>
      </w:pPr>
      <w:r w:rsidRPr="009F7642">
        <w:rPr>
          <w:color w:val="auto"/>
          <w:lang w:val="is-IS"/>
        </w:rPr>
        <w:t>Pakkningar og aðrar upplýsingar</w:t>
      </w:r>
    </w:p>
    <w:p w14:paraId="7A691101" w14:textId="77777777" w:rsidR="005F36F3" w:rsidRPr="009F7642" w:rsidRDefault="005F36F3" w:rsidP="0073217C">
      <w:pPr>
        <w:suppressAutoHyphens/>
        <w:spacing w:after="0" w:line="240" w:lineRule="auto"/>
        <w:ind w:left="0" w:firstLine="0"/>
        <w:rPr>
          <w:color w:val="auto"/>
          <w:lang w:val="is-IS"/>
        </w:rPr>
      </w:pPr>
    </w:p>
    <w:p w14:paraId="2BBE4734" w14:textId="77777777" w:rsidR="005F36F3" w:rsidRPr="009F7642" w:rsidRDefault="005F36F3" w:rsidP="0073217C">
      <w:pPr>
        <w:suppressAutoHyphens/>
        <w:spacing w:after="0" w:line="240" w:lineRule="auto"/>
        <w:ind w:left="0" w:firstLine="0"/>
        <w:rPr>
          <w:color w:val="auto"/>
          <w:lang w:val="is-IS"/>
        </w:rPr>
      </w:pPr>
    </w:p>
    <w:p w14:paraId="3DBE68D6" w14:textId="77777777" w:rsidR="006C06D6" w:rsidRPr="008A270B" w:rsidRDefault="00A8696B" w:rsidP="0073217C">
      <w:pPr>
        <w:keepNext/>
        <w:suppressAutoHyphens/>
        <w:spacing w:after="0" w:line="240" w:lineRule="auto"/>
        <w:ind w:left="567" w:hanging="567"/>
        <w:rPr>
          <w:b/>
          <w:color w:val="auto"/>
          <w:lang w:val="is-IS"/>
        </w:rPr>
      </w:pPr>
      <w:r w:rsidRPr="008A270B">
        <w:rPr>
          <w:b/>
          <w:color w:val="auto"/>
          <w:lang w:val="is-IS"/>
        </w:rPr>
        <w:t>1.</w:t>
      </w:r>
      <w:r w:rsidRPr="008A270B">
        <w:rPr>
          <w:b/>
          <w:color w:val="auto"/>
          <w:lang w:val="is-IS"/>
        </w:rPr>
        <w:tab/>
      </w:r>
      <w:r w:rsidR="00564614" w:rsidRPr="008A270B">
        <w:rPr>
          <w:b/>
          <w:color w:val="auto"/>
          <w:lang w:val="is-IS"/>
        </w:rPr>
        <w:t xml:space="preserve">Upplýsingar um </w:t>
      </w:r>
      <w:r w:rsidR="001764F7">
        <w:rPr>
          <w:b/>
          <w:color w:val="auto"/>
          <w:lang w:val="is-IS"/>
        </w:rPr>
        <w:t>MVASI</w:t>
      </w:r>
      <w:r w:rsidR="00605F95" w:rsidRPr="008A270B">
        <w:rPr>
          <w:b/>
          <w:color w:val="auto"/>
          <w:lang w:val="is-IS"/>
        </w:rPr>
        <w:t xml:space="preserve"> </w:t>
      </w:r>
      <w:r w:rsidR="00564614" w:rsidRPr="008A270B">
        <w:rPr>
          <w:b/>
          <w:color w:val="auto"/>
          <w:lang w:val="is-IS"/>
        </w:rPr>
        <w:t>og við hverju það er notað</w:t>
      </w:r>
    </w:p>
    <w:p w14:paraId="4CC8B681" w14:textId="77777777" w:rsidR="005F36F3" w:rsidRPr="009F7642" w:rsidRDefault="005F36F3" w:rsidP="0073217C">
      <w:pPr>
        <w:keepNext/>
        <w:suppressAutoHyphens/>
        <w:spacing w:after="0" w:line="240" w:lineRule="auto"/>
        <w:ind w:left="0" w:firstLine="0"/>
        <w:rPr>
          <w:color w:val="auto"/>
          <w:lang w:val="is-IS"/>
        </w:rPr>
      </w:pPr>
    </w:p>
    <w:p w14:paraId="4B0E47C2" w14:textId="77777777" w:rsidR="005F36F3" w:rsidRPr="009F7642" w:rsidRDefault="001764F7" w:rsidP="0073217C">
      <w:pPr>
        <w:suppressAutoHyphens/>
        <w:spacing w:after="0" w:line="240" w:lineRule="auto"/>
        <w:ind w:left="0" w:firstLine="0"/>
        <w:rPr>
          <w:color w:val="auto"/>
          <w:lang w:val="is-IS"/>
        </w:rPr>
      </w:pPr>
      <w:r w:rsidRPr="00F2274F">
        <w:rPr>
          <w:noProof/>
          <w:lang w:val="is-IS"/>
        </w:rPr>
        <w:t>MVASI</w:t>
      </w:r>
      <w:r w:rsidR="00564614" w:rsidRPr="009F7642">
        <w:rPr>
          <w:color w:val="auto"/>
          <w:lang w:val="is-IS"/>
        </w:rPr>
        <w:t xml:space="preserve"> inniheldur virka efnið bevacízúmab sem er manngert, einstofna mótefni (tegund próteina sem venjulega eru framleidd af ónæmiskerfinu til að aðstoða við varnir líkamans gegn sýkingum og krabbameini). Bevacízúmab binst sértækt próteini sem kallast vaxtarþáttur innanþekju æða í mönnum (VEGF, vascular endothelial growth factor) og er að finna í þekju blóð- og vessaæða líkamans. VEGF</w:t>
      </w:r>
      <w:r w:rsidR="00103C48">
        <w:rPr>
          <w:color w:val="auto"/>
          <w:lang w:val="is-IS"/>
        </w:rPr>
        <w:t>-</w:t>
      </w:r>
      <w:r w:rsidR="00564614" w:rsidRPr="009F7642">
        <w:rPr>
          <w:color w:val="auto"/>
          <w:lang w:val="is-IS"/>
        </w:rPr>
        <w:t>próteinið veldur því að æðar í æxlum vaxa, en þær sjá æxlinu fyrir næringu og súrefni. Þegar bevacízúmab hefur bundist VEGF er komið í veg fyrir æxlisvöxt með því að hamla vexti æðanna sem sjá æ</w:t>
      </w:r>
      <w:r w:rsidR="004A6586" w:rsidRPr="009F7642">
        <w:rPr>
          <w:color w:val="auto"/>
          <w:lang w:val="is-IS"/>
        </w:rPr>
        <w:t>xlinu fyrir næringu og súrefni.</w:t>
      </w:r>
    </w:p>
    <w:p w14:paraId="7DE3AF98" w14:textId="77777777" w:rsidR="005F36F3" w:rsidRPr="009F7642" w:rsidRDefault="005F36F3" w:rsidP="0073217C">
      <w:pPr>
        <w:suppressAutoHyphens/>
        <w:spacing w:after="0" w:line="240" w:lineRule="auto"/>
        <w:ind w:left="0" w:firstLine="0"/>
        <w:rPr>
          <w:color w:val="auto"/>
          <w:lang w:val="is-IS"/>
        </w:rPr>
      </w:pPr>
    </w:p>
    <w:p w14:paraId="22D45D6C" w14:textId="77777777" w:rsidR="005F36F3" w:rsidRPr="009F7642" w:rsidRDefault="001764F7" w:rsidP="0073217C">
      <w:pPr>
        <w:suppressAutoHyphens/>
        <w:spacing w:after="0" w:line="240" w:lineRule="auto"/>
        <w:ind w:left="0" w:firstLine="0"/>
        <w:rPr>
          <w:color w:val="auto"/>
          <w:lang w:val="is-IS"/>
        </w:rPr>
      </w:pPr>
      <w:r w:rsidRPr="00F2274F">
        <w:rPr>
          <w:noProof/>
          <w:lang w:val="is-IS"/>
        </w:rPr>
        <w:t>MVASI</w:t>
      </w:r>
      <w:r w:rsidR="00564614" w:rsidRPr="009F7642">
        <w:rPr>
          <w:color w:val="auto"/>
          <w:lang w:val="is-IS"/>
        </w:rPr>
        <w:t xml:space="preserve"> er lyf sem notað er hjá fullorðnum sjúklingum með langt gengið krabbamein í þörmum, þ.e. ristli eða endaþarmi. </w:t>
      </w:r>
      <w:r w:rsidRPr="00F2274F">
        <w:rPr>
          <w:noProof/>
          <w:lang w:val="is-IS"/>
        </w:rPr>
        <w:t>MVASI</w:t>
      </w:r>
      <w:r w:rsidR="00564614" w:rsidRPr="009F7642">
        <w:rPr>
          <w:color w:val="auto"/>
          <w:lang w:val="is-IS"/>
        </w:rPr>
        <w:t xml:space="preserve"> er gefið ásamt krabbameinslyfjameðferð sem </w:t>
      </w:r>
      <w:r w:rsidR="00A8696B" w:rsidRPr="009F7642">
        <w:rPr>
          <w:color w:val="auto"/>
          <w:lang w:val="is-IS"/>
        </w:rPr>
        <w:t>inniheldur flúorópýrímídín lyf.</w:t>
      </w:r>
    </w:p>
    <w:p w14:paraId="4810ADCF" w14:textId="77777777" w:rsidR="005F36F3" w:rsidRPr="009F7642" w:rsidRDefault="005F36F3" w:rsidP="0073217C">
      <w:pPr>
        <w:suppressAutoHyphens/>
        <w:spacing w:after="0" w:line="240" w:lineRule="auto"/>
        <w:ind w:left="0" w:firstLine="0"/>
        <w:rPr>
          <w:color w:val="auto"/>
          <w:lang w:val="is-IS"/>
        </w:rPr>
      </w:pPr>
    </w:p>
    <w:p w14:paraId="42E8B32B" w14:textId="77777777" w:rsidR="005F36F3" w:rsidRPr="009F7642" w:rsidRDefault="001764F7" w:rsidP="0073217C">
      <w:pPr>
        <w:suppressAutoHyphens/>
        <w:spacing w:after="0" w:line="240" w:lineRule="auto"/>
        <w:ind w:left="0" w:firstLine="0"/>
        <w:rPr>
          <w:color w:val="auto"/>
          <w:lang w:val="is-IS"/>
        </w:rPr>
      </w:pPr>
      <w:r w:rsidRPr="00F2274F">
        <w:rPr>
          <w:noProof/>
          <w:lang w:val="is-IS"/>
        </w:rPr>
        <w:t>MVASI</w:t>
      </w:r>
      <w:r w:rsidR="00564614" w:rsidRPr="009F7642">
        <w:rPr>
          <w:color w:val="auto"/>
          <w:lang w:val="is-IS"/>
        </w:rPr>
        <w:t xml:space="preserve"> er einnig notað til meðferðar við brjóstakrabbameini með meinvörpum hjá fullorðnum sjúklingum. Þegar það er notað hjá sjúklingum með brjóstakrabbamein er það gefið með </w:t>
      </w:r>
      <w:r w:rsidR="00564614" w:rsidRPr="00504296">
        <w:rPr>
          <w:color w:val="auto"/>
          <w:lang w:val="is-IS"/>
        </w:rPr>
        <w:t>krabbameinslyf</w:t>
      </w:r>
      <w:r w:rsidR="00F55881" w:rsidRPr="00504296">
        <w:rPr>
          <w:color w:val="auto"/>
          <w:lang w:val="is-IS"/>
        </w:rPr>
        <w:t>i</w:t>
      </w:r>
      <w:r w:rsidR="00564614" w:rsidRPr="00504296">
        <w:rPr>
          <w:color w:val="auto"/>
          <w:lang w:val="is-IS"/>
        </w:rPr>
        <w:t xml:space="preserve"> sem kall</w:t>
      </w:r>
      <w:r w:rsidR="004A6586" w:rsidRPr="00504296">
        <w:rPr>
          <w:color w:val="auto"/>
          <w:lang w:val="is-IS"/>
        </w:rPr>
        <w:t>ast paklítaxel</w:t>
      </w:r>
      <w:r w:rsidR="00781331">
        <w:rPr>
          <w:color w:val="auto"/>
          <w:lang w:val="is-IS"/>
        </w:rPr>
        <w:t xml:space="preserve"> eða capecítabín</w:t>
      </w:r>
      <w:r w:rsidR="004A6586" w:rsidRPr="00504296">
        <w:rPr>
          <w:color w:val="auto"/>
          <w:lang w:val="is-IS"/>
        </w:rPr>
        <w:t>.</w:t>
      </w:r>
    </w:p>
    <w:p w14:paraId="742E51B5" w14:textId="77777777" w:rsidR="005F36F3" w:rsidRPr="009F7642" w:rsidRDefault="005F36F3" w:rsidP="0073217C">
      <w:pPr>
        <w:suppressAutoHyphens/>
        <w:spacing w:after="0" w:line="240" w:lineRule="auto"/>
        <w:ind w:left="0" w:firstLine="0"/>
        <w:rPr>
          <w:color w:val="auto"/>
          <w:lang w:val="is-IS"/>
        </w:rPr>
      </w:pPr>
    </w:p>
    <w:p w14:paraId="30018BD5" w14:textId="77777777" w:rsidR="005F36F3" w:rsidRPr="009F7642" w:rsidRDefault="001764F7" w:rsidP="0073217C">
      <w:pPr>
        <w:suppressAutoHyphens/>
        <w:spacing w:after="0" w:line="240" w:lineRule="auto"/>
        <w:ind w:left="0" w:firstLine="0"/>
        <w:rPr>
          <w:color w:val="auto"/>
          <w:lang w:val="is-IS"/>
        </w:rPr>
      </w:pPr>
      <w:r w:rsidRPr="00F2274F">
        <w:rPr>
          <w:noProof/>
          <w:lang w:val="is-IS"/>
        </w:rPr>
        <w:t>MVASI</w:t>
      </w:r>
      <w:r w:rsidR="00564614" w:rsidRPr="009F7642">
        <w:rPr>
          <w:color w:val="auto"/>
          <w:lang w:val="is-IS"/>
        </w:rPr>
        <w:t xml:space="preserve"> er einnig notað til meðferðar við langt gengnu lungnakrabbameini sem er ekki af smáfrumugerð hjá fullorðnum sjúklingum. </w:t>
      </w:r>
      <w:r w:rsidRPr="00F2274F">
        <w:rPr>
          <w:noProof/>
          <w:lang w:val="is-IS"/>
        </w:rPr>
        <w:t>MVASI</w:t>
      </w:r>
      <w:r w:rsidR="00564614" w:rsidRPr="009F7642">
        <w:rPr>
          <w:color w:val="auto"/>
          <w:lang w:val="is-IS"/>
        </w:rPr>
        <w:t xml:space="preserve"> er gefið ásamt krabbameinslyfjam</w:t>
      </w:r>
      <w:r w:rsidR="004A6586" w:rsidRPr="009F7642">
        <w:rPr>
          <w:color w:val="auto"/>
          <w:lang w:val="is-IS"/>
        </w:rPr>
        <w:t>eðferð sem inniheldur platínum.</w:t>
      </w:r>
    </w:p>
    <w:p w14:paraId="465E469E" w14:textId="77777777" w:rsidR="005F36F3" w:rsidRDefault="005F36F3" w:rsidP="0073217C">
      <w:pPr>
        <w:suppressAutoHyphens/>
        <w:spacing w:after="0" w:line="240" w:lineRule="auto"/>
        <w:ind w:left="0" w:firstLine="0"/>
        <w:rPr>
          <w:color w:val="auto"/>
          <w:lang w:val="is-IS"/>
        </w:rPr>
      </w:pPr>
    </w:p>
    <w:p w14:paraId="29C7E5E1" w14:textId="77777777" w:rsidR="00781331" w:rsidRDefault="00876B75" w:rsidP="0073217C">
      <w:pPr>
        <w:suppressAutoHyphens/>
        <w:spacing w:after="0" w:line="240" w:lineRule="auto"/>
        <w:ind w:left="0" w:firstLine="0"/>
        <w:rPr>
          <w:color w:val="auto"/>
          <w:lang w:val="is-IS"/>
        </w:rPr>
      </w:pPr>
      <w:r w:rsidRPr="00F2274F">
        <w:rPr>
          <w:noProof/>
          <w:lang w:val="is-IS"/>
        </w:rPr>
        <w:t>MVASI</w:t>
      </w:r>
      <w:r w:rsidRPr="009F7642">
        <w:rPr>
          <w:color w:val="auto"/>
          <w:lang w:val="is-IS"/>
        </w:rPr>
        <w:t xml:space="preserve"> </w:t>
      </w:r>
      <w:r w:rsidRPr="00B64117">
        <w:rPr>
          <w:lang w:val="is-IS"/>
        </w:rPr>
        <w:t xml:space="preserve">er einnig notað til meðferðar hjá fullorðnum sjúklingum með langt gengið lungnakrabbamein sem ekki er af smáfrumugerð, þegar krabbameinsfrumurnar eru með tilteknar stökkbreytingar í próteini sem nefnist EGFR (epidermal growth factor receptor, viðtaki fyrir þekjufrumuvaxtarþátt). </w:t>
      </w:r>
      <w:r w:rsidRPr="00F2274F">
        <w:rPr>
          <w:noProof/>
          <w:lang w:val="is-IS"/>
        </w:rPr>
        <w:t>MVASI</w:t>
      </w:r>
      <w:r w:rsidRPr="009F7642">
        <w:rPr>
          <w:color w:val="auto"/>
          <w:lang w:val="is-IS"/>
        </w:rPr>
        <w:t xml:space="preserve"> </w:t>
      </w:r>
      <w:r w:rsidRPr="00B64117">
        <w:rPr>
          <w:lang w:val="is-IS"/>
        </w:rPr>
        <w:t>er þá gefið ásamt erlótíníbi.</w:t>
      </w:r>
    </w:p>
    <w:p w14:paraId="74CAB157" w14:textId="77777777" w:rsidR="00781331" w:rsidRPr="009F7642" w:rsidRDefault="00781331" w:rsidP="0073217C">
      <w:pPr>
        <w:suppressAutoHyphens/>
        <w:spacing w:after="0" w:line="240" w:lineRule="auto"/>
        <w:ind w:left="0" w:firstLine="0"/>
        <w:rPr>
          <w:color w:val="auto"/>
          <w:lang w:val="is-IS"/>
        </w:rPr>
      </w:pPr>
    </w:p>
    <w:p w14:paraId="1F02572F" w14:textId="77777777" w:rsidR="005F36F3" w:rsidRPr="009F7642" w:rsidRDefault="001764F7" w:rsidP="0073217C">
      <w:pPr>
        <w:suppressAutoHyphens/>
        <w:spacing w:after="0" w:line="240" w:lineRule="auto"/>
        <w:ind w:left="0" w:firstLine="0"/>
        <w:rPr>
          <w:color w:val="auto"/>
          <w:lang w:val="is-IS"/>
        </w:rPr>
      </w:pPr>
      <w:r w:rsidRPr="00F2274F">
        <w:rPr>
          <w:noProof/>
          <w:lang w:val="is-IS"/>
        </w:rPr>
        <w:t>MVASI</w:t>
      </w:r>
      <w:r w:rsidR="00564614" w:rsidRPr="009F7642">
        <w:rPr>
          <w:color w:val="auto"/>
          <w:lang w:val="is-IS"/>
        </w:rPr>
        <w:t xml:space="preserve"> er einnig notað til meðferðar við langt gengnu nýrnakrabbameini hjá fullorðnum sjúklingum. Þegar það er notað hjá sjúklingum með nýrnakrabbamein er það gefið með annarri tegund </w:t>
      </w:r>
      <w:r w:rsidR="00A8696B" w:rsidRPr="009F7642">
        <w:rPr>
          <w:color w:val="auto"/>
          <w:lang w:val="is-IS"/>
        </w:rPr>
        <w:t>af lyfi sem nefnist interferón.</w:t>
      </w:r>
    </w:p>
    <w:p w14:paraId="37D7743A" w14:textId="77777777" w:rsidR="005F36F3" w:rsidRPr="009F7642" w:rsidRDefault="005F36F3" w:rsidP="0073217C">
      <w:pPr>
        <w:suppressAutoHyphens/>
        <w:spacing w:after="0" w:line="240" w:lineRule="auto"/>
        <w:ind w:left="0" w:firstLine="0"/>
        <w:rPr>
          <w:color w:val="auto"/>
          <w:lang w:val="is-IS"/>
        </w:rPr>
      </w:pPr>
    </w:p>
    <w:p w14:paraId="5F9299DA" w14:textId="77777777" w:rsidR="005F36F3" w:rsidRPr="009F7642" w:rsidRDefault="001764F7" w:rsidP="0073217C">
      <w:pPr>
        <w:suppressAutoHyphens/>
        <w:spacing w:after="0" w:line="240" w:lineRule="auto"/>
        <w:ind w:left="0" w:firstLine="0"/>
        <w:rPr>
          <w:color w:val="auto"/>
          <w:lang w:val="is-IS"/>
        </w:rPr>
      </w:pPr>
      <w:r w:rsidRPr="00F2274F">
        <w:rPr>
          <w:noProof/>
          <w:lang w:val="is-IS"/>
        </w:rPr>
        <w:t>MVASI</w:t>
      </w:r>
      <w:r w:rsidR="00564614" w:rsidRPr="009F7642">
        <w:rPr>
          <w:color w:val="auto"/>
          <w:lang w:val="is-IS"/>
        </w:rPr>
        <w:t xml:space="preserve"> er einnig notað til meðferðar við langt gengnu þekjufrumukrabbameini í eggjastokkum, krabbameini í eggjaleiðurum og krabbameini í lífhimnu hjá fullorðnum sjúklingum. Þegar lyfið er notað hjá sjúklingum með þekjufrumukrabbamein í eggjastokkum, krabbamein í eggjaleiðurum eða krabbamein í lífhimnu er það notað ása</w:t>
      </w:r>
      <w:r w:rsidR="004A6586" w:rsidRPr="009F7642">
        <w:rPr>
          <w:color w:val="auto"/>
          <w:lang w:val="is-IS"/>
        </w:rPr>
        <w:t>mt carboplatíni og paklítaxeli.</w:t>
      </w:r>
    </w:p>
    <w:p w14:paraId="162536A9" w14:textId="77777777" w:rsidR="005F36F3" w:rsidRPr="009F7642" w:rsidRDefault="005F36F3" w:rsidP="0073217C">
      <w:pPr>
        <w:suppressAutoHyphens/>
        <w:spacing w:after="0" w:line="240" w:lineRule="auto"/>
        <w:ind w:left="0" w:firstLine="0"/>
        <w:rPr>
          <w:color w:val="auto"/>
          <w:lang w:val="is-IS"/>
        </w:rPr>
      </w:pPr>
    </w:p>
    <w:p w14:paraId="2CAEAB8A"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Þegar lyfið er notað handa fullorðnum sjúklingum með langt gengið þekjufrumukrabbamein í eggjastokkum, krabbamein í eggjaleiðurum eða krabbamein sem á upptök í lífhimnu þar sem sjúkdómur hefur komið upp aftur a.m.k. 6 mánuðum eftir síðustu krabbameinsmeðferð með lyfi sem inniheldur platínu, er </w:t>
      </w:r>
      <w:r w:rsidR="001764F7" w:rsidRPr="00F2274F">
        <w:rPr>
          <w:noProof/>
          <w:lang w:val="is-IS"/>
        </w:rPr>
        <w:t>MVASI</w:t>
      </w:r>
      <w:r w:rsidRPr="009F7642">
        <w:rPr>
          <w:color w:val="auto"/>
          <w:lang w:val="is-IS"/>
        </w:rPr>
        <w:t xml:space="preserve"> gefið ásamt carboplatíni og gemcitabíni eða ása</w:t>
      </w:r>
      <w:r w:rsidR="004A6586" w:rsidRPr="009F7642">
        <w:rPr>
          <w:color w:val="auto"/>
          <w:lang w:val="is-IS"/>
        </w:rPr>
        <w:t>mt carboplatíni og paklítaxeli.</w:t>
      </w:r>
    </w:p>
    <w:p w14:paraId="43F7A52C" w14:textId="77777777" w:rsidR="005F36F3" w:rsidRPr="009F7642" w:rsidRDefault="005F36F3" w:rsidP="0073217C">
      <w:pPr>
        <w:suppressAutoHyphens/>
        <w:spacing w:after="0" w:line="240" w:lineRule="auto"/>
        <w:ind w:left="0" w:firstLine="0"/>
        <w:rPr>
          <w:color w:val="auto"/>
          <w:lang w:val="is-IS"/>
        </w:rPr>
      </w:pPr>
    </w:p>
    <w:p w14:paraId="0E88733C"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Þegar lyfið er notað handa fullorðnum sjúklingum með langt gengið þekjufrumukrabbamein í eggjastokkum, krabbamein í eggjaleiðurum eða krabbamein sem á upptök í lífhimnu þar sem sjúkdómur hefur komið upp aftur áður en 6 mánuðir eru liðnir frá síðustu krabbameinsmeðferð með lyfi sem inniheldur platínu, er </w:t>
      </w:r>
      <w:r w:rsidR="001764F7" w:rsidRPr="00F2274F">
        <w:rPr>
          <w:noProof/>
          <w:lang w:val="is-IS"/>
        </w:rPr>
        <w:t>MVASI</w:t>
      </w:r>
      <w:r w:rsidRPr="009F7642">
        <w:rPr>
          <w:color w:val="auto"/>
          <w:lang w:val="is-IS"/>
        </w:rPr>
        <w:t xml:space="preserve"> gefið ásamt </w:t>
      </w:r>
      <w:r w:rsidR="00527563">
        <w:rPr>
          <w:color w:val="auto"/>
          <w:lang w:val="is-IS"/>
        </w:rPr>
        <w:t xml:space="preserve">paklítaxeli, </w:t>
      </w:r>
      <w:r w:rsidRPr="009F7642">
        <w:rPr>
          <w:color w:val="auto"/>
          <w:lang w:val="is-IS"/>
        </w:rPr>
        <w:t>tópótekani eða pegýleruðu doxórúbicíni í lípósómum.</w:t>
      </w:r>
    </w:p>
    <w:p w14:paraId="23B98E01" w14:textId="77777777" w:rsidR="005F36F3" w:rsidRPr="009F7642" w:rsidRDefault="005F36F3" w:rsidP="0073217C">
      <w:pPr>
        <w:suppressAutoHyphens/>
        <w:spacing w:after="0" w:line="240" w:lineRule="auto"/>
        <w:ind w:left="0" w:firstLine="0"/>
        <w:rPr>
          <w:color w:val="auto"/>
          <w:lang w:val="is-IS"/>
        </w:rPr>
      </w:pPr>
    </w:p>
    <w:p w14:paraId="20898199" w14:textId="77777777" w:rsidR="005F36F3" w:rsidRPr="009F7642" w:rsidRDefault="001764F7" w:rsidP="0073217C">
      <w:pPr>
        <w:suppressAutoHyphens/>
        <w:spacing w:after="0" w:line="240" w:lineRule="auto"/>
        <w:ind w:left="0" w:firstLine="0"/>
        <w:rPr>
          <w:color w:val="auto"/>
          <w:lang w:val="is-IS"/>
        </w:rPr>
      </w:pPr>
      <w:r w:rsidRPr="00F2274F">
        <w:rPr>
          <w:noProof/>
          <w:lang w:val="is-IS"/>
        </w:rPr>
        <w:t>MVASI</w:t>
      </w:r>
      <w:r w:rsidR="00564614" w:rsidRPr="009F7642">
        <w:rPr>
          <w:color w:val="auto"/>
          <w:lang w:val="is-IS"/>
        </w:rPr>
        <w:t xml:space="preserve"> er einnig notað handa fullorðnum sjúklingum til meðferðar við krabbameini í leghálsi sem er þrálátt, endurkomið eða með meinvörpum. </w:t>
      </w:r>
      <w:r w:rsidRPr="00F2274F">
        <w:rPr>
          <w:noProof/>
          <w:lang w:val="is-IS"/>
        </w:rPr>
        <w:t>MVASI</w:t>
      </w:r>
      <w:r w:rsidR="00564614" w:rsidRPr="009F7642">
        <w:rPr>
          <w:color w:val="auto"/>
          <w:lang w:val="is-IS"/>
        </w:rPr>
        <w:t xml:space="preserve"> er gefið ásamt paklítaxeli og cisplatíni eða paklítaxeli og tópótekani hjá sjúklingum sem ekki geta fengi</w:t>
      </w:r>
      <w:r w:rsidR="004A6586" w:rsidRPr="009F7642">
        <w:rPr>
          <w:color w:val="auto"/>
          <w:lang w:val="is-IS"/>
        </w:rPr>
        <w:t>ð meðferð með platínusamböndum.</w:t>
      </w:r>
    </w:p>
    <w:p w14:paraId="563D9E20" w14:textId="77777777" w:rsidR="005F36F3" w:rsidRPr="009F7642" w:rsidRDefault="005F36F3" w:rsidP="0073217C">
      <w:pPr>
        <w:suppressAutoHyphens/>
        <w:spacing w:after="0" w:line="240" w:lineRule="auto"/>
        <w:ind w:left="0" w:firstLine="0"/>
        <w:rPr>
          <w:color w:val="auto"/>
          <w:lang w:val="is-IS"/>
        </w:rPr>
      </w:pPr>
    </w:p>
    <w:p w14:paraId="14E81FC6" w14:textId="77777777" w:rsidR="005F36F3" w:rsidRPr="009F7642" w:rsidRDefault="005F36F3" w:rsidP="0073217C">
      <w:pPr>
        <w:suppressAutoHyphens/>
        <w:spacing w:after="0" w:line="240" w:lineRule="auto"/>
        <w:ind w:left="0" w:firstLine="0"/>
        <w:rPr>
          <w:color w:val="auto"/>
          <w:lang w:val="is-IS"/>
        </w:rPr>
      </w:pPr>
    </w:p>
    <w:p w14:paraId="2817A2DB" w14:textId="77777777" w:rsidR="006C06D6" w:rsidRPr="009F7642" w:rsidRDefault="00A8696B" w:rsidP="0073217C">
      <w:pPr>
        <w:keepNext/>
        <w:tabs>
          <w:tab w:val="center" w:pos="2176"/>
        </w:tabs>
        <w:suppressAutoHyphens/>
        <w:spacing w:after="0" w:line="240" w:lineRule="auto"/>
        <w:ind w:left="567" w:hanging="567"/>
        <w:rPr>
          <w:color w:val="auto"/>
          <w:lang w:val="is-IS"/>
        </w:rPr>
      </w:pPr>
      <w:r w:rsidRPr="009F7642">
        <w:rPr>
          <w:b/>
          <w:color w:val="auto"/>
          <w:lang w:val="is-IS"/>
        </w:rPr>
        <w:t>2.</w:t>
      </w:r>
      <w:r w:rsidR="00564614" w:rsidRPr="009F7642">
        <w:rPr>
          <w:b/>
          <w:color w:val="auto"/>
          <w:lang w:val="is-IS"/>
        </w:rPr>
        <w:tab/>
        <w:t xml:space="preserve">Áður en byrjað er að nota </w:t>
      </w:r>
      <w:r w:rsidR="001764F7" w:rsidRPr="00F2274F">
        <w:rPr>
          <w:b/>
          <w:noProof/>
          <w:lang w:val="sv-SE"/>
        </w:rPr>
        <w:t>MVASI</w:t>
      </w:r>
    </w:p>
    <w:p w14:paraId="2DCF80AE" w14:textId="77777777" w:rsidR="005F36F3" w:rsidRDefault="005F36F3" w:rsidP="0073217C">
      <w:pPr>
        <w:keepNext/>
        <w:suppressAutoHyphens/>
        <w:spacing w:after="0" w:line="240" w:lineRule="auto"/>
        <w:ind w:left="0" w:firstLine="0"/>
        <w:rPr>
          <w:color w:val="auto"/>
          <w:lang w:val="is-IS"/>
        </w:rPr>
      </w:pPr>
    </w:p>
    <w:p w14:paraId="46BCC9D1" w14:textId="57CDC411" w:rsidR="006C06D6" w:rsidRDefault="00564614" w:rsidP="0073217C">
      <w:pPr>
        <w:keepNext/>
        <w:suppressAutoHyphens/>
        <w:spacing w:after="0" w:line="240" w:lineRule="auto"/>
        <w:ind w:left="0" w:firstLine="0"/>
        <w:rPr>
          <w:b/>
          <w:color w:val="auto"/>
          <w:lang w:val="is-IS"/>
        </w:rPr>
      </w:pPr>
      <w:r w:rsidRPr="00EC6F60">
        <w:rPr>
          <w:b/>
          <w:color w:val="auto"/>
          <w:lang w:val="is-IS"/>
        </w:rPr>
        <w:t xml:space="preserve">Ekki má nota </w:t>
      </w:r>
      <w:r w:rsidR="001764F7">
        <w:rPr>
          <w:b/>
          <w:noProof/>
        </w:rPr>
        <w:t>MVASI</w:t>
      </w:r>
    </w:p>
    <w:p w14:paraId="539740B9" w14:textId="77777777" w:rsidR="00AA3498" w:rsidRPr="00EC6F60" w:rsidRDefault="00AA3498" w:rsidP="0073217C">
      <w:pPr>
        <w:keepNext/>
        <w:suppressAutoHyphens/>
        <w:spacing w:after="0" w:line="240" w:lineRule="auto"/>
        <w:ind w:left="0" w:firstLine="0"/>
        <w:rPr>
          <w:b/>
          <w:color w:val="auto"/>
          <w:lang w:val="is-IS"/>
        </w:rPr>
      </w:pPr>
    </w:p>
    <w:p w14:paraId="6C9AE553" w14:textId="77777777" w:rsidR="006C06D6" w:rsidRPr="009F7642" w:rsidRDefault="00564614" w:rsidP="00321CD1">
      <w:pPr>
        <w:numPr>
          <w:ilvl w:val="0"/>
          <w:numId w:val="61"/>
        </w:numPr>
        <w:suppressAutoHyphens/>
        <w:spacing w:after="0" w:line="240" w:lineRule="auto"/>
        <w:ind w:hanging="567"/>
        <w:rPr>
          <w:color w:val="auto"/>
          <w:lang w:val="is-IS"/>
        </w:rPr>
      </w:pPr>
      <w:r w:rsidRPr="009F7642">
        <w:rPr>
          <w:color w:val="auto"/>
          <w:lang w:val="is-IS"/>
        </w:rPr>
        <w:t>ef um er að ræða ofnæmi fyrir bevacízúmabi eða einhverju öðru innihaldsefni lyfsins (talin upp í kafla 6).</w:t>
      </w:r>
    </w:p>
    <w:p w14:paraId="0D5CA57B" w14:textId="77777777" w:rsidR="006C06D6" w:rsidRPr="009F7642" w:rsidRDefault="00564614" w:rsidP="00321CD1">
      <w:pPr>
        <w:numPr>
          <w:ilvl w:val="0"/>
          <w:numId w:val="61"/>
        </w:numPr>
        <w:suppressAutoHyphens/>
        <w:spacing w:after="0" w:line="240" w:lineRule="auto"/>
        <w:ind w:hanging="567"/>
        <w:rPr>
          <w:color w:val="auto"/>
          <w:lang w:val="is-IS"/>
        </w:rPr>
      </w:pPr>
      <w:r w:rsidRPr="009F7642">
        <w:rPr>
          <w:color w:val="auto"/>
          <w:lang w:val="is-IS"/>
        </w:rPr>
        <w:t>ef þú ert með ofnæmi fyrir frumuafurðum úr eggjastokkum kínverskra hamstra (CHO) eða öðrum raðbrigða manna- eða mannaaðlöguðum mótefnum.</w:t>
      </w:r>
    </w:p>
    <w:p w14:paraId="36450AC5" w14:textId="77777777" w:rsidR="005F36F3" w:rsidRPr="009F7642" w:rsidRDefault="00B62FA7" w:rsidP="00321CD1">
      <w:pPr>
        <w:numPr>
          <w:ilvl w:val="0"/>
          <w:numId w:val="61"/>
        </w:numPr>
        <w:suppressAutoHyphens/>
        <w:spacing w:after="0" w:line="240" w:lineRule="auto"/>
        <w:ind w:hanging="567"/>
        <w:rPr>
          <w:color w:val="auto"/>
          <w:lang w:val="is-IS"/>
        </w:rPr>
      </w:pPr>
      <w:r w:rsidRPr="009F7642">
        <w:rPr>
          <w:color w:val="auto"/>
          <w:lang w:val="is-IS"/>
        </w:rPr>
        <w:t>ef þungun er til staðar.</w:t>
      </w:r>
    </w:p>
    <w:p w14:paraId="11BAEC0E" w14:textId="77777777" w:rsidR="005F36F3" w:rsidRPr="009F7642" w:rsidRDefault="005F36F3" w:rsidP="0073217C">
      <w:pPr>
        <w:suppressAutoHyphens/>
        <w:spacing w:after="0" w:line="240" w:lineRule="auto"/>
        <w:ind w:left="0" w:firstLine="0"/>
        <w:rPr>
          <w:color w:val="auto"/>
          <w:lang w:val="is-IS"/>
        </w:rPr>
      </w:pPr>
    </w:p>
    <w:p w14:paraId="4AFE8950" w14:textId="77777777" w:rsidR="006C06D6" w:rsidRDefault="00564614" w:rsidP="0073217C">
      <w:pPr>
        <w:keepNext/>
        <w:suppressAutoHyphens/>
        <w:spacing w:after="0" w:line="240" w:lineRule="auto"/>
        <w:ind w:left="0" w:firstLine="0"/>
        <w:rPr>
          <w:b/>
          <w:color w:val="auto"/>
          <w:lang w:val="is-IS"/>
        </w:rPr>
      </w:pPr>
      <w:r w:rsidRPr="00F5609D">
        <w:rPr>
          <w:b/>
          <w:color w:val="auto"/>
          <w:lang w:val="is-IS"/>
        </w:rPr>
        <w:t>Varnaðarorð og varúðarreglur</w:t>
      </w:r>
    </w:p>
    <w:p w14:paraId="21E68CB1" w14:textId="77777777" w:rsidR="00D60C04" w:rsidRPr="00F5609D" w:rsidRDefault="00D60C04" w:rsidP="0073217C">
      <w:pPr>
        <w:keepNext/>
        <w:suppressAutoHyphens/>
        <w:spacing w:after="0" w:line="240" w:lineRule="auto"/>
        <w:ind w:left="0" w:firstLine="0"/>
        <w:rPr>
          <w:b/>
          <w:color w:val="auto"/>
          <w:lang w:val="is-IS"/>
        </w:rPr>
      </w:pPr>
    </w:p>
    <w:p w14:paraId="24B038D8" w14:textId="77777777" w:rsidR="005F36F3" w:rsidRPr="009F7642" w:rsidRDefault="00564614" w:rsidP="0073217C">
      <w:pPr>
        <w:suppressAutoHyphens/>
        <w:spacing w:after="0" w:line="240" w:lineRule="auto"/>
        <w:ind w:left="0" w:firstLine="0"/>
        <w:rPr>
          <w:color w:val="auto"/>
          <w:lang w:val="is-IS"/>
        </w:rPr>
      </w:pPr>
      <w:r w:rsidRPr="00504296">
        <w:rPr>
          <w:color w:val="auto"/>
          <w:lang w:val="is-IS"/>
        </w:rPr>
        <w:t>Leitið ráða hjá lækninum, lyfjafræðingi</w:t>
      </w:r>
      <w:r w:rsidRPr="009F7642">
        <w:rPr>
          <w:color w:val="auto"/>
          <w:lang w:val="is-IS"/>
        </w:rPr>
        <w:t xml:space="preserve"> eða hjúkrunarfræði</w:t>
      </w:r>
      <w:r w:rsidR="004A6586" w:rsidRPr="009F7642">
        <w:rPr>
          <w:color w:val="auto"/>
          <w:lang w:val="is-IS"/>
        </w:rPr>
        <w:t xml:space="preserve">ngnum áður en </w:t>
      </w:r>
      <w:r w:rsidR="001764F7" w:rsidRPr="00F2274F">
        <w:rPr>
          <w:noProof/>
          <w:lang w:val="is-IS"/>
        </w:rPr>
        <w:t>MVASI</w:t>
      </w:r>
      <w:r w:rsidR="004A6586" w:rsidRPr="009F7642">
        <w:rPr>
          <w:color w:val="auto"/>
          <w:lang w:val="is-IS"/>
        </w:rPr>
        <w:t xml:space="preserve"> er notað</w:t>
      </w:r>
    </w:p>
    <w:p w14:paraId="17818871" w14:textId="77777777" w:rsidR="005F36F3" w:rsidRPr="009F7642" w:rsidRDefault="005F36F3" w:rsidP="0073217C">
      <w:pPr>
        <w:suppressAutoHyphens/>
        <w:spacing w:after="0" w:line="240" w:lineRule="auto"/>
        <w:ind w:left="0" w:firstLine="0"/>
        <w:rPr>
          <w:color w:val="auto"/>
          <w:lang w:val="is-IS"/>
        </w:rPr>
      </w:pPr>
    </w:p>
    <w:p w14:paraId="5F5C25F3" w14:textId="77777777" w:rsidR="005F36F3" w:rsidRPr="009F7642" w:rsidRDefault="00564614" w:rsidP="00321CD1">
      <w:pPr>
        <w:numPr>
          <w:ilvl w:val="0"/>
          <w:numId w:val="62"/>
        </w:numPr>
        <w:suppressAutoHyphens/>
        <w:spacing w:after="0" w:line="240" w:lineRule="auto"/>
        <w:ind w:left="567" w:hanging="567"/>
        <w:rPr>
          <w:color w:val="auto"/>
          <w:lang w:val="is-IS"/>
        </w:rPr>
      </w:pPr>
      <w:r w:rsidRPr="009F7642">
        <w:rPr>
          <w:color w:val="auto"/>
          <w:lang w:val="is-IS"/>
        </w:rPr>
        <w:t xml:space="preserve">Hugsanlegt er að </w:t>
      </w:r>
      <w:r w:rsidR="001764F7" w:rsidRPr="00F2274F">
        <w:rPr>
          <w:noProof/>
          <w:lang w:val="is-IS"/>
        </w:rPr>
        <w:t>MVASI</w:t>
      </w:r>
      <w:r w:rsidRPr="009F7642">
        <w:rPr>
          <w:color w:val="auto"/>
          <w:lang w:val="is-IS"/>
        </w:rPr>
        <w:t xml:space="preserve"> auki hættu á því að fram komi rof í þarmavegg. Ef þú ert með sjúkdóma sem valda bólgu í kviðarholi (t.d. sarpbólgu, magasár, ristilbólgu sem tengist krabbameinslyfjameðferð) skaltu ræða við lækninn.</w:t>
      </w:r>
    </w:p>
    <w:p w14:paraId="6D28BF61" w14:textId="77777777" w:rsidR="005F36F3" w:rsidRPr="009F7642" w:rsidRDefault="001764F7" w:rsidP="00321CD1">
      <w:pPr>
        <w:numPr>
          <w:ilvl w:val="0"/>
          <w:numId w:val="62"/>
        </w:numPr>
        <w:suppressAutoHyphens/>
        <w:spacing w:after="0" w:line="240" w:lineRule="auto"/>
        <w:ind w:left="567" w:hanging="567"/>
        <w:rPr>
          <w:color w:val="auto"/>
          <w:lang w:val="is-IS"/>
        </w:rPr>
      </w:pPr>
      <w:r w:rsidRPr="00F2274F">
        <w:rPr>
          <w:noProof/>
          <w:lang w:val="is-IS"/>
        </w:rPr>
        <w:t>MVASI</w:t>
      </w:r>
      <w:r w:rsidR="00564614" w:rsidRPr="009F7642">
        <w:rPr>
          <w:color w:val="auto"/>
          <w:lang w:val="is-IS"/>
        </w:rPr>
        <w:t xml:space="preserve"> getur aukið hættu á myndun afbrigðilegra tenginga eða ganga milli tveggja líffæra eða æða. Hætta á myndun tenginga milli legganga og einhvers hluta meltingarvegar getur verið aukin hjá sjúklingum með krabbamein í leghálsi sem er þrálátt og</w:t>
      </w:r>
      <w:r w:rsidR="004A6586" w:rsidRPr="009F7642">
        <w:rPr>
          <w:color w:val="auto"/>
          <w:lang w:val="is-IS"/>
        </w:rPr>
        <w:t xml:space="preserve"> endurkomið eða með meinvörpum.</w:t>
      </w:r>
    </w:p>
    <w:p w14:paraId="4F42DFDA" w14:textId="77777777" w:rsidR="005F36F3" w:rsidRPr="009F7642" w:rsidRDefault="001764F7" w:rsidP="00321CD1">
      <w:pPr>
        <w:numPr>
          <w:ilvl w:val="0"/>
          <w:numId w:val="62"/>
        </w:numPr>
        <w:suppressAutoHyphens/>
        <w:spacing w:after="0" w:line="240" w:lineRule="auto"/>
        <w:ind w:left="567" w:hanging="567"/>
        <w:rPr>
          <w:color w:val="auto"/>
          <w:lang w:val="is-IS"/>
        </w:rPr>
      </w:pPr>
      <w:r w:rsidRPr="00F2274F">
        <w:rPr>
          <w:noProof/>
          <w:lang w:val="is-IS"/>
        </w:rPr>
        <w:t>MVASI</w:t>
      </w:r>
      <w:r w:rsidR="00564614" w:rsidRPr="009F7642">
        <w:rPr>
          <w:color w:val="auto"/>
          <w:lang w:val="is-IS"/>
        </w:rPr>
        <w:t xml:space="preserve"> getur aukið hættuna á blæðingu eða að sár grói ekki eftir skurðaðgerð. Ef uppskurður er fyrirhugaður, ef stór skurðaðgerð hefur verið framkvæmd á síðastliðnum 28</w:t>
      </w:r>
      <w:r w:rsidR="00851CF6">
        <w:rPr>
          <w:color w:val="auto"/>
          <w:lang w:val="is-IS"/>
        </w:rPr>
        <w:t> </w:t>
      </w:r>
      <w:r w:rsidR="00564614" w:rsidRPr="009F7642">
        <w:rPr>
          <w:color w:val="auto"/>
          <w:lang w:val="is-IS"/>
        </w:rPr>
        <w:t>dögum eða ef sár hafa enn ekki gróið eftir skurðað</w:t>
      </w:r>
      <w:r w:rsidR="004A6586" w:rsidRPr="009F7642">
        <w:rPr>
          <w:color w:val="auto"/>
          <w:lang w:val="is-IS"/>
        </w:rPr>
        <w:t>gerð, á ekki að nota þetta lyf.</w:t>
      </w:r>
    </w:p>
    <w:p w14:paraId="53929286" w14:textId="77777777" w:rsidR="005F36F3" w:rsidRPr="009F7642" w:rsidRDefault="001764F7" w:rsidP="00321CD1">
      <w:pPr>
        <w:numPr>
          <w:ilvl w:val="0"/>
          <w:numId w:val="62"/>
        </w:numPr>
        <w:suppressAutoHyphens/>
        <w:spacing w:after="0" w:line="240" w:lineRule="auto"/>
        <w:ind w:left="567" w:hanging="567"/>
        <w:rPr>
          <w:color w:val="auto"/>
          <w:lang w:val="is-IS"/>
        </w:rPr>
      </w:pPr>
      <w:r w:rsidRPr="00F2274F">
        <w:rPr>
          <w:noProof/>
          <w:lang w:val="is-IS"/>
        </w:rPr>
        <w:t>MVASI</w:t>
      </w:r>
      <w:r w:rsidR="00564614" w:rsidRPr="009F7642">
        <w:rPr>
          <w:color w:val="auto"/>
          <w:lang w:val="is-IS"/>
        </w:rPr>
        <w:t xml:space="preserve"> getur aukið hættu á því að fram komi alvarlegar sýkingar í húð eða dýpri vefjalögum undir húð, einkum ef göt hafa komið á meltingarveg eða vandamál hafa verið með sáragræðslu.</w:t>
      </w:r>
    </w:p>
    <w:p w14:paraId="390C00D6" w14:textId="77777777" w:rsidR="005F36F3" w:rsidRPr="009F7642" w:rsidRDefault="001764F7" w:rsidP="00321CD1">
      <w:pPr>
        <w:numPr>
          <w:ilvl w:val="0"/>
          <w:numId w:val="62"/>
        </w:numPr>
        <w:suppressAutoHyphens/>
        <w:spacing w:after="0" w:line="240" w:lineRule="auto"/>
        <w:ind w:left="567" w:hanging="567"/>
        <w:rPr>
          <w:color w:val="auto"/>
          <w:lang w:val="is-IS"/>
        </w:rPr>
      </w:pPr>
      <w:r w:rsidRPr="00F2274F">
        <w:rPr>
          <w:noProof/>
          <w:lang w:val="is-IS"/>
        </w:rPr>
        <w:t>MVASI</w:t>
      </w:r>
      <w:r w:rsidR="00564614" w:rsidRPr="009F7642">
        <w:rPr>
          <w:color w:val="auto"/>
          <w:lang w:val="is-IS"/>
        </w:rPr>
        <w:t xml:space="preserve"> getur aukið líkur á háum blóðþrýstingi. Ef þú ert með háan blóðþrýsting sem er ekki haldið í skefjum með blóðþrýstingslyfjum skaltu ræða við lækninn, þar sem mikilvægt er að ganga úr skugga um að blóðþrýstingurinn sé í lagi áður e</w:t>
      </w:r>
      <w:r w:rsidR="004A6586" w:rsidRPr="009F7642">
        <w:rPr>
          <w:color w:val="auto"/>
          <w:lang w:val="is-IS"/>
        </w:rPr>
        <w:t xml:space="preserve">n meðferð með </w:t>
      </w:r>
      <w:r w:rsidRPr="00F2274F">
        <w:rPr>
          <w:noProof/>
          <w:lang w:val="is-IS"/>
        </w:rPr>
        <w:t>MVASI</w:t>
      </w:r>
      <w:r w:rsidR="004A6586" w:rsidRPr="009F7642">
        <w:rPr>
          <w:color w:val="auto"/>
          <w:lang w:val="is-IS"/>
        </w:rPr>
        <w:t xml:space="preserve"> er hafin.</w:t>
      </w:r>
    </w:p>
    <w:p w14:paraId="1C88E9A3" w14:textId="77777777" w:rsidR="005F36F3" w:rsidRPr="009F7642" w:rsidRDefault="001764F7" w:rsidP="00321CD1">
      <w:pPr>
        <w:numPr>
          <w:ilvl w:val="0"/>
          <w:numId w:val="62"/>
        </w:numPr>
        <w:suppressAutoHyphens/>
        <w:spacing w:after="0" w:line="240" w:lineRule="auto"/>
        <w:ind w:left="567" w:hanging="567"/>
        <w:rPr>
          <w:color w:val="auto"/>
          <w:lang w:val="is-IS"/>
        </w:rPr>
      </w:pPr>
      <w:r w:rsidRPr="00F2274F">
        <w:rPr>
          <w:noProof/>
          <w:lang w:val="is-IS"/>
        </w:rPr>
        <w:t>MVASI</w:t>
      </w:r>
      <w:r w:rsidR="00564614" w:rsidRPr="009F7642">
        <w:rPr>
          <w:color w:val="auto"/>
          <w:lang w:val="is-IS"/>
        </w:rPr>
        <w:t xml:space="preserve"> eykur hættu á að prótein sé í þvagi, einkum ef þú ert með háan blóðþrýsting.</w:t>
      </w:r>
    </w:p>
    <w:p w14:paraId="4B77C82A" w14:textId="77777777" w:rsidR="006C06D6" w:rsidRPr="009F7642" w:rsidRDefault="00564614" w:rsidP="00321CD1">
      <w:pPr>
        <w:numPr>
          <w:ilvl w:val="0"/>
          <w:numId w:val="62"/>
        </w:numPr>
        <w:suppressAutoHyphens/>
        <w:spacing w:after="0" w:line="240" w:lineRule="auto"/>
        <w:ind w:left="567" w:hanging="567"/>
        <w:rPr>
          <w:color w:val="auto"/>
          <w:lang w:val="is-IS"/>
        </w:rPr>
      </w:pPr>
      <w:r w:rsidRPr="009F7642">
        <w:rPr>
          <w:color w:val="auto"/>
          <w:lang w:val="is-IS"/>
        </w:rPr>
        <w:t>Hætta á blóðtappa í slagæðum (ein gerð æða) getur aukist ef þú ert eldri en 65 ára, ef þú ert með sykursýki eða ef þú hefur áður fengið blóðtappa í slagæð. Ræddu við lækni þinn, þar sem blóðtappar í slagæð geta leitt til hjartaáfalls eða heilablóðfalls</w:t>
      </w:r>
      <w:r w:rsidR="002A05F5">
        <w:rPr>
          <w:color w:val="auto"/>
          <w:lang w:val="is-IS"/>
        </w:rPr>
        <w:t>.</w:t>
      </w:r>
    </w:p>
    <w:p w14:paraId="4D46C4B4" w14:textId="77777777" w:rsidR="005F36F3" w:rsidRPr="009F7642" w:rsidRDefault="001764F7" w:rsidP="00321CD1">
      <w:pPr>
        <w:numPr>
          <w:ilvl w:val="0"/>
          <w:numId w:val="62"/>
        </w:numPr>
        <w:suppressAutoHyphens/>
        <w:spacing w:after="0" w:line="240" w:lineRule="auto"/>
        <w:ind w:left="567" w:hanging="567"/>
        <w:rPr>
          <w:color w:val="auto"/>
          <w:lang w:val="is-IS"/>
        </w:rPr>
      </w:pPr>
      <w:r w:rsidRPr="00F2274F">
        <w:rPr>
          <w:noProof/>
          <w:lang w:val="is-IS"/>
        </w:rPr>
        <w:t>MVASI</w:t>
      </w:r>
      <w:r w:rsidR="00564614" w:rsidRPr="009F7642">
        <w:rPr>
          <w:color w:val="auto"/>
          <w:lang w:val="is-IS"/>
        </w:rPr>
        <w:t xml:space="preserve"> getur einnig aukið hættu á blóð</w:t>
      </w:r>
      <w:r w:rsidR="004A6586" w:rsidRPr="009F7642">
        <w:rPr>
          <w:color w:val="auto"/>
          <w:lang w:val="is-IS"/>
        </w:rPr>
        <w:t>tappa í bláæðum (ein gerð æða).</w:t>
      </w:r>
    </w:p>
    <w:p w14:paraId="2EF5183D" w14:textId="77777777" w:rsidR="005F36F3" w:rsidRPr="009F7642" w:rsidRDefault="001764F7" w:rsidP="00321CD1">
      <w:pPr>
        <w:numPr>
          <w:ilvl w:val="0"/>
          <w:numId w:val="62"/>
        </w:numPr>
        <w:suppressAutoHyphens/>
        <w:spacing w:after="0" w:line="240" w:lineRule="auto"/>
        <w:ind w:left="567" w:hanging="567"/>
        <w:rPr>
          <w:color w:val="auto"/>
          <w:lang w:val="is-IS"/>
        </w:rPr>
      </w:pPr>
      <w:r w:rsidRPr="00F2274F">
        <w:rPr>
          <w:noProof/>
          <w:lang w:val="is-IS"/>
        </w:rPr>
        <w:t>MVASI</w:t>
      </w:r>
      <w:r w:rsidR="00564614" w:rsidRPr="009F7642">
        <w:rPr>
          <w:color w:val="auto"/>
          <w:lang w:val="is-IS"/>
        </w:rPr>
        <w:t xml:space="preserve"> getur valdið blæðingu, einkum æxlistengdri blæðingu. Ræddu við lækninn ef þú eða fjölskylda þín hafið tilhneigingu til blæðingavanda eða ef þú tekur blóðþynningarlyf af einhver</w:t>
      </w:r>
      <w:r w:rsidR="004A6586" w:rsidRPr="009F7642">
        <w:rPr>
          <w:color w:val="auto"/>
          <w:lang w:val="is-IS"/>
        </w:rPr>
        <w:t>jum ástæðum.</w:t>
      </w:r>
    </w:p>
    <w:p w14:paraId="0BAFB6C1" w14:textId="77777777" w:rsidR="005F36F3" w:rsidRPr="009F7642" w:rsidRDefault="00564614" w:rsidP="00321CD1">
      <w:pPr>
        <w:numPr>
          <w:ilvl w:val="0"/>
          <w:numId w:val="62"/>
        </w:numPr>
        <w:suppressAutoHyphens/>
        <w:spacing w:after="0" w:line="240" w:lineRule="auto"/>
        <w:ind w:left="567" w:hanging="567"/>
        <w:rPr>
          <w:color w:val="auto"/>
          <w:lang w:val="is-IS"/>
        </w:rPr>
      </w:pPr>
      <w:r w:rsidRPr="009F7642">
        <w:rPr>
          <w:color w:val="auto"/>
          <w:lang w:val="is-IS"/>
        </w:rPr>
        <w:t xml:space="preserve">Hugsanlegt er að </w:t>
      </w:r>
      <w:r w:rsidR="001764F7" w:rsidRPr="00F2274F">
        <w:rPr>
          <w:noProof/>
          <w:lang w:val="is-IS"/>
        </w:rPr>
        <w:t>MVASI</w:t>
      </w:r>
      <w:r w:rsidRPr="009F7642">
        <w:rPr>
          <w:color w:val="auto"/>
          <w:lang w:val="is-IS"/>
        </w:rPr>
        <w:t xml:space="preserve"> geti valdið blæðingu í eða við heila. Ræddu þetta við lækninn ef þú ert með krabbamein með meinvörpum sem hefur áhrif á heilann.</w:t>
      </w:r>
    </w:p>
    <w:p w14:paraId="6F02AE60" w14:textId="77777777" w:rsidR="005F36F3" w:rsidRPr="009F7642" w:rsidRDefault="00564614" w:rsidP="00321CD1">
      <w:pPr>
        <w:numPr>
          <w:ilvl w:val="0"/>
          <w:numId w:val="62"/>
        </w:numPr>
        <w:suppressAutoHyphens/>
        <w:spacing w:after="0" w:line="240" w:lineRule="auto"/>
        <w:ind w:left="567" w:hanging="567"/>
        <w:rPr>
          <w:color w:val="auto"/>
          <w:lang w:val="is-IS"/>
        </w:rPr>
      </w:pPr>
      <w:r w:rsidRPr="00F55881">
        <w:rPr>
          <w:color w:val="auto"/>
          <w:lang w:val="is-IS"/>
        </w:rPr>
        <w:lastRenderedPageBreak/>
        <w:t xml:space="preserve">Hugsanlegt er að </w:t>
      </w:r>
      <w:r w:rsidR="001764F7" w:rsidRPr="00F2274F">
        <w:rPr>
          <w:noProof/>
          <w:lang w:val="is-IS"/>
        </w:rPr>
        <w:t>MVASI</w:t>
      </w:r>
      <w:r w:rsidRPr="00F76CFB">
        <w:rPr>
          <w:color w:val="auto"/>
          <w:lang w:val="is-IS"/>
        </w:rPr>
        <w:t xml:space="preserve"> geti aukið hættu á blæðingum í lungum, þar með talið blóðhósta og </w:t>
      </w:r>
      <w:r w:rsidRPr="009E7197">
        <w:rPr>
          <w:color w:val="auto"/>
          <w:lang w:val="is-IS"/>
        </w:rPr>
        <w:t>blóðspýtingi. Ræddu við lækninn</w:t>
      </w:r>
      <w:r w:rsidR="004A6586" w:rsidRPr="009F7642">
        <w:rPr>
          <w:color w:val="auto"/>
          <w:lang w:val="is-IS"/>
        </w:rPr>
        <w:t xml:space="preserve"> ef þú hefur tekið eftir slíku.</w:t>
      </w:r>
    </w:p>
    <w:p w14:paraId="54E895C8" w14:textId="77777777" w:rsidR="005F36F3" w:rsidRPr="009F7642" w:rsidRDefault="001764F7" w:rsidP="00321CD1">
      <w:pPr>
        <w:numPr>
          <w:ilvl w:val="0"/>
          <w:numId w:val="62"/>
        </w:numPr>
        <w:suppressAutoHyphens/>
        <w:spacing w:after="0" w:line="240" w:lineRule="auto"/>
        <w:ind w:left="567" w:hanging="567"/>
        <w:rPr>
          <w:color w:val="auto"/>
          <w:lang w:val="is-IS"/>
        </w:rPr>
      </w:pPr>
      <w:r w:rsidRPr="00F2274F">
        <w:rPr>
          <w:noProof/>
          <w:lang w:val="is-IS"/>
        </w:rPr>
        <w:t>MVASI</w:t>
      </w:r>
      <w:r w:rsidR="00564614" w:rsidRPr="009F7642">
        <w:rPr>
          <w:color w:val="auto"/>
          <w:lang w:val="is-IS"/>
        </w:rPr>
        <w:t xml:space="preserve"> getur aukið hættuna á hjartabilun. Mikilvægt er að læknirinn viti hvort þú hefur nokkurn tíma fengið antracýklín (t.d. doxórúbícín sem er sérstök gerð krabbameinslyfja, notuð til að meðhöndla sumar tegundir krabbameins) eða fengið geislameðferð á brjóstk</w:t>
      </w:r>
      <w:r w:rsidR="004A6586" w:rsidRPr="009F7642">
        <w:rPr>
          <w:color w:val="auto"/>
          <w:lang w:val="is-IS"/>
        </w:rPr>
        <w:t>assa eða ert með hjartasjúkdóm.</w:t>
      </w:r>
    </w:p>
    <w:p w14:paraId="79C6EBB3" w14:textId="77777777" w:rsidR="006C06D6" w:rsidRPr="009F7642" w:rsidRDefault="001764F7" w:rsidP="00321CD1">
      <w:pPr>
        <w:numPr>
          <w:ilvl w:val="0"/>
          <w:numId w:val="62"/>
        </w:numPr>
        <w:suppressAutoHyphens/>
        <w:spacing w:after="0" w:line="240" w:lineRule="auto"/>
        <w:ind w:left="567" w:hanging="567"/>
        <w:rPr>
          <w:color w:val="auto"/>
          <w:lang w:val="is-IS"/>
        </w:rPr>
      </w:pPr>
      <w:r w:rsidRPr="00F2274F">
        <w:rPr>
          <w:noProof/>
          <w:lang w:val="is-IS"/>
        </w:rPr>
        <w:t>MVASI</w:t>
      </w:r>
      <w:r w:rsidR="00564614" w:rsidRPr="009F7642">
        <w:rPr>
          <w:color w:val="auto"/>
          <w:lang w:val="is-IS"/>
        </w:rPr>
        <w:t xml:space="preserve"> getur valdið sýkingum og fækkað daufkyrningum í blóði þínu (tegund blóðfrumna sem er mikilvæg fyrir varnir gegn bakteríum).</w:t>
      </w:r>
    </w:p>
    <w:p w14:paraId="5F4D2E42" w14:textId="136B553A" w:rsidR="006C06D6" w:rsidRPr="009F7642" w:rsidRDefault="00564614" w:rsidP="00321CD1">
      <w:pPr>
        <w:numPr>
          <w:ilvl w:val="0"/>
          <w:numId w:val="62"/>
        </w:numPr>
        <w:suppressAutoHyphens/>
        <w:spacing w:after="0" w:line="240" w:lineRule="auto"/>
        <w:ind w:left="567" w:hanging="567"/>
        <w:rPr>
          <w:color w:val="auto"/>
          <w:lang w:val="is-IS"/>
        </w:rPr>
      </w:pPr>
      <w:r w:rsidRPr="009F7642">
        <w:rPr>
          <w:color w:val="auto"/>
          <w:lang w:val="is-IS"/>
        </w:rPr>
        <w:t xml:space="preserve">Hugsanlegt er að </w:t>
      </w:r>
      <w:r w:rsidR="001764F7" w:rsidRPr="00F2274F">
        <w:rPr>
          <w:noProof/>
          <w:lang w:val="is-IS"/>
        </w:rPr>
        <w:t>MVASI</w:t>
      </w:r>
      <w:r w:rsidRPr="009F7642">
        <w:rPr>
          <w:color w:val="auto"/>
          <w:lang w:val="is-IS"/>
        </w:rPr>
        <w:t xml:space="preserve"> geti valdið ofnæmi </w:t>
      </w:r>
      <w:r w:rsidR="001C4A29">
        <w:rPr>
          <w:color w:val="auto"/>
          <w:lang w:val="is-IS"/>
        </w:rPr>
        <w:t>(þ</w:t>
      </w:r>
      <w:r w:rsidR="00845621">
        <w:rPr>
          <w:color w:val="auto"/>
          <w:lang w:val="is-IS"/>
        </w:rPr>
        <w:t>.m.t.</w:t>
      </w:r>
      <w:r w:rsidR="001C4A29">
        <w:rPr>
          <w:color w:val="auto"/>
          <w:lang w:val="is-IS"/>
        </w:rPr>
        <w:t xml:space="preserve"> </w:t>
      </w:r>
      <w:r w:rsidR="00845621">
        <w:rPr>
          <w:color w:val="auto"/>
          <w:lang w:val="is-IS"/>
        </w:rPr>
        <w:t>bráða</w:t>
      </w:r>
      <w:r w:rsidR="001C4A29">
        <w:rPr>
          <w:color w:val="auto"/>
          <w:lang w:val="is-IS"/>
        </w:rPr>
        <w:t xml:space="preserve">ofnæmislosti) </w:t>
      </w:r>
      <w:r w:rsidRPr="009F7642">
        <w:rPr>
          <w:color w:val="auto"/>
          <w:lang w:val="is-IS"/>
        </w:rPr>
        <w:t>og/eða innrennslisviðbrögðum (viðbrögðum sem tengjast lyfjagjöfinni). Láttu lækninn, lyfjafræðing eða hjúkrunarfræðinginn vita ef þú hefur áður fundið fyrir vandamálum eftir inndælingu lyfja, svo sem sundli/yfirliðstilfinningu, andnauð, þrota eða útbrotum á húð.</w:t>
      </w:r>
    </w:p>
    <w:p w14:paraId="2EF47A1C" w14:textId="77777777" w:rsidR="006C06D6" w:rsidRDefault="00564614" w:rsidP="00321CD1">
      <w:pPr>
        <w:numPr>
          <w:ilvl w:val="0"/>
          <w:numId w:val="62"/>
        </w:numPr>
        <w:suppressAutoHyphens/>
        <w:spacing w:after="0" w:line="240" w:lineRule="auto"/>
        <w:ind w:left="567" w:hanging="567"/>
        <w:rPr>
          <w:color w:val="auto"/>
          <w:lang w:val="is-IS"/>
        </w:rPr>
      </w:pPr>
      <w:r w:rsidRPr="009F7642">
        <w:rPr>
          <w:color w:val="auto"/>
          <w:lang w:val="is-IS"/>
        </w:rPr>
        <w:t xml:space="preserve">Sjaldgæfur taugakvilli sem kallast, </w:t>
      </w:r>
      <w:r w:rsidR="003D4A14">
        <w:rPr>
          <w:color w:val="auto"/>
          <w:lang w:val="is-IS"/>
        </w:rPr>
        <w:t>afturkræft</w:t>
      </w:r>
      <w:r w:rsidR="003D4A14" w:rsidRPr="009F7642">
        <w:rPr>
          <w:color w:val="auto"/>
          <w:lang w:val="is-IS"/>
        </w:rPr>
        <w:t xml:space="preserve"> </w:t>
      </w:r>
      <w:r w:rsidRPr="009F7642">
        <w:rPr>
          <w:color w:val="auto"/>
          <w:lang w:val="is-IS"/>
        </w:rPr>
        <w:t>aftar</w:t>
      </w:r>
      <w:r w:rsidR="003D4A14">
        <w:rPr>
          <w:color w:val="auto"/>
          <w:lang w:val="is-IS"/>
        </w:rPr>
        <w:t>a</w:t>
      </w:r>
      <w:r w:rsidRPr="009F7642">
        <w:rPr>
          <w:color w:val="auto"/>
          <w:lang w:val="is-IS"/>
        </w:rPr>
        <w:t xml:space="preserve"> heilakvill</w:t>
      </w:r>
      <w:r w:rsidR="003D4A14">
        <w:rPr>
          <w:color w:val="auto"/>
          <w:lang w:val="is-IS"/>
        </w:rPr>
        <w:t>aheilkenni</w:t>
      </w:r>
      <w:r w:rsidRPr="009F7642">
        <w:rPr>
          <w:color w:val="auto"/>
          <w:lang w:val="is-IS"/>
        </w:rPr>
        <w:t xml:space="preserve"> (PRES), hefur verið tengdur meðferð með </w:t>
      </w:r>
      <w:r w:rsidR="001764F7" w:rsidRPr="00F2274F">
        <w:rPr>
          <w:noProof/>
          <w:lang w:val="is-IS"/>
        </w:rPr>
        <w:t>MVASI</w:t>
      </w:r>
      <w:r w:rsidRPr="009F7642">
        <w:rPr>
          <w:color w:val="auto"/>
          <w:lang w:val="is-IS"/>
        </w:rPr>
        <w:t>. Ef þú ert með höfuðverk, sjóntruflanir, rugl eða flog með eða án hækkunar á blóðþrýstingi skalt þú hafa samband við lækninn.</w:t>
      </w:r>
    </w:p>
    <w:p w14:paraId="73FD5FBB" w14:textId="77777777" w:rsidR="00E47F01" w:rsidRPr="009F7642" w:rsidRDefault="002A3F83" w:rsidP="00321CD1">
      <w:pPr>
        <w:numPr>
          <w:ilvl w:val="0"/>
          <w:numId w:val="62"/>
        </w:numPr>
        <w:suppressAutoHyphens/>
        <w:spacing w:after="0" w:line="240" w:lineRule="auto"/>
        <w:ind w:left="567" w:hanging="567"/>
        <w:rPr>
          <w:color w:val="auto"/>
          <w:lang w:val="is-IS"/>
        </w:rPr>
      </w:pPr>
      <w:r w:rsidRPr="00F94926">
        <w:rPr>
          <w:color w:val="auto"/>
          <w:lang w:val="is-IS"/>
        </w:rPr>
        <w:t>Ef þú ert með eða hefur verið með slagæðargúlp (útvíkkun og veikingu æðaveggs) eða rof í æðavegg.</w:t>
      </w:r>
    </w:p>
    <w:p w14:paraId="5A4E87C9" w14:textId="77777777" w:rsidR="004A6586" w:rsidRPr="009F7642" w:rsidRDefault="004A6586" w:rsidP="007309A2">
      <w:pPr>
        <w:suppressAutoHyphens/>
        <w:spacing w:after="0" w:line="240" w:lineRule="auto"/>
        <w:ind w:left="0" w:firstLine="0"/>
        <w:rPr>
          <w:color w:val="auto"/>
          <w:lang w:val="is-IS"/>
        </w:rPr>
      </w:pPr>
    </w:p>
    <w:p w14:paraId="11BC17CB" w14:textId="77777777" w:rsidR="006C06D6" w:rsidRPr="009F7642" w:rsidRDefault="00564614" w:rsidP="007309A2">
      <w:pPr>
        <w:suppressAutoHyphens/>
        <w:spacing w:after="0" w:line="240" w:lineRule="auto"/>
        <w:ind w:left="0" w:firstLine="0"/>
        <w:rPr>
          <w:color w:val="auto"/>
          <w:lang w:val="is-IS"/>
        </w:rPr>
      </w:pPr>
      <w:r w:rsidRPr="009F7642">
        <w:rPr>
          <w:color w:val="auto"/>
          <w:lang w:val="is-IS"/>
        </w:rPr>
        <w:t>Þetta á að ræða við lækninn, jafnvel þótt lýsingarnar hér að ofan eigi aðeins við um liðna atburði.</w:t>
      </w:r>
    </w:p>
    <w:p w14:paraId="77E97E31" w14:textId="77777777" w:rsidR="005F36F3" w:rsidRPr="009F7642" w:rsidRDefault="005F36F3" w:rsidP="007309A2">
      <w:pPr>
        <w:suppressAutoHyphens/>
        <w:spacing w:after="0" w:line="240" w:lineRule="auto"/>
        <w:ind w:left="0" w:firstLine="0"/>
        <w:rPr>
          <w:color w:val="auto"/>
          <w:lang w:val="is-IS"/>
        </w:rPr>
      </w:pPr>
    </w:p>
    <w:p w14:paraId="539B0786" w14:textId="77777777" w:rsidR="005F36F3" w:rsidRPr="009F7642" w:rsidRDefault="00564614" w:rsidP="007309A2">
      <w:pPr>
        <w:keepNext/>
        <w:suppressAutoHyphens/>
        <w:spacing w:after="0" w:line="240" w:lineRule="auto"/>
        <w:ind w:left="0" w:firstLine="0"/>
        <w:rPr>
          <w:color w:val="auto"/>
          <w:lang w:val="is-IS"/>
        </w:rPr>
      </w:pPr>
      <w:r w:rsidRPr="009F7642">
        <w:rPr>
          <w:color w:val="auto"/>
          <w:lang w:val="is-IS"/>
        </w:rPr>
        <w:t xml:space="preserve">Áður en þú færð </w:t>
      </w:r>
      <w:r w:rsidR="001764F7" w:rsidRPr="00F2274F">
        <w:rPr>
          <w:noProof/>
          <w:lang w:val="is-IS"/>
        </w:rPr>
        <w:t>MVASI</w:t>
      </w:r>
      <w:r w:rsidRPr="009F7642">
        <w:rPr>
          <w:color w:val="auto"/>
          <w:lang w:val="is-IS"/>
        </w:rPr>
        <w:t xml:space="preserve"> og meðan</w:t>
      </w:r>
      <w:r w:rsidR="004A6586" w:rsidRPr="009F7642">
        <w:rPr>
          <w:color w:val="auto"/>
          <w:lang w:val="is-IS"/>
        </w:rPr>
        <w:t xml:space="preserve"> á meðferð með </w:t>
      </w:r>
      <w:r w:rsidR="001764F7" w:rsidRPr="00F2274F">
        <w:rPr>
          <w:noProof/>
          <w:lang w:val="is-IS"/>
        </w:rPr>
        <w:t>MVASI</w:t>
      </w:r>
      <w:r w:rsidR="004A6586" w:rsidRPr="009F7642">
        <w:rPr>
          <w:color w:val="auto"/>
          <w:lang w:val="is-IS"/>
        </w:rPr>
        <w:t xml:space="preserve"> stendur:</w:t>
      </w:r>
    </w:p>
    <w:p w14:paraId="7D7C84E8" w14:textId="77777777" w:rsidR="004A6586" w:rsidRPr="009F7642" w:rsidRDefault="004A6586" w:rsidP="0073217C">
      <w:pPr>
        <w:keepNext/>
        <w:suppressAutoHyphens/>
        <w:spacing w:after="0" w:line="240" w:lineRule="auto"/>
        <w:ind w:left="567" w:hanging="567"/>
        <w:rPr>
          <w:color w:val="auto"/>
          <w:lang w:val="is-IS"/>
        </w:rPr>
      </w:pPr>
    </w:p>
    <w:p w14:paraId="2D03A155" w14:textId="77777777" w:rsidR="005F36F3" w:rsidRPr="009F7642" w:rsidRDefault="00564614" w:rsidP="00321CD1">
      <w:pPr>
        <w:numPr>
          <w:ilvl w:val="0"/>
          <w:numId w:val="63"/>
        </w:numPr>
        <w:suppressAutoHyphens/>
        <w:spacing w:after="0" w:line="240" w:lineRule="auto"/>
        <w:ind w:hanging="567"/>
        <w:rPr>
          <w:color w:val="auto"/>
          <w:lang w:val="is-IS"/>
        </w:rPr>
      </w:pPr>
      <w:r w:rsidRPr="009F7642">
        <w:rPr>
          <w:color w:val="auto"/>
          <w:lang w:val="is-IS"/>
        </w:rPr>
        <w:t>ef þú ert með eða hefur verið með verk í munni, tönnum og/eða kjálka, þrota eða sár í munni, dofa eða tilfinningu um aukna þyngd kjálka eða ef tennur losna skalt þú láta lækninn</w:t>
      </w:r>
      <w:r w:rsidR="004A6586" w:rsidRPr="009F7642">
        <w:rPr>
          <w:color w:val="auto"/>
          <w:lang w:val="is-IS"/>
        </w:rPr>
        <w:t xml:space="preserve"> eða tannlækni vita tafarlaust.</w:t>
      </w:r>
    </w:p>
    <w:p w14:paraId="7F5106D4" w14:textId="77777777" w:rsidR="005F36F3" w:rsidRPr="009F7642" w:rsidRDefault="00564614" w:rsidP="00321CD1">
      <w:pPr>
        <w:numPr>
          <w:ilvl w:val="0"/>
          <w:numId w:val="63"/>
        </w:numPr>
        <w:suppressAutoHyphens/>
        <w:spacing w:after="0" w:line="240" w:lineRule="auto"/>
        <w:ind w:hanging="567"/>
        <w:rPr>
          <w:color w:val="auto"/>
          <w:lang w:val="is-IS"/>
        </w:rPr>
      </w:pPr>
      <w:r w:rsidRPr="009F7642">
        <w:rPr>
          <w:color w:val="auto"/>
          <w:lang w:val="is-IS"/>
        </w:rPr>
        <w:t xml:space="preserve">ef til stendur að þú gangist undir ífarandi tannmeðferð eða tannaðgerð; láttu tannlækninn vita að þú fáir </w:t>
      </w:r>
      <w:r w:rsidR="001764F7" w:rsidRPr="00F2274F">
        <w:rPr>
          <w:noProof/>
          <w:lang w:val="is-IS"/>
        </w:rPr>
        <w:t>MVASI</w:t>
      </w:r>
      <w:r w:rsidR="006033C2" w:rsidRPr="00F2274F">
        <w:rPr>
          <w:noProof/>
          <w:lang w:val="is-IS"/>
        </w:rPr>
        <w:t xml:space="preserve"> (b</w:t>
      </w:r>
      <w:r w:rsidR="006033C2" w:rsidRPr="009F7642">
        <w:rPr>
          <w:color w:val="auto"/>
          <w:lang w:val="is-IS"/>
        </w:rPr>
        <w:t>evacízúmab</w:t>
      </w:r>
      <w:r w:rsidR="006033C2">
        <w:rPr>
          <w:color w:val="auto"/>
          <w:lang w:val="is-IS"/>
        </w:rPr>
        <w:t>)</w:t>
      </w:r>
      <w:r w:rsidRPr="009F7642">
        <w:rPr>
          <w:color w:val="auto"/>
          <w:lang w:val="is-IS"/>
        </w:rPr>
        <w:t>, einkum ef þú færð samtímis eða hefur áður fengið b</w:t>
      </w:r>
      <w:r w:rsidR="004A6586" w:rsidRPr="009F7642">
        <w:rPr>
          <w:color w:val="auto"/>
          <w:lang w:val="is-IS"/>
        </w:rPr>
        <w:t>isfosfónöt með inndælingu í æð.</w:t>
      </w:r>
    </w:p>
    <w:p w14:paraId="627FE1C2" w14:textId="77777777" w:rsidR="005F36F3" w:rsidRPr="009F7642" w:rsidRDefault="005F36F3" w:rsidP="0073217C">
      <w:pPr>
        <w:suppressAutoHyphens/>
        <w:spacing w:after="0" w:line="240" w:lineRule="auto"/>
        <w:ind w:left="0" w:firstLine="0"/>
        <w:rPr>
          <w:color w:val="auto"/>
          <w:lang w:val="is-IS"/>
        </w:rPr>
      </w:pPr>
    </w:p>
    <w:p w14:paraId="5F04BB4C"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Hugsanlega verður þér ráðlagt að fara í skoðun hjá tannlækni áður en þú hefur meðferð með </w:t>
      </w:r>
      <w:r w:rsidR="001764F7" w:rsidRPr="00F2274F">
        <w:rPr>
          <w:noProof/>
          <w:lang w:val="is-IS"/>
        </w:rPr>
        <w:t>MVASI</w:t>
      </w:r>
      <w:r w:rsidRPr="009F7642">
        <w:rPr>
          <w:color w:val="auto"/>
          <w:lang w:val="is-IS"/>
        </w:rPr>
        <w:t>.</w:t>
      </w:r>
    </w:p>
    <w:p w14:paraId="53923B0F" w14:textId="77777777" w:rsidR="005F36F3" w:rsidRPr="009F7642" w:rsidRDefault="005F36F3" w:rsidP="0073217C">
      <w:pPr>
        <w:suppressAutoHyphens/>
        <w:spacing w:after="0" w:line="240" w:lineRule="auto"/>
        <w:ind w:left="0" w:firstLine="0"/>
        <w:rPr>
          <w:color w:val="auto"/>
          <w:lang w:val="is-IS"/>
        </w:rPr>
      </w:pPr>
    </w:p>
    <w:p w14:paraId="2BF0903B" w14:textId="77777777" w:rsidR="005F36F3" w:rsidRPr="00F23E41" w:rsidRDefault="00564614" w:rsidP="0073217C">
      <w:pPr>
        <w:keepNext/>
        <w:suppressAutoHyphens/>
        <w:spacing w:after="0" w:line="240" w:lineRule="auto"/>
        <w:ind w:left="0" w:firstLine="0"/>
        <w:rPr>
          <w:b/>
          <w:color w:val="auto"/>
          <w:lang w:val="is-IS"/>
        </w:rPr>
      </w:pPr>
      <w:r w:rsidRPr="00F23E41">
        <w:rPr>
          <w:b/>
          <w:color w:val="auto"/>
          <w:lang w:val="is-IS"/>
        </w:rPr>
        <w:t>Börn og unglingar</w:t>
      </w:r>
    </w:p>
    <w:p w14:paraId="46DA02D9" w14:textId="77777777" w:rsidR="004A6586" w:rsidRPr="009F7642" w:rsidRDefault="004A6586" w:rsidP="0073217C">
      <w:pPr>
        <w:keepNext/>
        <w:suppressAutoHyphens/>
        <w:spacing w:after="0" w:line="240" w:lineRule="auto"/>
        <w:ind w:left="0" w:firstLine="0"/>
        <w:rPr>
          <w:color w:val="auto"/>
          <w:lang w:val="is-IS"/>
        </w:rPr>
      </w:pPr>
    </w:p>
    <w:p w14:paraId="34AC0963"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Notkun </w:t>
      </w:r>
      <w:r w:rsidR="001764F7" w:rsidRPr="00F2274F">
        <w:rPr>
          <w:noProof/>
          <w:lang w:val="is-IS"/>
        </w:rPr>
        <w:t>MVASI</w:t>
      </w:r>
      <w:r w:rsidRPr="009F7642">
        <w:rPr>
          <w:color w:val="auto"/>
          <w:lang w:val="is-IS"/>
        </w:rPr>
        <w:t xml:space="preserve"> handa börnum og unglingum yngri en 18 ára er ekki ráðlögð, þar sem ekki hefur verið sýnt fram á öryggi og ávin</w:t>
      </w:r>
      <w:r w:rsidR="001D05CD" w:rsidRPr="009F7642">
        <w:rPr>
          <w:color w:val="auto"/>
          <w:lang w:val="is-IS"/>
        </w:rPr>
        <w:t>ning hjá þessum sjúklingahópum.</w:t>
      </w:r>
    </w:p>
    <w:p w14:paraId="46F0EA8A" w14:textId="77777777" w:rsidR="005F36F3" w:rsidRPr="009F7642" w:rsidRDefault="005F36F3" w:rsidP="0073217C">
      <w:pPr>
        <w:suppressAutoHyphens/>
        <w:spacing w:after="0" w:line="240" w:lineRule="auto"/>
        <w:ind w:left="0" w:firstLine="0"/>
        <w:rPr>
          <w:color w:val="auto"/>
          <w:lang w:val="is-IS"/>
        </w:rPr>
      </w:pPr>
    </w:p>
    <w:p w14:paraId="2362863A"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Tilkynnt hefur verið um beindrep annars staðar en í kjálka hjá sjúklingum undir 18 ára aldri sem h</w:t>
      </w:r>
      <w:r w:rsidR="001D05CD" w:rsidRPr="009F7642">
        <w:rPr>
          <w:color w:val="auto"/>
          <w:lang w:val="is-IS"/>
        </w:rPr>
        <w:t xml:space="preserve">afa fengið meðferð með </w:t>
      </w:r>
      <w:r w:rsidR="00690564" w:rsidRPr="00F2274F">
        <w:rPr>
          <w:bCs/>
          <w:noProof/>
          <w:lang w:val="is-IS"/>
        </w:rPr>
        <w:t>bevacízúmab</w:t>
      </w:r>
      <w:r w:rsidR="00522695" w:rsidRPr="00F2274F">
        <w:rPr>
          <w:bCs/>
          <w:noProof/>
          <w:lang w:val="is-IS"/>
        </w:rPr>
        <w:t>i</w:t>
      </w:r>
      <w:r w:rsidR="001D05CD" w:rsidRPr="009F7642">
        <w:rPr>
          <w:color w:val="auto"/>
          <w:lang w:val="is-IS"/>
        </w:rPr>
        <w:t>.</w:t>
      </w:r>
    </w:p>
    <w:p w14:paraId="15C42D99" w14:textId="77777777" w:rsidR="005F36F3" w:rsidRPr="009F7642" w:rsidRDefault="005F36F3" w:rsidP="0073217C">
      <w:pPr>
        <w:suppressAutoHyphens/>
        <w:spacing w:after="0" w:line="240" w:lineRule="auto"/>
        <w:ind w:left="0" w:firstLine="0"/>
        <w:rPr>
          <w:color w:val="auto"/>
          <w:lang w:val="is-IS"/>
        </w:rPr>
      </w:pPr>
    </w:p>
    <w:p w14:paraId="221607D9" w14:textId="77777777" w:rsidR="005F36F3" w:rsidRPr="00F23E41" w:rsidRDefault="00564614" w:rsidP="0073217C">
      <w:pPr>
        <w:keepNext/>
        <w:suppressAutoHyphens/>
        <w:spacing w:after="0" w:line="240" w:lineRule="auto"/>
        <w:ind w:left="0" w:firstLine="0"/>
        <w:rPr>
          <w:b/>
          <w:color w:val="auto"/>
          <w:lang w:val="is-IS"/>
        </w:rPr>
      </w:pPr>
      <w:r w:rsidRPr="00F23E41">
        <w:rPr>
          <w:b/>
          <w:color w:val="auto"/>
          <w:lang w:val="is-IS"/>
        </w:rPr>
        <w:t>Notkun annarra lyfja samhliða</w:t>
      </w:r>
      <w:r w:rsidRPr="009F7642">
        <w:rPr>
          <w:b/>
          <w:color w:val="auto"/>
          <w:lang w:val="is-IS"/>
        </w:rPr>
        <w:t xml:space="preserve"> </w:t>
      </w:r>
      <w:r w:rsidR="001764F7" w:rsidRPr="00F2274F">
        <w:rPr>
          <w:b/>
          <w:noProof/>
          <w:lang w:val="is-IS"/>
        </w:rPr>
        <w:t>MVASI</w:t>
      </w:r>
    </w:p>
    <w:p w14:paraId="4237CB53" w14:textId="77777777" w:rsidR="001D05CD" w:rsidRPr="009F7642" w:rsidRDefault="001D05CD" w:rsidP="0073217C">
      <w:pPr>
        <w:keepNext/>
        <w:suppressAutoHyphens/>
        <w:spacing w:after="0" w:line="240" w:lineRule="auto"/>
        <w:ind w:left="0" w:firstLine="0"/>
        <w:rPr>
          <w:color w:val="auto"/>
          <w:lang w:val="is-IS"/>
        </w:rPr>
      </w:pPr>
    </w:p>
    <w:p w14:paraId="71801188"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Látið lækninn, lyfjafræðing eða hjúkrunarfræðinginn vita um öll önnur lyf sem eru notuð, hafa nýlega verið notuð eða kynnu að verða notuð.</w:t>
      </w:r>
    </w:p>
    <w:p w14:paraId="592D7B33" w14:textId="77777777" w:rsidR="005F36F3" w:rsidRPr="009F7642" w:rsidRDefault="005F36F3" w:rsidP="0073217C">
      <w:pPr>
        <w:suppressAutoHyphens/>
        <w:spacing w:after="0" w:line="240" w:lineRule="auto"/>
        <w:ind w:left="0" w:firstLine="0"/>
        <w:rPr>
          <w:color w:val="auto"/>
          <w:lang w:val="is-IS"/>
        </w:rPr>
      </w:pPr>
    </w:p>
    <w:p w14:paraId="40DC49D7"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Gjöf </w:t>
      </w:r>
      <w:r w:rsidR="001764F7" w:rsidRPr="00F2274F">
        <w:rPr>
          <w:noProof/>
          <w:lang w:val="is-IS"/>
        </w:rPr>
        <w:t>MVASI</w:t>
      </w:r>
      <w:r w:rsidRPr="009F7642">
        <w:rPr>
          <w:color w:val="auto"/>
          <w:lang w:val="is-IS"/>
        </w:rPr>
        <w:t xml:space="preserve"> samtímis öðru lyfi sem nefnist sunitiníb malat (notað við krabbameini í nýrum og meltingarfærum), getur valdið alvarlegum aukaverkunum. Ræddu við lækninn til að ganga úr skugga um að þ</w:t>
      </w:r>
      <w:r w:rsidR="001D05CD" w:rsidRPr="009F7642">
        <w:rPr>
          <w:color w:val="auto"/>
          <w:lang w:val="is-IS"/>
        </w:rPr>
        <w:t>ú fáir þessi lyf ekki samtímis.</w:t>
      </w:r>
    </w:p>
    <w:p w14:paraId="5E098FAD" w14:textId="77777777" w:rsidR="001D05CD" w:rsidRPr="009F7642" w:rsidRDefault="001D05CD" w:rsidP="0073217C">
      <w:pPr>
        <w:suppressAutoHyphens/>
        <w:spacing w:after="0" w:line="240" w:lineRule="auto"/>
        <w:ind w:left="0" w:firstLine="0"/>
        <w:rPr>
          <w:color w:val="auto"/>
          <w:lang w:val="is-IS"/>
        </w:rPr>
      </w:pPr>
    </w:p>
    <w:p w14:paraId="2FD9C022"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Láttu lækninn vita ef þú færð meðferð sem byggir á platínusamböndum eða taxönum við lungnakrabbameini eða brjóstakrabbameini með meinvörpum. Slík meðferð ásamt </w:t>
      </w:r>
      <w:r w:rsidR="001764F7" w:rsidRPr="00F2274F">
        <w:rPr>
          <w:noProof/>
          <w:lang w:val="is-IS"/>
        </w:rPr>
        <w:t>MVASI</w:t>
      </w:r>
      <w:r w:rsidRPr="009F7642">
        <w:rPr>
          <w:color w:val="auto"/>
          <w:lang w:val="is-IS"/>
        </w:rPr>
        <w:t xml:space="preserve"> getur aukið h</w:t>
      </w:r>
      <w:r w:rsidR="001D05CD" w:rsidRPr="009F7642">
        <w:rPr>
          <w:color w:val="auto"/>
          <w:lang w:val="is-IS"/>
        </w:rPr>
        <w:t>ættu á alvarlegum aukaverkunum.</w:t>
      </w:r>
    </w:p>
    <w:p w14:paraId="4FAC9B7D" w14:textId="77777777" w:rsidR="005F36F3" w:rsidRPr="009F7642" w:rsidRDefault="005F36F3" w:rsidP="0073217C">
      <w:pPr>
        <w:suppressAutoHyphens/>
        <w:spacing w:after="0" w:line="240" w:lineRule="auto"/>
        <w:ind w:left="0" w:firstLine="0"/>
        <w:rPr>
          <w:color w:val="auto"/>
          <w:lang w:val="is-IS"/>
        </w:rPr>
      </w:pPr>
    </w:p>
    <w:p w14:paraId="2BD5DAA9"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Láttu lækninn vita ef þú hefur nýverið </w:t>
      </w:r>
      <w:r w:rsidR="001D05CD" w:rsidRPr="009F7642">
        <w:rPr>
          <w:color w:val="auto"/>
          <w:lang w:val="is-IS"/>
        </w:rPr>
        <w:t>fengið eða ert í geislameðferð.</w:t>
      </w:r>
    </w:p>
    <w:p w14:paraId="46324D7A" w14:textId="77777777" w:rsidR="005F36F3" w:rsidRPr="009F7642" w:rsidRDefault="005F36F3" w:rsidP="0073217C">
      <w:pPr>
        <w:suppressAutoHyphens/>
        <w:spacing w:after="0" w:line="240" w:lineRule="auto"/>
        <w:ind w:left="0" w:firstLine="0"/>
        <w:rPr>
          <w:color w:val="auto"/>
          <w:lang w:val="is-IS"/>
        </w:rPr>
      </w:pPr>
    </w:p>
    <w:p w14:paraId="12D3111F" w14:textId="77777777" w:rsidR="006C06D6" w:rsidRPr="00F23E41" w:rsidRDefault="00564614" w:rsidP="0073217C">
      <w:pPr>
        <w:keepNext/>
        <w:suppressAutoHyphens/>
        <w:spacing w:after="0" w:line="240" w:lineRule="auto"/>
        <w:ind w:left="0" w:firstLine="0"/>
        <w:rPr>
          <w:b/>
          <w:color w:val="auto"/>
          <w:lang w:val="is-IS"/>
        </w:rPr>
      </w:pPr>
      <w:r w:rsidRPr="00F23E41">
        <w:rPr>
          <w:b/>
          <w:color w:val="auto"/>
          <w:lang w:val="is-IS"/>
        </w:rPr>
        <w:lastRenderedPageBreak/>
        <w:t>Meðganga, brjóstagjöf og frjósemi</w:t>
      </w:r>
    </w:p>
    <w:p w14:paraId="464496E5" w14:textId="77777777" w:rsidR="001D05CD" w:rsidRPr="009F7642" w:rsidRDefault="001D05CD" w:rsidP="0073217C">
      <w:pPr>
        <w:keepNext/>
        <w:suppressAutoHyphens/>
        <w:spacing w:after="0" w:line="240" w:lineRule="auto"/>
        <w:ind w:left="0" w:firstLine="0"/>
        <w:rPr>
          <w:color w:val="auto"/>
          <w:lang w:val="is-IS"/>
        </w:rPr>
      </w:pPr>
    </w:p>
    <w:p w14:paraId="505DB7B7"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Þetta lyf má ekki nota á meðgöngu. </w:t>
      </w:r>
      <w:r w:rsidR="001764F7" w:rsidRPr="00F2274F">
        <w:rPr>
          <w:noProof/>
          <w:lang w:val="is-IS"/>
        </w:rPr>
        <w:t>MVASI</w:t>
      </w:r>
      <w:r w:rsidRPr="009F7642">
        <w:rPr>
          <w:color w:val="auto"/>
          <w:lang w:val="is-IS"/>
        </w:rPr>
        <w:t xml:space="preserve"> getur skaðað ófætt barn þar sem það getur stöðvað myndun nýrra æða. Læknirinn á að gefa ráð varðandi notkun getnaðarvarna meðan á meðferð með </w:t>
      </w:r>
      <w:r w:rsidR="001764F7" w:rsidRPr="00F2274F">
        <w:rPr>
          <w:noProof/>
          <w:lang w:val="is-IS"/>
        </w:rPr>
        <w:t>MVASI</w:t>
      </w:r>
      <w:r w:rsidRPr="009F7642">
        <w:rPr>
          <w:color w:val="auto"/>
          <w:lang w:val="is-IS"/>
        </w:rPr>
        <w:t xml:space="preserve"> stendur og í a.m.k. 6</w:t>
      </w:r>
      <w:r w:rsidR="00851CF6">
        <w:rPr>
          <w:color w:val="auto"/>
          <w:lang w:val="is-IS"/>
        </w:rPr>
        <w:t> </w:t>
      </w:r>
      <w:r w:rsidRPr="009F7642">
        <w:rPr>
          <w:color w:val="auto"/>
          <w:lang w:val="is-IS"/>
        </w:rPr>
        <w:t>mánuði e</w:t>
      </w:r>
      <w:r w:rsidR="001D05CD" w:rsidRPr="009F7642">
        <w:rPr>
          <w:color w:val="auto"/>
          <w:lang w:val="is-IS"/>
        </w:rPr>
        <w:t xml:space="preserve">ftir síðasta skammt af </w:t>
      </w:r>
      <w:r w:rsidR="001764F7" w:rsidRPr="00F2274F">
        <w:rPr>
          <w:noProof/>
          <w:lang w:val="is-IS"/>
        </w:rPr>
        <w:t>MVASI</w:t>
      </w:r>
      <w:r w:rsidR="001D05CD" w:rsidRPr="009F7642">
        <w:rPr>
          <w:color w:val="auto"/>
          <w:lang w:val="is-IS"/>
        </w:rPr>
        <w:t>.</w:t>
      </w:r>
    </w:p>
    <w:p w14:paraId="365DD03B" w14:textId="77777777" w:rsidR="005F36F3" w:rsidRPr="009F7642" w:rsidRDefault="005F36F3" w:rsidP="0073217C">
      <w:pPr>
        <w:suppressAutoHyphens/>
        <w:spacing w:after="0" w:line="240" w:lineRule="auto"/>
        <w:ind w:left="0" w:firstLine="0"/>
        <w:rPr>
          <w:color w:val="auto"/>
          <w:lang w:val="is-IS"/>
        </w:rPr>
      </w:pPr>
    </w:p>
    <w:p w14:paraId="480A3EBA"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Láta skal lækninn vita tafarlaust ef um þungun er að ræða eða hún á sér stað meðan á meðferð með lyfi þessu stendur eða þungu</w:t>
      </w:r>
      <w:r w:rsidR="001D05CD" w:rsidRPr="009F7642">
        <w:rPr>
          <w:color w:val="auto"/>
          <w:lang w:val="is-IS"/>
        </w:rPr>
        <w:t>n er ráðgerð í nánustu framtíð.</w:t>
      </w:r>
    </w:p>
    <w:p w14:paraId="4C153080" w14:textId="77777777" w:rsidR="005F36F3" w:rsidRPr="009F7642" w:rsidRDefault="005F36F3" w:rsidP="0073217C">
      <w:pPr>
        <w:suppressAutoHyphens/>
        <w:spacing w:after="0" w:line="240" w:lineRule="auto"/>
        <w:ind w:left="0" w:firstLine="0"/>
        <w:rPr>
          <w:color w:val="auto"/>
          <w:lang w:val="is-IS"/>
        </w:rPr>
      </w:pPr>
    </w:p>
    <w:p w14:paraId="63F26A8D"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Brjóstagjöf má ekki eiga sér stað meðan á meðferð með </w:t>
      </w:r>
      <w:r w:rsidR="001764F7" w:rsidRPr="00F2274F">
        <w:rPr>
          <w:noProof/>
          <w:lang w:val="is-IS"/>
        </w:rPr>
        <w:t>MVASI</w:t>
      </w:r>
      <w:r w:rsidRPr="009F7642">
        <w:rPr>
          <w:color w:val="auto"/>
          <w:lang w:val="is-IS"/>
        </w:rPr>
        <w:t xml:space="preserve"> stendur og í a.m.k. 6</w:t>
      </w:r>
      <w:r w:rsidR="00851CF6">
        <w:rPr>
          <w:color w:val="auto"/>
          <w:lang w:val="is-IS"/>
        </w:rPr>
        <w:t> </w:t>
      </w:r>
      <w:r w:rsidRPr="009F7642">
        <w:rPr>
          <w:color w:val="auto"/>
          <w:lang w:val="is-IS"/>
        </w:rPr>
        <w:t xml:space="preserve">mánuði eftir síðasta skammt af </w:t>
      </w:r>
      <w:r w:rsidR="001764F7" w:rsidRPr="00F2274F">
        <w:rPr>
          <w:noProof/>
          <w:lang w:val="is-IS"/>
        </w:rPr>
        <w:t>MVASI</w:t>
      </w:r>
      <w:r w:rsidRPr="009F7642">
        <w:rPr>
          <w:color w:val="auto"/>
          <w:lang w:val="is-IS"/>
        </w:rPr>
        <w:t xml:space="preserve"> þar sem lyfið getur t</w:t>
      </w:r>
      <w:r w:rsidR="001D05CD" w:rsidRPr="009F7642">
        <w:rPr>
          <w:color w:val="auto"/>
          <w:lang w:val="is-IS"/>
        </w:rPr>
        <w:t>ruflað vöxt og þroska barnsins.</w:t>
      </w:r>
    </w:p>
    <w:p w14:paraId="65EE8B12" w14:textId="77777777" w:rsidR="005F36F3" w:rsidRPr="009F7642" w:rsidRDefault="005F36F3" w:rsidP="0073217C">
      <w:pPr>
        <w:suppressAutoHyphens/>
        <w:spacing w:after="0" w:line="240" w:lineRule="auto"/>
        <w:ind w:left="0" w:firstLine="0"/>
        <w:rPr>
          <w:color w:val="auto"/>
          <w:lang w:val="is-IS"/>
        </w:rPr>
      </w:pPr>
    </w:p>
    <w:p w14:paraId="0B5A284E" w14:textId="77777777" w:rsidR="006C06D6" w:rsidRPr="009F7642" w:rsidRDefault="001764F7" w:rsidP="0073217C">
      <w:pPr>
        <w:suppressAutoHyphens/>
        <w:spacing w:after="0" w:line="240" w:lineRule="auto"/>
        <w:ind w:left="0" w:firstLine="0"/>
        <w:rPr>
          <w:color w:val="auto"/>
          <w:lang w:val="is-IS"/>
        </w:rPr>
      </w:pPr>
      <w:r w:rsidRPr="00F2274F">
        <w:rPr>
          <w:noProof/>
          <w:lang w:val="sv-SE"/>
        </w:rPr>
        <w:t>MVASI</w:t>
      </w:r>
      <w:r w:rsidR="00564614" w:rsidRPr="009F7642">
        <w:rPr>
          <w:color w:val="auto"/>
          <w:lang w:val="is-IS"/>
        </w:rPr>
        <w:t xml:space="preserve"> getur skert frjósemi kvenna. Ræddu við lækninn til að fá frekari upplýsingar.</w:t>
      </w:r>
    </w:p>
    <w:p w14:paraId="1CC8E7FE" w14:textId="77777777" w:rsidR="005F36F3" w:rsidRPr="009F7642" w:rsidRDefault="005F36F3" w:rsidP="0073217C">
      <w:pPr>
        <w:suppressAutoHyphens/>
        <w:spacing w:after="0" w:line="240" w:lineRule="auto"/>
        <w:ind w:left="0" w:firstLine="0"/>
        <w:rPr>
          <w:color w:val="auto"/>
          <w:lang w:val="is-IS"/>
        </w:rPr>
      </w:pPr>
    </w:p>
    <w:p w14:paraId="6278C2D4"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Leitið ráða hjá lækninum, lyfjafræðingi eða hjúkrunarfræðingnum áður en lyf eru notuð.</w:t>
      </w:r>
    </w:p>
    <w:p w14:paraId="4DD72AC3" w14:textId="77777777" w:rsidR="005F36F3" w:rsidRPr="009F7642" w:rsidRDefault="005F36F3" w:rsidP="0073217C">
      <w:pPr>
        <w:suppressAutoHyphens/>
        <w:spacing w:after="0" w:line="240" w:lineRule="auto"/>
        <w:ind w:left="0" w:firstLine="0"/>
        <w:rPr>
          <w:color w:val="auto"/>
          <w:lang w:val="is-IS"/>
        </w:rPr>
      </w:pPr>
    </w:p>
    <w:p w14:paraId="52905C52" w14:textId="77777777" w:rsidR="006C06D6" w:rsidRPr="004771D0" w:rsidRDefault="00564614" w:rsidP="0073217C">
      <w:pPr>
        <w:keepNext/>
        <w:suppressAutoHyphens/>
        <w:spacing w:after="0" w:line="240" w:lineRule="auto"/>
        <w:ind w:left="0" w:firstLine="0"/>
        <w:rPr>
          <w:b/>
          <w:color w:val="auto"/>
          <w:lang w:val="is-IS"/>
        </w:rPr>
      </w:pPr>
      <w:r w:rsidRPr="004771D0">
        <w:rPr>
          <w:b/>
          <w:color w:val="auto"/>
          <w:lang w:val="is-IS"/>
        </w:rPr>
        <w:t>Akstur og notkun véla</w:t>
      </w:r>
    </w:p>
    <w:p w14:paraId="07329BB2" w14:textId="77777777" w:rsidR="001D05CD" w:rsidRPr="009F7642" w:rsidRDefault="001D05CD" w:rsidP="0073217C">
      <w:pPr>
        <w:suppressAutoHyphens/>
        <w:spacing w:after="0" w:line="240" w:lineRule="auto"/>
        <w:ind w:left="0" w:firstLine="0"/>
        <w:rPr>
          <w:color w:val="auto"/>
          <w:lang w:val="is-IS"/>
        </w:rPr>
      </w:pPr>
    </w:p>
    <w:p w14:paraId="3B8BB057"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Ekki hefur verið sýnt fram á að </w:t>
      </w:r>
      <w:r w:rsidR="001764F7" w:rsidRPr="00F2274F">
        <w:rPr>
          <w:noProof/>
          <w:lang w:val="is-IS"/>
        </w:rPr>
        <w:t>MVASI</w:t>
      </w:r>
      <w:r w:rsidRPr="009F7642">
        <w:rPr>
          <w:color w:val="auto"/>
          <w:lang w:val="is-IS"/>
        </w:rPr>
        <w:t xml:space="preserve"> skerði hæfni til aksturs eða stjórnunar tækja eða véla. Hins vegar hefur verið tilkynnt um svefndrunga og yfirlið í tengslum við notkun </w:t>
      </w:r>
      <w:r w:rsidR="001764F7">
        <w:rPr>
          <w:color w:val="auto"/>
          <w:lang w:val="is-IS"/>
        </w:rPr>
        <w:t>MVASI</w:t>
      </w:r>
      <w:r w:rsidRPr="009F7642">
        <w:rPr>
          <w:color w:val="auto"/>
          <w:lang w:val="is-IS"/>
        </w:rPr>
        <w:t>. Ef þú finnur fyrir einkennum sem hafa áhrif á sjón þína, einbeitingu eða viðbragðsgetu skalt þú ekki aka eða stjórna vélum fyrr en einkennin ganga til baka.</w:t>
      </w:r>
    </w:p>
    <w:p w14:paraId="78F8C7AD" w14:textId="77777777" w:rsidR="005C6A86" w:rsidRPr="005646C7" w:rsidRDefault="005C6A86" w:rsidP="005C6A86">
      <w:pPr>
        <w:numPr>
          <w:ilvl w:val="12"/>
          <w:numId w:val="0"/>
        </w:numPr>
        <w:spacing w:after="0" w:line="240" w:lineRule="auto"/>
        <w:ind w:right="-2"/>
        <w:rPr>
          <w:noProof/>
          <w:color w:val="auto"/>
          <w:lang w:val="is-IS"/>
        </w:rPr>
      </w:pPr>
    </w:p>
    <w:p w14:paraId="7B114263" w14:textId="77777777" w:rsidR="005C6A86" w:rsidRPr="005646C7" w:rsidRDefault="005C6A86" w:rsidP="005C6A86">
      <w:pPr>
        <w:numPr>
          <w:ilvl w:val="12"/>
          <w:numId w:val="0"/>
        </w:numPr>
        <w:spacing w:after="0" w:line="240" w:lineRule="auto"/>
        <w:ind w:right="-2"/>
        <w:rPr>
          <w:b/>
          <w:noProof/>
          <w:color w:val="auto"/>
          <w:lang w:val="is-IS"/>
        </w:rPr>
      </w:pPr>
      <w:r w:rsidRPr="005646C7">
        <w:rPr>
          <w:b/>
          <w:noProof/>
          <w:color w:val="auto"/>
          <w:lang w:val="is-IS"/>
        </w:rPr>
        <w:t>MVASI inniheldur natríum</w:t>
      </w:r>
    </w:p>
    <w:p w14:paraId="602CCA9F" w14:textId="77777777" w:rsidR="005C6A86" w:rsidRPr="005646C7" w:rsidRDefault="005C6A86" w:rsidP="005C6A86">
      <w:pPr>
        <w:numPr>
          <w:ilvl w:val="12"/>
          <w:numId w:val="0"/>
        </w:numPr>
        <w:spacing w:after="0" w:line="240" w:lineRule="auto"/>
        <w:ind w:right="-2"/>
        <w:rPr>
          <w:b/>
          <w:noProof/>
          <w:color w:val="auto"/>
          <w:lang w:val="is-IS"/>
        </w:rPr>
      </w:pPr>
    </w:p>
    <w:p w14:paraId="31661CF0" w14:textId="77777777" w:rsidR="005C6A86" w:rsidRPr="005646C7" w:rsidRDefault="005C6A86" w:rsidP="005C6A86">
      <w:pPr>
        <w:tabs>
          <w:tab w:val="left" w:pos="567"/>
        </w:tabs>
        <w:spacing w:after="0" w:line="240" w:lineRule="auto"/>
        <w:ind w:left="0" w:firstLine="0"/>
        <w:rPr>
          <w:color w:val="auto"/>
          <w:szCs w:val="20"/>
          <w:u w:val="single"/>
          <w:lang w:val="is-IS"/>
        </w:rPr>
      </w:pPr>
      <w:r w:rsidRPr="005646C7">
        <w:rPr>
          <w:color w:val="auto"/>
          <w:szCs w:val="20"/>
          <w:u w:val="single"/>
          <w:lang w:val="is-IS"/>
        </w:rPr>
        <w:t>MVASI 25 mg/ml innrennslisþykkni, lausn (4 ml)</w:t>
      </w:r>
    </w:p>
    <w:p w14:paraId="35710199" w14:textId="77777777" w:rsidR="005C6A86" w:rsidRPr="005646C7" w:rsidRDefault="005C6A86" w:rsidP="005C6A86">
      <w:pPr>
        <w:numPr>
          <w:ilvl w:val="12"/>
          <w:numId w:val="0"/>
        </w:numPr>
        <w:spacing w:after="0" w:line="240" w:lineRule="auto"/>
        <w:ind w:right="-2"/>
        <w:rPr>
          <w:noProof/>
          <w:color w:val="auto"/>
          <w:lang w:val="is-IS"/>
        </w:rPr>
      </w:pPr>
    </w:p>
    <w:p w14:paraId="4B571F53" w14:textId="0A4E0600" w:rsidR="005C6A86" w:rsidRPr="005646C7" w:rsidRDefault="005C6A86" w:rsidP="005C6A86">
      <w:pPr>
        <w:numPr>
          <w:ilvl w:val="12"/>
          <w:numId w:val="0"/>
        </w:numPr>
        <w:spacing w:after="0" w:line="240" w:lineRule="auto"/>
        <w:ind w:right="-2"/>
        <w:rPr>
          <w:noProof/>
          <w:color w:val="auto"/>
          <w:lang w:val="is-IS"/>
        </w:rPr>
      </w:pPr>
      <w:r w:rsidRPr="005646C7">
        <w:rPr>
          <w:noProof/>
          <w:color w:val="auto"/>
          <w:lang w:val="is-IS"/>
        </w:rPr>
        <w:t xml:space="preserve">Lyfið inniheldur </w:t>
      </w:r>
      <w:r w:rsidR="00C12DBB">
        <w:rPr>
          <w:noProof/>
          <w:color w:val="auto"/>
          <w:lang w:val="is-IS"/>
        </w:rPr>
        <w:t>5,4</w:t>
      </w:r>
      <w:r w:rsidRPr="005646C7">
        <w:rPr>
          <w:noProof/>
          <w:color w:val="auto"/>
          <w:lang w:val="is-IS"/>
        </w:rPr>
        <w:t> mg af natríum (aðalefnið í matarsalti) í hverju 4 ml hettuglasi. Þetta jafngildir 0,</w:t>
      </w:r>
      <w:r w:rsidR="00C12DBB">
        <w:rPr>
          <w:noProof/>
          <w:color w:val="auto"/>
          <w:lang w:val="is-IS"/>
        </w:rPr>
        <w:t>3</w:t>
      </w:r>
      <w:r w:rsidRPr="005646C7">
        <w:rPr>
          <w:noProof/>
          <w:color w:val="auto"/>
          <w:lang w:val="is-IS"/>
        </w:rPr>
        <w:t>% af daglegri hámarksinntöku natríums úr fæðu skv. ráðleggingum fyrir fullorðna.</w:t>
      </w:r>
    </w:p>
    <w:p w14:paraId="68599DB3" w14:textId="77777777" w:rsidR="005C6A86" w:rsidRPr="005646C7" w:rsidRDefault="005C6A86" w:rsidP="005C6A86">
      <w:pPr>
        <w:numPr>
          <w:ilvl w:val="12"/>
          <w:numId w:val="0"/>
        </w:numPr>
        <w:spacing w:after="0" w:line="240" w:lineRule="auto"/>
        <w:ind w:right="-2"/>
        <w:rPr>
          <w:noProof/>
          <w:color w:val="auto"/>
          <w:lang w:val="is-IS"/>
        </w:rPr>
      </w:pPr>
    </w:p>
    <w:p w14:paraId="5103C11B" w14:textId="77777777" w:rsidR="005C6A86" w:rsidRPr="005646C7" w:rsidRDefault="005C6A86" w:rsidP="005C6A86">
      <w:pPr>
        <w:tabs>
          <w:tab w:val="left" w:pos="567"/>
        </w:tabs>
        <w:spacing w:after="0" w:line="240" w:lineRule="auto"/>
        <w:ind w:left="0" w:firstLine="0"/>
        <w:rPr>
          <w:color w:val="auto"/>
          <w:szCs w:val="20"/>
          <w:u w:val="single"/>
          <w:lang w:val="is-IS"/>
        </w:rPr>
      </w:pPr>
      <w:r w:rsidRPr="005646C7">
        <w:rPr>
          <w:color w:val="auto"/>
          <w:szCs w:val="20"/>
          <w:u w:val="single"/>
          <w:lang w:val="is-IS"/>
        </w:rPr>
        <w:t>MVASI 25 mg/ml innrennslisþykkni, lausn (16 ml)</w:t>
      </w:r>
    </w:p>
    <w:p w14:paraId="181403ED" w14:textId="77777777" w:rsidR="005C6A86" w:rsidRPr="005646C7" w:rsidRDefault="005C6A86" w:rsidP="005C6A86">
      <w:pPr>
        <w:numPr>
          <w:ilvl w:val="12"/>
          <w:numId w:val="0"/>
        </w:numPr>
        <w:spacing w:after="0" w:line="240" w:lineRule="auto"/>
        <w:ind w:right="-2"/>
        <w:rPr>
          <w:noProof/>
          <w:color w:val="auto"/>
          <w:lang w:val="is-IS"/>
        </w:rPr>
      </w:pPr>
    </w:p>
    <w:p w14:paraId="52E749C7" w14:textId="12AA5079" w:rsidR="005C6A86" w:rsidRPr="005646C7" w:rsidRDefault="005C6A86" w:rsidP="005C6A86">
      <w:pPr>
        <w:numPr>
          <w:ilvl w:val="12"/>
          <w:numId w:val="0"/>
        </w:numPr>
        <w:spacing w:after="0" w:line="240" w:lineRule="auto"/>
        <w:ind w:right="-2"/>
        <w:rPr>
          <w:noProof/>
          <w:color w:val="auto"/>
          <w:lang w:val="is-IS"/>
        </w:rPr>
      </w:pPr>
      <w:r w:rsidRPr="005646C7">
        <w:rPr>
          <w:noProof/>
          <w:color w:val="auto"/>
          <w:lang w:val="is-IS"/>
        </w:rPr>
        <w:t xml:space="preserve">Lyfið inniheldur </w:t>
      </w:r>
      <w:r w:rsidR="00C12DBB">
        <w:rPr>
          <w:noProof/>
          <w:color w:val="auto"/>
          <w:lang w:val="is-IS"/>
        </w:rPr>
        <w:t>21,7</w:t>
      </w:r>
      <w:r w:rsidRPr="005646C7">
        <w:rPr>
          <w:noProof/>
          <w:color w:val="auto"/>
          <w:lang w:val="is-IS"/>
        </w:rPr>
        <w:t xml:space="preserve"> mg af natríum (aðalefnið í matarsalti) í hverju 16 ml hettuglasi. Þetta jafngildir </w:t>
      </w:r>
      <w:r w:rsidR="00C12DBB">
        <w:rPr>
          <w:noProof/>
          <w:color w:val="auto"/>
          <w:lang w:val="is-IS"/>
        </w:rPr>
        <w:t>1,1</w:t>
      </w:r>
      <w:r w:rsidRPr="005646C7">
        <w:rPr>
          <w:noProof/>
          <w:color w:val="auto"/>
          <w:lang w:val="is-IS"/>
        </w:rPr>
        <w:t>% af daglegri hámarksinntöku natríums úr fæðu skv. ráðleggingum fyrir fullorðna.</w:t>
      </w:r>
    </w:p>
    <w:p w14:paraId="0E06375B" w14:textId="77777777" w:rsidR="005F36F3" w:rsidRPr="009F7642" w:rsidRDefault="005F36F3" w:rsidP="0073217C">
      <w:pPr>
        <w:suppressAutoHyphens/>
        <w:spacing w:after="0" w:line="240" w:lineRule="auto"/>
        <w:ind w:left="0" w:firstLine="0"/>
        <w:rPr>
          <w:color w:val="auto"/>
          <w:lang w:val="is-IS"/>
        </w:rPr>
      </w:pPr>
    </w:p>
    <w:p w14:paraId="1F864C4B" w14:textId="77777777" w:rsidR="005F36F3" w:rsidRPr="009F7642" w:rsidRDefault="005F36F3" w:rsidP="0073217C">
      <w:pPr>
        <w:suppressAutoHyphens/>
        <w:spacing w:after="0" w:line="240" w:lineRule="auto"/>
        <w:ind w:left="0" w:firstLine="0"/>
        <w:rPr>
          <w:color w:val="auto"/>
          <w:lang w:val="is-IS"/>
        </w:rPr>
      </w:pPr>
    </w:p>
    <w:p w14:paraId="7E298F7E" w14:textId="77777777" w:rsidR="005F36F3" w:rsidRPr="009F7642" w:rsidRDefault="00A8696B" w:rsidP="0073217C">
      <w:pPr>
        <w:keepNext/>
        <w:tabs>
          <w:tab w:val="center" w:pos="1659"/>
        </w:tabs>
        <w:suppressAutoHyphens/>
        <w:spacing w:after="0" w:line="240" w:lineRule="auto"/>
        <w:ind w:left="567" w:hanging="567"/>
        <w:rPr>
          <w:color w:val="auto"/>
          <w:lang w:val="is-IS"/>
        </w:rPr>
      </w:pPr>
      <w:r w:rsidRPr="009F7642">
        <w:rPr>
          <w:b/>
          <w:color w:val="auto"/>
          <w:lang w:val="is-IS"/>
        </w:rPr>
        <w:t>3.</w:t>
      </w:r>
      <w:r w:rsidR="00564614" w:rsidRPr="009F7642">
        <w:rPr>
          <w:b/>
          <w:color w:val="auto"/>
          <w:lang w:val="is-IS"/>
        </w:rPr>
        <w:tab/>
        <w:t xml:space="preserve">Hvernig nota á </w:t>
      </w:r>
      <w:r w:rsidR="001764F7" w:rsidRPr="00F2274F">
        <w:rPr>
          <w:b/>
          <w:noProof/>
          <w:lang w:val="is-IS"/>
        </w:rPr>
        <w:t>MVASI</w:t>
      </w:r>
    </w:p>
    <w:p w14:paraId="1B72C219" w14:textId="77777777" w:rsidR="005F36F3" w:rsidRPr="009F7642" w:rsidRDefault="005F36F3" w:rsidP="0073217C">
      <w:pPr>
        <w:keepNext/>
        <w:suppressAutoHyphens/>
        <w:spacing w:after="0" w:line="240" w:lineRule="auto"/>
        <w:ind w:left="0" w:firstLine="0"/>
        <w:rPr>
          <w:color w:val="auto"/>
          <w:lang w:val="is-IS"/>
        </w:rPr>
      </w:pPr>
    </w:p>
    <w:p w14:paraId="1C8CED29" w14:textId="07B63C55" w:rsidR="005F36F3" w:rsidRPr="004771D0" w:rsidRDefault="00F94A97" w:rsidP="0073217C">
      <w:pPr>
        <w:keepNext/>
        <w:suppressAutoHyphens/>
        <w:spacing w:after="0" w:line="240" w:lineRule="auto"/>
        <w:ind w:left="0" w:firstLine="0"/>
        <w:rPr>
          <w:b/>
          <w:color w:val="auto"/>
          <w:lang w:val="is-IS"/>
        </w:rPr>
      </w:pPr>
      <w:r w:rsidRPr="004771D0">
        <w:rPr>
          <w:b/>
          <w:color w:val="auto"/>
          <w:lang w:val="is-IS"/>
        </w:rPr>
        <w:t>Sk</w:t>
      </w:r>
      <w:r>
        <w:rPr>
          <w:b/>
          <w:color w:val="auto"/>
          <w:lang w:val="is-IS"/>
        </w:rPr>
        <w:t>ammtur</w:t>
      </w:r>
      <w:r w:rsidRPr="004771D0">
        <w:rPr>
          <w:b/>
          <w:color w:val="auto"/>
          <w:lang w:val="is-IS"/>
        </w:rPr>
        <w:t xml:space="preserve"> </w:t>
      </w:r>
      <w:r w:rsidR="001D05CD" w:rsidRPr="004771D0">
        <w:rPr>
          <w:b/>
          <w:color w:val="auto"/>
          <w:lang w:val="is-IS"/>
        </w:rPr>
        <w:t>og tíðni lyfjagjafar</w:t>
      </w:r>
    </w:p>
    <w:p w14:paraId="6572FA96" w14:textId="77777777" w:rsidR="001D05CD" w:rsidRPr="009F7642" w:rsidRDefault="001D05CD" w:rsidP="0073217C">
      <w:pPr>
        <w:keepNext/>
        <w:suppressAutoHyphens/>
        <w:spacing w:after="0" w:line="240" w:lineRule="auto"/>
        <w:ind w:left="0" w:firstLine="0"/>
        <w:rPr>
          <w:color w:val="auto"/>
          <w:lang w:val="is-IS"/>
        </w:rPr>
      </w:pPr>
    </w:p>
    <w:p w14:paraId="07042B48"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Skammturinn af </w:t>
      </w:r>
      <w:r w:rsidR="001764F7" w:rsidRPr="00F2274F">
        <w:rPr>
          <w:noProof/>
          <w:lang w:val="is-IS"/>
        </w:rPr>
        <w:t>MVASI</w:t>
      </w:r>
      <w:r w:rsidRPr="009F7642">
        <w:rPr>
          <w:color w:val="auto"/>
          <w:lang w:val="is-IS"/>
        </w:rPr>
        <w:t xml:space="preserve"> fer eftir líkamsþyngd og þeirri ge</w:t>
      </w:r>
      <w:r w:rsidR="001D05CD" w:rsidRPr="009F7642">
        <w:rPr>
          <w:color w:val="auto"/>
          <w:lang w:val="is-IS"/>
        </w:rPr>
        <w:t>rð krabbameins sem meðhöndla á.</w:t>
      </w:r>
      <w:r w:rsidR="00BB5A95">
        <w:rPr>
          <w:color w:val="auto"/>
          <w:lang w:val="is-IS"/>
        </w:rPr>
        <w:t xml:space="preserve"> </w:t>
      </w:r>
      <w:r w:rsidR="009D2BA1" w:rsidRPr="009F7642">
        <w:rPr>
          <w:color w:val="auto"/>
          <w:lang w:val="is-IS"/>
        </w:rPr>
        <w:t>Ráðlagður skammtur er 5 mg, 7,5 </w:t>
      </w:r>
      <w:r w:rsidRPr="009F7642">
        <w:rPr>
          <w:color w:val="auto"/>
          <w:lang w:val="is-IS"/>
        </w:rPr>
        <w:t>mg, 1</w:t>
      </w:r>
      <w:r w:rsidR="009D2BA1" w:rsidRPr="009F7642">
        <w:rPr>
          <w:color w:val="auto"/>
          <w:lang w:val="is-IS"/>
        </w:rPr>
        <w:t>0 mg eða 15 </w:t>
      </w:r>
      <w:r w:rsidRPr="009F7642">
        <w:rPr>
          <w:color w:val="auto"/>
          <w:lang w:val="is-IS"/>
        </w:rPr>
        <w:t>mg á hver</w:t>
      </w:r>
      <w:r w:rsidR="001D05CD" w:rsidRPr="009F7642">
        <w:rPr>
          <w:color w:val="auto"/>
          <w:lang w:val="is-IS"/>
        </w:rPr>
        <w:t>t kíló líkamsþyngdar sjúklings.</w:t>
      </w:r>
      <w:r w:rsidR="00BB5A95">
        <w:rPr>
          <w:color w:val="auto"/>
          <w:lang w:val="is-IS"/>
        </w:rPr>
        <w:t xml:space="preserve"> </w:t>
      </w:r>
      <w:r w:rsidRPr="009F7642">
        <w:rPr>
          <w:color w:val="auto"/>
          <w:lang w:val="is-IS"/>
        </w:rPr>
        <w:t xml:space="preserve">Læknirinn ávísar þeim skammti af </w:t>
      </w:r>
      <w:r w:rsidR="001764F7" w:rsidRPr="00F2274F">
        <w:rPr>
          <w:noProof/>
          <w:lang w:val="is-IS"/>
        </w:rPr>
        <w:t>MVASI</w:t>
      </w:r>
      <w:r w:rsidRPr="009F7642">
        <w:rPr>
          <w:color w:val="auto"/>
          <w:lang w:val="is-IS"/>
        </w:rPr>
        <w:t xml:space="preserve"> sem hentar hverjum og einum. </w:t>
      </w:r>
      <w:r w:rsidR="001764F7" w:rsidRPr="00F2274F">
        <w:rPr>
          <w:noProof/>
          <w:lang w:val="is-IS"/>
        </w:rPr>
        <w:t>MVASI</w:t>
      </w:r>
      <w:r w:rsidRPr="009F7642">
        <w:rPr>
          <w:color w:val="auto"/>
          <w:lang w:val="is-IS"/>
        </w:rPr>
        <w:t xml:space="preserve"> er gefið einu sinni á 2 eða 3</w:t>
      </w:r>
      <w:r w:rsidR="00851CF6">
        <w:rPr>
          <w:color w:val="auto"/>
          <w:lang w:val="is-IS"/>
        </w:rPr>
        <w:t> </w:t>
      </w:r>
      <w:r w:rsidRPr="009F7642">
        <w:rPr>
          <w:color w:val="auto"/>
          <w:lang w:val="is-IS"/>
        </w:rPr>
        <w:t xml:space="preserve">vikna fresti. Fjöldi innrennslisgjafa fer eftir svörun við meðferðinni, en meðferð með </w:t>
      </w:r>
      <w:r w:rsidR="001764F7" w:rsidRPr="00F2274F">
        <w:rPr>
          <w:noProof/>
          <w:lang w:val="is-IS"/>
        </w:rPr>
        <w:t>MVASI</w:t>
      </w:r>
      <w:r w:rsidRPr="009F7642">
        <w:rPr>
          <w:color w:val="auto"/>
          <w:lang w:val="is-IS"/>
        </w:rPr>
        <w:t xml:space="preserve"> á að halda áfram þar til lyfið hættir að stöðva æxlisvöxtinn. Lækniri</w:t>
      </w:r>
      <w:r w:rsidR="001D05CD" w:rsidRPr="009F7642">
        <w:rPr>
          <w:color w:val="auto"/>
          <w:lang w:val="is-IS"/>
        </w:rPr>
        <w:t>nn ræðir þetta við sjúklinginn.</w:t>
      </w:r>
    </w:p>
    <w:p w14:paraId="45FD1404" w14:textId="77777777" w:rsidR="005F36F3" w:rsidRPr="009F7642" w:rsidRDefault="005F36F3" w:rsidP="0073217C">
      <w:pPr>
        <w:suppressAutoHyphens/>
        <w:spacing w:after="0" w:line="240" w:lineRule="auto"/>
        <w:ind w:left="0" w:firstLine="0"/>
        <w:rPr>
          <w:color w:val="auto"/>
          <w:lang w:val="is-IS"/>
        </w:rPr>
      </w:pPr>
    </w:p>
    <w:p w14:paraId="18F5B366" w14:textId="77777777" w:rsidR="005F36F3" w:rsidRPr="004771D0" w:rsidRDefault="00564614" w:rsidP="0073217C">
      <w:pPr>
        <w:keepNext/>
        <w:suppressAutoHyphens/>
        <w:spacing w:after="0" w:line="240" w:lineRule="auto"/>
        <w:ind w:left="0" w:firstLine="0"/>
        <w:rPr>
          <w:b/>
          <w:color w:val="auto"/>
          <w:lang w:val="is-IS"/>
        </w:rPr>
      </w:pPr>
      <w:r w:rsidRPr="004771D0">
        <w:rPr>
          <w:b/>
          <w:color w:val="auto"/>
          <w:lang w:val="is-IS"/>
        </w:rPr>
        <w:t>Aðferð við lyfjagjöf og íkomuleið</w:t>
      </w:r>
    </w:p>
    <w:p w14:paraId="24F010A5" w14:textId="77777777" w:rsidR="001D05CD" w:rsidRPr="004771D0" w:rsidRDefault="001D05CD" w:rsidP="0073217C">
      <w:pPr>
        <w:keepNext/>
        <w:suppressAutoHyphens/>
        <w:spacing w:after="0" w:line="240" w:lineRule="auto"/>
        <w:ind w:left="0" w:firstLine="0"/>
        <w:rPr>
          <w:color w:val="auto"/>
          <w:lang w:val="is-IS"/>
        </w:rPr>
      </w:pPr>
    </w:p>
    <w:p w14:paraId="28BB5373" w14:textId="0D77F20B" w:rsidR="005F36F3" w:rsidRPr="009F7642" w:rsidRDefault="00691E48" w:rsidP="0073217C">
      <w:pPr>
        <w:suppressAutoHyphens/>
        <w:spacing w:after="0" w:line="240" w:lineRule="auto"/>
        <w:ind w:left="0" w:firstLine="0"/>
        <w:rPr>
          <w:color w:val="auto"/>
          <w:lang w:val="is-IS"/>
        </w:rPr>
      </w:pPr>
      <w:r w:rsidRPr="00691E48">
        <w:rPr>
          <w:noProof/>
          <w:lang w:val="is-IS"/>
        </w:rPr>
        <w:t>Ekki má hrista hettuglasið.</w:t>
      </w:r>
      <w:r>
        <w:rPr>
          <w:noProof/>
          <w:lang w:val="is-IS"/>
        </w:rPr>
        <w:t xml:space="preserve"> </w:t>
      </w:r>
      <w:r w:rsidR="001764F7" w:rsidRPr="00F2274F">
        <w:rPr>
          <w:noProof/>
          <w:lang w:val="is-IS"/>
        </w:rPr>
        <w:t>MVASI</w:t>
      </w:r>
      <w:r w:rsidR="00564614" w:rsidRPr="009F7642">
        <w:rPr>
          <w:color w:val="auto"/>
          <w:lang w:val="is-IS"/>
        </w:rPr>
        <w:t xml:space="preserve"> er innrennslisþykkni fyrir innrennslislyf. Í samræmi við ávísaðan skammt er allt innihald </w:t>
      </w:r>
      <w:r w:rsidR="001764F7" w:rsidRPr="00F2274F">
        <w:rPr>
          <w:noProof/>
          <w:lang w:val="is-IS"/>
        </w:rPr>
        <w:t>MVASI</w:t>
      </w:r>
      <w:r w:rsidR="00564614" w:rsidRPr="009F7642">
        <w:rPr>
          <w:color w:val="auto"/>
          <w:lang w:val="is-IS"/>
        </w:rPr>
        <w:t xml:space="preserve"> hettuglassins eða hluti þess þynnt með natríumklóríð lausn fyrir notkun. Læknir eða hjúkrunarfræðingur gefur þynnta </w:t>
      </w:r>
      <w:r w:rsidR="001764F7" w:rsidRPr="00F2274F">
        <w:rPr>
          <w:noProof/>
          <w:lang w:val="is-IS"/>
        </w:rPr>
        <w:t>MVASI</w:t>
      </w:r>
      <w:r w:rsidR="00564614" w:rsidRPr="009F7642">
        <w:rPr>
          <w:color w:val="auto"/>
          <w:lang w:val="is-IS"/>
        </w:rPr>
        <w:t xml:space="preserve"> lausnina með innrennsli í bláæð (um æðaslöngu). Fyrsta innrennslið er gefið á 90</w:t>
      </w:r>
      <w:r w:rsidR="00851CF6">
        <w:rPr>
          <w:color w:val="auto"/>
          <w:lang w:val="is-IS"/>
        </w:rPr>
        <w:t> </w:t>
      </w:r>
      <w:r w:rsidR="00564614" w:rsidRPr="009F7642">
        <w:rPr>
          <w:color w:val="auto"/>
          <w:lang w:val="is-IS"/>
        </w:rPr>
        <w:t>mínútum. Ef það þolist vel, má gefa annað innrennslið á 60</w:t>
      </w:r>
      <w:r w:rsidR="00851CF6">
        <w:rPr>
          <w:color w:val="auto"/>
          <w:lang w:val="is-IS"/>
        </w:rPr>
        <w:t> </w:t>
      </w:r>
      <w:r w:rsidR="00564614" w:rsidRPr="009F7642">
        <w:rPr>
          <w:color w:val="auto"/>
          <w:lang w:val="is-IS"/>
        </w:rPr>
        <w:t>mínútum. Síðari in</w:t>
      </w:r>
      <w:r w:rsidR="00B62FA7" w:rsidRPr="009F7642">
        <w:rPr>
          <w:color w:val="auto"/>
          <w:lang w:val="is-IS"/>
        </w:rPr>
        <w:t>nrennsli má gefa á 30</w:t>
      </w:r>
      <w:r w:rsidR="00851CF6">
        <w:rPr>
          <w:color w:val="auto"/>
          <w:lang w:val="is-IS"/>
        </w:rPr>
        <w:t> </w:t>
      </w:r>
      <w:r w:rsidR="00B62FA7" w:rsidRPr="009F7642">
        <w:rPr>
          <w:color w:val="auto"/>
          <w:lang w:val="is-IS"/>
        </w:rPr>
        <w:t>mínútum.</w:t>
      </w:r>
    </w:p>
    <w:p w14:paraId="357D1D86" w14:textId="77777777" w:rsidR="005F36F3" w:rsidRPr="009F7642" w:rsidRDefault="005F36F3" w:rsidP="0073217C">
      <w:pPr>
        <w:suppressAutoHyphens/>
        <w:spacing w:after="0" w:line="240" w:lineRule="auto"/>
        <w:ind w:left="0" w:firstLine="0"/>
        <w:rPr>
          <w:color w:val="auto"/>
          <w:lang w:val="is-IS"/>
        </w:rPr>
      </w:pPr>
    </w:p>
    <w:p w14:paraId="1BE260BE" w14:textId="77777777" w:rsidR="005F36F3" w:rsidRPr="004771D0" w:rsidRDefault="00564614" w:rsidP="0073217C">
      <w:pPr>
        <w:keepNext/>
        <w:suppressAutoHyphens/>
        <w:spacing w:after="0" w:line="240" w:lineRule="auto"/>
        <w:ind w:left="0" w:firstLine="0"/>
        <w:rPr>
          <w:b/>
          <w:color w:val="auto"/>
          <w:lang w:val="is-IS"/>
        </w:rPr>
      </w:pPr>
      <w:r w:rsidRPr="004771D0">
        <w:rPr>
          <w:b/>
          <w:color w:val="auto"/>
          <w:lang w:val="is-IS"/>
        </w:rPr>
        <w:lastRenderedPageBreak/>
        <w:t xml:space="preserve">Rjúfa á gjöf </w:t>
      </w:r>
      <w:r w:rsidR="001764F7" w:rsidRPr="00F2274F">
        <w:rPr>
          <w:b/>
          <w:noProof/>
          <w:lang w:val="is-IS"/>
        </w:rPr>
        <w:t>MVASI</w:t>
      </w:r>
      <w:r w:rsidRPr="004771D0">
        <w:rPr>
          <w:b/>
          <w:color w:val="auto"/>
          <w:lang w:val="is-IS"/>
        </w:rPr>
        <w:t xml:space="preserve"> um hríð</w:t>
      </w:r>
    </w:p>
    <w:p w14:paraId="56A6224D" w14:textId="77777777" w:rsidR="001D05CD" w:rsidRPr="009F7642" w:rsidRDefault="001D05CD" w:rsidP="0073217C">
      <w:pPr>
        <w:keepNext/>
        <w:suppressAutoHyphens/>
        <w:spacing w:after="0" w:line="240" w:lineRule="auto"/>
        <w:ind w:left="0" w:firstLine="0"/>
        <w:rPr>
          <w:color w:val="auto"/>
          <w:lang w:val="is-IS"/>
        </w:rPr>
      </w:pPr>
    </w:p>
    <w:p w14:paraId="3E7ED68A" w14:textId="77777777" w:rsidR="005F36F3" w:rsidRPr="009F7642" w:rsidRDefault="00564614" w:rsidP="00321CD1">
      <w:pPr>
        <w:keepNext/>
        <w:numPr>
          <w:ilvl w:val="0"/>
          <w:numId w:val="64"/>
        </w:numPr>
        <w:suppressAutoHyphens/>
        <w:spacing w:after="0" w:line="240" w:lineRule="auto"/>
        <w:ind w:hanging="567"/>
        <w:rPr>
          <w:color w:val="auto"/>
          <w:lang w:val="is-IS"/>
        </w:rPr>
      </w:pPr>
      <w:r w:rsidRPr="009F7642">
        <w:rPr>
          <w:color w:val="auto"/>
          <w:lang w:val="is-IS"/>
        </w:rPr>
        <w:t>ef blóðþrýstingur verður verulega hár svo meðhöndl</w:t>
      </w:r>
      <w:r w:rsidR="001D05CD" w:rsidRPr="009F7642">
        <w:rPr>
          <w:color w:val="auto"/>
          <w:lang w:val="is-IS"/>
        </w:rPr>
        <w:t>a þarf með blóðþrýstingslyfjum,</w:t>
      </w:r>
    </w:p>
    <w:p w14:paraId="22F93B8F" w14:textId="77777777" w:rsidR="00055AA3" w:rsidRPr="009F7642" w:rsidRDefault="00564614" w:rsidP="00321CD1">
      <w:pPr>
        <w:keepNext/>
        <w:numPr>
          <w:ilvl w:val="0"/>
          <w:numId w:val="64"/>
        </w:numPr>
        <w:suppressAutoHyphens/>
        <w:spacing w:after="0" w:line="240" w:lineRule="auto"/>
        <w:ind w:hanging="567"/>
        <w:rPr>
          <w:color w:val="auto"/>
          <w:lang w:val="is-IS"/>
        </w:rPr>
      </w:pPr>
      <w:r w:rsidRPr="009F7642">
        <w:rPr>
          <w:color w:val="auto"/>
          <w:lang w:val="is-IS"/>
        </w:rPr>
        <w:t>ef upp koma vandamál við</w:t>
      </w:r>
      <w:r w:rsidR="001D05CD" w:rsidRPr="009F7642">
        <w:rPr>
          <w:color w:val="auto"/>
          <w:lang w:val="is-IS"/>
        </w:rPr>
        <w:t xml:space="preserve"> að sár grói eftir skurðaðgerð,</w:t>
      </w:r>
    </w:p>
    <w:p w14:paraId="4E6EA51B" w14:textId="77777777" w:rsidR="005F36F3" w:rsidRPr="009F7642" w:rsidRDefault="001D05CD" w:rsidP="00321CD1">
      <w:pPr>
        <w:numPr>
          <w:ilvl w:val="0"/>
          <w:numId w:val="64"/>
        </w:numPr>
        <w:suppressAutoHyphens/>
        <w:spacing w:after="0" w:line="240" w:lineRule="auto"/>
        <w:ind w:hanging="567"/>
        <w:rPr>
          <w:color w:val="auto"/>
          <w:lang w:val="is-IS"/>
        </w:rPr>
      </w:pPr>
      <w:r w:rsidRPr="009F7642">
        <w:rPr>
          <w:color w:val="auto"/>
          <w:lang w:val="is-IS"/>
        </w:rPr>
        <w:t>við skurðaðgerð.</w:t>
      </w:r>
    </w:p>
    <w:p w14:paraId="05C0D394" w14:textId="77777777" w:rsidR="005F36F3" w:rsidRPr="009F7642" w:rsidRDefault="005F36F3" w:rsidP="0073217C">
      <w:pPr>
        <w:suppressAutoHyphens/>
        <w:spacing w:after="0" w:line="240" w:lineRule="auto"/>
        <w:ind w:left="0" w:firstLine="0"/>
        <w:rPr>
          <w:color w:val="auto"/>
          <w:lang w:val="is-IS"/>
        </w:rPr>
      </w:pPr>
    </w:p>
    <w:p w14:paraId="51819547" w14:textId="77777777" w:rsidR="005F36F3" w:rsidRPr="004771D0" w:rsidRDefault="00564614" w:rsidP="0073217C">
      <w:pPr>
        <w:keepNext/>
        <w:suppressAutoHyphens/>
        <w:spacing w:after="0" w:line="240" w:lineRule="auto"/>
        <w:ind w:left="0" w:firstLine="0"/>
        <w:rPr>
          <w:b/>
          <w:color w:val="auto"/>
          <w:lang w:val="is-IS"/>
        </w:rPr>
      </w:pPr>
      <w:r w:rsidRPr="004771D0">
        <w:rPr>
          <w:b/>
          <w:color w:val="auto"/>
          <w:lang w:val="is-IS"/>
        </w:rPr>
        <w:t>Hætta á alveg að gef</w:t>
      </w:r>
      <w:r w:rsidR="001D05CD" w:rsidRPr="004771D0">
        <w:rPr>
          <w:b/>
          <w:color w:val="auto"/>
          <w:lang w:val="is-IS"/>
        </w:rPr>
        <w:t xml:space="preserve">a </w:t>
      </w:r>
      <w:r w:rsidR="001764F7" w:rsidRPr="00F2274F">
        <w:rPr>
          <w:b/>
          <w:noProof/>
          <w:lang w:val="sv-SE"/>
        </w:rPr>
        <w:t>MVASI</w:t>
      </w:r>
      <w:r w:rsidR="001D05CD" w:rsidRPr="004771D0">
        <w:rPr>
          <w:b/>
          <w:color w:val="auto"/>
          <w:lang w:val="is-IS"/>
        </w:rPr>
        <w:t xml:space="preserve"> ef fram kemur</w:t>
      </w:r>
    </w:p>
    <w:p w14:paraId="7348ADB1" w14:textId="77777777" w:rsidR="001D05CD" w:rsidRPr="009F7642" w:rsidRDefault="001D05CD" w:rsidP="0073217C">
      <w:pPr>
        <w:keepNext/>
        <w:suppressAutoHyphens/>
        <w:spacing w:after="0" w:line="240" w:lineRule="auto"/>
        <w:ind w:left="0" w:firstLine="0"/>
        <w:rPr>
          <w:color w:val="auto"/>
          <w:lang w:val="is-IS"/>
        </w:rPr>
      </w:pPr>
    </w:p>
    <w:p w14:paraId="463C4487" w14:textId="1CED0D9E" w:rsidR="005F36F3" w:rsidRPr="009F7642" w:rsidRDefault="00564614" w:rsidP="00321CD1">
      <w:pPr>
        <w:numPr>
          <w:ilvl w:val="0"/>
          <w:numId w:val="65"/>
        </w:numPr>
        <w:suppressAutoHyphens/>
        <w:spacing w:after="0" w:line="240" w:lineRule="auto"/>
        <w:ind w:left="567" w:hanging="567"/>
        <w:rPr>
          <w:color w:val="auto"/>
          <w:lang w:val="is-IS"/>
        </w:rPr>
      </w:pPr>
      <w:r w:rsidRPr="009F7642">
        <w:rPr>
          <w:color w:val="auto"/>
          <w:lang w:val="is-IS"/>
        </w:rPr>
        <w:t xml:space="preserve">verulega hár blóðþrýstingur sem ekki nást tök á með blóðþrýstingslyfjum eða ef skyndilega verður </w:t>
      </w:r>
      <w:r w:rsidR="007D1F70">
        <w:rPr>
          <w:color w:val="auto"/>
          <w:lang w:val="is-IS"/>
        </w:rPr>
        <w:t>mikil</w:t>
      </w:r>
      <w:r w:rsidR="007D1F70" w:rsidRPr="009F7642">
        <w:rPr>
          <w:color w:val="auto"/>
          <w:lang w:val="is-IS"/>
        </w:rPr>
        <w:t xml:space="preserve"> </w:t>
      </w:r>
      <w:r w:rsidR="001D05CD" w:rsidRPr="009F7642">
        <w:rPr>
          <w:color w:val="auto"/>
          <w:lang w:val="is-IS"/>
        </w:rPr>
        <w:t>hækkun á blóðþrýstingi,</w:t>
      </w:r>
    </w:p>
    <w:p w14:paraId="111DD82C" w14:textId="77777777" w:rsidR="005F36F3" w:rsidRPr="009F7642" w:rsidRDefault="00564614" w:rsidP="00321CD1">
      <w:pPr>
        <w:numPr>
          <w:ilvl w:val="0"/>
          <w:numId w:val="65"/>
        </w:numPr>
        <w:suppressAutoHyphens/>
        <w:spacing w:after="0" w:line="240" w:lineRule="auto"/>
        <w:ind w:left="567" w:hanging="567"/>
        <w:rPr>
          <w:color w:val="auto"/>
          <w:lang w:val="is-IS"/>
        </w:rPr>
      </w:pPr>
      <w:r w:rsidRPr="009F7642">
        <w:rPr>
          <w:color w:val="auto"/>
          <w:lang w:val="is-IS"/>
        </w:rPr>
        <w:t xml:space="preserve">prótein </w:t>
      </w:r>
      <w:r w:rsidR="001D05CD" w:rsidRPr="009F7642">
        <w:rPr>
          <w:color w:val="auto"/>
          <w:lang w:val="is-IS"/>
        </w:rPr>
        <w:t>í þvagi ásamt bjúg í líkamanum,</w:t>
      </w:r>
    </w:p>
    <w:p w14:paraId="40FABD64" w14:textId="77777777" w:rsidR="005F36F3" w:rsidRPr="009F7642" w:rsidRDefault="001D05CD" w:rsidP="00321CD1">
      <w:pPr>
        <w:numPr>
          <w:ilvl w:val="0"/>
          <w:numId w:val="65"/>
        </w:numPr>
        <w:suppressAutoHyphens/>
        <w:spacing w:after="0" w:line="240" w:lineRule="auto"/>
        <w:ind w:left="567" w:hanging="567"/>
        <w:rPr>
          <w:color w:val="auto"/>
          <w:lang w:val="is-IS"/>
        </w:rPr>
      </w:pPr>
      <w:r w:rsidRPr="009F7642">
        <w:rPr>
          <w:color w:val="auto"/>
          <w:lang w:val="is-IS"/>
        </w:rPr>
        <w:t>rof á þarmavegg,</w:t>
      </w:r>
    </w:p>
    <w:p w14:paraId="6E408203" w14:textId="77777777" w:rsidR="005F36F3" w:rsidRPr="009F7642" w:rsidRDefault="00564614" w:rsidP="00321CD1">
      <w:pPr>
        <w:numPr>
          <w:ilvl w:val="0"/>
          <w:numId w:val="65"/>
        </w:numPr>
        <w:suppressAutoHyphens/>
        <w:spacing w:after="0" w:line="240" w:lineRule="auto"/>
        <w:ind w:left="567" w:hanging="567"/>
        <w:rPr>
          <w:color w:val="auto"/>
          <w:lang w:val="is-IS"/>
        </w:rPr>
      </w:pPr>
      <w:r w:rsidRPr="009F7642">
        <w:rPr>
          <w:color w:val="auto"/>
          <w:lang w:val="is-IS"/>
        </w:rPr>
        <w:t>óeðlileg tenging eða göng milli barka og vélinda, milli innvortis líffæra og húðar, milli legganga og einhvers hluta meltingarvegar eða milli annarra vefja sem almennt tengjast ekki (fistill), og l</w:t>
      </w:r>
      <w:r w:rsidR="001D05CD" w:rsidRPr="009F7642">
        <w:rPr>
          <w:color w:val="auto"/>
          <w:lang w:val="is-IS"/>
        </w:rPr>
        <w:t>æknirinn metur að sé alvarlegt,</w:t>
      </w:r>
    </w:p>
    <w:p w14:paraId="3BC8A161" w14:textId="77777777" w:rsidR="006D6EB1" w:rsidRDefault="00564614" w:rsidP="00321CD1">
      <w:pPr>
        <w:numPr>
          <w:ilvl w:val="0"/>
          <w:numId w:val="65"/>
        </w:numPr>
        <w:suppressAutoHyphens/>
        <w:spacing w:after="0" w:line="240" w:lineRule="auto"/>
        <w:ind w:left="567" w:hanging="567"/>
        <w:rPr>
          <w:color w:val="auto"/>
          <w:lang w:val="is-IS"/>
        </w:rPr>
      </w:pPr>
      <w:r w:rsidRPr="009F7642">
        <w:rPr>
          <w:color w:val="auto"/>
          <w:lang w:val="is-IS"/>
        </w:rPr>
        <w:t xml:space="preserve">alvarleg sýking í húð eða dýpri vefjalögum undir húð, </w:t>
      </w:r>
    </w:p>
    <w:p w14:paraId="1AE3DC7C" w14:textId="77777777" w:rsidR="006D6EB1" w:rsidRDefault="00564614" w:rsidP="00321CD1">
      <w:pPr>
        <w:numPr>
          <w:ilvl w:val="0"/>
          <w:numId w:val="65"/>
        </w:numPr>
        <w:suppressAutoHyphens/>
        <w:spacing w:after="0" w:line="240" w:lineRule="auto"/>
        <w:ind w:left="567" w:hanging="567"/>
        <w:rPr>
          <w:color w:val="auto"/>
          <w:lang w:val="is-IS"/>
        </w:rPr>
      </w:pPr>
      <w:r w:rsidRPr="009F7642">
        <w:rPr>
          <w:color w:val="auto"/>
          <w:lang w:val="is-IS"/>
        </w:rPr>
        <w:t>blóðtappi í sl</w:t>
      </w:r>
      <w:r w:rsidR="001D05CD" w:rsidRPr="009F7642">
        <w:rPr>
          <w:color w:val="auto"/>
          <w:lang w:val="is-IS"/>
        </w:rPr>
        <w:t xml:space="preserve">agæðum, </w:t>
      </w:r>
    </w:p>
    <w:p w14:paraId="328E3725" w14:textId="77777777" w:rsidR="005F36F3" w:rsidRPr="009F7642" w:rsidRDefault="001D05CD" w:rsidP="00321CD1">
      <w:pPr>
        <w:numPr>
          <w:ilvl w:val="0"/>
          <w:numId w:val="65"/>
        </w:numPr>
        <w:suppressAutoHyphens/>
        <w:spacing w:after="0" w:line="240" w:lineRule="auto"/>
        <w:ind w:left="567" w:hanging="567"/>
        <w:rPr>
          <w:color w:val="auto"/>
          <w:lang w:val="is-IS"/>
        </w:rPr>
      </w:pPr>
      <w:r w:rsidRPr="009F7642">
        <w:rPr>
          <w:color w:val="auto"/>
          <w:lang w:val="is-IS"/>
        </w:rPr>
        <w:t>blóðtappi í lungnaæðum,</w:t>
      </w:r>
    </w:p>
    <w:p w14:paraId="14E665D4" w14:textId="77777777" w:rsidR="005F36F3" w:rsidRPr="009F7642" w:rsidRDefault="001D05CD" w:rsidP="00321CD1">
      <w:pPr>
        <w:numPr>
          <w:ilvl w:val="0"/>
          <w:numId w:val="65"/>
        </w:numPr>
        <w:suppressAutoHyphens/>
        <w:spacing w:after="0" w:line="240" w:lineRule="auto"/>
        <w:ind w:left="567" w:hanging="567"/>
        <w:rPr>
          <w:color w:val="auto"/>
          <w:lang w:val="is-IS"/>
        </w:rPr>
      </w:pPr>
      <w:r w:rsidRPr="009F7642">
        <w:rPr>
          <w:color w:val="auto"/>
          <w:lang w:val="is-IS"/>
        </w:rPr>
        <w:t>hvers kyns alvarleg blæðing.</w:t>
      </w:r>
    </w:p>
    <w:p w14:paraId="65DD3242" w14:textId="77777777" w:rsidR="005F36F3" w:rsidRPr="004771D0" w:rsidRDefault="005F36F3" w:rsidP="0073217C">
      <w:pPr>
        <w:suppressAutoHyphens/>
        <w:spacing w:after="0" w:line="240" w:lineRule="auto"/>
        <w:ind w:left="0" w:firstLine="0"/>
        <w:rPr>
          <w:b/>
          <w:color w:val="auto"/>
          <w:lang w:val="is-IS"/>
        </w:rPr>
      </w:pPr>
    </w:p>
    <w:p w14:paraId="71DDE950" w14:textId="77777777" w:rsidR="005F36F3" w:rsidRPr="004771D0" w:rsidRDefault="00564614" w:rsidP="0073217C">
      <w:pPr>
        <w:keepNext/>
        <w:suppressAutoHyphens/>
        <w:spacing w:after="0" w:line="240" w:lineRule="auto"/>
        <w:ind w:left="0" w:firstLine="0"/>
        <w:rPr>
          <w:b/>
          <w:color w:val="auto"/>
          <w:lang w:val="is-IS"/>
        </w:rPr>
      </w:pPr>
      <w:r w:rsidRPr="004771D0">
        <w:rPr>
          <w:b/>
          <w:color w:val="auto"/>
          <w:lang w:val="is-IS"/>
        </w:rPr>
        <w:t xml:space="preserve">Ef </w:t>
      </w:r>
      <w:r w:rsidR="00F76CFB" w:rsidRPr="00504296">
        <w:rPr>
          <w:b/>
          <w:color w:val="auto"/>
          <w:lang w:val="is-IS"/>
        </w:rPr>
        <w:t xml:space="preserve">notaður er </w:t>
      </w:r>
      <w:r w:rsidRPr="00504296">
        <w:rPr>
          <w:b/>
          <w:color w:val="auto"/>
          <w:lang w:val="is-IS"/>
        </w:rPr>
        <w:t>stærri skammtur en mælt er fyrir um</w:t>
      </w:r>
    </w:p>
    <w:p w14:paraId="694C8C02" w14:textId="77777777" w:rsidR="001D05CD" w:rsidRPr="004771D0" w:rsidRDefault="001D05CD" w:rsidP="0073217C">
      <w:pPr>
        <w:keepNext/>
        <w:suppressAutoHyphens/>
        <w:spacing w:after="0" w:line="240" w:lineRule="auto"/>
        <w:ind w:left="0" w:firstLine="0"/>
        <w:rPr>
          <w:b/>
          <w:color w:val="auto"/>
          <w:lang w:val="is-IS"/>
        </w:rPr>
      </w:pPr>
    </w:p>
    <w:p w14:paraId="38A422EF" w14:textId="77777777" w:rsidR="006C06D6" w:rsidRPr="009F7642" w:rsidRDefault="00564614" w:rsidP="0073217C">
      <w:pPr>
        <w:numPr>
          <w:ilvl w:val="0"/>
          <w:numId w:val="37"/>
        </w:numPr>
        <w:suppressAutoHyphens/>
        <w:spacing w:after="0" w:line="240" w:lineRule="auto"/>
        <w:ind w:left="567" w:hanging="567"/>
        <w:rPr>
          <w:color w:val="auto"/>
          <w:lang w:val="is-IS"/>
        </w:rPr>
      </w:pPr>
      <w:r w:rsidRPr="009F7642">
        <w:rPr>
          <w:color w:val="auto"/>
          <w:lang w:val="is-IS"/>
        </w:rPr>
        <w:t>getur komið fram alvarlegt mígreni. Ef slíkt gerist, á að tala við lækninn, lyfjafræðing eða hjúkrunarfræðinginn tafarlaust.</w:t>
      </w:r>
    </w:p>
    <w:p w14:paraId="0BDD0E7B" w14:textId="77777777" w:rsidR="005F36F3" w:rsidRPr="009F7642" w:rsidRDefault="005F36F3" w:rsidP="0073217C">
      <w:pPr>
        <w:suppressAutoHyphens/>
        <w:spacing w:after="0" w:line="240" w:lineRule="auto"/>
        <w:ind w:left="0" w:firstLine="0"/>
        <w:rPr>
          <w:color w:val="auto"/>
          <w:lang w:val="is-IS"/>
        </w:rPr>
      </w:pPr>
    </w:p>
    <w:p w14:paraId="3A814E7D" w14:textId="77777777" w:rsidR="005F36F3" w:rsidRPr="009F7642" w:rsidRDefault="00564614" w:rsidP="0073217C">
      <w:pPr>
        <w:keepNext/>
        <w:suppressAutoHyphens/>
        <w:spacing w:after="0" w:line="240" w:lineRule="auto"/>
        <w:ind w:left="0" w:firstLine="0"/>
        <w:rPr>
          <w:color w:val="auto"/>
          <w:lang w:val="is-IS"/>
        </w:rPr>
      </w:pPr>
      <w:r w:rsidRPr="00504296">
        <w:rPr>
          <w:b/>
          <w:color w:val="auto"/>
          <w:lang w:val="is-IS"/>
        </w:rPr>
        <w:t xml:space="preserve">Ef </w:t>
      </w:r>
      <w:r w:rsidR="00F76CFB" w:rsidRPr="00504296">
        <w:rPr>
          <w:b/>
          <w:color w:val="auto"/>
          <w:lang w:val="is-IS"/>
        </w:rPr>
        <w:t xml:space="preserve">gleymist að nota </w:t>
      </w:r>
      <w:r w:rsidR="001764F7" w:rsidRPr="00504296">
        <w:rPr>
          <w:b/>
          <w:noProof/>
        </w:rPr>
        <w:t>MVASI</w:t>
      </w:r>
    </w:p>
    <w:p w14:paraId="0DACE808" w14:textId="77777777" w:rsidR="001D05CD" w:rsidRPr="009F7642" w:rsidRDefault="001D05CD" w:rsidP="0073217C">
      <w:pPr>
        <w:keepNext/>
        <w:suppressAutoHyphens/>
        <w:spacing w:after="0" w:line="240" w:lineRule="auto"/>
        <w:ind w:left="0" w:firstLine="0"/>
        <w:rPr>
          <w:color w:val="auto"/>
          <w:lang w:val="is-IS"/>
        </w:rPr>
      </w:pPr>
    </w:p>
    <w:p w14:paraId="3D4E2D7C" w14:textId="77777777" w:rsidR="006C06D6" w:rsidRPr="009F7642" w:rsidRDefault="00564614" w:rsidP="0073217C">
      <w:pPr>
        <w:numPr>
          <w:ilvl w:val="0"/>
          <w:numId w:val="24"/>
        </w:numPr>
        <w:suppressAutoHyphens/>
        <w:spacing w:after="0" w:line="240" w:lineRule="auto"/>
        <w:ind w:left="567" w:hanging="567"/>
        <w:rPr>
          <w:color w:val="auto"/>
          <w:lang w:val="is-IS"/>
        </w:rPr>
      </w:pPr>
      <w:r w:rsidRPr="009F7642">
        <w:rPr>
          <w:color w:val="auto"/>
          <w:lang w:val="is-IS"/>
        </w:rPr>
        <w:t xml:space="preserve">ákveður læknirinn hvenær gefa á næsta skammt af </w:t>
      </w:r>
      <w:r w:rsidR="001764F7" w:rsidRPr="00F2274F">
        <w:rPr>
          <w:noProof/>
          <w:lang w:val="is-IS"/>
        </w:rPr>
        <w:t>MVASI</w:t>
      </w:r>
      <w:r w:rsidRPr="009F7642">
        <w:rPr>
          <w:color w:val="auto"/>
          <w:lang w:val="is-IS"/>
        </w:rPr>
        <w:t>. Þetta á að ræða við lækninn.</w:t>
      </w:r>
    </w:p>
    <w:p w14:paraId="7B33B8D2" w14:textId="77777777" w:rsidR="005F36F3" w:rsidRPr="009F7642" w:rsidRDefault="005F36F3" w:rsidP="0073217C">
      <w:pPr>
        <w:suppressAutoHyphens/>
        <w:spacing w:after="0" w:line="240" w:lineRule="auto"/>
        <w:ind w:left="0" w:firstLine="0"/>
        <w:rPr>
          <w:color w:val="auto"/>
          <w:lang w:val="is-IS"/>
        </w:rPr>
      </w:pPr>
    </w:p>
    <w:p w14:paraId="0A465B23" w14:textId="77777777" w:rsidR="005F36F3" w:rsidRPr="00176D27" w:rsidRDefault="00564614" w:rsidP="0073217C">
      <w:pPr>
        <w:keepNext/>
        <w:suppressAutoHyphens/>
        <w:spacing w:after="0" w:line="240" w:lineRule="auto"/>
        <w:ind w:left="0" w:firstLine="0"/>
        <w:rPr>
          <w:b/>
          <w:color w:val="auto"/>
          <w:lang w:val="is-IS"/>
        </w:rPr>
      </w:pPr>
      <w:r w:rsidRPr="00504296">
        <w:rPr>
          <w:b/>
          <w:color w:val="auto"/>
          <w:lang w:val="is-IS"/>
        </w:rPr>
        <w:t xml:space="preserve">Ef </w:t>
      </w:r>
      <w:r w:rsidR="00F76CFB" w:rsidRPr="00504296">
        <w:rPr>
          <w:b/>
          <w:color w:val="auto"/>
          <w:lang w:val="is-IS"/>
        </w:rPr>
        <w:t>hætt er að nota</w:t>
      </w:r>
      <w:r w:rsidRPr="00504296">
        <w:rPr>
          <w:b/>
          <w:color w:val="auto"/>
          <w:lang w:val="is-IS"/>
        </w:rPr>
        <w:t xml:space="preserve"> </w:t>
      </w:r>
      <w:r w:rsidR="001764F7" w:rsidRPr="00F2274F">
        <w:rPr>
          <w:b/>
          <w:noProof/>
          <w:lang w:val="sv-SE"/>
        </w:rPr>
        <w:t>MVASI</w:t>
      </w:r>
    </w:p>
    <w:p w14:paraId="4822F128" w14:textId="77777777" w:rsidR="001D05CD" w:rsidRPr="009F7642" w:rsidRDefault="001D05CD" w:rsidP="0073217C">
      <w:pPr>
        <w:keepNext/>
        <w:suppressAutoHyphens/>
        <w:spacing w:after="0" w:line="240" w:lineRule="auto"/>
        <w:ind w:left="0" w:firstLine="0"/>
        <w:rPr>
          <w:color w:val="auto"/>
          <w:lang w:val="is-IS"/>
        </w:rPr>
      </w:pPr>
    </w:p>
    <w:p w14:paraId="7F8A6225"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Ef </w:t>
      </w:r>
      <w:r w:rsidR="001764F7" w:rsidRPr="00F2274F">
        <w:rPr>
          <w:noProof/>
          <w:lang w:val="is-IS"/>
        </w:rPr>
        <w:t>MVASI</w:t>
      </w:r>
      <w:r w:rsidRPr="009F7642">
        <w:rPr>
          <w:color w:val="auto"/>
          <w:lang w:val="is-IS"/>
        </w:rPr>
        <w:t xml:space="preserve"> meðferð er stöðvuð, geta áhrif á æxlisvöxt stöðvast. Ekki á að stöðva </w:t>
      </w:r>
      <w:r w:rsidR="001764F7" w:rsidRPr="00F2274F">
        <w:rPr>
          <w:noProof/>
          <w:lang w:val="is-IS"/>
        </w:rPr>
        <w:t>MVASI</w:t>
      </w:r>
      <w:r w:rsidRPr="009F7642">
        <w:rPr>
          <w:color w:val="auto"/>
          <w:lang w:val="is-IS"/>
        </w:rPr>
        <w:t xml:space="preserve"> meðferð án þess að það hafi verið rætt við lækninn.</w:t>
      </w:r>
    </w:p>
    <w:p w14:paraId="7AE424BE" w14:textId="77777777" w:rsidR="005F36F3" w:rsidRPr="009F7642" w:rsidRDefault="005F36F3" w:rsidP="0073217C">
      <w:pPr>
        <w:suppressAutoHyphens/>
        <w:spacing w:after="0" w:line="240" w:lineRule="auto"/>
        <w:ind w:left="0" w:firstLine="0"/>
        <w:rPr>
          <w:color w:val="auto"/>
          <w:lang w:val="is-IS"/>
        </w:rPr>
      </w:pPr>
    </w:p>
    <w:p w14:paraId="1D627E3E"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Leitið til læknisins, lyfjafræðings eða hjúkrunarfræðingsins ef þörf er á frekari</w:t>
      </w:r>
      <w:r w:rsidR="001D05CD" w:rsidRPr="009F7642">
        <w:rPr>
          <w:color w:val="auto"/>
          <w:lang w:val="is-IS"/>
        </w:rPr>
        <w:t xml:space="preserve"> upplýsingum um notkun lyfsins.</w:t>
      </w:r>
    </w:p>
    <w:p w14:paraId="6691D5AE" w14:textId="77777777" w:rsidR="005F36F3" w:rsidRPr="009F7642" w:rsidRDefault="005F36F3" w:rsidP="0073217C">
      <w:pPr>
        <w:suppressAutoHyphens/>
        <w:spacing w:after="0" w:line="240" w:lineRule="auto"/>
        <w:ind w:left="0" w:firstLine="0"/>
        <w:rPr>
          <w:color w:val="auto"/>
          <w:lang w:val="is-IS"/>
        </w:rPr>
      </w:pPr>
    </w:p>
    <w:p w14:paraId="03BF6728" w14:textId="77777777" w:rsidR="005F36F3" w:rsidRPr="009F7642" w:rsidRDefault="005F36F3" w:rsidP="0073217C">
      <w:pPr>
        <w:suppressAutoHyphens/>
        <w:spacing w:after="0" w:line="240" w:lineRule="auto"/>
        <w:ind w:left="0" w:firstLine="0"/>
        <w:rPr>
          <w:color w:val="auto"/>
          <w:lang w:val="is-IS"/>
        </w:rPr>
      </w:pPr>
    </w:p>
    <w:p w14:paraId="60E50F12" w14:textId="77777777" w:rsidR="006C06D6" w:rsidRPr="00176D27" w:rsidRDefault="00A8696B" w:rsidP="0073217C">
      <w:pPr>
        <w:keepNext/>
        <w:suppressAutoHyphens/>
        <w:spacing w:after="0" w:line="240" w:lineRule="auto"/>
        <w:ind w:left="567" w:hanging="567"/>
        <w:rPr>
          <w:b/>
          <w:color w:val="auto"/>
          <w:lang w:val="is-IS"/>
        </w:rPr>
      </w:pPr>
      <w:r w:rsidRPr="00176D27">
        <w:rPr>
          <w:b/>
          <w:color w:val="auto"/>
          <w:lang w:val="is-IS"/>
        </w:rPr>
        <w:t>4.</w:t>
      </w:r>
      <w:r w:rsidR="00564614" w:rsidRPr="00176D27">
        <w:rPr>
          <w:b/>
          <w:color w:val="auto"/>
          <w:lang w:val="is-IS"/>
        </w:rPr>
        <w:tab/>
        <w:t>Hugsanlegar aukaverkanir</w:t>
      </w:r>
    </w:p>
    <w:p w14:paraId="4E7FFF74" w14:textId="77777777" w:rsidR="005F36F3" w:rsidRPr="009F7642" w:rsidRDefault="005F36F3" w:rsidP="0073217C">
      <w:pPr>
        <w:keepNext/>
        <w:suppressAutoHyphens/>
        <w:spacing w:after="0" w:line="240" w:lineRule="auto"/>
        <w:ind w:left="0" w:firstLine="0"/>
        <w:rPr>
          <w:color w:val="auto"/>
          <w:lang w:val="is-IS"/>
        </w:rPr>
      </w:pPr>
    </w:p>
    <w:p w14:paraId="1F77DDC8"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Eins og við á um öll lyf getur þetta lyf valdið aukaverkunum en það gerist þó</w:t>
      </w:r>
      <w:r w:rsidR="00B62FA7" w:rsidRPr="009F7642">
        <w:rPr>
          <w:color w:val="auto"/>
          <w:lang w:val="is-IS"/>
        </w:rPr>
        <w:t xml:space="preserve"> ekki hjá öllum.</w:t>
      </w:r>
    </w:p>
    <w:p w14:paraId="548416EC" w14:textId="77777777" w:rsidR="005F36F3" w:rsidRPr="009F7642" w:rsidRDefault="005F36F3" w:rsidP="0073217C">
      <w:pPr>
        <w:suppressAutoHyphens/>
        <w:spacing w:after="0" w:line="240" w:lineRule="auto"/>
        <w:ind w:left="0" w:firstLine="0"/>
        <w:rPr>
          <w:color w:val="auto"/>
          <w:lang w:val="is-IS"/>
        </w:rPr>
      </w:pPr>
    </w:p>
    <w:p w14:paraId="6A7050B2"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Látið lækninn, lyfjafræðing eða hjúkrunarfræðinginn vita um allar aukaverkanir. Þetta gildir einnig um aukaverkanir sem ekki er minnst á í þessum fylgiseðli.</w:t>
      </w:r>
    </w:p>
    <w:p w14:paraId="71D4AB41" w14:textId="77777777" w:rsidR="005F36F3" w:rsidRPr="009F7642" w:rsidRDefault="005F36F3" w:rsidP="0073217C">
      <w:pPr>
        <w:suppressAutoHyphens/>
        <w:spacing w:after="0" w:line="240" w:lineRule="auto"/>
        <w:ind w:left="0" w:firstLine="0"/>
        <w:rPr>
          <w:color w:val="auto"/>
          <w:lang w:val="is-IS"/>
        </w:rPr>
      </w:pPr>
    </w:p>
    <w:p w14:paraId="06BAE0B7"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 xml:space="preserve">Neðangreindar aukaverkanir komu fram þegar </w:t>
      </w:r>
      <w:r w:rsidR="001764F7" w:rsidRPr="00F2274F">
        <w:rPr>
          <w:noProof/>
          <w:lang w:val="is-IS"/>
        </w:rPr>
        <w:t>MVASI</w:t>
      </w:r>
      <w:r w:rsidRPr="009F7642">
        <w:rPr>
          <w:color w:val="auto"/>
          <w:lang w:val="is-IS"/>
        </w:rPr>
        <w:t xml:space="preserve"> var gefið ásamt krabbameinslyfjameðferð. Ekki er þar með sagt að þessar aukaverkanir hafi endilega verið af völdum </w:t>
      </w:r>
      <w:r w:rsidR="001764F7" w:rsidRPr="00F2274F">
        <w:rPr>
          <w:noProof/>
          <w:lang w:val="is-IS"/>
        </w:rPr>
        <w:t>MVASI</w:t>
      </w:r>
      <w:r w:rsidRPr="009F7642">
        <w:rPr>
          <w:color w:val="auto"/>
          <w:lang w:val="is-IS"/>
        </w:rPr>
        <w:t>.</w:t>
      </w:r>
    </w:p>
    <w:p w14:paraId="4A4B88F3" w14:textId="77777777" w:rsidR="005F36F3" w:rsidRPr="009F7642" w:rsidRDefault="005F36F3" w:rsidP="0073217C">
      <w:pPr>
        <w:suppressAutoHyphens/>
        <w:spacing w:after="0" w:line="240" w:lineRule="auto"/>
        <w:ind w:left="0" w:firstLine="0"/>
        <w:rPr>
          <w:color w:val="auto"/>
          <w:lang w:val="is-IS"/>
        </w:rPr>
      </w:pPr>
    </w:p>
    <w:p w14:paraId="4ED19C28" w14:textId="77777777" w:rsidR="005F36F3" w:rsidRPr="00176D27" w:rsidRDefault="00564614" w:rsidP="0073217C">
      <w:pPr>
        <w:keepNext/>
        <w:suppressAutoHyphens/>
        <w:spacing w:after="0" w:line="240" w:lineRule="auto"/>
        <w:ind w:left="0" w:firstLine="0"/>
        <w:rPr>
          <w:b/>
          <w:color w:val="auto"/>
          <w:lang w:val="is-IS"/>
        </w:rPr>
      </w:pPr>
      <w:r w:rsidRPr="00176D27">
        <w:rPr>
          <w:b/>
          <w:color w:val="auto"/>
          <w:lang w:val="is-IS"/>
        </w:rPr>
        <w:t>Ofnæmisviðbrögð</w:t>
      </w:r>
    </w:p>
    <w:p w14:paraId="5A60881E" w14:textId="77777777" w:rsidR="001D05CD" w:rsidRPr="009F7642" w:rsidRDefault="001D05CD" w:rsidP="0073217C">
      <w:pPr>
        <w:keepNext/>
        <w:suppressAutoHyphens/>
        <w:spacing w:after="0" w:line="240" w:lineRule="auto"/>
        <w:ind w:left="0" w:firstLine="0"/>
        <w:rPr>
          <w:color w:val="auto"/>
          <w:lang w:val="is-IS"/>
        </w:rPr>
      </w:pPr>
    </w:p>
    <w:p w14:paraId="4452BBB8" w14:textId="4A0FB00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Ef þú færð ofnæmisviðbrögð skaltu gera lækninum eða heilbrigðisstarfsmanni viðvart án tafar. Einkennin geta m.a. verið öndunarerfiðleikar eða verkur </w:t>
      </w:r>
      <w:r w:rsidR="007D1F70">
        <w:rPr>
          <w:lang w:val="is-IS"/>
        </w:rPr>
        <w:t>fyrir brjósti</w:t>
      </w:r>
      <w:r w:rsidRPr="009F7642">
        <w:rPr>
          <w:color w:val="auto"/>
          <w:lang w:val="is-IS"/>
        </w:rPr>
        <w:t xml:space="preserve">. Þú gætir einnig fundið fyrir roða eða hita í húð eða útbrotum, kuldahrolli og </w:t>
      </w:r>
      <w:r w:rsidR="001D05CD" w:rsidRPr="009F7642">
        <w:rPr>
          <w:color w:val="auto"/>
          <w:lang w:val="is-IS"/>
        </w:rPr>
        <w:t>skjálfta, ógleði eða uppköstum</w:t>
      </w:r>
      <w:r w:rsidR="001C4A29">
        <w:rPr>
          <w:color w:val="auto"/>
          <w:lang w:val="is-IS"/>
        </w:rPr>
        <w:t xml:space="preserve">, þrota, </w:t>
      </w:r>
      <w:r w:rsidR="00845621">
        <w:rPr>
          <w:color w:val="auto"/>
          <w:lang w:val="is-IS"/>
        </w:rPr>
        <w:t>yfirliðstilfinningu</w:t>
      </w:r>
      <w:r w:rsidR="00832103">
        <w:rPr>
          <w:color w:val="auto"/>
          <w:lang w:val="is-IS"/>
        </w:rPr>
        <w:t>, hröðum hjartslætti og meðvitundar</w:t>
      </w:r>
      <w:r w:rsidR="00845621">
        <w:rPr>
          <w:color w:val="auto"/>
          <w:lang w:val="is-IS"/>
        </w:rPr>
        <w:t>leysi</w:t>
      </w:r>
      <w:r w:rsidR="001D05CD" w:rsidRPr="009F7642">
        <w:rPr>
          <w:color w:val="auto"/>
          <w:lang w:val="is-IS"/>
        </w:rPr>
        <w:t>.</w:t>
      </w:r>
    </w:p>
    <w:p w14:paraId="34F84CFF" w14:textId="77777777" w:rsidR="005F36F3" w:rsidRPr="009F7642" w:rsidRDefault="005F36F3" w:rsidP="0073217C">
      <w:pPr>
        <w:suppressAutoHyphens/>
        <w:spacing w:after="0" w:line="240" w:lineRule="auto"/>
        <w:ind w:left="0" w:firstLine="0"/>
        <w:rPr>
          <w:color w:val="auto"/>
          <w:lang w:val="is-IS"/>
        </w:rPr>
      </w:pPr>
    </w:p>
    <w:p w14:paraId="34AEB398" w14:textId="77777777" w:rsidR="005F36F3" w:rsidRPr="00176D27" w:rsidRDefault="00564614" w:rsidP="0073217C">
      <w:pPr>
        <w:keepNext/>
        <w:suppressAutoHyphens/>
        <w:spacing w:after="0" w:line="240" w:lineRule="auto"/>
        <w:ind w:left="0" w:firstLine="0"/>
        <w:rPr>
          <w:b/>
          <w:color w:val="auto"/>
          <w:lang w:val="is-IS"/>
        </w:rPr>
      </w:pPr>
      <w:r w:rsidRPr="00176D27">
        <w:rPr>
          <w:b/>
          <w:color w:val="auto"/>
          <w:lang w:val="is-IS"/>
        </w:rPr>
        <w:lastRenderedPageBreak/>
        <w:t>Leitið tafarlaust aðstoðar ef einhver eftirt</w:t>
      </w:r>
      <w:r w:rsidR="001D05CD" w:rsidRPr="00176D27">
        <w:rPr>
          <w:b/>
          <w:color w:val="auto"/>
          <w:lang w:val="is-IS"/>
        </w:rPr>
        <w:t>alinna aukaverkana kemur fyrir.</w:t>
      </w:r>
    </w:p>
    <w:p w14:paraId="2D2CA9B5" w14:textId="77777777" w:rsidR="005F36F3" w:rsidRPr="009F7642" w:rsidRDefault="005F36F3" w:rsidP="0073217C">
      <w:pPr>
        <w:keepNext/>
        <w:suppressAutoHyphens/>
        <w:spacing w:after="0" w:line="240" w:lineRule="auto"/>
        <w:ind w:left="0" w:firstLine="0"/>
        <w:rPr>
          <w:color w:val="auto"/>
          <w:lang w:val="is-IS"/>
        </w:rPr>
      </w:pPr>
    </w:p>
    <w:p w14:paraId="25775647" w14:textId="56E0E2F8" w:rsidR="005F36F3" w:rsidRDefault="00564614" w:rsidP="0073217C">
      <w:pPr>
        <w:keepNext/>
        <w:suppressAutoHyphens/>
        <w:spacing w:after="0" w:line="240" w:lineRule="auto"/>
        <w:ind w:left="0" w:firstLine="0"/>
        <w:rPr>
          <w:color w:val="auto"/>
          <w:lang w:val="is-IS"/>
        </w:rPr>
      </w:pPr>
      <w:r w:rsidRPr="009F7642">
        <w:rPr>
          <w:color w:val="auto"/>
          <w:lang w:val="is-IS"/>
        </w:rPr>
        <w:t xml:space="preserve">Meðal alvarlegra aukaverkana sem geta verið </w:t>
      </w:r>
      <w:r w:rsidRPr="009F7642">
        <w:rPr>
          <w:b/>
          <w:color w:val="auto"/>
          <w:lang w:val="is-IS"/>
        </w:rPr>
        <w:t xml:space="preserve">mjög algengar </w:t>
      </w:r>
      <w:r w:rsidRPr="009F7642">
        <w:rPr>
          <w:color w:val="auto"/>
          <w:lang w:val="is-IS"/>
        </w:rPr>
        <w:t>(</w:t>
      </w:r>
      <w:r w:rsidR="006033C2">
        <w:rPr>
          <w:color w:val="auto"/>
          <w:lang w:val="is-IS"/>
        </w:rPr>
        <w:t xml:space="preserve">geta </w:t>
      </w:r>
      <w:r w:rsidR="006033C2" w:rsidRPr="009F7642">
        <w:rPr>
          <w:color w:val="auto"/>
          <w:lang w:val="is-IS"/>
        </w:rPr>
        <w:t>kom</w:t>
      </w:r>
      <w:r w:rsidR="006033C2">
        <w:rPr>
          <w:color w:val="auto"/>
          <w:lang w:val="is-IS"/>
        </w:rPr>
        <w:t>ið</w:t>
      </w:r>
      <w:r w:rsidR="006033C2" w:rsidRPr="009F7642">
        <w:rPr>
          <w:color w:val="auto"/>
          <w:lang w:val="is-IS"/>
        </w:rPr>
        <w:t xml:space="preserve"> </w:t>
      </w:r>
      <w:r w:rsidR="007D1F70" w:rsidRPr="009F7642">
        <w:rPr>
          <w:color w:val="auto"/>
          <w:lang w:val="is-IS"/>
        </w:rPr>
        <w:t>f</w:t>
      </w:r>
      <w:r w:rsidR="007D1F70">
        <w:rPr>
          <w:color w:val="auto"/>
          <w:lang w:val="is-IS"/>
        </w:rPr>
        <w:t>yrir</w:t>
      </w:r>
      <w:r w:rsidR="007D1F70" w:rsidRPr="009F7642">
        <w:rPr>
          <w:color w:val="auto"/>
          <w:lang w:val="is-IS"/>
        </w:rPr>
        <w:t xml:space="preserve"> </w:t>
      </w:r>
      <w:r w:rsidRPr="009F7642">
        <w:rPr>
          <w:color w:val="auto"/>
          <w:lang w:val="is-IS"/>
        </w:rPr>
        <w:t xml:space="preserve">hjá </w:t>
      </w:r>
      <w:r w:rsidR="001D05CD" w:rsidRPr="009F7642">
        <w:rPr>
          <w:color w:val="auto"/>
          <w:lang w:val="is-IS"/>
        </w:rPr>
        <w:t>fleiri en 1 af hverjum 10</w:t>
      </w:r>
      <w:r w:rsidR="00085430">
        <w:rPr>
          <w:color w:val="auto"/>
          <w:lang w:val="is-IS"/>
        </w:rPr>
        <w:t xml:space="preserve"> einstaklingum</w:t>
      </w:r>
      <w:r w:rsidR="001D05CD" w:rsidRPr="009F7642">
        <w:rPr>
          <w:color w:val="auto"/>
          <w:lang w:val="is-IS"/>
        </w:rPr>
        <w:t>) eru:</w:t>
      </w:r>
    </w:p>
    <w:p w14:paraId="6E35AD3E" w14:textId="77777777" w:rsidR="005F36F3" w:rsidRPr="009F7642" w:rsidRDefault="001D05CD" w:rsidP="00321CD1">
      <w:pPr>
        <w:numPr>
          <w:ilvl w:val="0"/>
          <w:numId w:val="66"/>
        </w:numPr>
        <w:suppressAutoHyphens/>
        <w:spacing w:after="0" w:line="240" w:lineRule="auto"/>
        <w:ind w:hanging="567"/>
        <w:rPr>
          <w:color w:val="auto"/>
          <w:lang w:val="is-IS"/>
        </w:rPr>
      </w:pPr>
      <w:r w:rsidRPr="009F7642">
        <w:rPr>
          <w:color w:val="auto"/>
          <w:lang w:val="is-IS"/>
        </w:rPr>
        <w:t>hár blóðþrýstingur,</w:t>
      </w:r>
    </w:p>
    <w:p w14:paraId="1C44205B" w14:textId="77777777" w:rsidR="005F36F3" w:rsidRPr="009F7642" w:rsidRDefault="00564614" w:rsidP="00321CD1">
      <w:pPr>
        <w:numPr>
          <w:ilvl w:val="0"/>
          <w:numId w:val="66"/>
        </w:numPr>
        <w:suppressAutoHyphens/>
        <w:spacing w:after="0" w:line="240" w:lineRule="auto"/>
        <w:ind w:hanging="567"/>
        <w:rPr>
          <w:color w:val="auto"/>
          <w:lang w:val="is-IS"/>
        </w:rPr>
      </w:pPr>
      <w:r w:rsidRPr="009F7642">
        <w:rPr>
          <w:color w:val="auto"/>
          <w:lang w:val="is-IS"/>
        </w:rPr>
        <w:t>doði e</w:t>
      </w:r>
      <w:r w:rsidR="001D05CD" w:rsidRPr="009F7642">
        <w:rPr>
          <w:color w:val="auto"/>
          <w:lang w:val="is-IS"/>
        </w:rPr>
        <w:t>ða náladofi í höndum eða fótum,</w:t>
      </w:r>
    </w:p>
    <w:p w14:paraId="7C9A0E35" w14:textId="77777777" w:rsidR="005F36F3" w:rsidRPr="009F7642" w:rsidRDefault="00564614" w:rsidP="00321CD1">
      <w:pPr>
        <w:numPr>
          <w:ilvl w:val="0"/>
          <w:numId w:val="66"/>
        </w:numPr>
        <w:suppressAutoHyphens/>
        <w:spacing w:after="0" w:line="240" w:lineRule="auto"/>
        <w:ind w:hanging="567"/>
        <w:rPr>
          <w:color w:val="auto"/>
          <w:lang w:val="is-IS"/>
        </w:rPr>
      </w:pPr>
      <w:r w:rsidRPr="009F7642">
        <w:rPr>
          <w:color w:val="auto"/>
          <w:lang w:val="is-IS"/>
        </w:rPr>
        <w:t>fækkun frumna í blóði, þar á meðal hvítra blóðkorna sem hjálpa við að vinna á sýkingum (þessu getur fylgt hiti) og frumna sem hjálpa</w:t>
      </w:r>
      <w:r w:rsidR="001D05CD" w:rsidRPr="009F7642">
        <w:rPr>
          <w:color w:val="auto"/>
          <w:lang w:val="is-IS"/>
        </w:rPr>
        <w:t xml:space="preserve"> til við storknun blóðsins,</w:t>
      </w:r>
    </w:p>
    <w:p w14:paraId="3D200E93" w14:textId="77777777" w:rsidR="005F36F3" w:rsidRPr="009F7642" w:rsidRDefault="00564614" w:rsidP="00321CD1">
      <w:pPr>
        <w:numPr>
          <w:ilvl w:val="0"/>
          <w:numId w:val="66"/>
        </w:numPr>
        <w:suppressAutoHyphens/>
        <w:spacing w:after="0" w:line="240" w:lineRule="auto"/>
        <w:ind w:hanging="567"/>
        <w:rPr>
          <w:color w:val="auto"/>
          <w:lang w:val="is-IS"/>
        </w:rPr>
      </w:pPr>
      <w:r w:rsidRPr="009F7642">
        <w:rPr>
          <w:color w:val="auto"/>
          <w:lang w:val="is-IS"/>
        </w:rPr>
        <w:t>þróttl</w:t>
      </w:r>
      <w:r w:rsidR="001D05CD" w:rsidRPr="009F7642">
        <w:rPr>
          <w:color w:val="auto"/>
          <w:lang w:val="is-IS"/>
        </w:rPr>
        <w:t>eysis- og máttleysistilfinning,</w:t>
      </w:r>
    </w:p>
    <w:p w14:paraId="11DBF90B" w14:textId="77777777" w:rsidR="005F36F3" w:rsidRPr="009F7642" w:rsidRDefault="001D05CD" w:rsidP="00321CD1">
      <w:pPr>
        <w:numPr>
          <w:ilvl w:val="0"/>
          <w:numId w:val="66"/>
        </w:numPr>
        <w:suppressAutoHyphens/>
        <w:spacing w:after="0" w:line="240" w:lineRule="auto"/>
        <w:ind w:hanging="567"/>
        <w:rPr>
          <w:color w:val="auto"/>
          <w:lang w:val="is-IS"/>
        </w:rPr>
      </w:pPr>
      <w:r w:rsidRPr="009F7642">
        <w:rPr>
          <w:color w:val="auto"/>
          <w:lang w:val="is-IS"/>
        </w:rPr>
        <w:t>þreyta,</w:t>
      </w:r>
    </w:p>
    <w:p w14:paraId="3EEDD418" w14:textId="77777777" w:rsidR="005F36F3" w:rsidRPr="009F7642" w:rsidRDefault="00564614" w:rsidP="00321CD1">
      <w:pPr>
        <w:numPr>
          <w:ilvl w:val="0"/>
          <w:numId w:val="66"/>
        </w:numPr>
        <w:suppressAutoHyphens/>
        <w:spacing w:after="0" w:line="240" w:lineRule="auto"/>
        <w:ind w:hanging="567"/>
        <w:rPr>
          <w:color w:val="auto"/>
          <w:lang w:val="is-IS"/>
        </w:rPr>
      </w:pPr>
      <w:r w:rsidRPr="009F7642">
        <w:rPr>
          <w:color w:val="auto"/>
          <w:lang w:val="is-IS"/>
        </w:rPr>
        <w:t>niðurgangur,</w:t>
      </w:r>
      <w:r w:rsidR="001D05CD" w:rsidRPr="009F7642">
        <w:rPr>
          <w:color w:val="auto"/>
          <w:lang w:val="is-IS"/>
        </w:rPr>
        <w:t xml:space="preserve"> ógleði, uppköst og kviðverkir.</w:t>
      </w:r>
    </w:p>
    <w:p w14:paraId="44EE5FEE" w14:textId="77777777" w:rsidR="005F36F3" w:rsidRPr="009F7642" w:rsidRDefault="005F36F3" w:rsidP="0073217C">
      <w:pPr>
        <w:suppressAutoHyphens/>
        <w:spacing w:after="0" w:line="240" w:lineRule="auto"/>
        <w:ind w:left="0" w:firstLine="0"/>
        <w:rPr>
          <w:color w:val="auto"/>
          <w:lang w:val="is-IS"/>
        </w:rPr>
      </w:pPr>
    </w:p>
    <w:p w14:paraId="07E304AE" w14:textId="0C70298D" w:rsidR="006C06D6" w:rsidRPr="009F7642" w:rsidRDefault="00564614" w:rsidP="0073217C">
      <w:pPr>
        <w:keepNext/>
        <w:suppressAutoHyphens/>
        <w:spacing w:after="0" w:line="240" w:lineRule="auto"/>
        <w:ind w:left="0" w:firstLine="0"/>
        <w:rPr>
          <w:color w:val="auto"/>
          <w:lang w:val="is-IS"/>
        </w:rPr>
      </w:pPr>
      <w:r w:rsidRPr="009F7642">
        <w:rPr>
          <w:color w:val="auto"/>
          <w:lang w:val="is-IS"/>
        </w:rPr>
        <w:t xml:space="preserve">Meðal alvarlegra aukaverkana sem geta verið </w:t>
      </w:r>
      <w:r w:rsidRPr="009F7642">
        <w:rPr>
          <w:b/>
          <w:color w:val="auto"/>
          <w:lang w:val="is-IS"/>
        </w:rPr>
        <w:t xml:space="preserve">algengar </w:t>
      </w:r>
      <w:r w:rsidRPr="009F7642">
        <w:rPr>
          <w:color w:val="auto"/>
          <w:lang w:val="is-IS"/>
        </w:rPr>
        <w:t>(</w:t>
      </w:r>
      <w:r w:rsidR="00ED1E79">
        <w:rPr>
          <w:color w:val="auto"/>
          <w:lang w:val="is-IS"/>
        </w:rPr>
        <w:t>geta komið</w:t>
      </w:r>
      <w:r w:rsidRPr="009F7642">
        <w:rPr>
          <w:color w:val="auto"/>
          <w:lang w:val="is-IS"/>
        </w:rPr>
        <w:t xml:space="preserve"> </w:t>
      </w:r>
      <w:r w:rsidR="007D1F70" w:rsidRPr="009F7642">
        <w:rPr>
          <w:color w:val="auto"/>
          <w:lang w:val="is-IS"/>
        </w:rPr>
        <w:t>f</w:t>
      </w:r>
      <w:r w:rsidR="007D1F70">
        <w:rPr>
          <w:color w:val="auto"/>
          <w:lang w:val="is-IS"/>
        </w:rPr>
        <w:t>yrir</w:t>
      </w:r>
      <w:r w:rsidR="007D1F70" w:rsidRPr="009F7642">
        <w:rPr>
          <w:color w:val="auto"/>
          <w:lang w:val="is-IS"/>
        </w:rPr>
        <w:t xml:space="preserve"> </w:t>
      </w:r>
      <w:r w:rsidRPr="009F7642">
        <w:rPr>
          <w:color w:val="auto"/>
          <w:lang w:val="is-IS"/>
        </w:rPr>
        <w:t xml:space="preserve">hjá </w:t>
      </w:r>
      <w:r w:rsidR="00085430">
        <w:rPr>
          <w:color w:val="auto"/>
          <w:lang w:val="is-IS"/>
        </w:rPr>
        <w:t xml:space="preserve">allt að </w:t>
      </w:r>
      <w:r w:rsidRPr="009F7642">
        <w:rPr>
          <w:color w:val="auto"/>
          <w:lang w:val="is-IS"/>
        </w:rPr>
        <w:t>1 af hverjum 10</w:t>
      </w:r>
      <w:r w:rsidR="00ED1E79">
        <w:rPr>
          <w:color w:val="auto"/>
          <w:lang w:val="is-IS"/>
        </w:rPr>
        <w:t xml:space="preserve"> </w:t>
      </w:r>
      <w:r w:rsidR="00085430">
        <w:rPr>
          <w:color w:val="auto"/>
          <w:lang w:val="is-IS"/>
        </w:rPr>
        <w:t>einstaklingum</w:t>
      </w:r>
      <w:r w:rsidRPr="009F7642">
        <w:rPr>
          <w:color w:val="auto"/>
          <w:lang w:val="is-IS"/>
        </w:rPr>
        <w:t>) eru:</w:t>
      </w:r>
    </w:p>
    <w:p w14:paraId="2B374B2C" w14:textId="77777777" w:rsidR="005F36F3" w:rsidRPr="009F7642" w:rsidRDefault="001D05CD" w:rsidP="00321CD1">
      <w:pPr>
        <w:numPr>
          <w:ilvl w:val="0"/>
          <w:numId w:val="67"/>
        </w:numPr>
        <w:suppressAutoHyphens/>
        <w:spacing w:after="0" w:line="240" w:lineRule="auto"/>
        <w:ind w:hanging="567"/>
        <w:rPr>
          <w:color w:val="auto"/>
          <w:lang w:val="is-IS"/>
        </w:rPr>
      </w:pPr>
      <w:r w:rsidRPr="009F7642">
        <w:rPr>
          <w:color w:val="auto"/>
          <w:lang w:val="is-IS"/>
        </w:rPr>
        <w:t>garnarof,</w:t>
      </w:r>
    </w:p>
    <w:p w14:paraId="034BA729"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blæðing, að meðtalinni blæðingu í lungum hjá sjúklingum með lungnakrabbame</w:t>
      </w:r>
      <w:r w:rsidR="001D05CD" w:rsidRPr="009F7642">
        <w:rPr>
          <w:color w:val="auto"/>
          <w:lang w:val="is-IS"/>
        </w:rPr>
        <w:t>in sem er ekki af smáfrumugerð,</w:t>
      </w:r>
    </w:p>
    <w:p w14:paraId="08589103"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 xml:space="preserve">stífla </w:t>
      </w:r>
      <w:r w:rsidR="001D05CD" w:rsidRPr="009F7642">
        <w:rPr>
          <w:color w:val="auto"/>
          <w:lang w:val="is-IS"/>
        </w:rPr>
        <w:t>í slagæðum af völdum blóðtappa,</w:t>
      </w:r>
    </w:p>
    <w:p w14:paraId="48BFCDA6" w14:textId="77777777" w:rsidR="00632EC1"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stífla</w:t>
      </w:r>
      <w:r w:rsidR="001D05CD" w:rsidRPr="009F7642">
        <w:rPr>
          <w:color w:val="auto"/>
          <w:lang w:val="is-IS"/>
        </w:rPr>
        <w:t xml:space="preserve"> í bláæðum af völdum blóðtappa,</w:t>
      </w:r>
    </w:p>
    <w:p w14:paraId="01413490"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 xml:space="preserve">stífla í </w:t>
      </w:r>
      <w:r w:rsidR="001D05CD" w:rsidRPr="009F7642">
        <w:rPr>
          <w:color w:val="auto"/>
          <w:lang w:val="is-IS"/>
        </w:rPr>
        <w:t>lungnaæðum af völdum blóðtappa</w:t>
      </w:r>
      <w:r w:rsidR="006D4E97">
        <w:rPr>
          <w:color w:val="auto"/>
          <w:lang w:val="is-IS"/>
        </w:rPr>
        <w:t>,</w:t>
      </w:r>
    </w:p>
    <w:p w14:paraId="3D8A25A5"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 xml:space="preserve">stífla í bláæðum í </w:t>
      </w:r>
      <w:r w:rsidR="001D05CD" w:rsidRPr="009F7642">
        <w:rPr>
          <w:color w:val="auto"/>
          <w:lang w:val="is-IS"/>
        </w:rPr>
        <w:t>fótleggjum af völdum blóðtappa,</w:t>
      </w:r>
    </w:p>
    <w:p w14:paraId="77D300A8" w14:textId="77777777" w:rsidR="005F36F3" w:rsidRPr="009F7642" w:rsidRDefault="001D05CD" w:rsidP="00321CD1">
      <w:pPr>
        <w:numPr>
          <w:ilvl w:val="0"/>
          <w:numId w:val="67"/>
        </w:numPr>
        <w:suppressAutoHyphens/>
        <w:spacing w:after="0" w:line="240" w:lineRule="auto"/>
        <w:ind w:hanging="567"/>
        <w:rPr>
          <w:color w:val="auto"/>
          <w:lang w:val="is-IS"/>
        </w:rPr>
      </w:pPr>
      <w:r w:rsidRPr="009F7642">
        <w:rPr>
          <w:color w:val="auto"/>
          <w:lang w:val="is-IS"/>
        </w:rPr>
        <w:t>hjartabilun,</w:t>
      </w:r>
    </w:p>
    <w:p w14:paraId="74CD30E7" w14:textId="77777777" w:rsidR="00055AA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erfiðleikar við að fá sár til að gróa eftir skurðaðgerð,</w:t>
      </w:r>
    </w:p>
    <w:p w14:paraId="7EDA0221" w14:textId="77777777" w:rsidR="006D6EB1" w:rsidRDefault="00055AA3" w:rsidP="00321CD1">
      <w:pPr>
        <w:numPr>
          <w:ilvl w:val="0"/>
          <w:numId w:val="67"/>
        </w:numPr>
        <w:suppressAutoHyphens/>
        <w:spacing w:after="0" w:line="240" w:lineRule="auto"/>
        <w:ind w:hanging="567"/>
        <w:rPr>
          <w:color w:val="auto"/>
          <w:lang w:val="is-IS"/>
        </w:rPr>
      </w:pPr>
      <w:r w:rsidRPr="009F7642">
        <w:rPr>
          <w:color w:val="auto"/>
          <w:lang w:val="is-IS"/>
        </w:rPr>
        <w:t>roði, flögnun, eymsli, verkur eða blöðrumyndun á fingrum eða fótum</w:t>
      </w:r>
      <w:r w:rsidR="006D6EB1">
        <w:rPr>
          <w:color w:val="auto"/>
          <w:lang w:val="is-IS"/>
        </w:rPr>
        <w:t>,</w:t>
      </w:r>
      <w:r w:rsidRPr="009F7642">
        <w:rPr>
          <w:color w:val="auto"/>
          <w:lang w:val="is-IS"/>
        </w:rPr>
        <w:t xml:space="preserve"> </w:t>
      </w:r>
    </w:p>
    <w:p w14:paraId="0C90A1B4" w14:textId="77777777" w:rsidR="006D6EB1" w:rsidRDefault="00055AA3" w:rsidP="00321CD1">
      <w:pPr>
        <w:numPr>
          <w:ilvl w:val="0"/>
          <w:numId w:val="67"/>
        </w:numPr>
        <w:suppressAutoHyphens/>
        <w:spacing w:after="0" w:line="240" w:lineRule="auto"/>
        <w:ind w:hanging="567"/>
        <w:rPr>
          <w:color w:val="auto"/>
          <w:lang w:val="is-IS"/>
        </w:rPr>
      </w:pPr>
      <w:r w:rsidRPr="009F7642">
        <w:rPr>
          <w:color w:val="auto"/>
          <w:lang w:val="is-IS"/>
        </w:rPr>
        <w:t>fækkun rauðra</w:t>
      </w:r>
      <w:r w:rsidR="001D05CD" w:rsidRPr="009F7642">
        <w:rPr>
          <w:color w:val="auto"/>
          <w:lang w:val="is-IS"/>
        </w:rPr>
        <w:t xml:space="preserve"> blóðkorna í blóði, </w:t>
      </w:r>
    </w:p>
    <w:p w14:paraId="239837A8" w14:textId="77777777" w:rsidR="00055AA3" w:rsidRPr="009F7642" w:rsidRDefault="001D05CD" w:rsidP="00321CD1">
      <w:pPr>
        <w:numPr>
          <w:ilvl w:val="0"/>
          <w:numId w:val="67"/>
        </w:numPr>
        <w:suppressAutoHyphens/>
        <w:spacing w:after="0" w:line="240" w:lineRule="auto"/>
        <w:ind w:hanging="567"/>
        <w:rPr>
          <w:color w:val="auto"/>
          <w:lang w:val="is-IS"/>
        </w:rPr>
      </w:pPr>
      <w:r w:rsidRPr="009F7642">
        <w:rPr>
          <w:color w:val="auto"/>
          <w:lang w:val="is-IS"/>
        </w:rPr>
        <w:t>þróttleysi,</w:t>
      </w:r>
    </w:p>
    <w:p w14:paraId="219BE387"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kvi</w:t>
      </w:r>
      <w:r w:rsidR="00B62FA7" w:rsidRPr="009F7642">
        <w:rPr>
          <w:color w:val="auto"/>
          <w:lang w:val="is-IS"/>
        </w:rPr>
        <w:t>llar í maga eða meltingarvegi,</w:t>
      </w:r>
    </w:p>
    <w:p w14:paraId="74746E0F"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 xml:space="preserve">vöðvaþrautir og liðverkir, máttleysi </w:t>
      </w:r>
      <w:r w:rsidR="001D05CD" w:rsidRPr="009F7642">
        <w:rPr>
          <w:color w:val="auto"/>
          <w:lang w:val="is-IS"/>
        </w:rPr>
        <w:t>í vöðvum,</w:t>
      </w:r>
    </w:p>
    <w:p w14:paraId="31AF223F"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munnþurrkur ásamt þorst</w:t>
      </w:r>
      <w:r w:rsidR="001D05CD" w:rsidRPr="009F7642">
        <w:rPr>
          <w:color w:val="auto"/>
          <w:lang w:val="is-IS"/>
        </w:rPr>
        <w:t>a og/eða minna eða dekkra þvag,</w:t>
      </w:r>
    </w:p>
    <w:p w14:paraId="26C19AD6"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bólga í slímhúð í munni eða meltingarvegi, lungum eða loftv</w:t>
      </w:r>
      <w:r w:rsidR="001D05CD" w:rsidRPr="009F7642">
        <w:rPr>
          <w:color w:val="auto"/>
          <w:lang w:val="is-IS"/>
        </w:rPr>
        <w:t>egum, æxlunarfærum eða þvagrás,</w:t>
      </w:r>
    </w:p>
    <w:p w14:paraId="6C5DD650"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sár í munni eða vélinda, sem geta valdið v</w:t>
      </w:r>
      <w:r w:rsidR="001D05CD" w:rsidRPr="009F7642">
        <w:rPr>
          <w:color w:val="auto"/>
          <w:lang w:val="is-IS"/>
        </w:rPr>
        <w:t>erkjum og kyngingarerfiðleikum,</w:t>
      </w:r>
    </w:p>
    <w:p w14:paraId="66F39B58" w14:textId="24E89D95"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verkur, að meðtöldum höfuðverk, bakverk og verk á grind</w:t>
      </w:r>
      <w:r w:rsidR="001D05CD" w:rsidRPr="009F7642">
        <w:rPr>
          <w:color w:val="auto"/>
          <w:lang w:val="is-IS"/>
        </w:rPr>
        <w:t>arholssvæði eða endaþarmssvæði,</w:t>
      </w:r>
    </w:p>
    <w:p w14:paraId="2A9B688B" w14:textId="77777777" w:rsidR="005F36F3" w:rsidRPr="009F7642" w:rsidRDefault="00B23D0A" w:rsidP="00321CD1">
      <w:pPr>
        <w:numPr>
          <w:ilvl w:val="0"/>
          <w:numId w:val="67"/>
        </w:numPr>
        <w:suppressAutoHyphens/>
        <w:spacing w:after="0" w:line="240" w:lineRule="auto"/>
        <w:ind w:hanging="567"/>
        <w:rPr>
          <w:color w:val="auto"/>
          <w:lang w:val="is-IS"/>
        </w:rPr>
      </w:pPr>
      <w:r w:rsidRPr="009F7642">
        <w:rPr>
          <w:color w:val="auto"/>
          <w:lang w:val="is-IS"/>
        </w:rPr>
        <w:t>staðbundin uppsöfnun graftrar,</w:t>
      </w:r>
    </w:p>
    <w:p w14:paraId="270673B7"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sýking, og einkum sýking í blóði eða blöðru,</w:t>
      </w:r>
    </w:p>
    <w:p w14:paraId="3D91F771"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minnkað blóðstrey</w:t>
      </w:r>
      <w:r w:rsidR="00B23D0A" w:rsidRPr="009F7642">
        <w:rPr>
          <w:color w:val="auto"/>
          <w:lang w:val="is-IS"/>
        </w:rPr>
        <w:t>mi til heila eða heilablóðfall,</w:t>
      </w:r>
    </w:p>
    <w:p w14:paraId="23CE7A3A" w14:textId="77777777" w:rsidR="005F36F3" w:rsidRPr="009F7642" w:rsidRDefault="00B23D0A" w:rsidP="00321CD1">
      <w:pPr>
        <w:numPr>
          <w:ilvl w:val="0"/>
          <w:numId w:val="67"/>
        </w:numPr>
        <w:suppressAutoHyphens/>
        <w:spacing w:after="0" w:line="240" w:lineRule="auto"/>
        <w:ind w:hanging="567"/>
        <w:rPr>
          <w:color w:val="auto"/>
          <w:lang w:val="is-IS"/>
        </w:rPr>
      </w:pPr>
      <w:r w:rsidRPr="009F7642">
        <w:rPr>
          <w:color w:val="auto"/>
          <w:lang w:val="is-IS"/>
        </w:rPr>
        <w:t>syfja,</w:t>
      </w:r>
    </w:p>
    <w:p w14:paraId="4333C42F" w14:textId="77777777" w:rsidR="005F36F3" w:rsidRPr="009F7642" w:rsidRDefault="00B23D0A" w:rsidP="00321CD1">
      <w:pPr>
        <w:numPr>
          <w:ilvl w:val="0"/>
          <w:numId w:val="67"/>
        </w:numPr>
        <w:suppressAutoHyphens/>
        <w:spacing w:after="0" w:line="240" w:lineRule="auto"/>
        <w:ind w:hanging="567"/>
        <w:rPr>
          <w:color w:val="auto"/>
          <w:lang w:val="is-IS"/>
        </w:rPr>
      </w:pPr>
      <w:r w:rsidRPr="009F7642">
        <w:rPr>
          <w:color w:val="auto"/>
          <w:lang w:val="is-IS"/>
        </w:rPr>
        <w:t>blóðnasir,</w:t>
      </w:r>
    </w:p>
    <w:p w14:paraId="33FA12FF" w14:textId="77777777" w:rsidR="005F36F3" w:rsidRPr="009F7642" w:rsidRDefault="00B23D0A" w:rsidP="00321CD1">
      <w:pPr>
        <w:numPr>
          <w:ilvl w:val="0"/>
          <w:numId w:val="67"/>
        </w:numPr>
        <w:suppressAutoHyphens/>
        <w:spacing w:after="0" w:line="240" w:lineRule="auto"/>
        <w:ind w:hanging="567"/>
        <w:rPr>
          <w:color w:val="auto"/>
          <w:lang w:val="is-IS"/>
        </w:rPr>
      </w:pPr>
      <w:r w:rsidRPr="009F7642">
        <w:rPr>
          <w:color w:val="auto"/>
          <w:lang w:val="is-IS"/>
        </w:rPr>
        <w:t>aukinn hjartsláttur (púls),</w:t>
      </w:r>
    </w:p>
    <w:p w14:paraId="1BB784E6"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teppa í þ</w:t>
      </w:r>
      <w:r w:rsidR="00B23D0A" w:rsidRPr="009F7642">
        <w:rPr>
          <w:color w:val="auto"/>
          <w:lang w:val="is-IS"/>
        </w:rPr>
        <w:t>örmum,</w:t>
      </w:r>
    </w:p>
    <w:p w14:paraId="6A72313C"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óeðlilega</w:t>
      </w:r>
      <w:r w:rsidR="00B23D0A" w:rsidRPr="009F7642">
        <w:rPr>
          <w:color w:val="auto"/>
          <w:lang w:val="is-IS"/>
        </w:rPr>
        <w:t>r þvagprufur (prótein í þvagi),</w:t>
      </w:r>
    </w:p>
    <w:p w14:paraId="39D7C827"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mæði eða</w:t>
      </w:r>
      <w:r w:rsidR="00B23D0A" w:rsidRPr="009F7642">
        <w:rPr>
          <w:color w:val="auto"/>
          <w:lang w:val="is-IS"/>
        </w:rPr>
        <w:t xml:space="preserve"> lítið magn af súrefni í blóði,</w:t>
      </w:r>
    </w:p>
    <w:p w14:paraId="26265597" w14:textId="77777777" w:rsidR="005F36F3" w:rsidRPr="009F7642" w:rsidRDefault="00564614" w:rsidP="00321CD1">
      <w:pPr>
        <w:numPr>
          <w:ilvl w:val="0"/>
          <w:numId w:val="67"/>
        </w:numPr>
        <w:suppressAutoHyphens/>
        <w:spacing w:after="0" w:line="240" w:lineRule="auto"/>
        <w:ind w:hanging="567"/>
        <w:rPr>
          <w:color w:val="auto"/>
          <w:lang w:val="is-IS"/>
        </w:rPr>
      </w:pPr>
      <w:r w:rsidRPr="009F7642">
        <w:rPr>
          <w:color w:val="auto"/>
          <w:lang w:val="is-IS"/>
        </w:rPr>
        <w:t xml:space="preserve">sýkingar í </w:t>
      </w:r>
      <w:r w:rsidR="00B23D0A" w:rsidRPr="009F7642">
        <w:rPr>
          <w:color w:val="auto"/>
          <w:lang w:val="is-IS"/>
        </w:rPr>
        <w:t>húð eða dýpri lögum undirhúðar,</w:t>
      </w:r>
    </w:p>
    <w:p w14:paraId="27AE3808" w14:textId="0AF218B3" w:rsidR="005F36F3" w:rsidRDefault="00564614" w:rsidP="00321CD1">
      <w:pPr>
        <w:numPr>
          <w:ilvl w:val="0"/>
          <w:numId w:val="67"/>
        </w:numPr>
        <w:suppressAutoHyphens/>
        <w:spacing w:after="0" w:line="240" w:lineRule="auto"/>
        <w:ind w:hanging="567"/>
        <w:rPr>
          <w:color w:val="auto"/>
          <w:lang w:val="is-IS"/>
        </w:rPr>
      </w:pPr>
      <w:r w:rsidRPr="009F7642">
        <w:rPr>
          <w:color w:val="auto"/>
          <w:lang w:val="is-IS"/>
        </w:rPr>
        <w:t>fistlar: óeðlileg tenging sem líkist röri milli innvortis líffæra og húðar eða annarra vefja sem almennt tengjast ekki, þ.m.t. tengingar milli legganga og meltingarvegar hjá sjúkli</w:t>
      </w:r>
      <w:r w:rsidR="00B23D0A" w:rsidRPr="009F7642">
        <w:rPr>
          <w:color w:val="auto"/>
          <w:lang w:val="is-IS"/>
        </w:rPr>
        <w:t>ngum með krabbamein í leghálsi</w:t>
      </w:r>
      <w:r w:rsidR="00832103">
        <w:rPr>
          <w:color w:val="auto"/>
          <w:lang w:val="is-IS"/>
        </w:rPr>
        <w:t>,</w:t>
      </w:r>
    </w:p>
    <w:p w14:paraId="7FDD6214" w14:textId="147FB1C5" w:rsidR="007D62F1" w:rsidRPr="009F7642" w:rsidRDefault="007D62F1" w:rsidP="007D62F1">
      <w:pPr>
        <w:numPr>
          <w:ilvl w:val="0"/>
          <w:numId w:val="67"/>
        </w:numPr>
        <w:suppressAutoHyphens/>
        <w:spacing w:after="0" w:line="240" w:lineRule="auto"/>
        <w:ind w:hanging="567"/>
        <w:rPr>
          <w:color w:val="auto"/>
          <w:lang w:val="is-IS"/>
        </w:rPr>
      </w:pPr>
      <w:r w:rsidRPr="009F7642">
        <w:rPr>
          <w:color w:val="auto"/>
          <w:lang w:val="is-IS"/>
        </w:rPr>
        <w:t>ofnæmisviðbrögð (meðal einkenna geta verið öndunarerfiðleikar, roði í andliti, útbrot, lágur blóðþrýstingur eða hár blóðþrýstingur, lítil súrefnismettun í blóði, brjóstverkur eða ógleði/uppköst)</w:t>
      </w:r>
      <w:r w:rsidR="00EF6528">
        <w:rPr>
          <w:color w:val="auto"/>
          <w:lang w:val="is-IS"/>
        </w:rPr>
        <w:t>.</w:t>
      </w:r>
    </w:p>
    <w:p w14:paraId="61A84AE5" w14:textId="77777777" w:rsidR="005F36F3" w:rsidRPr="009F7642" w:rsidRDefault="005F36F3" w:rsidP="0073217C">
      <w:pPr>
        <w:suppressAutoHyphens/>
        <w:spacing w:after="0" w:line="240" w:lineRule="auto"/>
        <w:ind w:left="0" w:firstLine="0"/>
        <w:rPr>
          <w:color w:val="auto"/>
          <w:lang w:val="is-IS"/>
        </w:rPr>
      </w:pPr>
    </w:p>
    <w:p w14:paraId="483CB25E" w14:textId="01D37C88" w:rsidR="00832103" w:rsidRPr="00215918" w:rsidRDefault="00832103" w:rsidP="00832103">
      <w:pPr>
        <w:spacing w:line="240" w:lineRule="auto"/>
        <w:rPr>
          <w:noProof/>
          <w:lang w:val="is-IS"/>
        </w:rPr>
      </w:pPr>
      <w:r w:rsidRPr="00215918">
        <w:rPr>
          <w:noProof/>
          <w:lang w:val="is-IS"/>
        </w:rPr>
        <w:t xml:space="preserve">Meðal alvarlegra aukaverkana sem geta verið </w:t>
      </w:r>
      <w:r w:rsidRPr="00215918">
        <w:rPr>
          <w:b/>
          <w:noProof/>
          <w:lang w:val="is-IS"/>
        </w:rPr>
        <w:t>mjög sjaldgæfar</w:t>
      </w:r>
      <w:r w:rsidRPr="00215918">
        <w:rPr>
          <w:noProof/>
          <w:lang w:val="is-IS"/>
        </w:rPr>
        <w:t xml:space="preserve"> (</w:t>
      </w:r>
      <w:r>
        <w:rPr>
          <w:color w:val="auto"/>
          <w:lang w:val="is-IS"/>
        </w:rPr>
        <w:t>geta komið</w:t>
      </w:r>
      <w:r w:rsidRPr="009F7642">
        <w:rPr>
          <w:color w:val="auto"/>
          <w:lang w:val="is-IS"/>
        </w:rPr>
        <w:t xml:space="preserve"> f</w:t>
      </w:r>
      <w:r w:rsidR="004D6C47">
        <w:rPr>
          <w:color w:val="auto"/>
          <w:lang w:val="is-IS"/>
        </w:rPr>
        <w:t>yrir</w:t>
      </w:r>
      <w:r w:rsidRPr="009F7642">
        <w:rPr>
          <w:color w:val="auto"/>
          <w:lang w:val="is-IS"/>
        </w:rPr>
        <w:t xml:space="preserve"> hjá</w:t>
      </w:r>
      <w:r>
        <w:rPr>
          <w:color w:val="auto"/>
          <w:lang w:val="is-IS"/>
        </w:rPr>
        <w:t> </w:t>
      </w:r>
      <w:r w:rsidR="00656374">
        <w:rPr>
          <w:lang w:val="is-IS"/>
        </w:rPr>
        <w:t xml:space="preserve">allt að </w:t>
      </w:r>
      <w:r w:rsidRPr="009F7642">
        <w:rPr>
          <w:color w:val="auto"/>
          <w:lang w:val="is-IS"/>
        </w:rPr>
        <w:t>1 af hverjum 1</w:t>
      </w:r>
      <w:r>
        <w:rPr>
          <w:color w:val="auto"/>
          <w:lang w:val="is-IS"/>
        </w:rPr>
        <w:t>.</w:t>
      </w:r>
      <w:r w:rsidRPr="009F7642">
        <w:rPr>
          <w:color w:val="auto"/>
          <w:lang w:val="is-IS"/>
        </w:rPr>
        <w:t>0</w:t>
      </w:r>
      <w:r>
        <w:rPr>
          <w:color w:val="auto"/>
          <w:lang w:val="is-IS"/>
        </w:rPr>
        <w:t>00 einstaklingum</w:t>
      </w:r>
      <w:r w:rsidRPr="00215918">
        <w:rPr>
          <w:noProof/>
          <w:lang w:val="is-IS"/>
        </w:rPr>
        <w:t>) eru:</w:t>
      </w:r>
    </w:p>
    <w:p w14:paraId="5B9395A4" w14:textId="177EB325" w:rsidR="00832103" w:rsidRPr="00215918" w:rsidRDefault="00832103" w:rsidP="00832103">
      <w:pPr>
        <w:spacing w:line="240" w:lineRule="auto"/>
        <w:ind w:left="567" w:hanging="567"/>
        <w:rPr>
          <w:noProof/>
          <w:lang w:val="is-IS"/>
        </w:rPr>
      </w:pPr>
      <w:r w:rsidRPr="00215918">
        <w:rPr>
          <w:noProof/>
          <w:lang w:val="is-IS"/>
        </w:rPr>
        <w:t>•</w:t>
      </w:r>
      <w:r w:rsidRPr="00215918">
        <w:rPr>
          <w:noProof/>
          <w:lang w:val="is-IS"/>
        </w:rPr>
        <w:tab/>
        <w:t xml:space="preserve">skyndileg, alvarleg ofnæmisviðbrögð með öndunarerfiðleikum, þrota, </w:t>
      </w:r>
      <w:r w:rsidR="004D6C47" w:rsidRPr="00215918">
        <w:rPr>
          <w:noProof/>
          <w:lang w:val="is-IS"/>
        </w:rPr>
        <w:t>yfirliðstilfinningu</w:t>
      </w:r>
      <w:r w:rsidRPr="00215918">
        <w:rPr>
          <w:noProof/>
          <w:lang w:val="is-IS"/>
        </w:rPr>
        <w:t>, hröðum hjartslætti, svit</w:t>
      </w:r>
      <w:r w:rsidR="004D6C47" w:rsidRPr="00215918">
        <w:rPr>
          <w:noProof/>
          <w:lang w:val="is-IS"/>
        </w:rPr>
        <w:t>amyndun</w:t>
      </w:r>
      <w:r w:rsidRPr="00215918">
        <w:rPr>
          <w:noProof/>
          <w:lang w:val="is-IS"/>
        </w:rPr>
        <w:t xml:space="preserve"> og meðvitundar</w:t>
      </w:r>
      <w:r w:rsidR="004D6C47" w:rsidRPr="00215918">
        <w:rPr>
          <w:noProof/>
          <w:lang w:val="is-IS"/>
        </w:rPr>
        <w:t>leysi</w:t>
      </w:r>
      <w:r w:rsidRPr="00215918">
        <w:rPr>
          <w:noProof/>
          <w:lang w:val="is-IS"/>
        </w:rPr>
        <w:t xml:space="preserve"> (</w:t>
      </w:r>
      <w:r w:rsidR="004D6C47" w:rsidRPr="00215918">
        <w:rPr>
          <w:noProof/>
          <w:lang w:val="is-IS"/>
        </w:rPr>
        <w:t>bráða</w:t>
      </w:r>
      <w:r w:rsidRPr="00215918">
        <w:rPr>
          <w:noProof/>
          <w:lang w:val="is-IS"/>
        </w:rPr>
        <w:t>ofnæmislost).</w:t>
      </w:r>
    </w:p>
    <w:p w14:paraId="47E09815" w14:textId="77777777" w:rsidR="00832103" w:rsidRPr="00215918" w:rsidRDefault="00832103" w:rsidP="00832103">
      <w:pPr>
        <w:spacing w:line="240" w:lineRule="auto"/>
        <w:ind w:left="567" w:hanging="567"/>
        <w:rPr>
          <w:noProof/>
          <w:lang w:val="is-IS"/>
        </w:rPr>
      </w:pPr>
    </w:p>
    <w:p w14:paraId="104E11AE" w14:textId="77777777" w:rsidR="005F36F3" w:rsidRPr="009F7642" w:rsidRDefault="00564614" w:rsidP="0073217C">
      <w:pPr>
        <w:keepNext/>
        <w:suppressAutoHyphens/>
        <w:spacing w:after="0" w:line="240" w:lineRule="auto"/>
        <w:ind w:left="0" w:firstLine="0"/>
        <w:rPr>
          <w:color w:val="auto"/>
          <w:lang w:val="is-IS"/>
        </w:rPr>
      </w:pPr>
      <w:r w:rsidRPr="009F7642">
        <w:rPr>
          <w:color w:val="auto"/>
          <w:lang w:val="is-IS"/>
        </w:rPr>
        <w:lastRenderedPageBreak/>
        <w:t xml:space="preserve">Meðal aukaverkana sem geta verið alvarlegar en </w:t>
      </w:r>
      <w:r w:rsidRPr="009F7642">
        <w:rPr>
          <w:b/>
          <w:color w:val="auto"/>
          <w:lang w:val="is-IS"/>
        </w:rPr>
        <w:t>tíðni er ekki þekkt</w:t>
      </w:r>
      <w:r w:rsidRPr="009F7642">
        <w:rPr>
          <w:color w:val="auto"/>
          <w:lang w:val="is-IS"/>
        </w:rPr>
        <w:t xml:space="preserve"> (ekki er hægt að áætla tíðni út </w:t>
      </w:r>
      <w:r w:rsidR="00B23D0A" w:rsidRPr="009F7642">
        <w:rPr>
          <w:color w:val="auto"/>
          <w:lang w:val="is-IS"/>
        </w:rPr>
        <w:t>frá fyrirliggjandi gögnum) eru:</w:t>
      </w:r>
    </w:p>
    <w:p w14:paraId="1E08F590" w14:textId="77777777" w:rsidR="005F36F3" w:rsidRPr="009F7642" w:rsidRDefault="00564614" w:rsidP="00321CD1">
      <w:pPr>
        <w:numPr>
          <w:ilvl w:val="0"/>
          <w:numId w:val="68"/>
        </w:numPr>
        <w:suppressAutoHyphens/>
        <w:spacing w:after="0" w:line="240" w:lineRule="auto"/>
        <w:ind w:hanging="567"/>
        <w:rPr>
          <w:color w:val="auto"/>
          <w:lang w:val="is-IS"/>
        </w:rPr>
      </w:pPr>
      <w:r w:rsidRPr="009F7642">
        <w:rPr>
          <w:color w:val="auto"/>
          <w:lang w:val="is-IS"/>
        </w:rPr>
        <w:t>alvarleg sýking í húð eða dýpri vefjalögum undir húð, einkum ef meltingarvegur hefur rofnað eða ef erfiðleikar hafa v</w:t>
      </w:r>
      <w:r w:rsidR="00B23D0A" w:rsidRPr="009F7642">
        <w:rPr>
          <w:color w:val="auto"/>
          <w:lang w:val="is-IS"/>
        </w:rPr>
        <w:t>erið við að fá sár til að gróa,</w:t>
      </w:r>
    </w:p>
    <w:p w14:paraId="0BF52955" w14:textId="77777777" w:rsidR="00CC082C" w:rsidRPr="00832103" w:rsidRDefault="00564614" w:rsidP="00832103">
      <w:pPr>
        <w:numPr>
          <w:ilvl w:val="0"/>
          <w:numId w:val="68"/>
        </w:numPr>
        <w:suppressAutoHyphens/>
        <w:spacing w:after="0" w:line="240" w:lineRule="auto"/>
        <w:ind w:hanging="567"/>
        <w:rPr>
          <w:color w:val="auto"/>
          <w:lang w:val="is-IS"/>
        </w:rPr>
      </w:pPr>
      <w:r w:rsidRPr="00832103">
        <w:rPr>
          <w:color w:val="auto"/>
          <w:lang w:val="is-IS"/>
        </w:rPr>
        <w:t xml:space="preserve">skert frjósemi hjá konum (sjá frekar í málsgreinunum fyrir </w:t>
      </w:r>
      <w:r w:rsidR="00B23D0A" w:rsidRPr="00832103">
        <w:rPr>
          <w:color w:val="auto"/>
          <w:lang w:val="is-IS"/>
        </w:rPr>
        <w:t>neðan upptalningu aukaverkana),</w:t>
      </w:r>
    </w:p>
    <w:p w14:paraId="573F531B" w14:textId="2B41D407" w:rsidR="005F36F3" w:rsidRPr="00F2274F" w:rsidRDefault="00564614" w:rsidP="00321CD1">
      <w:pPr>
        <w:numPr>
          <w:ilvl w:val="0"/>
          <w:numId w:val="68"/>
        </w:numPr>
        <w:suppressAutoHyphens/>
        <w:spacing w:after="0" w:line="240" w:lineRule="auto"/>
        <w:ind w:hanging="567"/>
        <w:rPr>
          <w:color w:val="auto"/>
          <w:lang w:val="is-IS"/>
        </w:rPr>
      </w:pPr>
      <w:r w:rsidRPr="000120DA">
        <w:rPr>
          <w:color w:val="auto"/>
          <w:lang w:val="is-IS"/>
        </w:rPr>
        <w:t>heilakvilli,</w:t>
      </w:r>
      <w:r w:rsidRPr="008C1CE8">
        <w:rPr>
          <w:color w:val="auto"/>
          <w:lang w:val="is-IS"/>
        </w:rPr>
        <w:t xml:space="preserve"> meðal einkenna eru flog (kast), höfuðverku</w:t>
      </w:r>
      <w:r w:rsidR="00B23D0A" w:rsidRPr="00F2274F">
        <w:rPr>
          <w:color w:val="auto"/>
          <w:lang w:val="is-IS"/>
        </w:rPr>
        <w:t>r, ringlun og breytingar á sjón</w:t>
      </w:r>
      <w:r w:rsidR="00010ED8" w:rsidRPr="00F2274F">
        <w:rPr>
          <w:color w:val="auto"/>
          <w:lang w:val="is-IS"/>
        </w:rPr>
        <w:t>,</w:t>
      </w:r>
      <w:r w:rsidR="00CC082C">
        <w:rPr>
          <w:color w:val="auto"/>
          <w:lang w:val="is-IS"/>
        </w:rPr>
        <w:t> </w:t>
      </w:r>
      <w:r w:rsidRPr="008C1CE8">
        <w:rPr>
          <w:color w:val="auto"/>
          <w:lang w:val="is-IS"/>
        </w:rPr>
        <w:t xml:space="preserve">(afturkræfur aftari heilakvilli, </w:t>
      </w:r>
      <w:r w:rsidR="00F94A97">
        <w:rPr>
          <w:color w:val="auto"/>
          <w:lang w:val="is-IS"/>
        </w:rPr>
        <w:t xml:space="preserve">e. </w:t>
      </w:r>
      <w:r w:rsidR="00F94A97" w:rsidRPr="007566FC">
        <w:rPr>
          <w:i/>
          <w:color w:val="auto"/>
          <w:lang w:val="is-IS"/>
        </w:rPr>
        <w:t>p</w:t>
      </w:r>
      <w:r w:rsidRPr="007566FC">
        <w:rPr>
          <w:i/>
          <w:color w:val="auto"/>
          <w:lang w:val="is-IS"/>
        </w:rPr>
        <w:t xml:space="preserve">osterior </w:t>
      </w:r>
      <w:r w:rsidR="00F94A97" w:rsidRPr="007566FC">
        <w:rPr>
          <w:i/>
          <w:color w:val="auto"/>
          <w:lang w:val="is-IS"/>
        </w:rPr>
        <w:t>r</w:t>
      </w:r>
      <w:r w:rsidRPr="007566FC">
        <w:rPr>
          <w:i/>
          <w:color w:val="auto"/>
          <w:lang w:val="is-IS"/>
        </w:rPr>
        <w:t xml:space="preserve">eversible </w:t>
      </w:r>
      <w:r w:rsidR="00F94A97" w:rsidRPr="007566FC">
        <w:rPr>
          <w:i/>
          <w:color w:val="auto"/>
          <w:lang w:val="is-IS"/>
        </w:rPr>
        <w:t>e</w:t>
      </w:r>
      <w:r w:rsidR="00B23D0A" w:rsidRPr="007566FC">
        <w:rPr>
          <w:i/>
          <w:color w:val="auto"/>
          <w:lang w:val="is-IS"/>
        </w:rPr>
        <w:t xml:space="preserve">ncephalopathy </w:t>
      </w:r>
      <w:r w:rsidR="00F94A97" w:rsidRPr="007566FC">
        <w:rPr>
          <w:i/>
          <w:color w:val="auto"/>
          <w:lang w:val="is-IS"/>
        </w:rPr>
        <w:t>s</w:t>
      </w:r>
      <w:r w:rsidR="00B23D0A" w:rsidRPr="007566FC">
        <w:rPr>
          <w:i/>
          <w:color w:val="auto"/>
          <w:lang w:val="is-IS"/>
        </w:rPr>
        <w:t>yndrome</w:t>
      </w:r>
      <w:r w:rsidR="00B23D0A" w:rsidRPr="00F2274F">
        <w:rPr>
          <w:color w:val="auto"/>
          <w:lang w:val="is-IS"/>
        </w:rPr>
        <w:t xml:space="preserve"> (PRES))</w:t>
      </w:r>
      <w:r w:rsidR="00010ED8" w:rsidRPr="00F2274F">
        <w:rPr>
          <w:color w:val="auto"/>
          <w:lang w:val="is-IS"/>
        </w:rPr>
        <w:t>,</w:t>
      </w:r>
    </w:p>
    <w:p w14:paraId="3364199C" w14:textId="77777777" w:rsidR="005F36F3" w:rsidRPr="009F7642" w:rsidRDefault="00564614" w:rsidP="00321CD1">
      <w:pPr>
        <w:numPr>
          <w:ilvl w:val="0"/>
          <w:numId w:val="68"/>
        </w:numPr>
        <w:suppressAutoHyphens/>
        <w:spacing w:after="0" w:line="240" w:lineRule="auto"/>
        <w:ind w:hanging="567"/>
        <w:rPr>
          <w:color w:val="auto"/>
          <w:lang w:val="is-IS"/>
        </w:rPr>
      </w:pPr>
      <w:r w:rsidRPr="009F7642">
        <w:rPr>
          <w:color w:val="auto"/>
          <w:lang w:val="is-IS"/>
        </w:rPr>
        <w:t>einkenni sem benda til breytinga á eðlilegri heilastarfsemi (höfuðverkur, sjóntruflanir, rugl eða f</w:t>
      </w:r>
      <w:r w:rsidR="00B23D0A" w:rsidRPr="009F7642">
        <w:rPr>
          <w:color w:val="auto"/>
          <w:lang w:val="is-IS"/>
        </w:rPr>
        <w:t>log), ásamt háum blóðþrýstingi,</w:t>
      </w:r>
    </w:p>
    <w:p w14:paraId="2237579B" w14:textId="77777777" w:rsidR="005F36F3" w:rsidRPr="009F7642" w:rsidRDefault="00B23D0A" w:rsidP="00321CD1">
      <w:pPr>
        <w:numPr>
          <w:ilvl w:val="0"/>
          <w:numId w:val="68"/>
        </w:numPr>
        <w:suppressAutoHyphens/>
        <w:spacing w:after="0" w:line="240" w:lineRule="auto"/>
        <w:ind w:hanging="567"/>
        <w:rPr>
          <w:color w:val="auto"/>
          <w:lang w:val="is-IS"/>
        </w:rPr>
      </w:pPr>
      <w:r w:rsidRPr="009F7642">
        <w:rPr>
          <w:color w:val="auto"/>
          <w:lang w:val="is-IS"/>
        </w:rPr>
        <w:t>stífla í örsmáum æðum í nýrum,</w:t>
      </w:r>
    </w:p>
    <w:p w14:paraId="4028984B" w14:textId="77777777" w:rsidR="005F36F3" w:rsidRPr="009F7642" w:rsidRDefault="00564614" w:rsidP="00321CD1">
      <w:pPr>
        <w:numPr>
          <w:ilvl w:val="0"/>
          <w:numId w:val="68"/>
        </w:numPr>
        <w:suppressAutoHyphens/>
        <w:spacing w:after="0" w:line="240" w:lineRule="auto"/>
        <w:ind w:hanging="567"/>
        <w:rPr>
          <w:color w:val="auto"/>
          <w:lang w:val="is-IS"/>
        </w:rPr>
      </w:pPr>
      <w:r w:rsidRPr="009F7642">
        <w:rPr>
          <w:color w:val="auto"/>
          <w:lang w:val="is-IS"/>
        </w:rPr>
        <w:t xml:space="preserve">óeðlilega hár blóðþrýstingur í lungnaæðum sem veldur auknu </w:t>
      </w:r>
      <w:r w:rsidR="00B23D0A" w:rsidRPr="009F7642">
        <w:rPr>
          <w:color w:val="auto"/>
          <w:lang w:val="is-IS"/>
        </w:rPr>
        <w:t>álagi á hægri helming hjartans,</w:t>
      </w:r>
    </w:p>
    <w:p w14:paraId="70675DEB" w14:textId="77777777" w:rsidR="005F36F3" w:rsidRPr="009F7642" w:rsidRDefault="00564614" w:rsidP="00321CD1">
      <w:pPr>
        <w:numPr>
          <w:ilvl w:val="0"/>
          <w:numId w:val="68"/>
        </w:numPr>
        <w:suppressAutoHyphens/>
        <w:spacing w:after="0" w:line="240" w:lineRule="auto"/>
        <w:ind w:hanging="567"/>
        <w:rPr>
          <w:color w:val="auto"/>
          <w:lang w:val="is-IS"/>
        </w:rPr>
      </w:pPr>
      <w:r w:rsidRPr="009F7642">
        <w:rPr>
          <w:color w:val="auto"/>
          <w:lang w:val="is-IS"/>
        </w:rPr>
        <w:t>gat á brjóskplötunni se</w:t>
      </w:r>
      <w:r w:rsidR="00B23D0A" w:rsidRPr="009F7642">
        <w:rPr>
          <w:color w:val="auto"/>
          <w:lang w:val="is-IS"/>
        </w:rPr>
        <w:t>m skilur að nasirnar (miðsnesi)</w:t>
      </w:r>
      <w:r w:rsidR="00010ED8">
        <w:rPr>
          <w:color w:val="auto"/>
          <w:lang w:val="is-IS"/>
        </w:rPr>
        <w:t>,</w:t>
      </w:r>
    </w:p>
    <w:p w14:paraId="488AF70F" w14:textId="77777777" w:rsidR="005F36F3" w:rsidRPr="009F7642" w:rsidRDefault="00B23D0A" w:rsidP="00321CD1">
      <w:pPr>
        <w:numPr>
          <w:ilvl w:val="0"/>
          <w:numId w:val="68"/>
        </w:numPr>
        <w:suppressAutoHyphens/>
        <w:spacing w:after="0" w:line="240" w:lineRule="auto"/>
        <w:ind w:hanging="567"/>
        <w:rPr>
          <w:color w:val="auto"/>
          <w:lang w:val="is-IS"/>
        </w:rPr>
      </w:pPr>
      <w:r w:rsidRPr="009F7642">
        <w:rPr>
          <w:color w:val="auto"/>
          <w:lang w:val="is-IS"/>
        </w:rPr>
        <w:t>gat á maga eða þörmum</w:t>
      </w:r>
      <w:r w:rsidR="00010ED8">
        <w:rPr>
          <w:color w:val="auto"/>
          <w:lang w:val="is-IS"/>
        </w:rPr>
        <w:t>,</w:t>
      </w:r>
    </w:p>
    <w:p w14:paraId="1634C980" w14:textId="77777777" w:rsidR="005F36F3" w:rsidRPr="009F7642" w:rsidRDefault="00564614" w:rsidP="00321CD1">
      <w:pPr>
        <w:numPr>
          <w:ilvl w:val="0"/>
          <w:numId w:val="68"/>
        </w:numPr>
        <w:suppressAutoHyphens/>
        <w:spacing w:after="0" w:line="240" w:lineRule="auto"/>
        <w:ind w:hanging="567"/>
        <w:rPr>
          <w:color w:val="auto"/>
          <w:lang w:val="is-IS"/>
        </w:rPr>
      </w:pPr>
      <w:r w:rsidRPr="009F7642">
        <w:rPr>
          <w:color w:val="auto"/>
          <w:lang w:val="is-IS"/>
        </w:rPr>
        <w:t>opið sár eða gat á yfirborði maga eða smáþarma (meðal einkenna geta verið kviðverkir, þembutilfinning, svartar og tjörukenndar hægðir eða bló</w:t>
      </w:r>
      <w:r w:rsidR="00B23D0A" w:rsidRPr="009F7642">
        <w:rPr>
          <w:color w:val="auto"/>
          <w:lang w:val="is-IS"/>
        </w:rPr>
        <w:t>ð í hægðum eða blóðug uppköst),</w:t>
      </w:r>
    </w:p>
    <w:p w14:paraId="0222FF2F" w14:textId="77777777" w:rsidR="005F36F3" w:rsidRPr="009F7642" w:rsidRDefault="00564614" w:rsidP="00321CD1">
      <w:pPr>
        <w:numPr>
          <w:ilvl w:val="0"/>
          <w:numId w:val="68"/>
        </w:numPr>
        <w:suppressAutoHyphens/>
        <w:spacing w:after="0" w:line="240" w:lineRule="auto"/>
        <w:ind w:hanging="567"/>
        <w:rPr>
          <w:color w:val="auto"/>
          <w:lang w:val="is-IS"/>
        </w:rPr>
      </w:pPr>
      <w:r w:rsidRPr="009F7642">
        <w:rPr>
          <w:color w:val="auto"/>
          <w:lang w:val="is-IS"/>
        </w:rPr>
        <w:t>b</w:t>
      </w:r>
      <w:r w:rsidR="00B23D0A" w:rsidRPr="009F7642">
        <w:rPr>
          <w:color w:val="auto"/>
          <w:lang w:val="is-IS"/>
        </w:rPr>
        <w:t>læðing frá neðri hluta ristils,</w:t>
      </w:r>
    </w:p>
    <w:p w14:paraId="13A44CB9" w14:textId="77777777" w:rsidR="005F36F3" w:rsidRPr="009F7642" w:rsidRDefault="00564614" w:rsidP="00321CD1">
      <w:pPr>
        <w:numPr>
          <w:ilvl w:val="0"/>
          <w:numId w:val="68"/>
        </w:numPr>
        <w:suppressAutoHyphens/>
        <w:spacing w:after="0" w:line="240" w:lineRule="auto"/>
        <w:ind w:hanging="567"/>
        <w:rPr>
          <w:color w:val="auto"/>
          <w:lang w:val="is-IS"/>
        </w:rPr>
      </w:pPr>
      <w:r w:rsidRPr="009F7642">
        <w:rPr>
          <w:color w:val="auto"/>
          <w:lang w:val="is-IS"/>
        </w:rPr>
        <w:t xml:space="preserve">sár í tannholdi allt inn að kjálkabeini, sem gróa ekki og geta tengst verk og bólgu í nærliggjandi vefjum (sjá frekar í málsgreinunum fyrir </w:t>
      </w:r>
      <w:r w:rsidR="00B23D0A" w:rsidRPr="009F7642">
        <w:rPr>
          <w:color w:val="auto"/>
          <w:lang w:val="is-IS"/>
        </w:rPr>
        <w:t>neðan upptalningu aukaverkana),</w:t>
      </w:r>
    </w:p>
    <w:p w14:paraId="212013DA" w14:textId="77777777" w:rsidR="005F36F3" w:rsidRDefault="00564614" w:rsidP="00321CD1">
      <w:pPr>
        <w:numPr>
          <w:ilvl w:val="0"/>
          <w:numId w:val="68"/>
        </w:numPr>
        <w:suppressAutoHyphens/>
        <w:spacing w:after="0" w:line="240" w:lineRule="auto"/>
        <w:ind w:hanging="567"/>
        <w:rPr>
          <w:color w:val="auto"/>
          <w:lang w:val="is-IS"/>
        </w:rPr>
      </w:pPr>
      <w:r w:rsidRPr="009F7642">
        <w:rPr>
          <w:color w:val="auto"/>
          <w:lang w:val="is-IS"/>
        </w:rPr>
        <w:t>gat á gallblöðru (meðal einkenna geta verið kviðve</w:t>
      </w:r>
      <w:r w:rsidR="00B23D0A" w:rsidRPr="009F7642">
        <w:rPr>
          <w:color w:val="auto"/>
          <w:lang w:val="is-IS"/>
        </w:rPr>
        <w:t>rkir, hiti eða ógleði/uppköst</w:t>
      </w:r>
      <w:r w:rsidR="00E47F01" w:rsidRPr="009F7642">
        <w:rPr>
          <w:color w:val="auto"/>
          <w:lang w:val="is-IS"/>
        </w:rPr>
        <w:t>)</w:t>
      </w:r>
      <w:r w:rsidR="00E47F01">
        <w:rPr>
          <w:color w:val="auto"/>
          <w:lang w:val="is-IS"/>
        </w:rPr>
        <w:t>,</w:t>
      </w:r>
    </w:p>
    <w:p w14:paraId="66A656FA" w14:textId="77777777" w:rsidR="00E47F01" w:rsidRPr="009F7642" w:rsidRDefault="00E47F01" w:rsidP="00321CD1">
      <w:pPr>
        <w:numPr>
          <w:ilvl w:val="0"/>
          <w:numId w:val="68"/>
        </w:numPr>
        <w:suppressAutoHyphens/>
        <w:spacing w:after="0" w:line="240" w:lineRule="auto"/>
        <w:ind w:hanging="567"/>
        <w:rPr>
          <w:color w:val="auto"/>
          <w:lang w:val="is-IS"/>
        </w:rPr>
      </w:pPr>
      <w:r w:rsidRPr="00E47F01">
        <w:rPr>
          <w:color w:val="auto"/>
          <w:lang w:val="is-IS"/>
        </w:rPr>
        <w:t>útvíkkun og veiking æðaveggs eða rof í æðavegg (slagæðargúlpur og flysjun slagæðar).</w:t>
      </w:r>
    </w:p>
    <w:p w14:paraId="1663AB49" w14:textId="77777777" w:rsidR="005F36F3" w:rsidRPr="009F7642" w:rsidRDefault="005F36F3" w:rsidP="0073217C">
      <w:pPr>
        <w:suppressAutoHyphens/>
        <w:spacing w:after="0" w:line="240" w:lineRule="auto"/>
        <w:ind w:left="0" w:firstLine="0"/>
        <w:rPr>
          <w:color w:val="auto"/>
          <w:lang w:val="is-IS"/>
        </w:rPr>
      </w:pPr>
    </w:p>
    <w:p w14:paraId="08AEC9AB" w14:textId="77777777" w:rsidR="005F36F3" w:rsidRPr="009F7642" w:rsidRDefault="00564614" w:rsidP="0073217C">
      <w:pPr>
        <w:keepNext/>
        <w:suppressAutoHyphens/>
        <w:spacing w:after="0" w:line="240" w:lineRule="auto"/>
        <w:ind w:left="0" w:firstLine="0"/>
        <w:rPr>
          <w:color w:val="auto"/>
          <w:lang w:val="is-IS"/>
        </w:rPr>
      </w:pPr>
      <w:r w:rsidRPr="009F7642">
        <w:rPr>
          <w:b/>
          <w:color w:val="auto"/>
          <w:lang w:val="is-IS"/>
        </w:rPr>
        <w:t>Leitið aðstoðar eins fljótt og hægt er ef einhver eftirtalinna aukaverkana kemur fyrir.</w:t>
      </w:r>
    </w:p>
    <w:p w14:paraId="347B56CD" w14:textId="77777777" w:rsidR="005F36F3" w:rsidRPr="009F7642" w:rsidRDefault="005F36F3" w:rsidP="0073217C">
      <w:pPr>
        <w:keepNext/>
        <w:suppressAutoHyphens/>
        <w:spacing w:after="0" w:line="240" w:lineRule="auto"/>
        <w:ind w:left="0" w:firstLine="0"/>
        <w:rPr>
          <w:color w:val="auto"/>
          <w:lang w:val="is-IS"/>
        </w:rPr>
      </w:pPr>
    </w:p>
    <w:p w14:paraId="7ABDBA5B" w14:textId="7C3CBF10" w:rsidR="00CD65A0" w:rsidRPr="009F7642" w:rsidRDefault="00564614" w:rsidP="0073217C">
      <w:pPr>
        <w:keepNext/>
        <w:suppressAutoHyphens/>
        <w:spacing w:after="0" w:line="240" w:lineRule="auto"/>
        <w:ind w:left="0" w:firstLine="0"/>
        <w:rPr>
          <w:color w:val="auto"/>
          <w:lang w:val="is-IS"/>
        </w:rPr>
      </w:pPr>
      <w:r w:rsidRPr="009F7642">
        <w:rPr>
          <w:b/>
          <w:color w:val="auto"/>
          <w:lang w:val="is-IS"/>
        </w:rPr>
        <w:t xml:space="preserve">Mjög algengar aukaverkanir </w:t>
      </w:r>
      <w:r w:rsidRPr="009F7642">
        <w:rPr>
          <w:color w:val="auto"/>
          <w:lang w:val="is-IS"/>
        </w:rPr>
        <w:t>(</w:t>
      </w:r>
      <w:r w:rsidR="00085430">
        <w:rPr>
          <w:color w:val="auto"/>
          <w:lang w:val="is-IS"/>
        </w:rPr>
        <w:t xml:space="preserve">geta </w:t>
      </w:r>
      <w:r w:rsidR="00085430" w:rsidRPr="009F7642">
        <w:rPr>
          <w:color w:val="auto"/>
          <w:lang w:val="is-IS"/>
        </w:rPr>
        <w:t>kom</w:t>
      </w:r>
      <w:r w:rsidR="00085430">
        <w:rPr>
          <w:color w:val="auto"/>
          <w:lang w:val="is-IS"/>
        </w:rPr>
        <w:t>ið</w:t>
      </w:r>
      <w:r w:rsidR="00085430" w:rsidRPr="009F7642">
        <w:rPr>
          <w:color w:val="auto"/>
          <w:lang w:val="is-IS"/>
        </w:rPr>
        <w:t xml:space="preserve"> </w:t>
      </w:r>
      <w:r w:rsidR="00656374" w:rsidRPr="009F7642">
        <w:rPr>
          <w:color w:val="auto"/>
          <w:lang w:val="is-IS"/>
        </w:rPr>
        <w:t>f</w:t>
      </w:r>
      <w:r w:rsidR="00656374">
        <w:rPr>
          <w:color w:val="auto"/>
          <w:lang w:val="is-IS"/>
        </w:rPr>
        <w:t>yrir</w:t>
      </w:r>
      <w:r w:rsidR="00656374" w:rsidRPr="009F7642">
        <w:rPr>
          <w:color w:val="auto"/>
          <w:lang w:val="is-IS"/>
        </w:rPr>
        <w:t xml:space="preserve"> </w:t>
      </w:r>
      <w:r w:rsidRPr="009F7642">
        <w:rPr>
          <w:color w:val="auto"/>
          <w:lang w:val="is-IS"/>
        </w:rPr>
        <w:t>hjá fleiri en 1 af hverjum 10</w:t>
      </w:r>
      <w:r w:rsidR="00085430">
        <w:rPr>
          <w:color w:val="auto"/>
          <w:lang w:val="is-IS"/>
        </w:rPr>
        <w:t xml:space="preserve"> einstaklingum</w:t>
      </w:r>
      <w:r w:rsidRPr="009F7642">
        <w:rPr>
          <w:color w:val="auto"/>
          <w:lang w:val="is-IS"/>
        </w:rPr>
        <w:t>) sem voru ek</w:t>
      </w:r>
      <w:r w:rsidR="00B23D0A" w:rsidRPr="009F7642">
        <w:rPr>
          <w:color w:val="auto"/>
          <w:lang w:val="is-IS"/>
        </w:rPr>
        <w:t>ki alvarlegar eru meðal annars:</w:t>
      </w:r>
    </w:p>
    <w:p w14:paraId="5BA324A0" w14:textId="77777777" w:rsidR="005F36F3" w:rsidRPr="009F7642" w:rsidRDefault="00B23D0A" w:rsidP="00321CD1">
      <w:pPr>
        <w:numPr>
          <w:ilvl w:val="0"/>
          <w:numId w:val="69"/>
        </w:numPr>
        <w:suppressAutoHyphens/>
        <w:spacing w:after="0" w:line="240" w:lineRule="auto"/>
        <w:ind w:left="567" w:hanging="567"/>
        <w:rPr>
          <w:color w:val="auto"/>
          <w:lang w:val="is-IS"/>
        </w:rPr>
      </w:pPr>
      <w:r w:rsidRPr="009F7642">
        <w:rPr>
          <w:color w:val="auto"/>
          <w:lang w:val="is-IS"/>
        </w:rPr>
        <w:t>hægðatregða,</w:t>
      </w:r>
    </w:p>
    <w:p w14:paraId="1CC0F9CD" w14:textId="77777777" w:rsidR="005F36F3" w:rsidRPr="009F7642" w:rsidRDefault="00B23D0A" w:rsidP="00321CD1">
      <w:pPr>
        <w:numPr>
          <w:ilvl w:val="0"/>
          <w:numId w:val="69"/>
        </w:numPr>
        <w:suppressAutoHyphens/>
        <w:spacing w:after="0" w:line="240" w:lineRule="auto"/>
        <w:ind w:left="567" w:hanging="567"/>
        <w:rPr>
          <w:color w:val="auto"/>
          <w:lang w:val="is-IS"/>
        </w:rPr>
      </w:pPr>
      <w:r w:rsidRPr="009F7642">
        <w:rPr>
          <w:color w:val="auto"/>
          <w:lang w:val="is-IS"/>
        </w:rPr>
        <w:t>lystarleysi,</w:t>
      </w:r>
    </w:p>
    <w:p w14:paraId="323BE1A0" w14:textId="77777777" w:rsidR="005F36F3" w:rsidRPr="009F7642" w:rsidRDefault="00B23D0A" w:rsidP="00321CD1">
      <w:pPr>
        <w:numPr>
          <w:ilvl w:val="0"/>
          <w:numId w:val="69"/>
        </w:numPr>
        <w:suppressAutoHyphens/>
        <w:spacing w:after="0" w:line="240" w:lineRule="auto"/>
        <w:ind w:left="567" w:hanging="567"/>
        <w:rPr>
          <w:color w:val="auto"/>
          <w:lang w:val="is-IS"/>
        </w:rPr>
      </w:pPr>
      <w:r w:rsidRPr="009F7642">
        <w:rPr>
          <w:color w:val="auto"/>
          <w:lang w:val="is-IS"/>
        </w:rPr>
        <w:t>hiti,</w:t>
      </w:r>
    </w:p>
    <w:p w14:paraId="3E4B7AC9" w14:textId="77777777" w:rsidR="005F36F3" w:rsidRPr="009F7642" w:rsidRDefault="00564614" w:rsidP="00321CD1">
      <w:pPr>
        <w:numPr>
          <w:ilvl w:val="0"/>
          <w:numId w:val="69"/>
        </w:numPr>
        <w:suppressAutoHyphens/>
        <w:spacing w:after="0" w:line="240" w:lineRule="auto"/>
        <w:ind w:left="567" w:hanging="567"/>
        <w:rPr>
          <w:color w:val="auto"/>
          <w:lang w:val="is-IS"/>
        </w:rPr>
      </w:pPr>
      <w:r w:rsidRPr="009F7642">
        <w:rPr>
          <w:color w:val="auto"/>
          <w:lang w:val="is-IS"/>
        </w:rPr>
        <w:t>augnkvillar (þar</w:t>
      </w:r>
      <w:r w:rsidR="00B62FA7" w:rsidRPr="009F7642">
        <w:rPr>
          <w:color w:val="auto"/>
          <w:lang w:val="is-IS"/>
        </w:rPr>
        <w:t xml:space="preserve"> með talin aukin táraseyting),</w:t>
      </w:r>
    </w:p>
    <w:p w14:paraId="70B24BAE" w14:textId="77777777" w:rsidR="005F36F3" w:rsidRPr="009F7642" w:rsidRDefault="00B62FA7" w:rsidP="00321CD1">
      <w:pPr>
        <w:numPr>
          <w:ilvl w:val="0"/>
          <w:numId w:val="69"/>
        </w:numPr>
        <w:suppressAutoHyphens/>
        <w:spacing w:after="0" w:line="240" w:lineRule="auto"/>
        <w:ind w:left="567" w:hanging="567"/>
        <w:rPr>
          <w:color w:val="auto"/>
          <w:lang w:val="is-IS"/>
        </w:rPr>
      </w:pPr>
      <w:r w:rsidRPr="009F7642">
        <w:rPr>
          <w:color w:val="auto"/>
          <w:lang w:val="is-IS"/>
        </w:rPr>
        <w:t>breyting á tali,</w:t>
      </w:r>
    </w:p>
    <w:p w14:paraId="030E4A2D" w14:textId="77777777" w:rsidR="005F36F3" w:rsidRPr="009F7642" w:rsidRDefault="00564614" w:rsidP="00321CD1">
      <w:pPr>
        <w:numPr>
          <w:ilvl w:val="0"/>
          <w:numId w:val="69"/>
        </w:numPr>
        <w:suppressAutoHyphens/>
        <w:spacing w:after="0" w:line="240" w:lineRule="auto"/>
        <w:ind w:left="567" w:hanging="567"/>
        <w:rPr>
          <w:color w:val="auto"/>
          <w:lang w:val="is-IS"/>
        </w:rPr>
      </w:pPr>
      <w:r w:rsidRPr="009F7642">
        <w:rPr>
          <w:color w:val="auto"/>
          <w:lang w:val="is-IS"/>
        </w:rPr>
        <w:t>b</w:t>
      </w:r>
      <w:r w:rsidR="00B23D0A" w:rsidRPr="009F7642">
        <w:rPr>
          <w:color w:val="auto"/>
          <w:lang w:val="is-IS"/>
        </w:rPr>
        <w:t>reyting á bragðskyni,</w:t>
      </w:r>
    </w:p>
    <w:p w14:paraId="56404C7B" w14:textId="77777777" w:rsidR="005F36F3" w:rsidRPr="009F7642" w:rsidRDefault="00B23D0A" w:rsidP="00321CD1">
      <w:pPr>
        <w:numPr>
          <w:ilvl w:val="0"/>
          <w:numId w:val="69"/>
        </w:numPr>
        <w:suppressAutoHyphens/>
        <w:spacing w:after="0" w:line="240" w:lineRule="auto"/>
        <w:ind w:left="567" w:hanging="567"/>
        <w:rPr>
          <w:color w:val="auto"/>
          <w:lang w:val="is-IS"/>
        </w:rPr>
      </w:pPr>
      <w:r w:rsidRPr="009F7642">
        <w:rPr>
          <w:color w:val="auto"/>
          <w:lang w:val="is-IS"/>
        </w:rPr>
        <w:t>nefrennsli,</w:t>
      </w:r>
    </w:p>
    <w:p w14:paraId="7BC2E3FF" w14:textId="77777777" w:rsidR="005F36F3" w:rsidRPr="009F7642" w:rsidRDefault="00564614" w:rsidP="00321CD1">
      <w:pPr>
        <w:numPr>
          <w:ilvl w:val="0"/>
          <w:numId w:val="69"/>
        </w:numPr>
        <w:suppressAutoHyphens/>
        <w:spacing w:after="0" w:line="240" w:lineRule="auto"/>
        <w:ind w:left="567" w:hanging="567"/>
        <w:rPr>
          <w:color w:val="auto"/>
          <w:lang w:val="is-IS"/>
        </w:rPr>
      </w:pPr>
      <w:r w:rsidRPr="009F7642">
        <w:rPr>
          <w:color w:val="auto"/>
          <w:lang w:val="is-IS"/>
        </w:rPr>
        <w:t>húðþurrkur, flögnun og ból</w:t>
      </w:r>
      <w:r w:rsidR="00B23D0A" w:rsidRPr="009F7642">
        <w:rPr>
          <w:color w:val="auto"/>
          <w:lang w:val="is-IS"/>
        </w:rPr>
        <w:t>ga í húð, breyting á litarafti,</w:t>
      </w:r>
    </w:p>
    <w:p w14:paraId="7EB1B242" w14:textId="77777777" w:rsidR="00ED1E79" w:rsidRDefault="00B23D0A" w:rsidP="00321CD1">
      <w:pPr>
        <w:numPr>
          <w:ilvl w:val="0"/>
          <w:numId w:val="69"/>
        </w:numPr>
        <w:suppressAutoHyphens/>
        <w:spacing w:after="0" w:line="240" w:lineRule="auto"/>
        <w:ind w:left="567" w:hanging="567"/>
        <w:rPr>
          <w:color w:val="auto"/>
          <w:lang w:val="is-IS"/>
        </w:rPr>
      </w:pPr>
      <w:r w:rsidRPr="009F7642">
        <w:rPr>
          <w:color w:val="auto"/>
          <w:lang w:val="is-IS"/>
        </w:rPr>
        <w:t xml:space="preserve">minnkuð líkamsþyngd, </w:t>
      </w:r>
    </w:p>
    <w:p w14:paraId="02107B4D" w14:textId="77777777" w:rsidR="005F36F3" w:rsidRPr="009F7642" w:rsidRDefault="00B23D0A" w:rsidP="00321CD1">
      <w:pPr>
        <w:numPr>
          <w:ilvl w:val="0"/>
          <w:numId w:val="69"/>
        </w:numPr>
        <w:suppressAutoHyphens/>
        <w:spacing w:after="0" w:line="240" w:lineRule="auto"/>
        <w:ind w:left="567" w:hanging="567"/>
        <w:rPr>
          <w:color w:val="auto"/>
          <w:lang w:val="is-IS"/>
        </w:rPr>
      </w:pPr>
      <w:r w:rsidRPr="009F7642">
        <w:rPr>
          <w:color w:val="auto"/>
          <w:lang w:val="is-IS"/>
        </w:rPr>
        <w:t>blóðnasir.</w:t>
      </w:r>
    </w:p>
    <w:p w14:paraId="4D56ED0C" w14:textId="77777777" w:rsidR="00B23D0A" w:rsidRPr="009F7642" w:rsidRDefault="00B23D0A" w:rsidP="0073217C">
      <w:pPr>
        <w:suppressAutoHyphens/>
        <w:spacing w:after="0" w:line="240" w:lineRule="auto"/>
        <w:ind w:left="0" w:firstLine="0"/>
        <w:rPr>
          <w:b/>
          <w:color w:val="auto"/>
          <w:lang w:val="is-IS"/>
        </w:rPr>
      </w:pPr>
    </w:p>
    <w:p w14:paraId="1AD0C86B" w14:textId="417ACB1D" w:rsidR="005F36F3" w:rsidRPr="009F7642" w:rsidRDefault="00564614" w:rsidP="0073217C">
      <w:pPr>
        <w:keepNext/>
        <w:suppressAutoHyphens/>
        <w:spacing w:after="0" w:line="240" w:lineRule="auto"/>
        <w:ind w:left="0" w:firstLine="0"/>
        <w:rPr>
          <w:color w:val="auto"/>
          <w:lang w:val="is-IS"/>
        </w:rPr>
      </w:pPr>
      <w:r w:rsidRPr="009F7642">
        <w:rPr>
          <w:b/>
          <w:color w:val="auto"/>
          <w:lang w:val="is-IS"/>
        </w:rPr>
        <w:t xml:space="preserve">Algengar aukaverkanir </w:t>
      </w:r>
      <w:r w:rsidRPr="009F7642">
        <w:rPr>
          <w:color w:val="auto"/>
          <w:lang w:val="is-IS"/>
        </w:rPr>
        <w:t>(</w:t>
      </w:r>
      <w:r w:rsidR="00ED1E79">
        <w:rPr>
          <w:color w:val="auto"/>
          <w:lang w:val="is-IS"/>
        </w:rPr>
        <w:t>geta komið</w:t>
      </w:r>
      <w:r w:rsidRPr="009F7642">
        <w:rPr>
          <w:color w:val="auto"/>
          <w:lang w:val="is-IS"/>
        </w:rPr>
        <w:t xml:space="preserve"> </w:t>
      </w:r>
      <w:r w:rsidR="00656374" w:rsidRPr="009F7642">
        <w:rPr>
          <w:color w:val="auto"/>
          <w:lang w:val="is-IS"/>
        </w:rPr>
        <w:t>f</w:t>
      </w:r>
      <w:r w:rsidR="00656374">
        <w:rPr>
          <w:color w:val="auto"/>
          <w:lang w:val="is-IS"/>
        </w:rPr>
        <w:t>yrir</w:t>
      </w:r>
      <w:r w:rsidR="00656374" w:rsidRPr="009F7642">
        <w:rPr>
          <w:color w:val="auto"/>
          <w:lang w:val="is-IS"/>
        </w:rPr>
        <w:t xml:space="preserve"> </w:t>
      </w:r>
      <w:r w:rsidRPr="009F7642">
        <w:rPr>
          <w:color w:val="auto"/>
          <w:lang w:val="is-IS"/>
        </w:rPr>
        <w:t xml:space="preserve">hjá </w:t>
      </w:r>
      <w:r w:rsidR="00085430">
        <w:rPr>
          <w:color w:val="auto"/>
          <w:lang w:val="is-IS"/>
        </w:rPr>
        <w:t>allt að</w:t>
      </w:r>
      <w:r w:rsidRPr="009F7642">
        <w:rPr>
          <w:color w:val="auto"/>
          <w:lang w:val="is-IS"/>
        </w:rPr>
        <w:t xml:space="preserve"> 1 af hverjum 10</w:t>
      </w:r>
      <w:r w:rsidR="00ED1E79">
        <w:rPr>
          <w:color w:val="auto"/>
          <w:lang w:val="is-IS"/>
        </w:rPr>
        <w:t xml:space="preserve"> </w:t>
      </w:r>
      <w:r w:rsidR="00085430">
        <w:rPr>
          <w:color w:val="auto"/>
          <w:lang w:val="is-IS"/>
        </w:rPr>
        <w:t>einstaklingum</w:t>
      </w:r>
      <w:r w:rsidRPr="009F7642">
        <w:rPr>
          <w:color w:val="auto"/>
          <w:lang w:val="is-IS"/>
        </w:rPr>
        <w:t>) sem voru ek</w:t>
      </w:r>
      <w:r w:rsidR="00B23D0A" w:rsidRPr="009F7642">
        <w:rPr>
          <w:color w:val="auto"/>
          <w:lang w:val="is-IS"/>
        </w:rPr>
        <w:t>ki alvarlegar eru meðal annars:</w:t>
      </w:r>
    </w:p>
    <w:p w14:paraId="56A5804B" w14:textId="77777777" w:rsidR="005F36F3" w:rsidRPr="009F7642" w:rsidRDefault="00564614" w:rsidP="0073217C">
      <w:pPr>
        <w:numPr>
          <w:ilvl w:val="0"/>
          <w:numId w:val="42"/>
        </w:numPr>
        <w:suppressAutoHyphens/>
        <w:spacing w:after="0" w:line="240" w:lineRule="auto"/>
        <w:ind w:hanging="566"/>
        <w:rPr>
          <w:color w:val="auto"/>
          <w:lang w:val="is-IS"/>
        </w:rPr>
      </w:pPr>
      <w:r w:rsidRPr="009F7642">
        <w:rPr>
          <w:color w:val="auto"/>
          <w:lang w:val="is-IS"/>
        </w:rPr>
        <w:t>raddbreytingar og hæsi</w:t>
      </w:r>
      <w:r w:rsidR="00B23D0A" w:rsidRPr="009F7642">
        <w:rPr>
          <w:color w:val="auto"/>
          <w:lang w:val="is-IS"/>
        </w:rPr>
        <w:t>.</w:t>
      </w:r>
    </w:p>
    <w:p w14:paraId="2637ABC4" w14:textId="77777777" w:rsidR="005F36F3" w:rsidRPr="009F7642" w:rsidRDefault="005F36F3" w:rsidP="0073217C">
      <w:pPr>
        <w:suppressAutoHyphens/>
        <w:spacing w:after="0" w:line="240" w:lineRule="auto"/>
        <w:ind w:left="0" w:firstLine="0"/>
        <w:rPr>
          <w:color w:val="auto"/>
          <w:lang w:val="is-IS"/>
        </w:rPr>
      </w:pPr>
    </w:p>
    <w:p w14:paraId="40C554F8" w14:textId="77777777" w:rsidR="005F36F3" w:rsidRPr="009F7642" w:rsidRDefault="00564614" w:rsidP="0073217C">
      <w:pPr>
        <w:keepNext/>
        <w:suppressAutoHyphens/>
        <w:spacing w:after="0" w:line="240" w:lineRule="auto"/>
        <w:ind w:left="0" w:firstLine="0"/>
        <w:rPr>
          <w:color w:val="auto"/>
          <w:lang w:val="is-IS"/>
        </w:rPr>
      </w:pPr>
      <w:r w:rsidRPr="009F7642">
        <w:rPr>
          <w:color w:val="auto"/>
          <w:lang w:val="is-IS"/>
        </w:rPr>
        <w:t xml:space="preserve">Sjúklingar eldri en 65 ára eru í aukinni hættu á </w:t>
      </w:r>
      <w:r w:rsidR="00B23D0A" w:rsidRPr="009F7642">
        <w:rPr>
          <w:color w:val="auto"/>
          <w:lang w:val="is-IS"/>
        </w:rPr>
        <w:t>að fá eftirtaldar aukaverkanir:</w:t>
      </w:r>
    </w:p>
    <w:p w14:paraId="6D5994F8" w14:textId="77777777" w:rsidR="005F36F3" w:rsidRPr="009F7642" w:rsidRDefault="00564614" w:rsidP="00321CD1">
      <w:pPr>
        <w:numPr>
          <w:ilvl w:val="0"/>
          <w:numId w:val="70"/>
        </w:numPr>
        <w:suppressAutoHyphens/>
        <w:spacing w:after="0" w:line="240" w:lineRule="auto"/>
        <w:ind w:hanging="567"/>
        <w:rPr>
          <w:color w:val="auto"/>
          <w:lang w:val="is-IS"/>
        </w:rPr>
      </w:pPr>
      <w:r w:rsidRPr="009F7642">
        <w:rPr>
          <w:color w:val="auto"/>
          <w:lang w:val="is-IS"/>
        </w:rPr>
        <w:t xml:space="preserve">blóðtappi í slagæðum sem getur valdið </w:t>
      </w:r>
      <w:r w:rsidR="00B23D0A" w:rsidRPr="009F7642">
        <w:rPr>
          <w:color w:val="auto"/>
          <w:lang w:val="is-IS"/>
        </w:rPr>
        <w:t>heilablóðfalli eða hjartaslagi,</w:t>
      </w:r>
    </w:p>
    <w:p w14:paraId="20B4D6FF" w14:textId="77777777" w:rsidR="005F36F3" w:rsidRPr="009F7642" w:rsidRDefault="00564614" w:rsidP="00321CD1">
      <w:pPr>
        <w:numPr>
          <w:ilvl w:val="0"/>
          <w:numId w:val="70"/>
        </w:numPr>
        <w:suppressAutoHyphens/>
        <w:spacing w:after="0" w:line="240" w:lineRule="auto"/>
        <w:ind w:hanging="567"/>
        <w:rPr>
          <w:color w:val="auto"/>
          <w:lang w:val="is-IS"/>
        </w:rPr>
      </w:pPr>
      <w:r w:rsidRPr="009F7642">
        <w:rPr>
          <w:color w:val="auto"/>
          <w:lang w:val="is-IS"/>
        </w:rPr>
        <w:t>fækkun hvítra blóðkorna í blóði og frumna sem hj</w:t>
      </w:r>
      <w:r w:rsidR="00B23D0A" w:rsidRPr="009F7642">
        <w:rPr>
          <w:color w:val="auto"/>
          <w:lang w:val="is-IS"/>
        </w:rPr>
        <w:t>álpa til við storknun blóðsins,</w:t>
      </w:r>
    </w:p>
    <w:p w14:paraId="54A8B380" w14:textId="77777777" w:rsidR="005F36F3" w:rsidRPr="009F7642" w:rsidRDefault="00B23D0A" w:rsidP="00321CD1">
      <w:pPr>
        <w:numPr>
          <w:ilvl w:val="0"/>
          <w:numId w:val="70"/>
        </w:numPr>
        <w:suppressAutoHyphens/>
        <w:spacing w:after="0" w:line="240" w:lineRule="auto"/>
        <w:ind w:hanging="567"/>
        <w:rPr>
          <w:color w:val="auto"/>
          <w:lang w:val="is-IS"/>
        </w:rPr>
      </w:pPr>
      <w:r w:rsidRPr="009F7642">
        <w:rPr>
          <w:color w:val="auto"/>
          <w:lang w:val="is-IS"/>
        </w:rPr>
        <w:t>niðurgangur,</w:t>
      </w:r>
    </w:p>
    <w:p w14:paraId="66FB1E8C" w14:textId="77777777" w:rsidR="005F36F3" w:rsidRPr="009F7642" w:rsidRDefault="00564614" w:rsidP="00321CD1">
      <w:pPr>
        <w:numPr>
          <w:ilvl w:val="0"/>
          <w:numId w:val="70"/>
        </w:numPr>
        <w:suppressAutoHyphens/>
        <w:spacing w:after="0" w:line="240" w:lineRule="auto"/>
        <w:ind w:hanging="567"/>
        <w:rPr>
          <w:color w:val="auto"/>
          <w:lang w:val="is-IS"/>
        </w:rPr>
      </w:pPr>
      <w:r w:rsidRPr="009F7642">
        <w:rPr>
          <w:color w:val="auto"/>
          <w:lang w:val="is-IS"/>
        </w:rPr>
        <w:t>ógle</w:t>
      </w:r>
      <w:r w:rsidR="00B23D0A" w:rsidRPr="009F7642">
        <w:rPr>
          <w:color w:val="auto"/>
          <w:lang w:val="is-IS"/>
        </w:rPr>
        <w:t>ði,</w:t>
      </w:r>
    </w:p>
    <w:p w14:paraId="4ACFD406" w14:textId="77777777" w:rsidR="005F36F3" w:rsidRPr="009F7642" w:rsidRDefault="00B23D0A" w:rsidP="00321CD1">
      <w:pPr>
        <w:numPr>
          <w:ilvl w:val="0"/>
          <w:numId w:val="70"/>
        </w:numPr>
        <w:suppressAutoHyphens/>
        <w:spacing w:after="0" w:line="240" w:lineRule="auto"/>
        <w:ind w:hanging="567"/>
        <w:rPr>
          <w:color w:val="auto"/>
          <w:lang w:val="is-IS"/>
        </w:rPr>
      </w:pPr>
      <w:r w:rsidRPr="009F7642">
        <w:rPr>
          <w:color w:val="auto"/>
          <w:lang w:val="is-IS"/>
        </w:rPr>
        <w:t>höfuðverkur,</w:t>
      </w:r>
    </w:p>
    <w:p w14:paraId="2205CAFD" w14:textId="77777777" w:rsidR="005F36F3" w:rsidRPr="009F7642" w:rsidRDefault="00B23D0A" w:rsidP="00321CD1">
      <w:pPr>
        <w:numPr>
          <w:ilvl w:val="0"/>
          <w:numId w:val="70"/>
        </w:numPr>
        <w:suppressAutoHyphens/>
        <w:spacing w:after="0" w:line="240" w:lineRule="auto"/>
        <w:ind w:hanging="567"/>
        <w:rPr>
          <w:color w:val="auto"/>
          <w:lang w:val="is-IS"/>
        </w:rPr>
      </w:pPr>
      <w:r w:rsidRPr="009F7642">
        <w:rPr>
          <w:color w:val="auto"/>
          <w:lang w:val="is-IS"/>
        </w:rPr>
        <w:t>þreyta,</w:t>
      </w:r>
    </w:p>
    <w:p w14:paraId="53491976" w14:textId="77777777" w:rsidR="005F36F3" w:rsidRPr="009F7642" w:rsidRDefault="00B23D0A" w:rsidP="00321CD1">
      <w:pPr>
        <w:numPr>
          <w:ilvl w:val="0"/>
          <w:numId w:val="70"/>
        </w:numPr>
        <w:suppressAutoHyphens/>
        <w:spacing w:after="0" w:line="240" w:lineRule="auto"/>
        <w:ind w:hanging="567"/>
        <w:rPr>
          <w:color w:val="auto"/>
          <w:lang w:val="is-IS"/>
        </w:rPr>
      </w:pPr>
      <w:r w:rsidRPr="009F7642">
        <w:rPr>
          <w:color w:val="auto"/>
          <w:lang w:val="is-IS"/>
        </w:rPr>
        <w:t>hár blóðþrýstingur.</w:t>
      </w:r>
    </w:p>
    <w:p w14:paraId="36629DA2" w14:textId="77777777" w:rsidR="005F36F3" w:rsidRPr="009F7642" w:rsidRDefault="005F36F3" w:rsidP="0073217C">
      <w:pPr>
        <w:suppressAutoHyphens/>
        <w:spacing w:after="0" w:line="240" w:lineRule="auto"/>
        <w:ind w:left="0" w:firstLine="0"/>
        <w:rPr>
          <w:color w:val="auto"/>
          <w:lang w:val="is-IS"/>
        </w:rPr>
      </w:pPr>
    </w:p>
    <w:p w14:paraId="00461A8F" w14:textId="77777777" w:rsidR="006C06D6" w:rsidRPr="009F7642" w:rsidRDefault="001764F7" w:rsidP="0073217C">
      <w:pPr>
        <w:suppressAutoHyphens/>
        <w:spacing w:after="0" w:line="240" w:lineRule="auto"/>
        <w:ind w:left="0" w:firstLine="0"/>
        <w:rPr>
          <w:color w:val="auto"/>
          <w:lang w:val="is-IS"/>
        </w:rPr>
      </w:pPr>
      <w:r w:rsidRPr="00F2274F">
        <w:rPr>
          <w:noProof/>
          <w:lang w:val="is-IS"/>
        </w:rPr>
        <w:t>MVASI</w:t>
      </w:r>
      <w:r w:rsidR="00564614" w:rsidRPr="009F7642">
        <w:rPr>
          <w:color w:val="auto"/>
          <w:lang w:val="is-IS"/>
        </w:rPr>
        <w:t xml:space="preserve"> getur einnig valdið breytingum á rannsóknarstofuprófum sem læknirinn gerir. Meðal þeirra eru fækkun hvítra blóðkorna, einkum daufkyrninga (ein gerð hvítra blóðkorna sem stuðlar að vörnum gegn sýkingum) í blóði, að prótein finnst í þvagi, lækkun á kalíum, natríum eða fosfór (steinefni) í blóði, hækkaður blóðsykur, hækkaður alkalískur fosfatasi (ensím), hækkað gildi kreatíníns í sermi (prótein sem mælt er í blóðsýnum til að athuga hversu vel nýru þín starfa); lækkun á blóðrauða (finnst í rauðum blóðkornum, sem súrefni berst með) sem getur verið alvarleg.</w:t>
      </w:r>
    </w:p>
    <w:p w14:paraId="1C759719" w14:textId="77777777" w:rsidR="005F36F3" w:rsidRPr="009F7642" w:rsidRDefault="005F36F3" w:rsidP="0073217C">
      <w:pPr>
        <w:suppressAutoHyphens/>
        <w:spacing w:after="0" w:line="240" w:lineRule="auto"/>
        <w:ind w:left="0" w:firstLine="0"/>
        <w:rPr>
          <w:color w:val="auto"/>
          <w:lang w:val="is-IS"/>
        </w:rPr>
      </w:pPr>
    </w:p>
    <w:p w14:paraId="663267EF"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lastRenderedPageBreak/>
        <w:t>Verkur í munni, tönnum og/eða kjálka, þroti eða sár í munni, dofi eða tilfinning um aukna þyngd kjálka eða ef tennur losna, geta verið einkenni beinskemmda í kjálkanum (beindrep). Láttu lækninn eða tannlækni vita tafarlaust ef þú finnur fyrir einhverju þessara einkenna.</w:t>
      </w:r>
    </w:p>
    <w:p w14:paraId="36CA197C" w14:textId="77777777" w:rsidR="005F36F3" w:rsidRPr="009F7642" w:rsidRDefault="005F36F3" w:rsidP="0073217C">
      <w:pPr>
        <w:suppressAutoHyphens/>
        <w:spacing w:after="0" w:line="240" w:lineRule="auto"/>
        <w:ind w:left="0" w:firstLine="0"/>
        <w:rPr>
          <w:color w:val="auto"/>
          <w:lang w:val="is-IS"/>
        </w:rPr>
      </w:pPr>
    </w:p>
    <w:p w14:paraId="024085D7"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Konur á barneignaraldri (konur sem hafa blæðingar) geta orðið varar við óreglulegar blæðingar eða að blæðingar falli úr og upplifað ófrjósemi. Konur sem hyggja á barneignir ættu að ræða þetta við lækninn áður en meðferð hefst.</w:t>
      </w:r>
    </w:p>
    <w:p w14:paraId="005B29C7" w14:textId="77777777" w:rsidR="005F36F3" w:rsidRPr="009F7642" w:rsidRDefault="005F36F3" w:rsidP="0073217C">
      <w:pPr>
        <w:suppressAutoHyphens/>
        <w:spacing w:after="0" w:line="240" w:lineRule="auto"/>
        <w:ind w:left="0" w:firstLine="0"/>
        <w:rPr>
          <w:color w:val="auto"/>
          <w:lang w:val="is-IS"/>
        </w:rPr>
      </w:pPr>
    </w:p>
    <w:p w14:paraId="445E7244" w14:textId="77777777" w:rsidR="005F36F3" w:rsidRPr="009F7642" w:rsidRDefault="001764F7" w:rsidP="0073217C">
      <w:pPr>
        <w:keepNext/>
        <w:suppressAutoHyphens/>
        <w:spacing w:after="0" w:line="240" w:lineRule="auto"/>
        <w:ind w:left="0" w:firstLine="0"/>
        <w:rPr>
          <w:color w:val="auto"/>
          <w:lang w:val="is-IS"/>
        </w:rPr>
      </w:pPr>
      <w:r w:rsidRPr="00F2274F">
        <w:rPr>
          <w:noProof/>
          <w:lang w:val="is-IS"/>
        </w:rPr>
        <w:t>MVASI</w:t>
      </w:r>
      <w:r w:rsidR="00564614" w:rsidRPr="009F7642">
        <w:rPr>
          <w:color w:val="auto"/>
          <w:lang w:val="is-IS"/>
        </w:rPr>
        <w:t xml:space="preserve"> hefur verið þróað og framleitt til meðferðar við krabbameini með innrennsli í blóðrás. Lyfið hefur ekki verið þróað og framleitt til inndælingar í auga. Slík notkun þess hefur því ekki verið samþykkt. Eftirtaldar aukaverkanir geta komið fram þegar </w:t>
      </w:r>
      <w:r w:rsidR="00690564" w:rsidRPr="00F2274F">
        <w:rPr>
          <w:noProof/>
          <w:lang w:val="is-IS"/>
        </w:rPr>
        <w:t>bevacízúmab</w:t>
      </w:r>
      <w:r w:rsidR="00D50449" w:rsidRPr="00F2274F">
        <w:rPr>
          <w:noProof/>
          <w:lang w:val="is-IS"/>
        </w:rPr>
        <w:t>i</w:t>
      </w:r>
      <w:r w:rsidR="00564614" w:rsidRPr="009F7642">
        <w:rPr>
          <w:color w:val="auto"/>
          <w:lang w:val="is-IS"/>
        </w:rPr>
        <w:t xml:space="preserve"> er sprautað beint í auga (ósamþykkt notkun):</w:t>
      </w:r>
    </w:p>
    <w:p w14:paraId="7652634D" w14:textId="77777777" w:rsidR="005F36F3" w:rsidRPr="009F7642" w:rsidRDefault="005F36F3" w:rsidP="0073217C">
      <w:pPr>
        <w:keepNext/>
        <w:suppressAutoHyphens/>
        <w:spacing w:after="0" w:line="240" w:lineRule="auto"/>
        <w:ind w:left="0" w:firstLine="0"/>
        <w:rPr>
          <w:color w:val="auto"/>
          <w:lang w:val="is-IS"/>
        </w:rPr>
      </w:pPr>
    </w:p>
    <w:p w14:paraId="51B8714A" w14:textId="7A8E01BA" w:rsidR="005F36F3" w:rsidRPr="009F7642" w:rsidRDefault="00201368" w:rsidP="00321CD1">
      <w:pPr>
        <w:numPr>
          <w:ilvl w:val="0"/>
          <w:numId w:val="71"/>
        </w:numPr>
        <w:suppressAutoHyphens/>
        <w:spacing w:after="0" w:line="240" w:lineRule="auto"/>
        <w:ind w:left="567" w:hanging="567"/>
        <w:rPr>
          <w:color w:val="auto"/>
          <w:lang w:val="is-IS"/>
        </w:rPr>
      </w:pPr>
      <w:r>
        <w:rPr>
          <w:color w:val="auto"/>
          <w:lang w:val="is-IS"/>
        </w:rPr>
        <w:t>s</w:t>
      </w:r>
      <w:r w:rsidRPr="009F7642">
        <w:rPr>
          <w:color w:val="auto"/>
          <w:lang w:val="is-IS"/>
        </w:rPr>
        <w:t xml:space="preserve">ýking </w:t>
      </w:r>
      <w:r w:rsidR="00B23D0A" w:rsidRPr="009F7642">
        <w:rPr>
          <w:color w:val="auto"/>
          <w:lang w:val="is-IS"/>
        </w:rPr>
        <w:t>eða bólga í auganu sjálfu,</w:t>
      </w:r>
    </w:p>
    <w:p w14:paraId="2BDF0883" w14:textId="55E9B140" w:rsidR="005F36F3" w:rsidRPr="009F7642" w:rsidRDefault="00201368" w:rsidP="00321CD1">
      <w:pPr>
        <w:numPr>
          <w:ilvl w:val="0"/>
          <w:numId w:val="71"/>
        </w:numPr>
        <w:suppressAutoHyphens/>
        <w:spacing w:after="0" w:line="240" w:lineRule="auto"/>
        <w:ind w:left="567" w:hanging="567"/>
        <w:rPr>
          <w:color w:val="auto"/>
          <w:lang w:val="is-IS"/>
        </w:rPr>
      </w:pPr>
      <w:r>
        <w:rPr>
          <w:color w:val="auto"/>
          <w:lang w:val="is-IS"/>
        </w:rPr>
        <w:t>r</w:t>
      </w:r>
      <w:r w:rsidRPr="009F7642">
        <w:rPr>
          <w:color w:val="auto"/>
          <w:lang w:val="is-IS"/>
        </w:rPr>
        <w:t xml:space="preserve">auð </w:t>
      </w:r>
      <w:r w:rsidR="00564614" w:rsidRPr="009F7642">
        <w:rPr>
          <w:color w:val="auto"/>
          <w:lang w:val="is-IS"/>
        </w:rPr>
        <w:t>augu, litlar agnir eða b</w:t>
      </w:r>
      <w:r w:rsidR="00B23D0A" w:rsidRPr="009F7642">
        <w:rPr>
          <w:color w:val="auto"/>
          <w:lang w:val="is-IS"/>
        </w:rPr>
        <w:t>lettir fyrir augum, augnverkur,</w:t>
      </w:r>
    </w:p>
    <w:p w14:paraId="26566142" w14:textId="5262A750" w:rsidR="00010ED8" w:rsidRDefault="00201368" w:rsidP="00321CD1">
      <w:pPr>
        <w:numPr>
          <w:ilvl w:val="0"/>
          <w:numId w:val="71"/>
        </w:numPr>
        <w:suppressAutoHyphens/>
        <w:spacing w:after="0" w:line="240" w:lineRule="auto"/>
        <w:ind w:left="567" w:hanging="567"/>
        <w:rPr>
          <w:color w:val="auto"/>
          <w:lang w:val="is-IS"/>
        </w:rPr>
      </w:pPr>
      <w:r>
        <w:rPr>
          <w:color w:val="auto"/>
          <w:lang w:val="is-IS"/>
        </w:rPr>
        <w:t>b</w:t>
      </w:r>
      <w:r w:rsidRPr="009F7642">
        <w:rPr>
          <w:color w:val="auto"/>
          <w:lang w:val="is-IS"/>
        </w:rPr>
        <w:t xml:space="preserve">lettir </w:t>
      </w:r>
      <w:r w:rsidR="00564614" w:rsidRPr="009F7642">
        <w:rPr>
          <w:color w:val="auto"/>
          <w:lang w:val="is-IS"/>
        </w:rPr>
        <w:t>með leiftrum fyrir augum, sem geta leitt til sjónskerð</w:t>
      </w:r>
      <w:r w:rsidR="00B23D0A" w:rsidRPr="009F7642">
        <w:rPr>
          <w:color w:val="auto"/>
          <w:lang w:val="is-IS"/>
        </w:rPr>
        <w:t>ingar,</w:t>
      </w:r>
    </w:p>
    <w:p w14:paraId="5ADDE862" w14:textId="3F2F89C6" w:rsidR="005F36F3" w:rsidRPr="009F7642" w:rsidRDefault="00201368" w:rsidP="00321CD1">
      <w:pPr>
        <w:numPr>
          <w:ilvl w:val="0"/>
          <w:numId w:val="71"/>
        </w:numPr>
        <w:suppressAutoHyphens/>
        <w:spacing w:after="0" w:line="240" w:lineRule="auto"/>
        <w:ind w:left="567" w:hanging="567"/>
        <w:rPr>
          <w:color w:val="auto"/>
          <w:lang w:val="is-IS"/>
        </w:rPr>
      </w:pPr>
      <w:r>
        <w:rPr>
          <w:color w:val="auto"/>
          <w:lang w:val="is-IS"/>
        </w:rPr>
        <w:t>a</w:t>
      </w:r>
      <w:r w:rsidRPr="009F7642">
        <w:rPr>
          <w:color w:val="auto"/>
          <w:lang w:val="is-IS"/>
        </w:rPr>
        <w:t xml:space="preserve">ukinn </w:t>
      </w:r>
      <w:r w:rsidR="00B23D0A" w:rsidRPr="009F7642">
        <w:rPr>
          <w:color w:val="auto"/>
          <w:lang w:val="is-IS"/>
        </w:rPr>
        <w:t>augnþrýstingur,</w:t>
      </w:r>
    </w:p>
    <w:p w14:paraId="0E28D56A" w14:textId="31EC9A9B" w:rsidR="005F36F3" w:rsidRPr="009F7642" w:rsidRDefault="00201368" w:rsidP="00321CD1">
      <w:pPr>
        <w:numPr>
          <w:ilvl w:val="0"/>
          <w:numId w:val="71"/>
        </w:numPr>
        <w:suppressAutoHyphens/>
        <w:spacing w:after="0" w:line="240" w:lineRule="auto"/>
        <w:ind w:left="567" w:hanging="567"/>
        <w:rPr>
          <w:color w:val="auto"/>
          <w:lang w:val="is-IS"/>
        </w:rPr>
      </w:pPr>
      <w:r>
        <w:rPr>
          <w:color w:val="auto"/>
          <w:lang w:val="is-IS"/>
        </w:rPr>
        <w:t>b</w:t>
      </w:r>
      <w:r w:rsidRPr="009F7642">
        <w:rPr>
          <w:color w:val="auto"/>
          <w:lang w:val="is-IS"/>
        </w:rPr>
        <w:t xml:space="preserve">læðing </w:t>
      </w:r>
      <w:r w:rsidR="00B23D0A" w:rsidRPr="009F7642">
        <w:rPr>
          <w:color w:val="auto"/>
          <w:lang w:val="is-IS"/>
        </w:rPr>
        <w:t>í auga.</w:t>
      </w:r>
    </w:p>
    <w:p w14:paraId="4F9006DE" w14:textId="77777777" w:rsidR="005F36F3" w:rsidRPr="009F7642" w:rsidRDefault="005F36F3" w:rsidP="0073217C">
      <w:pPr>
        <w:suppressAutoHyphens/>
        <w:spacing w:after="0" w:line="259" w:lineRule="auto"/>
        <w:ind w:left="1" w:firstLine="0"/>
        <w:rPr>
          <w:color w:val="auto"/>
          <w:lang w:val="is-IS"/>
        </w:rPr>
      </w:pPr>
    </w:p>
    <w:p w14:paraId="636457CD" w14:textId="77777777" w:rsidR="005F36F3" w:rsidRPr="00C522CB" w:rsidRDefault="00B23D0A" w:rsidP="0073217C">
      <w:pPr>
        <w:keepNext/>
        <w:suppressAutoHyphens/>
        <w:spacing w:after="0" w:line="259" w:lineRule="auto"/>
        <w:ind w:left="0" w:firstLine="0"/>
        <w:rPr>
          <w:b/>
          <w:color w:val="auto"/>
          <w:lang w:val="is-IS"/>
        </w:rPr>
      </w:pPr>
      <w:r w:rsidRPr="00C522CB">
        <w:rPr>
          <w:b/>
          <w:color w:val="auto"/>
          <w:lang w:val="is-IS"/>
        </w:rPr>
        <w:t>Tilkynning aukaverkana</w:t>
      </w:r>
    </w:p>
    <w:p w14:paraId="1B89358E" w14:textId="77777777" w:rsidR="00C522CB" w:rsidRDefault="00C522CB" w:rsidP="007309A2">
      <w:pPr>
        <w:keepNext/>
        <w:suppressAutoHyphens/>
        <w:spacing w:after="0" w:line="259" w:lineRule="auto"/>
        <w:ind w:left="0" w:firstLine="0"/>
        <w:rPr>
          <w:color w:val="auto"/>
          <w:lang w:val="is-IS"/>
        </w:rPr>
      </w:pPr>
    </w:p>
    <w:p w14:paraId="79D85981" w14:textId="77777777" w:rsidR="006C06D6" w:rsidRPr="009F7642" w:rsidRDefault="00564614" w:rsidP="0073217C">
      <w:pPr>
        <w:suppressAutoHyphens/>
        <w:spacing w:after="0" w:line="259" w:lineRule="auto"/>
        <w:ind w:left="1" w:firstLine="0"/>
        <w:rPr>
          <w:color w:val="auto"/>
          <w:lang w:val="is-IS"/>
        </w:rPr>
      </w:pPr>
      <w:r w:rsidRPr="00C522CB">
        <w:rPr>
          <w:color w:val="auto"/>
          <w:lang w:val="is-IS"/>
        </w:rPr>
        <w:t>Látið lækninn</w:t>
      </w:r>
      <w:r w:rsidRPr="009F7642">
        <w:rPr>
          <w:color w:val="auto"/>
          <w:lang w:val="is-IS"/>
        </w:rPr>
        <w:t xml:space="preserve">, lyfjafræðing eða hjúkrunarfræðinginn vita um allar aukaverkanir. Þetta gildir einnig um aukaverkanir sem ekki er minnst á í þessum fylgiseðli. Einnig er hægt að tilkynna aukaverkanir beint </w:t>
      </w:r>
      <w:r w:rsidR="00494A23" w:rsidRPr="00DC4128">
        <w:rPr>
          <w:color w:val="auto"/>
          <w:highlight w:val="lightGray"/>
          <w:lang w:val="is-IS"/>
        </w:rPr>
        <w:t xml:space="preserve">samkvæmt fyrirkomulagi sem gildir í hverju landi fyrir sig, sjá </w:t>
      </w:r>
      <w:r w:rsidR="00494A23">
        <w:fldChar w:fldCharType="begin"/>
      </w:r>
      <w:r w:rsidR="00494A23" w:rsidRPr="00777A07">
        <w:rPr>
          <w:lang w:val="is-IS"/>
        </w:rPr>
        <w:instrText>HYPERLINK "http://www.ema.europa.eu/docs/en_GB/document_library/Template_or_form/2013/03/WC500139752.doc"</w:instrText>
      </w:r>
      <w:r w:rsidR="00494A23">
        <w:fldChar w:fldCharType="separate"/>
      </w:r>
      <w:r w:rsidR="00494A23" w:rsidRPr="00DC4128">
        <w:rPr>
          <w:color w:val="0000FF"/>
          <w:highlight w:val="lightGray"/>
          <w:u w:val="single"/>
          <w:lang w:val="is-IS"/>
        </w:rPr>
        <w:t>Appendix V</w:t>
      </w:r>
      <w:r w:rsidR="00494A23">
        <w:fldChar w:fldCharType="end"/>
      </w:r>
      <w:hyperlink r:id="rId13">
        <w:r w:rsidRPr="009F7642">
          <w:rPr>
            <w:color w:val="auto"/>
            <w:lang w:val="is-IS"/>
          </w:rPr>
          <w:t>.</w:t>
        </w:r>
      </w:hyperlink>
      <w:r w:rsidRPr="009F7642">
        <w:rPr>
          <w:color w:val="auto"/>
          <w:lang w:val="is-IS"/>
        </w:rPr>
        <w:t xml:space="preserve"> Með því að tilkynna aukaverkanir er hægt að hjálpa til við að auka upplýsingar um öryggi lyfsins.</w:t>
      </w:r>
    </w:p>
    <w:p w14:paraId="7BEEB0A8" w14:textId="77777777" w:rsidR="005F36F3" w:rsidRPr="009F7642" w:rsidRDefault="005F36F3" w:rsidP="0073217C">
      <w:pPr>
        <w:suppressAutoHyphens/>
        <w:spacing w:after="0" w:line="240" w:lineRule="auto"/>
        <w:ind w:left="0" w:firstLine="0"/>
        <w:rPr>
          <w:color w:val="auto"/>
          <w:lang w:val="is-IS"/>
        </w:rPr>
      </w:pPr>
    </w:p>
    <w:p w14:paraId="0EFC148C" w14:textId="77777777" w:rsidR="005F36F3" w:rsidRPr="009F7642" w:rsidRDefault="005F36F3" w:rsidP="0073217C">
      <w:pPr>
        <w:suppressAutoHyphens/>
        <w:spacing w:after="0" w:line="240" w:lineRule="auto"/>
        <w:ind w:left="0" w:firstLine="0"/>
        <w:rPr>
          <w:color w:val="auto"/>
          <w:lang w:val="is-IS"/>
        </w:rPr>
      </w:pPr>
    </w:p>
    <w:p w14:paraId="77ACE78B" w14:textId="77777777" w:rsidR="006C06D6" w:rsidRPr="003A1B7D" w:rsidRDefault="00C96327" w:rsidP="0073217C">
      <w:pPr>
        <w:keepNext/>
        <w:suppressAutoHyphens/>
        <w:spacing w:after="0" w:line="240" w:lineRule="auto"/>
        <w:ind w:left="567" w:hanging="567"/>
        <w:rPr>
          <w:b/>
          <w:color w:val="auto"/>
          <w:lang w:val="is-IS"/>
        </w:rPr>
      </w:pPr>
      <w:r w:rsidRPr="003A1B7D">
        <w:rPr>
          <w:b/>
          <w:color w:val="auto"/>
          <w:lang w:val="is-IS"/>
        </w:rPr>
        <w:t>5.</w:t>
      </w:r>
      <w:r w:rsidR="00564614" w:rsidRPr="003A1B7D">
        <w:rPr>
          <w:b/>
          <w:color w:val="auto"/>
          <w:lang w:val="is-IS"/>
        </w:rPr>
        <w:tab/>
        <w:t xml:space="preserve">Hvernig geyma á </w:t>
      </w:r>
      <w:r w:rsidR="001764F7" w:rsidRPr="00F2274F">
        <w:rPr>
          <w:b/>
          <w:noProof/>
          <w:lang w:val="is-IS"/>
        </w:rPr>
        <w:t>MVASI</w:t>
      </w:r>
    </w:p>
    <w:p w14:paraId="3F3BB18A" w14:textId="77777777" w:rsidR="005F36F3" w:rsidRPr="009F7642" w:rsidRDefault="005F36F3" w:rsidP="0073217C">
      <w:pPr>
        <w:keepNext/>
        <w:suppressAutoHyphens/>
        <w:spacing w:after="0" w:line="240" w:lineRule="auto"/>
        <w:ind w:left="0" w:firstLine="0"/>
        <w:rPr>
          <w:color w:val="auto"/>
          <w:lang w:val="is-IS"/>
        </w:rPr>
      </w:pPr>
    </w:p>
    <w:p w14:paraId="7016C04A"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Geymið lyfið þar sem börn hvorki ná til né sjá.</w:t>
      </w:r>
    </w:p>
    <w:p w14:paraId="33DBC9D3" w14:textId="77777777" w:rsidR="005F36F3" w:rsidRPr="009F7642" w:rsidRDefault="005F36F3" w:rsidP="0073217C">
      <w:pPr>
        <w:suppressAutoHyphens/>
        <w:spacing w:after="0" w:line="240" w:lineRule="auto"/>
        <w:ind w:left="0" w:firstLine="0"/>
        <w:rPr>
          <w:color w:val="auto"/>
          <w:lang w:val="is-IS"/>
        </w:rPr>
      </w:pPr>
    </w:p>
    <w:p w14:paraId="11DA6FB5"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Ekki skal nota lyfið eftir fyrningardagsetningu sem tilgreind er á ytri öskju og merkimiða á hettuglasi</w:t>
      </w:r>
      <w:r w:rsidR="00F55881">
        <w:rPr>
          <w:color w:val="auto"/>
          <w:lang w:val="is-IS"/>
        </w:rPr>
        <w:t xml:space="preserve"> </w:t>
      </w:r>
      <w:r w:rsidR="00F55881" w:rsidRPr="00504296">
        <w:rPr>
          <w:color w:val="auto"/>
          <w:lang w:val="is-IS"/>
        </w:rPr>
        <w:t>á eftir EXP</w:t>
      </w:r>
      <w:r w:rsidRPr="009F7642">
        <w:rPr>
          <w:color w:val="auto"/>
          <w:lang w:val="is-IS"/>
        </w:rPr>
        <w:t>. Fyrningardagsetning er síðasti dagur mánaðarins sem þar kemur fram.</w:t>
      </w:r>
    </w:p>
    <w:p w14:paraId="03FC343F" w14:textId="77777777" w:rsidR="00B23D0A" w:rsidRPr="009F7642" w:rsidRDefault="00B23D0A" w:rsidP="0073217C">
      <w:pPr>
        <w:suppressAutoHyphens/>
        <w:spacing w:after="0" w:line="240" w:lineRule="auto"/>
        <w:ind w:left="0" w:firstLine="0"/>
        <w:rPr>
          <w:color w:val="auto"/>
          <w:lang w:val="is-IS"/>
        </w:rPr>
      </w:pPr>
    </w:p>
    <w:p w14:paraId="7D6CFEEB" w14:textId="77777777" w:rsidR="005F36F3" w:rsidRPr="009F7642" w:rsidRDefault="00B23D0A" w:rsidP="0073217C">
      <w:pPr>
        <w:suppressAutoHyphens/>
        <w:spacing w:after="0" w:line="240" w:lineRule="auto"/>
        <w:ind w:left="0" w:firstLine="0"/>
        <w:rPr>
          <w:color w:val="auto"/>
          <w:lang w:val="is-IS"/>
        </w:rPr>
      </w:pPr>
      <w:r w:rsidRPr="009F7642">
        <w:rPr>
          <w:color w:val="auto"/>
          <w:lang w:val="is-IS"/>
        </w:rPr>
        <w:t>Geymið í kæli (2°C</w:t>
      </w:r>
      <w:r w:rsidR="00CC082C">
        <w:rPr>
          <w:color w:val="auto"/>
          <w:lang w:val="is-IS"/>
        </w:rPr>
        <w:t> </w:t>
      </w:r>
      <w:r w:rsidRPr="009F7642">
        <w:rPr>
          <w:color w:val="auto"/>
          <w:lang w:val="is-IS"/>
        </w:rPr>
        <w:t>-</w:t>
      </w:r>
      <w:r w:rsidR="00CC082C">
        <w:rPr>
          <w:color w:val="auto"/>
          <w:lang w:val="is-IS"/>
        </w:rPr>
        <w:t> </w:t>
      </w:r>
      <w:r w:rsidRPr="009F7642">
        <w:rPr>
          <w:color w:val="auto"/>
          <w:lang w:val="is-IS"/>
        </w:rPr>
        <w:t>8°C).</w:t>
      </w:r>
    </w:p>
    <w:p w14:paraId="597C79C0" w14:textId="77777777" w:rsidR="005F36F3" w:rsidRPr="009F7642" w:rsidRDefault="00B62FA7" w:rsidP="0073217C">
      <w:pPr>
        <w:suppressAutoHyphens/>
        <w:spacing w:after="0" w:line="240" w:lineRule="auto"/>
        <w:ind w:left="0" w:firstLine="0"/>
        <w:rPr>
          <w:color w:val="auto"/>
          <w:lang w:val="is-IS"/>
        </w:rPr>
      </w:pPr>
      <w:r w:rsidRPr="009F7642">
        <w:rPr>
          <w:color w:val="auto"/>
          <w:lang w:val="is-IS"/>
        </w:rPr>
        <w:t>Má ekki frjósa.</w:t>
      </w:r>
    </w:p>
    <w:p w14:paraId="1757A8AC"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Geymið hettuglasið í ytri umbúðum til varnar gegn ljósi.</w:t>
      </w:r>
    </w:p>
    <w:p w14:paraId="18EE93DF" w14:textId="77777777" w:rsidR="005F36F3" w:rsidRPr="009F7642" w:rsidRDefault="005F36F3" w:rsidP="0073217C">
      <w:pPr>
        <w:suppressAutoHyphens/>
        <w:spacing w:after="0" w:line="240" w:lineRule="auto"/>
        <w:ind w:left="0" w:firstLine="0"/>
        <w:rPr>
          <w:color w:val="auto"/>
          <w:lang w:val="is-IS"/>
        </w:rPr>
      </w:pPr>
    </w:p>
    <w:p w14:paraId="13AB8D22" w14:textId="77777777" w:rsidR="005C6A86" w:rsidRDefault="00564614" w:rsidP="005C6A86">
      <w:pPr>
        <w:suppressAutoHyphens/>
        <w:spacing w:after="0" w:line="240" w:lineRule="auto"/>
        <w:ind w:left="0" w:firstLine="0"/>
        <w:rPr>
          <w:color w:val="auto"/>
          <w:lang w:val="is-IS"/>
        </w:rPr>
      </w:pPr>
      <w:r w:rsidRPr="009F7642">
        <w:rPr>
          <w:color w:val="auto"/>
          <w:lang w:val="is-IS"/>
        </w:rPr>
        <w:t xml:space="preserve">Innrennslislausnir á að nota tafarlaust eftir þynningu. </w:t>
      </w:r>
      <w:r w:rsidR="005C6A86">
        <w:rPr>
          <w:color w:val="auto"/>
          <w:lang w:val="is-IS"/>
        </w:rPr>
        <w:t xml:space="preserve">Ef </w:t>
      </w:r>
      <w:r w:rsidR="005C6A86">
        <w:rPr>
          <w:lang w:val="is-IS"/>
        </w:rPr>
        <w:t>lausnin er ekki notuð tafarlaust eru geymslutími og geymsluskilyrði við notkun á ábyrgð notandans og á yfirleitt ekki að geyma lausnina lengur en í 24 klukkustundir við 2°C til 8°C, nema innrennslislausnir hafi verið útbúnar í dauðhreinsuðu umhverfi. Ef lyfið hefur verið þynnt í dauðhreinsuðu umhverfi er MVASI stöðugt í 35 daga við 2°C til 8°C og 48 klukkustundir til viðbótar við hitastig sem er ekki hærra en 30°C</w:t>
      </w:r>
      <w:r w:rsidR="005C6A86">
        <w:rPr>
          <w:color w:val="auto"/>
          <w:lang w:val="is-IS"/>
        </w:rPr>
        <w:t>.</w:t>
      </w:r>
    </w:p>
    <w:p w14:paraId="375210E4" w14:textId="77777777" w:rsidR="005C6A86" w:rsidRDefault="005C6A86" w:rsidP="005C6A86">
      <w:pPr>
        <w:suppressAutoHyphens/>
        <w:spacing w:after="0" w:line="240" w:lineRule="auto"/>
        <w:ind w:left="0" w:firstLine="0"/>
        <w:rPr>
          <w:color w:val="auto"/>
          <w:lang w:val="is-IS"/>
        </w:rPr>
      </w:pPr>
    </w:p>
    <w:p w14:paraId="625ED5DD"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 xml:space="preserve">Ekki nota </w:t>
      </w:r>
      <w:r w:rsidR="001764F7" w:rsidRPr="00F2274F">
        <w:rPr>
          <w:rFonts w:eastAsia="SimSun"/>
          <w:lang w:val="is-IS" w:eastAsia="en-GB"/>
        </w:rPr>
        <w:t>MVASI</w:t>
      </w:r>
      <w:r w:rsidRPr="009F7642">
        <w:rPr>
          <w:color w:val="auto"/>
          <w:lang w:val="is-IS"/>
        </w:rPr>
        <w:t xml:space="preserve"> ef þú tekur eftir ögnum</w:t>
      </w:r>
      <w:r w:rsidR="00B62FA7" w:rsidRPr="009F7642">
        <w:rPr>
          <w:color w:val="auto"/>
          <w:lang w:val="is-IS"/>
        </w:rPr>
        <w:t xml:space="preserve"> eða upplitun fyrir lyfjagjöf.</w:t>
      </w:r>
    </w:p>
    <w:p w14:paraId="6B3F73B9" w14:textId="77777777" w:rsidR="005F36F3" w:rsidRPr="009F7642" w:rsidRDefault="005F36F3" w:rsidP="0073217C">
      <w:pPr>
        <w:suppressAutoHyphens/>
        <w:spacing w:after="0" w:line="240" w:lineRule="auto"/>
        <w:ind w:left="0" w:firstLine="0"/>
        <w:rPr>
          <w:color w:val="auto"/>
          <w:lang w:val="is-IS"/>
        </w:rPr>
      </w:pPr>
    </w:p>
    <w:p w14:paraId="7C476462" w14:textId="77777777" w:rsidR="006C06D6" w:rsidRPr="009F7642" w:rsidRDefault="00564614" w:rsidP="0073217C">
      <w:pPr>
        <w:suppressAutoHyphens/>
        <w:spacing w:after="0" w:line="240" w:lineRule="auto"/>
        <w:ind w:left="0" w:firstLine="0"/>
        <w:rPr>
          <w:color w:val="auto"/>
          <w:lang w:val="is-IS"/>
        </w:rPr>
      </w:pPr>
      <w:r w:rsidRPr="009F7642">
        <w:rPr>
          <w:color w:val="auto"/>
          <w:lang w:val="is-IS"/>
        </w:rPr>
        <w:t>Ekki má skola lyfjum niður í frárennslislagnir eða fleygja þeim með heimilissorpi. Leitið ráða í apóteki um hvernig heppilegast er að farga lyfjum sem hætt er að nota. Markmiðið er að vernda umhverfið.</w:t>
      </w:r>
    </w:p>
    <w:p w14:paraId="59E2FE42" w14:textId="77777777" w:rsidR="005F36F3" w:rsidRPr="009F7642" w:rsidRDefault="005F36F3" w:rsidP="0073217C">
      <w:pPr>
        <w:suppressAutoHyphens/>
        <w:spacing w:after="0" w:line="240" w:lineRule="auto"/>
        <w:ind w:left="0" w:firstLine="0"/>
        <w:rPr>
          <w:color w:val="auto"/>
          <w:lang w:val="is-IS"/>
        </w:rPr>
      </w:pPr>
    </w:p>
    <w:p w14:paraId="74411126" w14:textId="77777777" w:rsidR="005F36F3" w:rsidRPr="009F7642" w:rsidRDefault="005F36F3" w:rsidP="0073217C">
      <w:pPr>
        <w:keepNext/>
        <w:suppressAutoHyphens/>
        <w:spacing w:after="0" w:line="240" w:lineRule="auto"/>
        <w:ind w:left="0" w:firstLine="0"/>
        <w:rPr>
          <w:color w:val="auto"/>
          <w:lang w:val="is-IS"/>
        </w:rPr>
      </w:pPr>
    </w:p>
    <w:p w14:paraId="7F3BE393" w14:textId="77777777" w:rsidR="006C06D6" w:rsidRPr="003A1B7D" w:rsidRDefault="00044705" w:rsidP="0073217C">
      <w:pPr>
        <w:keepNext/>
        <w:suppressAutoHyphens/>
        <w:spacing w:after="0" w:line="240" w:lineRule="auto"/>
        <w:ind w:left="567" w:hanging="567"/>
        <w:rPr>
          <w:b/>
          <w:color w:val="auto"/>
          <w:lang w:val="is-IS"/>
        </w:rPr>
      </w:pPr>
      <w:r w:rsidRPr="003A1B7D">
        <w:rPr>
          <w:b/>
          <w:color w:val="auto"/>
          <w:lang w:val="is-IS"/>
        </w:rPr>
        <w:t>6.</w:t>
      </w:r>
      <w:r w:rsidRPr="003A1B7D">
        <w:rPr>
          <w:b/>
          <w:color w:val="auto"/>
          <w:lang w:val="is-IS"/>
        </w:rPr>
        <w:tab/>
      </w:r>
      <w:r w:rsidR="00564614" w:rsidRPr="003A1B7D">
        <w:rPr>
          <w:b/>
          <w:color w:val="auto"/>
          <w:lang w:val="is-IS"/>
        </w:rPr>
        <w:t>Pakkningar og aðrar upplýsingar</w:t>
      </w:r>
    </w:p>
    <w:p w14:paraId="37967983" w14:textId="77777777" w:rsidR="005F36F3" w:rsidRPr="009F7642" w:rsidRDefault="005F36F3" w:rsidP="0073217C">
      <w:pPr>
        <w:keepNext/>
        <w:suppressAutoHyphens/>
        <w:spacing w:after="0" w:line="240" w:lineRule="auto"/>
        <w:ind w:left="0" w:firstLine="0"/>
        <w:rPr>
          <w:color w:val="auto"/>
          <w:lang w:val="is-IS"/>
        </w:rPr>
      </w:pPr>
    </w:p>
    <w:p w14:paraId="22C05ADA" w14:textId="77777777" w:rsidR="006C06D6" w:rsidRPr="003A1B7D" w:rsidRDefault="001764F7" w:rsidP="0073217C">
      <w:pPr>
        <w:keepNext/>
        <w:suppressAutoHyphens/>
        <w:spacing w:after="0" w:line="240" w:lineRule="auto"/>
        <w:ind w:left="0" w:firstLine="0"/>
        <w:rPr>
          <w:b/>
          <w:color w:val="auto"/>
          <w:lang w:val="is-IS"/>
        </w:rPr>
      </w:pPr>
      <w:r w:rsidRPr="00F2274F">
        <w:rPr>
          <w:rFonts w:eastAsia="SimSun"/>
          <w:b/>
          <w:lang w:val="is-IS" w:eastAsia="en-GB"/>
        </w:rPr>
        <w:t>MVASI</w:t>
      </w:r>
      <w:r w:rsidR="00564614" w:rsidRPr="003A1B7D">
        <w:rPr>
          <w:b/>
          <w:color w:val="auto"/>
          <w:lang w:val="is-IS"/>
        </w:rPr>
        <w:t xml:space="preserve"> inniheldur</w:t>
      </w:r>
    </w:p>
    <w:p w14:paraId="486A22E1" w14:textId="358F82C2" w:rsidR="005F36F3" w:rsidRPr="009F7642" w:rsidRDefault="00564614" w:rsidP="00321CD1">
      <w:pPr>
        <w:numPr>
          <w:ilvl w:val="0"/>
          <w:numId w:val="72"/>
        </w:numPr>
        <w:suppressAutoHyphens/>
        <w:spacing w:after="0" w:line="240" w:lineRule="auto"/>
        <w:ind w:hanging="567"/>
        <w:rPr>
          <w:color w:val="auto"/>
          <w:lang w:val="is-IS"/>
        </w:rPr>
      </w:pPr>
      <w:r w:rsidRPr="009F7642">
        <w:rPr>
          <w:color w:val="auto"/>
          <w:lang w:val="is-IS"/>
        </w:rPr>
        <w:t xml:space="preserve">Virka innihaldsefnið er bevacízúmab. </w:t>
      </w:r>
      <w:r w:rsidR="009D2BA1" w:rsidRPr="009F7642">
        <w:rPr>
          <w:color w:val="auto"/>
          <w:lang w:val="is-IS"/>
        </w:rPr>
        <w:t>Hver ml af þykkni inniheldur 25 </w:t>
      </w:r>
      <w:r w:rsidRPr="009F7642">
        <w:rPr>
          <w:color w:val="auto"/>
          <w:lang w:val="is-IS"/>
        </w:rPr>
        <w:t>mg af bevacízúm</w:t>
      </w:r>
      <w:r w:rsidR="009D2BA1" w:rsidRPr="009F7642">
        <w:rPr>
          <w:color w:val="auto"/>
          <w:lang w:val="is-IS"/>
        </w:rPr>
        <w:t>abi.</w:t>
      </w:r>
    </w:p>
    <w:p w14:paraId="2AC8E8BB" w14:textId="30D7A50A" w:rsidR="00044705" w:rsidRPr="009F7642" w:rsidRDefault="009D2BA1" w:rsidP="00B0370E">
      <w:pPr>
        <w:suppressAutoHyphens/>
        <w:spacing w:after="0" w:line="240" w:lineRule="auto"/>
        <w:ind w:left="566" w:firstLine="0"/>
        <w:rPr>
          <w:color w:val="auto"/>
          <w:lang w:val="is-IS"/>
        </w:rPr>
      </w:pPr>
      <w:r w:rsidRPr="009F7642">
        <w:rPr>
          <w:color w:val="auto"/>
          <w:lang w:val="is-IS"/>
        </w:rPr>
        <w:t xml:space="preserve">Hvert hettuglas </w:t>
      </w:r>
      <w:r w:rsidR="007626E5">
        <w:rPr>
          <w:color w:val="auto"/>
          <w:lang w:val="is-IS"/>
        </w:rPr>
        <w:t>með 4</w:t>
      </w:r>
      <w:r w:rsidR="007626E5" w:rsidRPr="009F7642">
        <w:rPr>
          <w:color w:val="auto"/>
          <w:lang w:val="is-IS"/>
        </w:rPr>
        <w:t xml:space="preserve"> ml </w:t>
      </w:r>
      <w:r w:rsidR="007626E5">
        <w:rPr>
          <w:color w:val="auto"/>
          <w:lang w:val="is-IS"/>
        </w:rPr>
        <w:t xml:space="preserve">þykkni </w:t>
      </w:r>
      <w:r w:rsidRPr="009F7642">
        <w:rPr>
          <w:color w:val="auto"/>
          <w:lang w:val="is-IS"/>
        </w:rPr>
        <w:t>inniheldur 100 </w:t>
      </w:r>
      <w:r w:rsidR="00044705" w:rsidRPr="009F7642">
        <w:rPr>
          <w:color w:val="auto"/>
          <w:lang w:val="is-IS"/>
        </w:rPr>
        <w:t xml:space="preserve">mg af </w:t>
      </w:r>
      <w:r w:rsidRPr="009F7642">
        <w:rPr>
          <w:color w:val="auto"/>
          <w:lang w:val="is-IS"/>
        </w:rPr>
        <w:t>bevacízúmabi, sem samsvarar 1,4 </w:t>
      </w:r>
      <w:r w:rsidR="00044705" w:rsidRPr="009F7642">
        <w:rPr>
          <w:color w:val="auto"/>
          <w:lang w:val="is-IS"/>
        </w:rPr>
        <w:t xml:space="preserve">mg/ml þegar </w:t>
      </w:r>
      <w:r w:rsidRPr="009F7642">
        <w:rPr>
          <w:color w:val="auto"/>
          <w:lang w:val="is-IS"/>
        </w:rPr>
        <w:t>þynnt er samkvæmt ráðleggingum.</w:t>
      </w:r>
    </w:p>
    <w:p w14:paraId="78952359" w14:textId="375F9024" w:rsidR="00044705" w:rsidRPr="009F7642" w:rsidRDefault="009D2BA1" w:rsidP="00B0370E">
      <w:pPr>
        <w:suppressAutoHyphens/>
        <w:spacing w:after="0" w:line="240" w:lineRule="auto"/>
        <w:ind w:left="566" w:firstLine="0"/>
        <w:rPr>
          <w:color w:val="auto"/>
          <w:lang w:val="is-IS"/>
        </w:rPr>
      </w:pPr>
      <w:r w:rsidRPr="009F7642">
        <w:rPr>
          <w:color w:val="auto"/>
          <w:lang w:val="is-IS"/>
        </w:rPr>
        <w:lastRenderedPageBreak/>
        <w:t xml:space="preserve">Hvert hettuglas </w:t>
      </w:r>
      <w:r w:rsidR="007626E5">
        <w:rPr>
          <w:color w:val="auto"/>
          <w:lang w:val="is-IS"/>
        </w:rPr>
        <w:t xml:space="preserve">með </w:t>
      </w:r>
      <w:r w:rsidR="007626E5" w:rsidRPr="009F7642">
        <w:rPr>
          <w:color w:val="auto"/>
          <w:lang w:val="is-IS"/>
        </w:rPr>
        <w:t xml:space="preserve">16 ml </w:t>
      </w:r>
      <w:r w:rsidR="007626E5">
        <w:rPr>
          <w:color w:val="auto"/>
          <w:lang w:val="is-IS"/>
        </w:rPr>
        <w:t xml:space="preserve">þykkni </w:t>
      </w:r>
      <w:r w:rsidRPr="009F7642">
        <w:rPr>
          <w:color w:val="auto"/>
          <w:lang w:val="is-IS"/>
        </w:rPr>
        <w:t>inniheldur 400 </w:t>
      </w:r>
      <w:r w:rsidR="00044705" w:rsidRPr="009F7642">
        <w:rPr>
          <w:color w:val="auto"/>
          <w:lang w:val="is-IS"/>
        </w:rPr>
        <w:t>mg af b</w:t>
      </w:r>
      <w:r w:rsidRPr="009F7642">
        <w:rPr>
          <w:color w:val="auto"/>
          <w:lang w:val="is-IS"/>
        </w:rPr>
        <w:t>evacízúmabi, sem samsvarar 16,5 </w:t>
      </w:r>
      <w:r w:rsidR="00044705" w:rsidRPr="009F7642">
        <w:rPr>
          <w:color w:val="auto"/>
          <w:lang w:val="is-IS"/>
        </w:rPr>
        <w:t xml:space="preserve">mg/ml þegar </w:t>
      </w:r>
      <w:r w:rsidRPr="009F7642">
        <w:rPr>
          <w:color w:val="auto"/>
          <w:lang w:val="is-IS"/>
        </w:rPr>
        <w:t>þynnt er samkvæmt ráðleggingum.</w:t>
      </w:r>
    </w:p>
    <w:p w14:paraId="0C7A103C" w14:textId="44746905" w:rsidR="005F36F3" w:rsidRPr="009F7642" w:rsidRDefault="00564614" w:rsidP="00321CD1">
      <w:pPr>
        <w:numPr>
          <w:ilvl w:val="0"/>
          <w:numId w:val="72"/>
        </w:numPr>
        <w:suppressAutoHyphens/>
        <w:spacing w:after="0" w:line="240" w:lineRule="auto"/>
        <w:ind w:hanging="567"/>
        <w:rPr>
          <w:color w:val="auto"/>
          <w:lang w:val="is-IS"/>
        </w:rPr>
      </w:pPr>
      <w:r w:rsidRPr="009F7642">
        <w:rPr>
          <w:color w:val="auto"/>
          <w:lang w:val="is-IS"/>
        </w:rPr>
        <w:t>Önnur innihaldsefni eru trehalós díhýdrat, natríum fosfat, pólýsor</w:t>
      </w:r>
      <w:r w:rsidR="009D2BA1" w:rsidRPr="009F7642">
        <w:rPr>
          <w:color w:val="auto"/>
          <w:lang w:val="is-IS"/>
        </w:rPr>
        <w:t>bat</w:t>
      </w:r>
      <w:r w:rsidR="00CC082C">
        <w:rPr>
          <w:color w:val="auto"/>
          <w:lang w:val="is-IS"/>
        </w:rPr>
        <w:t> </w:t>
      </w:r>
      <w:r w:rsidR="009D2BA1" w:rsidRPr="009F7642">
        <w:rPr>
          <w:color w:val="auto"/>
          <w:lang w:val="is-IS"/>
        </w:rPr>
        <w:t>20 og vatn fyrir stungulyf</w:t>
      </w:r>
      <w:r w:rsidR="007626E5">
        <w:rPr>
          <w:color w:val="auto"/>
          <w:lang w:val="is-IS"/>
        </w:rPr>
        <w:t xml:space="preserve"> (sjá kafla 2 – MVASI inniheldur natríum)</w:t>
      </w:r>
      <w:r w:rsidR="009D2BA1" w:rsidRPr="009F7642">
        <w:rPr>
          <w:color w:val="auto"/>
          <w:lang w:val="is-IS"/>
        </w:rPr>
        <w:t>.</w:t>
      </w:r>
    </w:p>
    <w:p w14:paraId="41CD8DDC" w14:textId="77777777" w:rsidR="005F36F3" w:rsidRPr="009F7642" w:rsidRDefault="005F36F3" w:rsidP="0073217C">
      <w:pPr>
        <w:suppressAutoHyphens/>
        <w:spacing w:after="0" w:line="240" w:lineRule="auto"/>
        <w:ind w:left="0" w:firstLine="0"/>
        <w:rPr>
          <w:color w:val="auto"/>
          <w:lang w:val="is-IS"/>
        </w:rPr>
      </w:pPr>
    </w:p>
    <w:p w14:paraId="05C81661" w14:textId="77777777" w:rsidR="005F36F3" w:rsidRPr="003A1B7D" w:rsidRDefault="00C522CB" w:rsidP="0073217C">
      <w:pPr>
        <w:keepNext/>
        <w:suppressAutoHyphens/>
        <w:spacing w:after="0" w:line="240" w:lineRule="auto"/>
        <w:ind w:left="0" w:firstLine="0"/>
        <w:rPr>
          <w:b/>
          <w:color w:val="auto"/>
          <w:lang w:val="is-IS"/>
        </w:rPr>
      </w:pPr>
      <w:r w:rsidRPr="00504296">
        <w:rPr>
          <w:b/>
          <w:color w:val="auto"/>
          <w:lang w:val="is-IS"/>
        </w:rPr>
        <w:t xml:space="preserve">Lýsing á </w:t>
      </w:r>
      <w:r w:rsidR="001764F7" w:rsidRPr="00F2274F">
        <w:rPr>
          <w:rFonts w:eastAsia="SimSun"/>
          <w:b/>
          <w:lang w:val="is-IS" w:eastAsia="en-GB"/>
        </w:rPr>
        <w:t>MVASI</w:t>
      </w:r>
      <w:r w:rsidR="00874B63" w:rsidRPr="00504296">
        <w:rPr>
          <w:b/>
          <w:color w:val="auto"/>
          <w:lang w:val="is-IS"/>
        </w:rPr>
        <w:t xml:space="preserve"> og pakkningastærðir</w:t>
      </w:r>
    </w:p>
    <w:p w14:paraId="680F3877" w14:textId="77777777" w:rsidR="00874B63" w:rsidRPr="009F7642" w:rsidRDefault="00874B63" w:rsidP="0073217C">
      <w:pPr>
        <w:keepNext/>
        <w:suppressAutoHyphens/>
        <w:spacing w:after="0" w:line="240" w:lineRule="auto"/>
        <w:ind w:left="0" w:firstLine="0"/>
        <w:rPr>
          <w:color w:val="auto"/>
          <w:lang w:val="is-IS"/>
        </w:rPr>
      </w:pPr>
    </w:p>
    <w:p w14:paraId="2AF61409" w14:textId="77777777" w:rsidR="005F36F3" w:rsidRPr="009F7642" w:rsidRDefault="001764F7" w:rsidP="0073217C">
      <w:pPr>
        <w:suppressAutoHyphens/>
        <w:spacing w:after="0" w:line="240" w:lineRule="auto"/>
        <w:ind w:left="0" w:firstLine="0"/>
        <w:rPr>
          <w:color w:val="auto"/>
          <w:lang w:val="is-IS"/>
        </w:rPr>
      </w:pPr>
      <w:r w:rsidRPr="00F2274F">
        <w:rPr>
          <w:lang w:val="is-IS"/>
        </w:rPr>
        <w:t>MVASI</w:t>
      </w:r>
      <w:r w:rsidR="00564614" w:rsidRPr="009F7642">
        <w:rPr>
          <w:color w:val="auto"/>
          <w:lang w:val="is-IS"/>
        </w:rPr>
        <w:t xml:space="preserve"> er innrennslisþykkni, lausn. Þykkninn er tær eða </w:t>
      </w:r>
      <w:r w:rsidR="00ED1E79">
        <w:rPr>
          <w:color w:val="auto"/>
          <w:lang w:val="is-IS"/>
        </w:rPr>
        <w:t>lítillega ópallýsandi,</w:t>
      </w:r>
      <w:r w:rsidR="00564614" w:rsidRPr="009F7642">
        <w:rPr>
          <w:color w:val="auto"/>
          <w:lang w:val="is-IS"/>
        </w:rPr>
        <w:t xml:space="preserve"> </w:t>
      </w:r>
      <w:r w:rsidR="00ED1E79" w:rsidRPr="009F7642">
        <w:rPr>
          <w:color w:val="auto"/>
          <w:lang w:val="is-IS"/>
        </w:rPr>
        <w:t xml:space="preserve">litlaus </w:t>
      </w:r>
      <w:r w:rsidR="00ED1E79">
        <w:rPr>
          <w:color w:val="auto"/>
          <w:lang w:val="is-IS"/>
        </w:rPr>
        <w:t xml:space="preserve">eða </w:t>
      </w:r>
      <w:r w:rsidR="00D50449">
        <w:rPr>
          <w:color w:val="auto"/>
          <w:lang w:val="is-IS"/>
        </w:rPr>
        <w:t>gulleitur</w:t>
      </w:r>
      <w:r w:rsidR="00ED1E79">
        <w:rPr>
          <w:color w:val="auto"/>
          <w:lang w:val="is-IS"/>
        </w:rPr>
        <w:t xml:space="preserve"> </w:t>
      </w:r>
      <w:r w:rsidR="00564614" w:rsidRPr="009F7642">
        <w:rPr>
          <w:color w:val="auto"/>
          <w:lang w:val="is-IS"/>
        </w:rPr>
        <w:t>vökvi í glerhettuglasi með gúmmítappa. Hvert h</w:t>
      </w:r>
      <w:r w:rsidR="009D2BA1" w:rsidRPr="009F7642">
        <w:rPr>
          <w:color w:val="auto"/>
          <w:lang w:val="is-IS"/>
        </w:rPr>
        <w:t>ettuglas inniheldur 100 </w:t>
      </w:r>
      <w:r w:rsidR="00564614" w:rsidRPr="009F7642">
        <w:rPr>
          <w:color w:val="auto"/>
          <w:lang w:val="is-IS"/>
        </w:rPr>
        <w:t>mg af bevac</w:t>
      </w:r>
      <w:r w:rsidR="00A90C76" w:rsidRPr="009F7642">
        <w:rPr>
          <w:color w:val="auto"/>
          <w:lang w:val="is-IS"/>
        </w:rPr>
        <w:t>ízúmabi í 4 </w:t>
      </w:r>
      <w:r w:rsidR="009D2BA1" w:rsidRPr="009F7642">
        <w:rPr>
          <w:color w:val="auto"/>
          <w:lang w:val="is-IS"/>
        </w:rPr>
        <w:t>ml af lausn eða 400 mg af bevacízúmabi í 16 </w:t>
      </w:r>
      <w:r w:rsidR="00564614" w:rsidRPr="009F7642">
        <w:rPr>
          <w:color w:val="auto"/>
          <w:lang w:val="is-IS"/>
        </w:rPr>
        <w:t xml:space="preserve">ml af lausn. Hver pakkning af </w:t>
      </w:r>
      <w:r w:rsidRPr="00F2274F">
        <w:rPr>
          <w:lang w:val="is-IS"/>
        </w:rPr>
        <w:t>MVASI</w:t>
      </w:r>
      <w:r w:rsidR="00874B63" w:rsidRPr="009F7642">
        <w:rPr>
          <w:color w:val="auto"/>
          <w:lang w:val="is-IS"/>
        </w:rPr>
        <w:t xml:space="preserve"> inniheldur eitt hettuglas.</w:t>
      </w:r>
    </w:p>
    <w:p w14:paraId="3D6B58D7" w14:textId="77777777" w:rsidR="005F36F3" w:rsidRPr="009F7642" w:rsidRDefault="005F36F3" w:rsidP="0073217C">
      <w:pPr>
        <w:suppressAutoHyphens/>
        <w:spacing w:after="0" w:line="240" w:lineRule="auto"/>
        <w:ind w:left="0" w:firstLine="0"/>
        <w:rPr>
          <w:color w:val="auto"/>
          <w:lang w:val="is-IS"/>
        </w:rPr>
      </w:pPr>
    </w:p>
    <w:p w14:paraId="5A3BF317" w14:textId="77777777" w:rsidR="00ED1E79" w:rsidRPr="000E763C" w:rsidRDefault="00ED1E79" w:rsidP="000B055B">
      <w:pPr>
        <w:keepNext/>
        <w:numPr>
          <w:ilvl w:val="12"/>
          <w:numId w:val="0"/>
        </w:numPr>
        <w:spacing w:after="0" w:line="240" w:lineRule="auto"/>
        <w:rPr>
          <w:b/>
          <w:highlight w:val="lightGray"/>
          <w:lang w:val="is-IS"/>
          <w:rPrChange w:id="29" w:author="Author">
            <w:rPr>
              <w:b/>
              <w:lang w:val="is-IS"/>
            </w:rPr>
          </w:rPrChange>
        </w:rPr>
      </w:pPr>
      <w:r w:rsidRPr="000E763C">
        <w:rPr>
          <w:b/>
          <w:highlight w:val="lightGray"/>
          <w:lang w:val="is-IS"/>
          <w:rPrChange w:id="30" w:author="Author">
            <w:rPr>
              <w:b/>
              <w:lang w:val="is-IS"/>
            </w:rPr>
          </w:rPrChange>
        </w:rPr>
        <w:t>Markaðsleyfishafi og framleiðandi</w:t>
      </w:r>
    </w:p>
    <w:p w14:paraId="48E9A208" w14:textId="77777777" w:rsidR="007B76C4" w:rsidRPr="000E763C" w:rsidRDefault="007B76C4" w:rsidP="000B055B">
      <w:pPr>
        <w:keepNext/>
        <w:spacing w:after="0" w:line="240" w:lineRule="auto"/>
        <w:ind w:left="0" w:firstLine="0"/>
        <w:rPr>
          <w:highlight w:val="lightGray"/>
          <w:lang w:val="is-IS"/>
          <w:rPrChange w:id="31" w:author="Author">
            <w:rPr>
              <w:lang w:val="is-IS"/>
            </w:rPr>
          </w:rPrChange>
        </w:rPr>
      </w:pPr>
      <w:bookmarkStart w:id="32" w:name="_Hlk31881085"/>
      <w:r w:rsidRPr="000E763C">
        <w:rPr>
          <w:highlight w:val="lightGray"/>
          <w:lang w:val="is-IS"/>
          <w:rPrChange w:id="33" w:author="Author">
            <w:rPr>
              <w:lang w:val="is-IS"/>
            </w:rPr>
          </w:rPrChange>
        </w:rPr>
        <w:t>Amgen Technology (Ireland) UC,</w:t>
      </w:r>
    </w:p>
    <w:p w14:paraId="45F9DD3B" w14:textId="77777777" w:rsidR="007B76C4" w:rsidRPr="000E763C" w:rsidRDefault="007B76C4" w:rsidP="000B055B">
      <w:pPr>
        <w:keepNext/>
        <w:spacing w:after="0" w:line="240" w:lineRule="auto"/>
        <w:ind w:left="0" w:firstLine="0"/>
        <w:rPr>
          <w:highlight w:val="lightGray"/>
          <w:rPrChange w:id="34" w:author="Author">
            <w:rPr/>
          </w:rPrChange>
        </w:rPr>
      </w:pPr>
      <w:r w:rsidRPr="000E763C">
        <w:rPr>
          <w:highlight w:val="lightGray"/>
          <w:rPrChange w:id="35" w:author="Author">
            <w:rPr/>
          </w:rPrChange>
        </w:rPr>
        <w:t>Pottery Road,</w:t>
      </w:r>
    </w:p>
    <w:p w14:paraId="1DA8EF7C" w14:textId="77777777" w:rsidR="007B76C4" w:rsidRPr="000E763C" w:rsidRDefault="007B76C4" w:rsidP="000B055B">
      <w:pPr>
        <w:keepNext/>
        <w:spacing w:after="0" w:line="240" w:lineRule="auto"/>
        <w:ind w:left="0" w:firstLine="0"/>
        <w:rPr>
          <w:highlight w:val="lightGray"/>
          <w:rPrChange w:id="36" w:author="Author">
            <w:rPr/>
          </w:rPrChange>
        </w:rPr>
      </w:pPr>
      <w:r w:rsidRPr="000E763C">
        <w:rPr>
          <w:highlight w:val="lightGray"/>
          <w:rPrChange w:id="37" w:author="Author">
            <w:rPr/>
          </w:rPrChange>
        </w:rPr>
        <w:t>Dun Laoghaire,</w:t>
      </w:r>
    </w:p>
    <w:p w14:paraId="74F833B9" w14:textId="77777777" w:rsidR="007B76C4" w:rsidRPr="000E763C" w:rsidRDefault="007B76C4" w:rsidP="000B055B">
      <w:pPr>
        <w:keepNext/>
        <w:spacing w:after="0" w:line="240" w:lineRule="auto"/>
        <w:ind w:left="0" w:firstLine="0"/>
        <w:rPr>
          <w:highlight w:val="lightGray"/>
          <w:rPrChange w:id="38" w:author="Author">
            <w:rPr/>
          </w:rPrChange>
        </w:rPr>
      </w:pPr>
      <w:r w:rsidRPr="000E763C">
        <w:rPr>
          <w:highlight w:val="lightGray"/>
          <w:rPrChange w:id="39" w:author="Author">
            <w:rPr/>
          </w:rPrChange>
        </w:rPr>
        <w:t>Co. Dublin,</w:t>
      </w:r>
    </w:p>
    <w:bookmarkEnd w:id="32"/>
    <w:p w14:paraId="70E52B94" w14:textId="77777777" w:rsidR="007B76C4" w:rsidRPr="00DE2F73" w:rsidRDefault="007B76C4" w:rsidP="000B055B">
      <w:pPr>
        <w:widowControl w:val="0"/>
        <w:autoSpaceDE w:val="0"/>
        <w:autoSpaceDN w:val="0"/>
        <w:adjustRightInd w:val="0"/>
        <w:spacing w:after="0" w:line="240" w:lineRule="auto"/>
        <w:ind w:left="0" w:firstLine="0"/>
      </w:pPr>
      <w:proofErr w:type="spellStart"/>
      <w:r w:rsidRPr="000E763C">
        <w:rPr>
          <w:highlight w:val="lightGray"/>
          <w:rPrChange w:id="40" w:author="Author">
            <w:rPr/>
          </w:rPrChange>
        </w:rPr>
        <w:t>Írland</w:t>
      </w:r>
      <w:proofErr w:type="spellEnd"/>
    </w:p>
    <w:p w14:paraId="22C5B1D9" w14:textId="77777777" w:rsidR="00ED1E79" w:rsidRPr="00B0370E" w:rsidRDefault="00ED1E79" w:rsidP="000B055B">
      <w:pPr>
        <w:pStyle w:val="Default"/>
        <w:rPr>
          <w:lang w:val="en-US"/>
        </w:rPr>
      </w:pPr>
    </w:p>
    <w:p w14:paraId="154486A9" w14:textId="77777777" w:rsidR="00ED1E79" w:rsidRPr="000E763C" w:rsidRDefault="00ED1E79" w:rsidP="000B055B">
      <w:pPr>
        <w:keepNext/>
        <w:spacing w:after="0" w:line="240" w:lineRule="auto"/>
        <w:ind w:left="0" w:firstLine="0"/>
        <w:rPr>
          <w:b/>
          <w:rPrChange w:id="41" w:author="Author">
            <w:rPr>
              <w:b/>
              <w:highlight w:val="lightGray"/>
            </w:rPr>
          </w:rPrChange>
        </w:rPr>
      </w:pPr>
      <w:proofErr w:type="spellStart"/>
      <w:r w:rsidRPr="000E763C">
        <w:rPr>
          <w:b/>
          <w:rPrChange w:id="42" w:author="Author">
            <w:rPr>
              <w:b/>
              <w:highlight w:val="lightGray"/>
            </w:rPr>
          </w:rPrChange>
        </w:rPr>
        <w:t>Markaðsleyfishafi</w:t>
      </w:r>
      <w:proofErr w:type="spellEnd"/>
    </w:p>
    <w:p w14:paraId="00EEB70C" w14:textId="77777777" w:rsidR="009D53FC" w:rsidRPr="000E763C" w:rsidRDefault="009D53FC" w:rsidP="000B055B">
      <w:pPr>
        <w:keepNext/>
        <w:spacing w:after="0" w:line="240" w:lineRule="auto"/>
        <w:ind w:left="0" w:firstLine="0"/>
        <w:rPr>
          <w:rPrChange w:id="43" w:author="Author">
            <w:rPr>
              <w:highlight w:val="lightGray"/>
            </w:rPr>
          </w:rPrChange>
        </w:rPr>
      </w:pPr>
      <w:r w:rsidRPr="000E763C">
        <w:rPr>
          <w:rPrChange w:id="44" w:author="Author">
            <w:rPr>
              <w:highlight w:val="lightGray"/>
            </w:rPr>
          </w:rPrChange>
        </w:rPr>
        <w:t>Amgen Technology (Ireland) UC,</w:t>
      </w:r>
    </w:p>
    <w:p w14:paraId="60F0FCEE" w14:textId="77777777" w:rsidR="009D53FC" w:rsidRPr="000E763C" w:rsidRDefault="009D53FC" w:rsidP="000B055B">
      <w:pPr>
        <w:keepNext/>
        <w:spacing w:after="0" w:line="240" w:lineRule="auto"/>
        <w:ind w:left="0" w:firstLine="0"/>
        <w:rPr>
          <w:rPrChange w:id="45" w:author="Author">
            <w:rPr>
              <w:highlight w:val="lightGray"/>
            </w:rPr>
          </w:rPrChange>
        </w:rPr>
      </w:pPr>
      <w:r w:rsidRPr="000E763C">
        <w:rPr>
          <w:rPrChange w:id="46" w:author="Author">
            <w:rPr>
              <w:highlight w:val="lightGray"/>
            </w:rPr>
          </w:rPrChange>
        </w:rPr>
        <w:t>Pottery Road,</w:t>
      </w:r>
    </w:p>
    <w:p w14:paraId="182431CC" w14:textId="77777777" w:rsidR="009D53FC" w:rsidRPr="000E763C" w:rsidRDefault="009D53FC" w:rsidP="000B055B">
      <w:pPr>
        <w:keepNext/>
        <w:spacing w:after="0" w:line="240" w:lineRule="auto"/>
        <w:ind w:left="0" w:firstLine="0"/>
        <w:rPr>
          <w:rPrChange w:id="47" w:author="Author">
            <w:rPr>
              <w:highlight w:val="lightGray"/>
            </w:rPr>
          </w:rPrChange>
        </w:rPr>
      </w:pPr>
      <w:r w:rsidRPr="000E763C">
        <w:rPr>
          <w:rPrChange w:id="48" w:author="Author">
            <w:rPr>
              <w:highlight w:val="lightGray"/>
            </w:rPr>
          </w:rPrChange>
        </w:rPr>
        <w:t>Dun Laoghaire,</w:t>
      </w:r>
    </w:p>
    <w:p w14:paraId="3F971D4D" w14:textId="77777777" w:rsidR="009D53FC" w:rsidRPr="000E763C" w:rsidRDefault="009D53FC" w:rsidP="000B055B">
      <w:pPr>
        <w:keepNext/>
        <w:spacing w:after="0" w:line="240" w:lineRule="auto"/>
        <w:ind w:left="0" w:firstLine="0"/>
        <w:rPr>
          <w:rPrChange w:id="49" w:author="Author">
            <w:rPr>
              <w:highlight w:val="lightGray"/>
            </w:rPr>
          </w:rPrChange>
        </w:rPr>
      </w:pPr>
      <w:r w:rsidRPr="000E763C">
        <w:rPr>
          <w:rPrChange w:id="50" w:author="Author">
            <w:rPr>
              <w:highlight w:val="lightGray"/>
            </w:rPr>
          </w:rPrChange>
        </w:rPr>
        <w:t>Co. Dublin,</w:t>
      </w:r>
    </w:p>
    <w:p w14:paraId="234BE3AC" w14:textId="77777777" w:rsidR="009D53FC" w:rsidRPr="00B0370E" w:rsidRDefault="009D53FC" w:rsidP="000B055B">
      <w:pPr>
        <w:widowControl w:val="0"/>
        <w:autoSpaceDE w:val="0"/>
        <w:autoSpaceDN w:val="0"/>
        <w:adjustRightInd w:val="0"/>
        <w:spacing w:after="0" w:line="240" w:lineRule="auto"/>
        <w:ind w:left="0" w:firstLine="0"/>
        <w:rPr>
          <w:lang w:val="sv-SE"/>
        </w:rPr>
      </w:pPr>
      <w:r w:rsidRPr="000E763C">
        <w:rPr>
          <w:lang w:val="sv-SE"/>
          <w:rPrChange w:id="51" w:author="Author">
            <w:rPr>
              <w:highlight w:val="lightGray"/>
              <w:lang w:val="sv-SE"/>
            </w:rPr>
          </w:rPrChange>
        </w:rPr>
        <w:t>Írland</w:t>
      </w:r>
    </w:p>
    <w:p w14:paraId="316A0903" w14:textId="77777777" w:rsidR="00ED1E79" w:rsidRPr="00A2202F" w:rsidRDefault="00ED1E79" w:rsidP="000B055B">
      <w:pPr>
        <w:keepNext/>
        <w:spacing w:after="0" w:line="240" w:lineRule="auto"/>
        <w:ind w:left="0" w:firstLine="0"/>
        <w:rPr>
          <w:ins w:id="52" w:author="Author"/>
          <w:lang w:val="sv-SE"/>
        </w:rPr>
      </w:pPr>
    </w:p>
    <w:p w14:paraId="7373C174" w14:textId="77777777" w:rsidR="000E763C" w:rsidRPr="00A2202F" w:rsidRDefault="000E763C" w:rsidP="000E763C">
      <w:pPr>
        <w:keepNext/>
        <w:spacing w:after="0" w:line="240" w:lineRule="auto"/>
        <w:ind w:left="0" w:firstLine="0"/>
        <w:rPr>
          <w:ins w:id="53" w:author="Author"/>
          <w:lang w:val="nl-BE" w:eastAsia="ja-JP"/>
        </w:rPr>
      </w:pPr>
      <w:ins w:id="54" w:author="Author">
        <w:r w:rsidRPr="00A2202F">
          <w:rPr>
            <w:b/>
            <w:lang w:val="is-IS"/>
          </w:rPr>
          <w:t>Framleiðandi</w:t>
        </w:r>
      </w:ins>
    </w:p>
    <w:p w14:paraId="6994F7F4" w14:textId="1E5A4321" w:rsidR="000E763C" w:rsidRPr="00A2202F" w:rsidRDefault="000E763C" w:rsidP="000E763C">
      <w:pPr>
        <w:keepNext/>
        <w:spacing w:after="0" w:line="240" w:lineRule="auto"/>
        <w:ind w:left="0" w:firstLine="0"/>
        <w:rPr>
          <w:ins w:id="55" w:author="Author"/>
          <w:lang w:val="sv-SE"/>
        </w:rPr>
      </w:pPr>
      <w:ins w:id="56" w:author="Author">
        <w:r w:rsidRPr="00A2202F">
          <w:rPr>
            <w:lang w:val="sv-SE"/>
          </w:rPr>
          <w:t xml:space="preserve">Amgen Europe B.V. </w:t>
        </w:r>
      </w:ins>
    </w:p>
    <w:p w14:paraId="12F94D32" w14:textId="77777777" w:rsidR="000E763C" w:rsidRPr="00A2202F" w:rsidRDefault="000E763C" w:rsidP="000E763C">
      <w:pPr>
        <w:keepNext/>
        <w:spacing w:after="0" w:line="240" w:lineRule="auto"/>
        <w:ind w:left="0" w:firstLine="0"/>
        <w:rPr>
          <w:ins w:id="57" w:author="Author"/>
          <w:lang w:val="sv-SE"/>
        </w:rPr>
      </w:pPr>
      <w:ins w:id="58" w:author="Author">
        <w:r w:rsidRPr="00A2202F">
          <w:rPr>
            <w:lang w:val="sv-SE"/>
          </w:rPr>
          <w:t xml:space="preserve">Minervum 7061 </w:t>
        </w:r>
      </w:ins>
    </w:p>
    <w:p w14:paraId="01132CD1" w14:textId="77777777" w:rsidR="000E763C" w:rsidRPr="00A2202F" w:rsidRDefault="000E763C" w:rsidP="000E763C">
      <w:pPr>
        <w:keepNext/>
        <w:spacing w:after="0" w:line="240" w:lineRule="auto"/>
        <w:ind w:left="0" w:firstLine="0"/>
        <w:rPr>
          <w:ins w:id="59" w:author="Author"/>
          <w:lang w:val="sv-SE"/>
        </w:rPr>
      </w:pPr>
      <w:ins w:id="60" w:author="Author">
        <w:r w:rsidRPr="00A2202F">
          <w:rPr>
            <w:lang w:val="sv-SE"/>
          </w:rPr>
          <w:t xml:space="preserve">4817 ZK Breda </w:t>
        </w:r>
      </w:ins>
    </w:p>
    <w:p w14:paraId="58E56C53" w14:textId="57AB0380" w:rsidR="000E763C" w:rsidRPr="00A2202F" w:rsidRDefault="000E763C" w:rsidP="000E763C">
      <w:pPr>
        <w:keepNext/>
        <w:spacing w:after="0" w:line="240" w:lineRule="auto"/>
        <w:ind w:left="0" w:firstLine="0"/>
        <w:rPr>
          <w:ins w:id="61" w:author="Author"/>
          <w:lang w:val="sv-SE"/>
        </w:rPr>
      </w:pPr>
      <w:ins w:id="62" w:author="Author">
        <w:r w:rsidRPr="00A2202F">
          <w:rPr>
            <w:lang w:val="sv-SE"/>
          </w:rPr>
          <w:t>Holland</w:t>
        </w:r>
      </w:ins>
    </w:p>
    <w:p w14:paraId="2B6AC320" w14:textId="77777777" w:rsidR="000E763C" w:rsidRPr="00DC4128" w:rsidRDefault="000E763C" w:rsidP="000B055B">
      <w:pPr>
        <w:keepNext/>
        <w:spacing w:after="0" w:line="240" w:lineRule="auto"/>
        <w:ind w:left="0" w:firstLine="0"/>
        <w:rPr>
          <w:highlight w:val="lightGray"/>
          <w:lang w:val="sv-SE"/>
        </w:rPr>
      </w:pPr>
    </w:p>
    <w:p w14:paraId="4BE89586" w14:textId="77777777" w:rsidR="00955199" w:rsidRPr="00FD655D" w:rsidRDefault="00955199" w:rsidP="000B055B">
      <w:pPr>
        <w:keepNext/>
        <w:spacing w:after="0" w:line="240" w:lineRule="auto"/>
        <w:ind w:left="0" w:firstLine="0"/>
        <w:rPr>
          <w:lang w:val="nl-BE" w:eastAsia="ja-JP"/>
        </w:rPr>
      </w:pPr>
      <w:r w:rsidRPr="00DC4128">
        <w:rPr>
          <w:b/>
          <w:highlight w:val="lightGray"/>
          <w:lang w:val="is-IS"/>
        </w:rPr>
        <w:t>Framleiðandi</w:t>
      </w:r>
    </w:p>
    <w:p w14:paraId="34BD22ED" w14:textId="77777777" w:rsidR="00955199" w:rsidRPr="00DC4128" w:rsidRDefault="00955199" w:rsidP="000B055B">
      <w:pPr>
        <w:keepNext/>
        <w:spacing w:after="0" w:line="240" w:lineRule="auto"/>
        <w:ind w:left="0" w:firstLine="0"/>
        <w:rPr>
          <w:highlight w:val="lightGray"/>
          <w:lang w:val="nl-BE"/>
        </w:rPr>
      </w:pPr>
      <w:r w:rsidRPr="00DC4128">
        <w:rPr>
          <w:highlight w:val="lightGray"/>
          <w:lang w:val="nl-BE"/>
        </w:rPr>
        <w:t>Amgen NV</w:t>
      </w:r>
    </w:p>
    <w:p w14:paraId="56F1B17E" w14:textId="77777777" w:rsidR="004E063E" w:rsidRPr="00DC4128" w:rsidRDefault="004E063E" w:rsidP="000B055B">
      <w:pPr>
        <w:keepNext/>
        <w:spacing w:after="0" w:line="240" w:lineRule="auto"/>
        <w:ind w:left="0" w:firstLine="0"/>
        <w:rPr>
          <w:highlight w:val="lightGray"/>
          <w:lang w:val="nl-BE"/>
        </w:rPr>
      </w:pPr>
      <w:r w:rsidRPr="00DC4128">
        <w:rPr>
          <w:highlight w:val="lightGray"/>
          <w:lang w:val="nl-BE"/>
        </w:rPr>
        <w:t>Telecomlaan 5-7</w:t>
      </w:r>
    </w:p>
    <w:p w14:paraId="11330EFC" w14:textId="77777777" w:rsidR="004E063E" w:rsidRPr="00DC4128" w:rsidRDefault="004E063E" w:rsidP="000B055B">
      <w:pPr>
        <w:keepNext/>
        <w:spacing w:after="0" w:line="240" w:lineRule="auto"/>
        <w:ind w:left="0" w:firstLine="0"/>
        <w:rPr>
          <w:highlight w:val="lightGray"/>
          <w:lang w:val="nl-NL"/>
        </w:rPr>
      </w:pPr>
      <w:r w:rsidRPr="00DC4128">
        <w:rPr>
          <w:highlight w:val="lightGray"/>
          <w:lang w:val="nl-BE"/>
        </w:rPr>
        <w:t>1831 Diegem</w:t>
      </w:r>
    </w:p>
    <w:p w14:paraId="6ED295B6" w14:textId="77777777" w:rsidR="00955199" w:rsidRPr="00DC4128" w:rsidRDefault="00955199" w:rsidP="000B055B">
      <w:pPr>
        <w:keepNext/>
        <w:spacing w:after="0" w:line="240" w:lineRule="auto"/>
        <w:ind w:left="0" w:firstLine="0"/>
        <w:rPr>
          <w:highlight w:val="lightGray"/>
          <w:lang w:val="nl-BE"/>
        </w:rPr>
      </w:pPr>
      <w:r w:rsidRPr="00DC4128">
        <w:rPr>
          <w:highlight w:val="lightGray"/>
          <w:lang w:val="nl-BE"/>
        </w:rPr>
        <w:t xml:space="preserve">Belgía </w:t>
      </w:r>
    </w:p>
    <w:p w14:paraId="1FC661DA" w14:textId="77777777" w:rsidR="005F36F3" w:rsidRPr="009F7642" w:rsidRDefault="005F36F3" w:rsidP="0073217C">
      <w:pPr>
        <w:suppressAutoHyphens/>
        <w:spacing w:after="0" w:line="240" w:lineRule="auto"/>
        <w:ind w:left="0" w:firstLine="0"/>
        <w:rPr>
          <w:color w:val="auto"/>
          <w:lang w:val="is-IS"/>
        </w:rPr>
      </w:pPr>
    </w:p>
    <w:p w14:paraId="18A4B00E" w14:textId="77777777" w:rsidR="005F36F3" w:rsidRPr="009F7642" w:rsidRDefault="00564614" w:rsidP="0073217C">
      <w:pPr>
        <w:keepNext/>
        <w:suppressAutoHyphens/>
        <w:spacing w:after="0" w:line="240" w:lineRule="auto"/>
        <w:ind w:left="0" w:firstLine="0"/>
        <w:rPr>
          <w:color w:val="auto"/>
          <w:lang w:val="is-IS"/>
        </w:rPr>
      </w:pPr>
      <w:r w:rsidRPr="009F7642">
        <w:rPr>
          <w:color w:val="auto"/>
          <w:lang w:val="is-IS"/>
        </w:rPr>
        <w:t xml:space="preserve">Hafið samband við fulltrúa markaðsleyfishafa á hverjum stað ef </w:t>
      </w:r>
      <w:r w:rsidR="00902F7F">
        <w:rPr>
          <w:color w:val="auto"/>
          <w:lang w:val="is-IS"/>
        </w:rPr>
        <w:t>óskað er upplýsinga um lyfið:</w:t>
      </w:r>
    </w:p>
    <w:p w14:paraId="0102C3FC" w14:textId="77777777" w:rsidR="00874B63" w:rsidRPr="009F7642" w:rsidRDefault="00874B63" w:rsidP="0073217C">
      <w:pPr>
        <w:keepNext/>
        <w:suppressAutoHyphens/>
        <w:spacing w:after="0" w:line="240" w:lineRule="auto"/>
        <w:ind w:left="0" w:firstLine="0"/>
        <w:rPr>
          <w:b/>
          <w:color w:val="auto"/>
          <w:lang w:val="is-IS"/>
        </w:rPr>
      </w:pPr>
    </w:p>
    <w:tbl>
      <w:tblPr>
        <w:tblW w:w="0" w:type="auto"/>
        <w:tblLook w:val="04A0" w:firstRow="1" w:lastRow="0" w:firstColumn="1" w:lastColumn="0" w:noHBand="0" w:noVBand="1"/>
      </w:tblPr>
      <w:tblGrid>
        <w:gridCol w:w="4508"/>
        <w:gridCol w:w="4508"/>
      </w:tblGrid>
      <w:tr w:rsidR="00ED1E79" w:rsidRPr="009F7642" w14:paraId="008D4FA0" w14:textId="77777777" w:rsidTr="00F2274F">
        <w:trPr>
          <w:cantSplit/>
        </w:trPr>
        <w:tc>
          <w:tcPr>
            <w:tcW w:w="4508" w:type="dxa"/>
          </w:tcPr>
          <w:p w14:paraId="6225452E" w14:textId="77777777" w:rsidR="00ED1E79" w:rsidRPr="00C4342D" w:rsidRDefault="00ED1E79" w:rsidP="00ED1E79">
            <w:pPr>
              <w:pStyle w:val="lbltxt"/>
              <w:rPr>
                <w:noProof w:val="0"/>
                <w:szCs w:val="22"/>
                <w:lang w:val="fr-FR"/>
              </w:rPr>
            </w:pPr>
            <w:bookmarkStart w:id="63" w:name="_Hlk489729534"/>
            <w:proofErr w:type="spellStart"/>
            <w:r w:rsidRPr="00C4342D">
              <w:rPr>
                <w:b/>
                <w:noProof w:val="0"/>
                <w:szCs w:val="22"/>
                <w:lang w:val="fr-FR"/>
              </w:rPr>
              <w:t>België</w:t>
            </w:r>
            <w:proofErr w:type="spellEnd"/>
            <w:r w:rsidRPr="00C4342D">
              <w:rPr>
                <w:b/>
                <w:noProof w:val="0"/>
                <w:szCs w:val="22"/>
                <w:lang w:val="fr-FR"/>
              </w:rPr>
              <w:t>/Belgique/</w:t>
            </w:r>
            <w:proofErr w:type="spellStart"/>
            <w:r w:rsidRPr="00C4342D">
              <w:rPr>
                <w:b/>
                <w:noProof w:val="0"/>
                <w:szCs w:val="22"/>
                <w:lang w:val="fr-FR"/>
              </w:rPr>
              <w:t>Belgien</w:t>
            </w:r>
            <w:proofErr w:type="spellEnd"/>
          </w:p>
          <w:p w14:paraId="4ADBDD1D" w14:textId="77777777" w:rsidR="00ED1E79" w:rsidRPr="00C4342D" w:rsidRDefault="00ED1E79" w:rsidP="00ED1E79">
            <w:pPr>
              <w:pStyle w:val="lbltxt"/>
              <w:rPr>
                <w:noProof w:val="0"/>
                <w:szCs w:val="22"/>
                <w:lang w:val="fr-FR"/>
              </w:rPr>
            </w:pPr>
            <w:proofErr w:type="spellStart"/>
            <w:r w:rsidRPr="00C4342D">
              <w:rPr>
                <w:noProof w:val="0"/>
                <w:szCs w:val="22"/>
                <w:lang w:val="fr-FR"/>
              </w:rPr>
              <w:t>s.a.</w:t>
            </w:r>
            <w:proofErr w:type="spellEnd"/>
            <w:r w:rsidRPr="00C4342D">
              <w:rPr>
                <w:noProof w:val="0"/>
                <w:szCs w:val="22"/>
                <w:lang w:val="fr-FR"/>
              </w:rPr>
              <w:t xml:space="preserve"> Amgen </w:t>
            </w:r>
            <w:proofErr w:type="spellStart"/>
            <w:r w:rsidRPr="00C4342D">
              <w:rPr>
                <w:noProof w:val="0"/>
                <w:szCs w:val="22"/>
                <w:lang w:val="fr-FR"/>
              </w:rPr>
              <w:t>n.v</w:t>
            </w:r>
            <w:proofErr w:type="spellEnd"/>
            <w:r w:rsidRPr="00C4342D">
              <w:rPr>
                <w:noProof w:val="0"/>
                <w:szCs w:val="22"/>
                <w:lang w:val="fr-FR"/>
              </w:rPr>
              <w:t>.</w:t>
            </w:r>
          </w:p>
          <w:p w14:paraId="6FBE79F3" w14:textId="1D6AFE66" w:rsidR="00ED1E79" w:rsidRPr="007954D0" w:rsidRDefault="007626E5" w:rsidP="00ED1E79">
            <w:pPr>
              <w:pStyle w:val="lbltxt"/>
              <w:rPr>
                <w:noProof w:val="0"/>
                <w:szCs w:val="22"/>
              </w:rPr>
            </w:pPr>
            <w:proofErr w:type="spellStart"/>
            <w:r w:rsidRPr="007954D0">
              <w:rPr>
                <w:noProof w:val="0"/>
                <w:szCs w:val="22"/>
              </w:rPr>
              <w:t>T</w:t>
            </w:r>
            <w:r>
              <w:rPr>
                <w:noProof w:val="0"/>
                <w:szCs w:val="22"/>
              </w:rPr>
              <w:t>é</w:t>
            </w:r>
            <w:r w:rsidRPr="007954D0">
              <w:rPr>
                <w:noProof w:val="0"/>
                <w:szCs w:val="22"/>
              </w:rPr>
              <w:t>l</w:t>
            </w:r>
            <w:proofErr w:type="spellEnd"/>
            <w:r w:rsidR="00ED1E79" w:rsidRPr="007954D0">
              <w:rPr>
                <w:noProof w:val="0"/>
                <w:szCs w:val="22"/>
              </w:rPr>
              <w:t>/</w:t>
            </w:r>
            <w:r w:rsidRPr="00FA1386">
              <w:t>T</w:t>
            </w:r>
            <w:r>
              <w:t>e</w:t>
            </w:r>
            <w:r w:rsidRPr="00FA1386">
              <w:t>l</w:t>
            </w:r>
            <w:r w:rsidR="00ED1E79" w:rsidRPr="00FA1386">
              <w:t xml:space="preserve">: +32 (0)2 </w:t>
            </w:r>
            <w:r w:rsidR="00ED1E79" w:rsidRPr="007954D0">
              <w:rPr>
                <w:noProof w:val="0"/>
                <w:szCs w:val="22"/>
              </w:rPr>
              <w:t>7752711</w:t>
            </w:r>
          </w:p>
          <w:p w14:paraId="79594600" w14:textId="77777777" w:rsidR="00ED1E79" w:rsidRPr="009F7642" w:rsidRDefault="00ED1E79" w:rsidP="00ED1E79">
            <w:pPr>
              <w:suppressAutoHyphens/>
              <w:rPr>
                <w:color w:val="auto"/>
                <w:lang w:val="is-IS"/>
              </w:rPr>
            </w:pPr>
          </w:p>
        </w:tc>
        <w:tc>
          <w:tcPr>
            <w:tcW w:w="4508" w:type="dxa"/>
          </w:tcPr>
          <w:p w14:paraId="70DF6F66" w14:textId="77777777" w:rsidR="00ED1E79" w:rsidRPr="00F2274F" w:rsidRDefault="00ED1E79" w:rsidP="00ED1E79">
            <w:pPr>
              <w:pStyle w:val="lbltxt"/>
              <w:rPr>
                <w:b/>
                <w:noProof w:val="0"/>
                <w:szCs w:val="22"/>
                <w:lang w:val="sv-SE"/>
              </w:rPr>
            </w:pPr>
            <w:r w:rsidRPr="00F2274F">
              <w:rPr>
                <w:b/>
                <w:noProof w:val="0"/>
                <w:szCs w:val="22"/>
                <w:lang w:val="sv-SE"/>
              </w:rPr>
              <w:t>Lietuva</w:t>
            </w:r>
          </w:p>
          <w:p w14:paraId="46C19091" w14:textId="77777777" w:rsidR="00ED1E79" w:rsidRPr="00F2274F" w:rsidRDefault="00ED1E79" w:rsidP="00ED1E79">
            <w:pPr>
              <w:pStyle w:val="lbltxt"/>
              <w:rPr>
                <w:bCs/>
                <w:noProof w:val="0"/>
                <w:szCs w:val="22"/>
                <w:lang w:val="sv-SE"/>
              </w:rPr>
            </w:pPr>
            <w:r w:rsidRPr="00F2274F">
              <w:rPr>
                <w:noProof w:val="0"/>
                <w:szCs w:val="22"/>
                <w:lang w:val="sv-SE"/>
              </w:rPr>
              <w:t>Amgen Switzerland AG Vilniaus filialas</w:t>
            </w:r>
          </w:p>
          <w:p w14:paraId="0AD3F5E7" w14:textId="77777777" w:rsidR="00ED1E79" w:rsidRPr="009F7642" w:rsidRDefault="00ED1E79" w:rsidP="00ED1E79">
            <w:pPr>
              <w:suppressAutoHyphens/>
              <w:rPr>
                <w:color w:val="auto"/>
                <w:lang w:val="is-IS"/>
              </w:rPr>
            </w:pPr>
            <w:r w:rsidRPr="00FA1386">
              <w:t xml:space="preserve">Tel: +370 5 </w:t>
            </w:r>
            <w:r w:rsidRPr="007954D0">
              <w:rPr>
                <w:bCs/>
              </w:rPr>
              <w:t>219 7474</w:t>
            </w:r>
          </w:p>
        </w:tc>
      </w:tr>
      <w:tr w:rsidR="00ED1E79" w:rsidRPr="009F7642" w14:paraId="19B1F9AF" w14:textId="77777777" w:rsidTr="00F2274F">
        <w:trPr>
          <w:cantSplit/>
        </w:trPr>
        <w:tc>
          <w:tcPr>
            <w:tcW w:w="4508" w:type="dxa"/>
          </w:tcPr>
          <w:p w14:paraId="48346326" w14:textId="77777777" w:rsidR="00ED1E79" w:rsidRPr="00F2274F" w:rsidRDefault="00ED1E79" w:rsidP="00ED1E79">
            <w:pPr>
              <w:autoSpaceDE w:val="0"/>
              <w:autoSpaceDN w:val="0"/>
              <w:adjustRightInd w:val="0"/>
              <w:rPr>
                <w:b/>
                <w:bCs/>
                <w:lang w:val="is-IS"/>
              </w:rPr>
            </w:pPr>
            <w:r w:rsidRPr="00F2274F">
              <w:rPr>
                <w:b/>
                <w:bCs/>
                <w:lang w:val="is-IS"/>
              </w:rPr>
              <w:t>България</w:t>
            </w:r>
          </w:p>
          <w:p w14:paraId="1CCC8139" w14:textId="77777777" w:rsidR="00ED1E79" w:rsidRPr="00691E48" w:rsidRDefault="00ED1E79" w:rsidP="00ED1E79">
            <w:pPr>
              <w:pStyle w:val="lbltxt"/>
              <w:rPr>
                <w:b/>
                <w:lang w:val="is-IS"/>
              </w:rPr>
            </w:pPr>
            <w:r w:rsidRPr="00BD58E1">
              <w:rPr>
                <w:rStyle w:val="Strong"/>
                <w:b w:val="0"/>
                <w:bCs w:val="0"/>
                <w:noProof w:val="0"/>
                <w:szCs w:val="22"/>
                <w:lang w:val="is-IS"/>
              </w:rPr>
              <w:t>Амджен</w:t>
            </w:r>
            <w:r w:rsidRPr="00BD58E1">
              <w:rPr>
                <w:rStyle w:val="Strong"/>
                <w:b w:val="0"/>
                <w:bCs w:val="0"/>
                <w:lang w:val="is-IS"/>
              </w:rPr>
              <w:t xml:space="preserve"> България ЕООД</w:t>
            </w:r>
          </w:p>
          <w:p w14:paraId="6C863388" w14:textId="77777777" w:rsidR="00ED1E79" w:rsidRPr="009F7642" w:rsidRDefault="00ED1E79" w:rsidP="00ED1E79">
            <w:pPr>
              <w:suppressAutoHyphens/>
              <w:rPr>
                <w:color w:val="auto"/>
                <w:lang w:val="is-IS"/>
              </w:rPr>
            </w:pPr>
            <w:r w:rsidRPr="00F2274F">
              <w:rPr>
                <w:lang w:val="is-IS"/>
              </w:rPr>
              <w:t>Тел</w:t>
            </w:r>
            <w:r w:rsidRPr="00F2274F">
              <w:rPr>
                <w:lang w:val="is-IS" w:eastAsia="en-GB"/>
              </w:rPr>
              <w:t>.:</w:t>
            </w:r>
            <w:r w:rsidRPr="00F2274F">
              <w:rPr>
                <w:lang w:val="is-IS"/>
              </w:rPr>
              <w:t xml:space="preserve"> +359 </w:t>
            </w:r>
            <w:r w:rsidRPr="00F2274F">
              <w:rPr>
                <w:bCs/>
                <w:lang w:val="is-IS"/>
              </w:rPr>
              <w:t>(0)</w:t>
            </w:r>
            <w:r w:rsidRPr="00F2274F">
              <w:rPr>
                <w:lang w:val="is-IS"/>
              </w:rPr>
              <w:t>2</w:t>
            </w:r>
            <w:r w:rsidRPr="00F2274F">
              <w:rPr>
                <w:bCs/>
                <w:lang w:val="is-IS"/>
              </w:rPr>
              <w:t> 424 7440</w:t>
            </w:r>
          </w:p>
        </w:tc>
        <w:tc>
          <w:tcPr>
            <w:tcW w:w="4508" w:type="dxa"/>
          </w:tcPr>
          <w:p w14:paraId="7373E1B6" w14:textId="77777777" w:rsidR="00ED1E79" w:rsidRPr="00B64117" w:rsidRDefault="00ED1E79" w:rsidP="00ED1E79">
            <w:pPr>
              <w:pStyle w:val="lbltxt"/>
              <w:rPr>
                <w:noProof w:val="0"/>
                <w:szCs w:val="22"/>
                <w:lang w:val="de-DE"/>
              </w:rPr>
            </w:pPr>
            <w:r w:rsidRPr="00B64117">
              <w:rPr>
                <w:b/>
                <w:noProof w:val="0"/>
                <w:szCs w:val="22"/>
                <w:lang w:val="de-DE"/>
              </w:rPr>
              <w:t>Luxembourg/Luxemburg</w:t>
            </w:r>
          </w:p>
          <w:p w14:paraId="3FA70651" w14:textId="77777777" w:rsidR="00ED1E79" w:rsidRPr="00B64117" w:rsidRDefault="00ED1E79" w:rsidP="00ED1E79">
            <w:pPr>
              <w:pStyle w:val="lbltxt"/>
              <w:rPr>
                <w:noProof w:val="0"/>
                <w:szCs w:val="22"/>
                <w:lang w:val="de-DE"/>
              </w:rPr>
            </w:pPr>
            <w:r w:rsidRPr="00B64117">
              <w:rPr>
                <w:noProof w:val="0"/>
                <w:szCs w:val="22"/>
                <w:lang w:val="de-DE"/>
              </w:rPr>
              <w:t xml:space="preserve">s.a. Amgen </w:t>
            </w:r>
          </w:p>
          <w:p w14:paraId="05AA2D5E" w14:textId="77777777" w:rsidR="00ED1E79" w:rsidRPr="00B64117" w:rsidRDefault="00ED1E79" w:rsidP="00ED1E79">
            <w:pPr>
              <w:pStyle w:val="lbltxt"/>
              <w:rPr>
                <w:noProof w:val="0"/>
                <w:szCs w:val="22"/>
                <w:lang w:val="de-DE"/>
              </w:rPr>
            </w:pPr>
            <w:r w:rsidRPr="00B64117">
              <w:rPr>
                <w:lang w:val="de-DE"/>
              </w:rPr>
              <w:t>Belgique/Belgien</w:t>
            </w:r>
          </w:p>
          <w:p w14:paraId="6C9B1DC0" w14:textId="36D32F34" w:rsidR="00ED1E79" w:rsidRPr="007954D0" w:rsidRDefault="007626E5" w:rsidP="00ED1E79">
            <w:pPr>
              <w:pStyle w:val="lbltxt"/>
              <w:rPr>
                <w:noProof w:val="0"/>
                <w:szCs w:val="22"/>
              </w:rPr>
            </w:pPr>
            <w:proofErr w:type="spellStart"/>
            <w:r w:rsidRPr="007954D0">
              <w:rPr>
                <w:noProof w:val="0"/>
                <w:szCs w:val="22"/>
              </w:rPr>
              <w:t>T</w:t>
            </w:r>
            <w:r>
              <w:rPr>
                <w:noProof w:val="0"/>
                <w:szCs w:val="22"/>
              </w:rPr>
              <w:t>é</w:t>
            </w:r>
            <w:r w:rsidRPr="007954D0">
              <w:rPr>
                <w:noProof w:val="0"/>
                <w:szCs w:val="22"/>
              </w:rPr>
              <w:t>l</w:t>
            </w:r>
            <w:proofErr w:type="spellEnd"/>
            <w:r w:rsidR="00ED1E79" w:rsidRPr="007954D0">
              <w:rPr>
                <w:noProof w:val="0"/>
                <w:szCs w:val="22"/>
              </w:rPr>
              <w:t>/</w:t>
            </w:r>
            <w:r w:rsidRPr="007954D0">
              <w:rPr>
                <w:noProof w:val="0"/>
                <w:szCs w:val="22"/>
              </w:rPr>
              <w:t>T</w:t>
            </w:r>
            <w:r>
              <w:rPr>
                <w:noProof w:val="0"/>
                <w:szCs w:val="22"/>
              </w:rPr>
              <w:t>e</w:t>
            </w:r>
            <w:r w:rsidRPr="007954D0">
              <w:rPr>
                <w:noProof w:val="0"/>
                <w:szCs w:val="22"/>
              </w:rPr>
              <w:t>l</w:t>
            </w:r>
            <w:r w:rsidR="00ED1E79" w:rsidRPr="007954D0">
              <w:rPr>
                <w:noProof w:val="0"/>
                <w:szCs w:val="22"/>
              </w:rPr>
              <w:t>: +32 (0)2 7752711</w:t>
            </w:r>
          </w:p>
          <w:p w14:paraId="15D14E35" w14:textId="77777777" w:rsidR="00ED1E79" w:rsidRPr="009F7642" w:rsidRDefault="00ED1E79" w:rsidP="00ED1E79">
            <w:pPr>
              <w:suppressAutoHyphens/>
              <w:rPr>
                <w:color w:val="auto"/>
                <w:lang w:val="is-IS"/>
              </w:rPr>
            </w:pPr>
          </w:p>
        </w:tc>
      </w:tr>
      <w:tr w:rsidR="00ED1E79" w:rsidRPr="009F7642" w14:paraId="178DFED3" w14:textId="77777777" w:rsidTr="00F2274F">
        <w:trPr>
          <w:cantSplit/>
        </w:trPr>
        <w:tc>
          <w:tcPr>
            <w:tcW w:w="4508" w:type="dxa"/>
          </w:tcPr>
          <w:p w14:paraId="5BC46B6A" w14:textId="77777777" w:rsidR="00ED1E79" w:rsidRPr="00F2274F" w:rsidRDefault="00ED1E79" w:rsidP="00ED1E79">
            <w:pPr>
              <w:pStyle w:val="lbltxt"/>
              <w:rPr>
                <w:b/>
                <w:noProof w:val="0"/>
                <w:szCs w:val="22"/>
                <w:lang w:val="sv-SE"/>
              </w:rPr>
            </w:pPr>
            <w:r w:rsidRPr="00F2274F">
              <w:rPr>
                <w:b/>
                <w:noProof w:val="0"/>
                <w:szCs w:val="22"/>
                <w:lang w:val="sv-SE"/>
              </w:rPr>
              <w:t>Česká republika</w:t>
            </w:r>
          </w:p>
          <w:p w14:paraId="1959AE3B" w14:textId="77777777" w:rsidR="00ED1E79" w:rsidRPr="00F2274F" w:rsidRDefault="00ED1E79" w:rsidP="00ED1E79">
            <w:pPr>
              <w:pStyle w:val="lbltxt"/>
              <w:rPr>
                <w:lang w:val="sv-SE"/>
              </w:rPr>
            </w:pPr>
            <w:r w:rsidRPr="00F2274F">
              <w:rPr>
                <w:bCs/>
                <w:noProof w:val="0"/>
                <w:szCs w:val="22"/>
                <w:lang w:val="sv-SE"/>
              </w:rPr>
              <w:t>Amgen</w:t>
            </w:r>
            <w:r w:rsidRPr="00F2274F">
              <w:rPr>
                <w:lang w:val="sv-SE"/>
              </w:rPr>
              <w:t xml:space="preserve"> s.r.o.</w:t>
            </w:r>
          </w:p>
          <w:p w14:paraId="207DD66A" w14:textId="77777777" w:rsidR="00ED1E79" w:rsidRPr="009F7642" w:rsidRDefault="00ED1E79" w:rsidP="00ED1E79">
            <w:pPr>
              <w:suppressAutoHyphens/>
              <w:rPr>
                <w:color w:val="auto"/>
                <w:lang w:val="is-IS"/>
              </w:rPr>
            </w:pPr>
            <w:r w:rsidRPr="00FA1386">
              <w:t xml:space="preserve">Tel: +420 </w:t>
            </w:r>
            <w:r w:rsidRPr="007954D0">
              <w:rPr>
                <w:bCs/>
              </w:rPr>
              <w:t>221 773 500</w:t>
            </w:r>
          </w:p>
        </w:tc>
        <w:tc>
          <w:tcPr>
            <w:tcW w:w="4508" w:type="dxa"/>
          </w:tcPr>
          <w:p w14:paraId="16977734" w14:textId="77777777" w:rsidR="00ED1E79" w:rsidRPr="007954D0" w:rsidRDefault="00ED1E79" w:rsidP="00ED1E79">
            <w:pPr>
              <w:pStyle w:val="lbltxt"/>
              <w:rPr>
                <w:b/>
                <w:noProof w:val="0"/>
                <w:szCs w:val="22"/>
              </w:rPr>
            </w:pPr>
            <w:proofErr w:type="spellStart"/>
            <w:r w:rsidRPr="007954D0">
              <w:rPr>
                <w:b/>
                <w:noProof w:val="0"/>
                <w:szCs w:val="22"/>
              </w:rPr>
              <w:t>Magyarország</w:t>
            </w:r>
            <w:proofErr w:type="spellEnd"/>
          </w:p>
          <w:p w14:paraId="4BC4BF6F" w14:textId="77777777" w:rsidR="00ED1E79" w:rsidRPr="00FA1386" w:rsidRDefault="00ED1E79" w:rsidP="00ED1E79">
            <w:pPr>
              <w:pStyle w:val="lbltxt"/>
            </w:pPr>
            <w:r w:rsidRPr="007954D0">
              <w:rPr>
                <w:bCs/>
                <w:noProof w:val="0"/>
                <w:szCs w:val="22"/>
              </w:rPr>
              <w:t>Amgen</w:t>
            </w:r>
            <w:r w:rsidRPr="00FA1386">
              <w:t xml:space="preserve"> Kft.</w:t>
            </w:r>
          </w:p>
          <w:p w14:paraId="55F0F258" w14:textId="77777777" w:rsidR="00ED1E79" w:rsidRPr="009F7642" w:rsidRDefault="00ED1E79" w:rsidP="00ED1E79">
            <w:pPr>
              <w:suppressAutoHyphens/>
              <w:rPr>
                <w:color w:val="auto"/>
                <w:lang w:val="is-IS"/>
              </w:rPr>
            </w:pPr>
            <w:r w:rsidRPr="00FA1386">
              <w:t>Tel</w:t>
            </w:r>
            <w:r w:rsidRPr="007954D0">
              <w:rPr>
                <w:bCs/>
              </w:rPr>
              <w:t>.:</w:t>
            </w:r>
            <w:r w:rsidRPr="00FA1386">
              <w:t xml:space="preserve"> +36 </w:t>
            </w:r>
            <w:r w:rsidRPr="007954D0">
              <w:rPr>
                <w:bCs/>
              </w:rPr>
              <w:t>1 35 44 700</w:t>
            </w:r>
          </w:p>
        </w:tc>
      </w:tr>
      <w:tr w:rsidR="00ED1E79" w:rsidRPr="009F7642" w14:paraId="5F941C70" w14:textId="77777777" w:rsidTr="00F2274F">
        <w:trPr>
          <w:cantSplit/>
        </w:trPr>
        <w:tc>
          <w:tcPr>
            <w:tcW w:w="4508" w:type="dxa"/>
          </w:tcPr>
          <w:p w14:paraId="3D75AADC" w14:textId="77777777" w:rsidR="00295AD0" w:rsidRDefault="00295AD0" w:rsidP="00ED1E79">
            <w:pPr>
              <w:pStyle w:val="lbltxt"/>
              <w:rPr>
                <w:b/>
                <w:noProof w:val="0"/>
                <w:szCs w:val="22"/>
                <w:lang w:val="sv-SE"/>
              </w:rPr>
            </w:pPr>
          </w:p>
          <w:p w14:paraId="66289B54" w14:textId="77777777" w:rsidR="00ED1E79" w:rsidRPr="00F2274F" w:rsidRDefault="00ED1E79" w:rsidP="00ED1E79">
            <w:pPr>
              <w:pStyle w:val="lbltxt"/>
              <w:rPr>
                <w:noProof w:val="0"/>
                <w:szCs w:val="22"/>
                <w:lang w:val="sv-SE"/>
              </w:rPr>
            </w:pPr>
            <w:r w:rsidRPr="00F2274F">
              <w:rPr>
                <w:b/>
                <w:noProof w:val="0"/>
                <w:szCs w:val="22"/>
                <w:lang w:val="sv-SE"/>
              </w:rPr>
              <w:t>Danmark</w:t>
            </w:r>
          </w:p>
          <w:p w14:paraId="3EDBC473" w14:textId="77777777" w:rsidR="00ED1E79" w:rsidRPr="00F2274F" w:rsidRDefault="00ED1E79" w:rsidP="00ED1E79">
            <w:pPr>
              <w:pStyle w:val="lbltxt"/>
              <w:rPr>
                <w:noProof w:val="0"/>
                <w:szCs w:val="22"/>
                <w:lang w:val="sv-SE"/>
              </w:rPr>
            </w:pPr>
            <w:r w:rsidRPr="00F2274F">
              <w:rPr>
                <w:noProof w:val="0"/>
                <w:szCs w:val="22"/>
                <w:lang w:val="sv-SE"/>
              </w:rPr>
              <w:t>Amgen, filial af Amgen AB, Sverige</w:t>
            </w:r>
          </w:p>
          <w:p w14:paraId="100C4EF1" w14:textId="77777777" w:rsidR="00ED1E79" w:rsidRPr="007954D0" w:rsidRDefault="00ED1E79" w:rsidP="00ED1E79">
            <w:pPr>
              <w:pStyle w:val="lbltxt"/>
              <w:rPr>
                <w:noProof w:val="0"/>
                <w:szCs w:val="22"/>
              </w:rPr>
            </w:pPr>
            <w:r w:rsidRPr="00FA1386">
              <w:t xml:space="preserve">Tlf: +45 </w:t>
            </w:r>
            <w:r w:rsidRPr="007954D0">
              <w:rPr>
                <w:noProof w:val="0"/>
                <w:szCs w:val="22"/>
              </w:rPr>
              <w:t>39617500</w:t>
            </w:r>
          </w:p>
          <w:p w14:paraId="433D1AE3" w14:textId="77777777" w:rsidR="00ED1E79" w:rsidRPr="009F7642" w:rsidRDefault="00ED1E79" w:rsidP="00ED1E79">
            <w:pPr>
              <w:suppressAutoHyphens/>
              <w:rPr>
                <w:color w:val="auto"/>
                <w:lang w:val="is-IS"/>
              </w:rPr>
            </w:pPr>
          </w:p>
        </w:tc>
        <w:tc>
          <w:tcPr>
            <w:tcW w:w="4508" w:type="dxa"/>
          </w:tcPr>
          <w:p w14:paraId="1A3D5E2B" w14:textId="77777777" w:rsidR="00D50449" w:rsidRPr="00F2274F" w:rsidRDefault="00D50449" w:rsidP="00ED1E79">
            <w:pPr>
              <w:pStyle w:val="lbltxt"/>
              <w:rPr>
                <w:b/>
                <w:noProof w:val="0"/>
                <w:szCs w:val="22"/>
                <w:lang w:val="sv-SE"/>
              </w:rPr>
            </w:pPr>
          </w:p>
          <w:p w14:paraId="3F525A15" w14:textId="77777777" w:rsidR="00ED1E79" w:rsidRPr="00F2274F" w:rsidRDefault="00ED1E79" w:rsidP="00ED1E79">
            <w:pPr>
              <w:pStyle w:val="lbltxt"/>
              <w:rPr>
                <w:b/>
                <w:noProof w:val="0"/>
                <w:szCs w:val="22"/>
                <w:lang w:val="sv-SE"/>
              </w:rPr>
            </w:pPr>
            <w:r w:rsidRPr="00F2274F">
              <w:rPr>
                <w:b/>
                <w:noProof w:val="0"/>
                <w:szCs w:val="22"/>
                <w:lang w:val="sv-SE"/>
              </w:rPr>
              <w:t>Malta</w:t>
            </w:r>
          </w:p>
          <w:p w14:paraId="5556B5E3" w14:textId="77777777" w:rsidR="005C6A86" w:rsidRDefault="005C6A86" w:rsidP="005C6A86">
            <w:pPr>
              <w:pStyle w:val="lbltxt"/>
              <w:rPr>
                <w:noProof w:val="0"/>
                <w:szCs w:val="22"/>
                <w:lang w:val="es-ES"/>
              </w:rPr>
            </w:pPr>
            <w:r>
              <w:rPr>
                <w:noProof w:val="0"/>
                <w:szCs w:val="22"/>
                <w:lang w:val="es-ES"/>
              </w:rPr>
              <w:t xml:space="preserve">Amgen </w:t>
            </w:r>
            <w:proofErr w:type="spellStart"/>
            <w:r>
              <w:rPr>
                <w:noProof w:val="0"/>
                <w:szCs w:val="22"/>
                <w:lang w:val="es-ES"/>
              </w:rPr>
              <w:t>S.r.l</w:t>
            </w:r>
            <w:proofErr w:type="spellEnd"/>
            <w:r>
              <w:rPr>
                <w:noProof w:val="0"/>
                <w:szCs w:val="22"/>
                <w:lang w:val="es-ES"/>
              </w:rPr>
              <w:t>.</w:t>
            </w:r>
          </w:p>
          <w:p w14:paraId="7A8CB2A2" w14:textId="77777777" w:rsidR="005C6A86" w:rsidRDefault="005C6A86" w:rsidP="005C6A86">
            <w:pPr>
              <w:pStyle w:val="lbltxt"/>
              <w:rPr>
                <w:noProof w:val="0"/>
                <w:szCs w:val="22"/>
                <w:lang w:val="es-ES"/>
              </w:rPr>
            </w:pPr>
            <w:r>
              <w:rPr>
                <w:noProof w:val="0"/>
                <w:szCs w:val="22"/>
                <w:lang w:val="es-ES"/>
              </w:rPr>
              <w:t>Italy</w:t>
            </w:r>
          </w:p>
          <w:p w14:paraId="02ADE3A5" w14:textId="77777777" w:rsidR="00ED1E79" w:rsidRPr="007954D0" w:rsidRDefault="005C6A86" w:rsidP="00ED1E79">
            <w:pPr>
              <w:pStyle w:val="lbltxt"/>
              <w:rPr>
                <w:bCs/>
                <w:noProof w:val="0"/>
                <w:szCs w:val="22"/>
              </w:rPr>
            </w:pPr>
            <w:r>
              <w:t>Tel: +39 02 6241121</w:t>
            </w:r>
          </w:p>
          <w:p w14:paraId="6402EEE8" w14:textId="77777777" w:rsidR="00ED1E79" w:rsidRPr="009F7642" w:rsidRDefault="00ED1E79" w:rsidP="00ED1E79">
            <w:pPr>
              <w:suppressAutoHyphens/>
              <w:rPr>
                <w:color w:val="auto"/>
                <w:lang w:val="is-IS"/>
              </w:rPr>
            </w:pPr>
          </w:p>
        </w:tc>
      </w:tr>
      <w:tr w:rsidR="00ED1E79" w:rsidRPr="00B027B6" w14:paraId="52EF3668" w14:textId="77777777" w:rsidTr="00F2274F">
        <w:trPr>
          <w:cantSplit/>
        </w:trPr>
        <w:tc>
          <w:tcPr>
            <w:tcW w:w="4508" w:type="dxa"/>
          </w:tcPr>
          <w:p w14:paraId="5013E395" w14:textId="77777777" w:rsidR="00ED1E79" w:rsidRPr="007954D0" w:rsidRDefault="00ED1E79" w:rsidP="00ED1E79">
            <w:pPr>
              <w:pStyle w:val="lbltxt"/>
              <w:rPr>
                <w:noProof w:val="0"/>
                <w:szCs w:val="22"/>
              </w:rPr>
            </w:pPr>
            <w:r w:rsidRPr="007954D0">
              <w:rPr>
                <w:b/>
                <w:noProof w:val="0"/>
                <w:szCs w:val="22"/>
              </w:rPr>
              <w:t>Deutschland</w:t>
            </w:r>
          </w:p>
          <w:p w14:paraId="260E9E60" w14:textId="7394155D" w:rsidR="00ED1E79" w:rsidRPr="007954D0" w:rsidRDefault="00ED1E79" w:rsidP="00ED1E79">
            <w:pPr>
              <w:pStyle w:val="lbltxt"/>
              <w:rPr>
                <w:noProof w:val="0"/>
                <w:szCs w:val="22"/>
              </w:rPr>
            </w:pPr>
            <w:r w:rsidRPr="007954D0">
              <w:rPr>
                <w:noProof w:val="0"/>
                <w:szCs w:val="22"/>
              </w:rPr>
              <w:t>A</w:t>
            </w:r>
            <w:r w:rsidR="00691E48">
              <w:rPr>
                <w:noProof w:val="0"/>
                <w:szCs w:val="22"/>
              </w:rPr>
              <w:t>mgen</w:t>
            </w:r>
            <w:r w:rsidRPr="007954D0">
              <w:rPr>
                <w:noProof w:val="0"/>
                <w:szCs w:val="22"/>
              </w:rPr>
              <w:t xml:space="preserve"> GmbH</w:t>
            </w:r>
          </w:p>
          <w:p w14:paraId="19DE9B26" w14:textId="5EC6BE66" w:rsidR="00ED1E79" w:rsidRPr="007954D0" w:rsidRDefault="00ED1E79" w:rsidP="00ED1E79">
            <w:pPr>
              <w:pStyle w:val="lbltxt"/>
              <w:rPr>
                <w:noProof w:val="0"/>
                <w:szCs w:val="22"/>
              </w:rPr>
            </w:pPr>
            <w:r w:rsidRPr="00FA1386">
              <w:t>Tel</w:t>
            </w:r>
            <w:r w:rsidRPr="007954D0">
              <w:rPr>
                <w:noProof w:val="0"/>
                <w:szCs w:val="22"/>
              </w:rPr>
              <w:t>:</w:t>
            </w:r>
            <w:r w:rsidRPr="00FA1386">
              <w:t xml:space="preserve"> +49 </w:t>
            </w:r>
            <w:r w:rsidRPr="007954D0">
              <w:rPr>
                <w:noProof w:val="0"/>
                <w:szCs w:val="22"/>
              </w:rPr>
              <w:t>89 1490960</w:t>
            </w:r>
          </w:p>
          <w:p w14:paraId="0BF2C538" w14:textId="77777777" w:rsidR="00ED1E79" w:rsidRPr="009F7642" w:rsidRDefault="00ED1E79" w:rsidP="00ED1E79">
            <w:pPr>
              <w:suppressAutoHyphens/>
              <w:rPr>
                <w:color w:val="auto"/>
                <w:lang w:val="is-IS"/>
              </w:rPr>
            </w:pPr>
          </w:p>
        </w:tc>
        <w:tc>
          <w:tcPr>
            <w:tcW w:w="4508" w:type="dxa"/>
          </w:tcPr>
          <w:p w14:paraId="7B84A299" w14:textId="77777777" w:rsidR="00ED1E79" w:rsidRPr="00F2274F" w:rsidRDefault="00ED1E79" w:rsidP="00ED1E79">
            <w:pPr>
              <w:pStyle w:val="lbltxt"/>
              <w:rPr>
                <w:noProof w:val="0"/>
                <w:szCs w:val="22"/>
                <w:lang w:val="sv-SE"/>
              </w:rPr>
            </w:pPr>
            <w:r w:rsidRPr="00F2274F">
              <w:rPr>
                <w:b/>
                <w:noProof w:val="0"/>
                <w:szCs w:val="22"/>
                <w:lang w:val="sv-SE"/>
              </w:rPr>
              <w:t>Nederland</w:t>
            </w:r>
          </w:p>
          <w:p w14:paraId="2A5EBCB2" w14:textId="77777777" w:rsidR="00ED1E79" w:rsidRPr="00F2274F" w:rsidRDefault="00ED1E79" w:rsidP="00ED1E79">
            <w:pPr>
              <w:pStyle w:val="lbltxt"/>
              <w:rPr>
                <w:lang w:val="sv-SE"/>
              </w:rPr>
            </w:pPr>
            <w:r w:rsidRPr="00F2274F">
              <w:rPr>
                <w:noProof w:val="0"/>
                <w:szCs w:val="22"/>
                <w:lang w:val="sv-SE"/>
              </w:rPr>
              <w:t>Amgen</w:t>
            </w:r>
            <w:r w:rsidRPr="00F2274F">
              <w:rPr>
                <w:lang w:val="sv-SE"/>
              </w:rPr>
              <w:t xml:space="preserve"> B.V.</w:t>
            </w:r>
          </w:p>
          <w:p w14:paraId="0F79CEE9" w14:textId="77777777" w:rsidR="00ED1E79" w:rsidRPr="00F2274F" w:rsidRDefault="00ED1E79" w:rsidP="00ED1E79">
            <w:pPr>
              <w:pStyle w:val="lbltxt"/>
              <w:rPr>
                <w:bCs/>
                <w:noProof w:val="0"/>
                <w:szCs w:val="22"/>
                <w:lang w:val="sv-SE"/>
              </w:rPr>
            </w:pPr>
            <w:r w:rsidRPr="00F2274F">
              <w:rPr>
                <w:lang w:val="sv-SE"/>
              </w:rPr>
              <w:t>Tel: +31 (0)</w:t>
            </w:r>
            <w:r w:rsidRPr="00F2274F">
              <w:rPr>
                <w:noProof w:val="0"/>
                <w:szCs w:val="22"/>
                <w:lang w:val="sv-SE"/>
              </w:rPr>
              <w:t>76 5732500</w:t>
            </w:r>
          </w:p>
          <w:p w14:paraId="4F0376BE" w14:textId="77777777" w:rsidR="00ED1E79" w:rsidRPr="009F7642" w:rsidRDefault="00ED1E79" w:rsidP="00ED1E79">
            <w:pPr>
              <w:suppressAutoHyphens/>
              <w:rPr>
                <w:color w:val="auto"/>
                <w:lang w:val="is-IS"/>
              </w:rPr>
            </w:pPr>
          </w:p>
        </w:tc>
      </w:tr>
      <w:tr w:rsidR="00ED1E79" w:rsidRPr="009F7642" w14:paraId="32626474" w14:textId="77777777" w:rsidTr="00F2274F">
        <w:trPr>
          <w:cantSplit/>
        </w:trPr>
        <w:tc>
          <w:tcPr>
            <w:tcW w:w="4508" w:type="dxa"/>
          </w:tcPr>
          <w:p w14:paraId="3E071663" w14:textId="77777777" w:rsidR="00ED1E79" w:rsidRPr="00F2274F" w:rsidRDefault="00ED1E79" w:rsidP="00ED1E79">
            <w:pPr>
              <w:pStyle w:val="lbltxt"/>
              <w:rPr>
                <w:b/>
                <w:noProof w:val="0"/>
                <w:szCs w:val="22"/>
                <w:lang w:val="sv-SE"/>
              </w:rPr>
            </w:pPr>
            <w:r w:rsidRPr="00F2274F">
              <w:rPr>
                <w:b/>
                <w:noProof w:val="0"/>
                <w:szCs w:val="22"/>
                <w:lang w:val="sv-SE"/>
              </w:rPr>
              <w:t>Eesti</w:t>
            </w:r>
          </w:p>
          <w:p w14:paraId="30F2AF4E" w14:textId="77777777" w:rsidR="00ED1E79" w:rsidRPr="00F2274F" w:rsidRDefault="00ED1E79" w:rsidP="00ED1E79">
            <w:pPr>
              <w:pStyle w:val="lbltxt"/>
              <w:rPr>
                <w:bCs/>
                <w:noProof w:val="0"/>
                <w:szCs w:val="22"/>
                <w:lang w:val="sv-SE"/>
              </w:rPr>
            </w:pPr>
            <w:r w:rsidRPr="00F2274F">
              <w:rPr>
                <w:bCs/>
                <w:noProof w:val="0"/>
                <w:szCs w:val="22"/>
                <w:lang w:val="sv-SE"/>
              </w:rPr>
              <w:t xml:space="preserve">Amgen Switzerland AG </w:t>
            </w:r>
            <w:r w:rsidRPr="00F2274F">
              <w:rPr>
                <w:noProof w:val="0"/>
                <w:szCs w:val="22"/>
                <w:lang w:val="sv-SE"/>
              </w:rPr>
              <w:t>Vilniaus filialas</w:t>
            </w:r>
          </w:p>
          <w:p w14:paraId="693C06EB" w14:textId="77777777" w:rsidR="00ED1E79" w:rsidRPr="009F7642" w:rsidRDefault="00ED1E79" w:rsidP="00ED1E79">
            <w:pPr>
              <w:keepNext/>
              <w:suppressAutoHyphens/>
              <w:rPr>
                <w:color w:val="auto"/>
                <w:lang w:val="is-IS"/>
              </w:rPr>
            </w:pPr>
            <w:r w:rsidRPr="00FA1386">
              <w:t xml:space="preserve">Tel: +372 </w:t>
            </w:r>
            <w:r w:rsidRPr="007954D0">
              <w:rPr>
                <w:bCs/>
              </w:rPr>
              <w:t>586 09553</w:t>
            </w:r>
          </w:p>
        </w:tc>
        <w:tc>
          <w:tcPr>
            <w:tcW w:w="4508" w:type="dxa"/>
          </w:tcPr>
          <w:p w14:paraId="3EE25F6E" w14:textId="77777777" w:rsidR="00ED1E79" w:rsidRPr="007954D0" w:rsidRDefault="00ED1E79" w:rsidP="00ED1E79">
            <w:pPr>
              <w:pStyle w:val="lbltxt"/>
              <w:rPr>
                <w:b/>
                <w:bCs/>
                <w:noProof w:val="0"/>
                <w:szCs w:val="22"/>
              </w:rPr>
            </w:pPr>
            <w:r w:rsidRPr="007954D0">
              <w:rPr>
                <w:b/>
                <w:bCs/>
                <w:noProof w:val="0"/>
                <w:szCs w:val="22"/>
              </w:rPr>
              <w:t>Norge</w:t>
            </w:r>
          </w:p>
          <w:p w14:paraId="0D73D4AF" w14:textId="77777777" w:rsidR="00ED1E79" w:rsidRPr="00EC02A3" w:rsidRDefault="00ED1E79" w:rsidP="00ED1E79">
            <w:pPr>
              <w:pStyle w:val="lbltxt"/>
              <w:rPr>
                <w:rStyle w:val="CommentReference"/>
                <w:noProof w:val="0"/>
                <w:sz w:val="22"/>
                <w:szCs w:val="22"/>
              </w:rPr>
            </w:pPr>
            <w:r w:rsidRPr="00EC02A3">
              <w:rPr>
                <w:rStyle w:val="CommentReference"/>
                <w:noProof w:val="0"/>
                <w:sz w:val="22"/>
                <w:szCs w:val="22"/>
              </w:rPr>
              <w:t>Amgen AB</w:t>
            </w:r>
          </w:p>
          <w:p w14:paraId="2FB2E942" w14:textId="09832719" w:rsidR="00ED1E79" w:rsidRPr="007954D0" w:rsidRDefault="00ED1E79" w:rsidP="00ED1E79">
            <w:pPr>
              <w:pStyle w:val="lbltxt"/>
              <w:rPr>
                <w:noProof w:val="0"/>
                <w:szCs w:val="22"/>
              </w:rPr>
            </w:pPr>
            <w:proofErr w:type="spellStart"/>
            <w:r w:rsidRPr="00BD1114">
              <w:rPr>
                <w:rStyle w:val="CommentReference"/>
                <w:noProof w:val="0"/>
                <w:sz w:val="22"/>
                <w:szCs w:val="22"/>
              </w:rPr>
              <w:t>Tl</w:t>
            </w:r>
            <w:r w:rsidR="007626E5">
              <w:rPr>
                <w:rStyle w:val="CommentReference"/>
                <w:noProof w:val="0"/>
                <w:sz w:val="22"/>
                <w:szCs w:val="22"/>
              </w:rPr>
              <w:t>f</w:t>
            </w:r>
            <w:proofErr w:type="spellEnd"/>
            <w:r w:rsidRPr="004470DB">
              <w:rPr>
                <w:rStyle w:val="CommentReference"/>
                <w:sz w:val="22"/>
                <w:szCs w:val="22"/>
              </w:rPr>
              <w:t xml:space="preserve">: +47 </w:t>
            </w:r>
            <w:r w:rsidRPr="00C53990">
              <w:rPr>
                <w:rStyle w:val="CommentReference"/>
                <w:noProof w:val="0"/>
                <w:sz w:val="22"/>
                <w:szCs w:val="22"/>
              </w:rPr>
              <w:t>23308000</w:t>
            </w:r>
          </w:p>
          <w:p w14:paraId="7DAB5ED7" w14:textId="77777777" w:rsidR="00ED1E79" w:rsidRPr="009F7642" w:rsidRDefault="00ED1E79" w:rsidP="00ED1E79">
            <w:pPr>
              <w:keepNext/>
              <w:suppressAutoHyphens/>
              <w:rPr>
                <w:color w:val="auto"/>
                <w:lang w:val="is-IS"/>
              </w:rPr>
            </w:pPr>
          </w:p>
        </w:tc>
      </w:tr>
      <w:tr w:rsidR="00ED1E79" w:rsidRPr="009F7642" w14:paraId="248EAE09" w14:textId="77777777" w:rsidTr="00F2274F">
        <w:trPr>
          <w:cantSplit/>
        </w:trPr>
        <w:tc>
          <w:tcPr>
            <w:tcW w:w="4508" w:type="dxa"/>
          </w:tcPr>
          <w:p w14:paraId="03B483D8" w14:textId="77777777" w:rsidR="00ED1E79" w:rsidRPr="00F2274F" w:rsidRDefault="00ED1E79" w:rsidP="00ED1E79">
            <w:pPr>
              <w:pStyle w:val="lbltxt"/>
              <w:rPr>
                <w:b/>
                <w:bCs/>
                <w:noProof w:val="0"/>
                <w:szCs w:val="22"/>
                <w:lang w:val="is-IS"/>
              </w:rPr>
            </w:pPr>
            <w:r w:rsidRPr="007566FC">
              <w:rPr>
                <w:b/>
                <w:bCs/>
                <w:noProof w:val="0"/>
                <w:szCs w:val="22"/>
                <w:lang w:val="el-GR"/>
              </w:rPr>
              <w:t>Ελλάδα</w:t>
            </w:r>
          </w:p>
          <w:p w14:paraId="3F32B6CE" w14:textId="77777777" w:rsidR="00ED1E79" w:rsidRPr="00F2274F" w:rsidRDefault="00ED1E79" w:rsidP="00ED1E79">
            <w:pPr>
              <w:pStyle w:val="lbltxt"/>
              <w:rPr>
                <w:noProof w:val="0"/>
                <w:szCs w:val="22"/>
                <w:lang w:val="is-IS"/>
              </w:rPr>
            </w:pPr>
            <w:r w:rsidRPr="00F2274F">
              <w:rPr>
                <w:noProof w:val="0"/>
                <w:szCs w:val="22"/>
                <w:lang w:val="is-IS"/>
              </w:rPr>
              <w:t xml:space="preserve">Amgen </w:t>
            </w:r>
            <w:r w:rsidRPr="007566FC">
              <w:rPr>
                <w:noProof w:val="0"/>
                <w:szCs w:val="22"/>
                <w:lang w:val="el-GR"/>
              </w:rPr>
              <w:t>Ελλάς</w:t>
            </w:r>
            <w:r w:rsidRPr="00F2274F">
              <w:rPr>
                <w:noProof w:val="0"/>
                <w:szCs w:val="22"/>
                <w:lang w:val="is-IS"/>
              </w:rPr>
              <w:t xml:space="preserve"> </w:t>
            </w:r>
            <w:r w:rsidRPr="007566FC">
              <w:rPr>
                <w:noProof w:val="0"/>
                <w:szCs w:val="22"/>
                <w:lang w:val="el-GR"/>
              </w:rPr>
              <w:t>Φαρμακευτικά</w:t>
            </w:r>
            <w:r w:rsidRPr="00F2274F">
              <w:rPr>
                <w:noProof w:val="0"/>
                <w:szCs w:val="22"/>
                <w:lang w:val="is-IS"/>
              </w:rPr>
              <w:t xml:space="preserve"> </w:t>
            </w:r>
            <w:r w:rsidRPr="007566FC">
              <w:rPr>
                <w:noProof w:val="0"/>
                <w:szCs w:val="22"/>
                <w:lang w:val="el-GR"/>
              </w:rPr>
              <w:t>Ε</w:t>
            </w:r>
            <w:r w:rsidRPr="00F2274F">
              <w:rPr>
                <w:noProof w:val="0"/>
                <w:szCs w:val="22"/>
                <w:lang w:val="is-IS"/>
              </w:rPr>
              <w:t>.</w:t>
            </w:r>
            <w:r w:rsidRPr="007566FC">
              <w:rPr>
                <w:noProof w:val="0"/>
                <w:szCs w:val="22"/>
                <w:lang w:val="el-GR"/>
              </w:rPr>
              <w:t>Π</w:t>
            </w:r>
            <w:r w:rsidRPr="00F2274F">
              <w:rPr>
                <w:noProof w:val="0"/>
                <w:szCs w:val="22"/>
                <w:lang w:val="is-IS"/>
              </w:rPr>
              <w:t>.</w:t>
            </w:r>
            <w:r w:rsidRPr="007566FC">
              <w:rPr>
                <w:noProof w:val="0"/>
                <w:szCs w:val="22"/>
                <w:lang w:val="el-GR"/>
              </w:rPr>
              <w:t>Ε</w:t>
            </w:r>
            <w:r w:rsidRPr="00F2274F">
              <w:rPr>
                <w:noProof w:val="0"/>
                <w:szCs w:val="22"/>
                <w:lang w:val="is-IS"/>
              </w:rPr>
              <w:t xml:space="preserve">. </w:t>
            </w:r>
          </w:p>
          <w:p w14:paraId="179BE5AA" w14:textId="077FADF9" w:rsidR="00ED1E79" w:rsidRPr="007954D0" w:rsidRDefault="00ED1E79" w:rsidP="00ED1E79">
            <w:pPr>
              <w:pStyle w:val="lbltxt"/>
              <w:rPr>
                <w:noProof w:val="0"/>
                <w:szCs w:val="22"/>
              </w:rPr>
            </w:pPr>
            <w:r w:rsidRPr="00FA1386">
              <w:t>Τηλ</w:t>
            </w:r>
            <w:r w:rsidRPr="007954D0">
              <w:rPr>
                <w:noProof w:val="0"/>
                <w:szCs w:val="22"/>
              </w:rPr>
              <w:t>:</w:t>
            </w:r>
            <w:r w:rsidRPr="00FA1386">
              <w:t xml:space="preserve"> +30 210 </w:t>
            </w:r>
            <w:r w:rsidRPr="007954D0">
              <w:rPr>
                <w:noProof w:val="0"/>
                <w:szCs w:val="22"/>
              </w:rPr>
              <w:t>3447000</w:t>
            </w:r>
          </w:p>
          <w:p w14:paraId="52C662A7" w14:textId="77777777" w:rsidR="00ED1E79" w:rsidRPr="009F7642" w:rsidRDefault="00ED1E79" w:rsidP="00ED1E79">
            <w:pPr>
              <w:suppressAutoHyphens/>
              <w:rPr>
                <w:color w:val="auto"/>
                <w:lang w:val="is-IS"/>
              </w:rPr>
            </w:pPr>
          </w:p>
        </w:tc>
        <w:tc>
          <w:tcPr>
            <w:tcW w:w="4508" w:type="dxa"/>
          </w:tcPr>
          <w:p w14:paraId="1FC38DD7" w14:textId="77777777" w:rsidR="00ED1E79" w:rsidRPr="007954D0" w:rsidRDefault="00ED1E79" w:rsidP="00ED1E79">
            <w:pPr>
              <w:pStyle w:val="lbltxt"/>
              <w:rPr>
                <w:noProof w:val="0"/>
                <w:szCs w:val="22"/>
              </w:rPr>
            </w:pPr>
            <w:r w:rsidRPr="007954D0">
              <w:rPr>
                <w:b/>
                <w:noProof w:val="0"/>
                <w:szCs w:val="22"/>
              </w:rPr>
              <w:t>Österreich</w:t>
            </w:r>
          </w:p>
          <w:p w14:paraId="2C253D89" w14:textId="77777777" w:rsidR="00ED1E79" w:rsidRPr="00FA1386" w:rsidRDefault="00ED1E79" w:rsidP="00ED1E79">
            <w:pPr>
              <w:pStyle w:val="lbltxt"/>
            </w:pPr>
            <w:r w:rsidRPr="007954D0">
              <w:rPr>
                <w:noProof w:val="0"/>
                <w:szCs w:val="22"/>
              </w:rPr>
              <w:t>Amgen</w:t>
            </w:r>
            <w:r w:rsidRPr="00FA1386">
              <w:t xml:space="preserve"> GmbH</w:t>
            </w:r>
            <w:r w:rsidRPr="007954D0">
              <w:rPr>
                <w:noProof w:val="0"/>
                <w:szCs w:val="22"/>
              </w:rPr>
              <w:t xml:space="preserve"> </w:t>
            </w:r>
          </w:p>
          <w:p w14:paraId="2BB66EBD" w14:textId="77777777" w:rsidR="00ED1E79" w:rsidRPr="007954D0" w:rsidRDefault="00ED1E79" w:rsidP="00ED1E79">
            <w:pPr>
              <w:pStyle w:val="lbltxt"/>
              <w:rPr>
                <w:noProof w:val="0"/>
                <w:szCs w:val="22"/>
              </w:rPr>
            </w:pPr>
            <w:r w:rsidRPr="00FA1386">
              <w:t xml:space="preserve">Tel: +43 (0)1 </w:t>
            </w:r>
            <w:r w:rsidRPr="007954D0">
              <w:rPr>
                <w:noProof w:val="0"/>
                <w:szCs w:val="22"/>
              </w:rPr>
              <w:t>50 217</w:t>
            </w:r>
          </w:p>
          <w:p w14:paraId="10C30475" w14:textId="77777777" w:rsidR="00ED1E79" w:rsidRPr="009F7642" w:rsidRDefault="00ED1E79" w:rsidP="00ED1E79">
            <w:pPr>
              <w:suppressAutoHyphens/>
              <w:rPr>
                <w:color w:val="auto"/>
                <w:lang w:val="is-IS"/>
              </w:rPr>
            </w:pPr>
          </w:p>
        </w:tc>
      </w:tr>
      <w:tr w:rsidR="00ED1E79" w:rsidRPr="009F7642" w14:paraId="522C2BCF" w14:textId="77777777" w:rsidTr="00F2274F">
        <w:trPr>
          <w:cantSplit/>
        </w:trPr>
        <w:tc>
          <w:tcPr>
            <w:tcW w:w="4508" w:type="dxa"/>
          </w:tcPr>
          <w:p w14:paraId="10B74539" w14:textId="77777777" w:rsidR="00ED1E79" w:rsidRPr="00F2274F" w:rsidRDefault="00ED1E79" w:rsidP="00ED1E79">
            <w:pPr>
              <w:pStyle w:val="lbltxt"/>
              <w:rPr>
                <w:noProof w:val="0"/>
                <w:szCs w:val="22"/>
                <w:lang w:val="sv-SE"/>
              </w:rPr>
            </w:pPr>
            <w:r w:rsidRPr="00F2274F">
              <w:rPr>
                <w:b/>
                <w:noProof w:val="0"/>
                <w:szCs w:val="22"/>
                <w:lang w:val="sv-SE"/>
              </w:rPr>
              <w:t>España</w:t>
            </w:r>
          </w:p>
          <w:p w14:paraId="61E746CA" w14:textId="77777777" w:rsidR="00ED1E79" w:rsidRPr="00F2274F" w:rsidRDefault="00ED1E79" w:rsidP="00ED1E79">
            <w:pPr>
              <w:pStyle w:val="lbltxt"/>
              <w:rPr>
                <w:spacing w:val="-2"/>
                <w:lang w:val="sv-SE"/>
              </w:rPr>
            </w:pPr>
            <w:r w:rsidRPr="00F2274F">
              <w:rPr>
                <w:noProof w:val="0"/>
                <w:spacing w:val="-2"/>
                <w:szCs w:val="22"/>
                <w:lang w:val="sv-SE"/>
              </w:rPr>
              <w:t>Amgen</w:t>
            </w:r>
            <w:r w:rsidRPr="00F2274F">
              <w:rPr>
                <w:spacing w:val="-2"/>
                <w:lang w:val="sv-SE"/>
              </w:rPr>
              <w:t xml:space="preserve"> S.A.</w:t>
            </w:r>
            <w:r w:rsidRPr="00F2274F">
              <w:rPr>
                <w:noProof w:val="0"/>
                <w:spacing w:val="-2"/>
                <w:szCs w:val="22"/>
                <w:lang w:val="sv-SE"/>
              </w:rPr>
              <w:tab/>
            </w:r>
          </w:p>
          <w:p w14:paraId="00939E3C" w14:textId="77777777" w:rsidR="00ED1E79" w:rsidRPr="007954D0" w:rsidRDefault="00ED1E79" w:rsidP="00ED1E79">
            <w:pPr>
              <w:pStyle w:val="lbltxt"/>
              <w:rPr>
                <w:rStyle w:val="Initial"/>
                <w:szCs w:val="22"/>
              </w:rPr>
            </w:pPr>
            <w:r w:rsidRPr="00F2274F">
              <w:rPr>
                <w:lang w:val="sv-SE"/>
              </w:rPr>
              <w:t xml:space="preserve">Tel: +34 </w:t>
            </w:r>
            <w:r w:rsidRPr="00F2274F">
              <w:rPr>
                <w:noProof w:val="0"/>
                <w:szCs w:val="22"/>
                <w:lang w:val="sv-SE"/>
              </w:rPr>
              <w:t xml:space="preserve">93 600 18 60 </w:t>
            </w:r>
          </w:p>
          <w:p w14:paraId="3A2A1806" w14:textId="77777777" w:rsidR="00ED1E79" w:rsidRPr="009F7642" w:rsidRDefault="00ED1E79" w:rsidP="00ED1E79">
            <w:pPr>
              <w:suppressAutoHyphens/>
              <w:rPr>
                <w:color w:val="auto"/>
                <w:lang w:val="is-IS"/>
              </w:rPr>
            </w:pPr>
          </w:p>
        </w:tc>
        <w:tc>
          <w:tcPr>
            <w:tcW w:w="4508" w:type="dxa"/>
          </w:tcPr>
          <w:p w14:paraId="7BE868CE" w14:textId="77777777" w:rsidR="00ED1E79" w:rsidRPr="00F2274F" w:rsidRDefault="00ED1E79" w:rsidP="00ED1E79">
            <w:pPr>
              <w:pStyle w:val="lbltxt"/>
              <w:rPr>
                <w:b/>
                <w:noProof w:val="0"/>
                <w:szCs w:val="22"/>
                <w:lang w:val="sv-SE"/>
              </w:rPr>
            </w:pPr>
            <w:r w:rsidRPr="00F2274F">
              <w:rPr>
                <w:b/>
                <w:noProof w:val="0"/>
                <w:szCs w:val="22"/>
                <w:lang w:val="sv-SE"/>
              </w:rPr>
              <w:t>Polska</w:t>
            </w:r>
          </w:p>
          <w:p w14:paraId="1E09AF35" w14:textId="77777777" w:rsidR="00ED1E79" w:rsidRPr="00F2274F" w:rsidRDefault="00ED1E79" w:rsidP="00ED1E79">
            <w:pPr>
              <w:pStyle w:val="lbltxt"/>
              <w:rPr>
                <w:lang w:val="sv-SE"/>
              </w:rPr>
            </w:pPr>
            <w:r w:rsidRPr="00F2274F">
              <w:rPr>
                <w:noProof w:val="0"/>
                <w:szCs w:val="22"/>
                <w:lang w:val="sv-SE"/>
              </w:rPr>
              <w:t xml:space="preserve">Amgen </w:t>
            </w:r>
            <w:r w:rsidRPr="00F2274F">
              <w:rPr>
                <w:noProof w:val="0"/>
                <w:color w:val="000000"/>
                <w:szCs w:val="22"/>
                <w:lang w:val="sv-SE" w:eastAsia="en-GB"/>
              </w:rPr>
              <w:t>Biotechnologia</w:t>
            </w:r>
            <w:r w:rsidRPr="00F2274F">
              <w:rPr>
                <w:lang w:val="sv-SE"/>
              </w:rPr>
              <w:t xml:space="preserve"> Sp.</w:t>
            </w:r>
            <w:r w:rsidRPr="00F2274F">
              <w:rPr>
                <w:noProof w:val="0"/>
                <w:szCs w:val="22"/>
                <w:lang w:val="sv-SE"/>
              </w:rPr>
              <w:t xml:space="preserve"> </w:t>
            </w:r>
            <w:r w:rsidRPr="00F2274F">
              <w:rPr>
                <w:lang w:val="sv-SE"/>
              </w:rPr>
              <w:t>z o.o.</w:t>
            </w:r>
          </w:p>
          <w:p w14:paraId="74934E35" w14:textId="77777777" w:rsidR="00ED1E79" w:rsidRPr="009F7642" w:rsidRDefault="00ED1E79" w:rsidP="00ED1E79">
            <w:pPr>
              <w:suppressAutoHyphens/>
              <w:rPr>
                <w:color w:val="auto"/>
                <w:lang w:val="is-IS"/>
              </w:rPr>
            </w:pPr>
            <w:r w:rsidRPr="00FA1386">
              <w:t>Tel</w:t>
            </w:r>
            <w:r w:rsidRPr="007954D0">
              <w:rPr>
                <w:bCs/>
              </w:rPr>
              <w:t>.:</w:t>
            </w:r>
            <w:r w:rsidRPr="00FA1386">
              <w:t xml:space="preserve"> +48 22 </w:t>
            </w:r>
            <w:r w:rsidRPr="007954D0">
              <w:rPr>
                <w:bCs/>
              </w:rPr>
              <w:t>581 3000</w:t>
            </w:r>
          </w:p>
        </w:tc>
      </w:tr>
      <w:tr w:rsidR="00ED1E79" w:rsidRPr="007D62F1" w14:paraId="2C6694E8" w14:textId="77777777" w:rsidTr="00F2274F">
        <w:trPr>
          <w:cantSplit/>
        </w:trPr>
        <w:tc>
          <w:tcPr>
            <w:tcW w:w="4508" w:type="dxa"/>
          </w:tcPr>
          <w:p w14:paraId="0399750D" w14:textId="77777777" w:rsidR="00ED1E79" w:rsidRPr="00C4342D" w:rsidRDefault="00ED1E79" w:rsidP="00ED1E79">
            <w:pPr>
              <w:pStyle w:val="lbltxt"/>
              <w:rPr>
                <w:noProof w:val="0"/>
                <w:szCs w:val="22"/>
                <w:lang w:val="fr-FR"/>
              </w:rPr>
            </w:pPr>
            <w:r w:rsidRPr="00C4342D">
              <w:rPr>
                <w:b/>
                <w:noProof w:val="0"/>
                <w:szCs w:val="22"/>
                <w:lang w:val="fr-FR"/>
              </w:rPr>
              <w:t>France</w:t>
            </w:r>
          </w:p>
          <w:p w14:paraId="312C26D3" w14:textId="77777777" w:rsidR="00ED1E79" w:rsidRPr="00C4342D" w:rsidRDefault="00ED1E79" w:rsidP="00ED1E79">
            <w:pPr>
              <w:pStyle w:val="lbltxt"/>
              <w:rPr>
                <w:noProof w:val="0"/>
                <w:szCs w:val="22"/>
                <w:lang w:val="fr-FR"/>
              </w:rPr>
            </w:pPr>
            <w:r w:rsidRPr="00C4342D">
              <w:rPr>
                <w:noProof w:val="0"/>
                <w:szCs w:val="22"/>
                <w:lang w:val="fr-FR"/>
              </w:rPr>
              <w:t>Amgen S.A.S.</w:t>
            </w:r>
          </w:p>
          <w:p w14:paraId="05DA41DA" w14:textId="77777777" w:rsidR="00ED1E79" w:rsidRPr="009F7642" w:rsidRDefault="00ED1E79" w:rsidP="00ED1E79">
            <w:pPr>
              <w:pStyle w:val="Default"/>
              <w:suppressAutoHyphens/>
              <w:rPr>
                <w:b/>
                <w:bCs/>
                <w:color w:val="auto"/>
                <w:sz w:val="22"/>
                <w:szCs w:val="22"/>
                <w:lang w:val="is-IS"/>
              </w:rPr>
            </w:pPr>
            <w:proofErr w:type="gramStart"/>
            <w:r w:rsidRPr="00FA1386">
              <w:rPr>
                <w:lang w:val="fr-FR"/>
              </w:rPr>
              <w:t>Tél:</w:t>
            </w:r>
            <w:proofErr w:type="gramEnd"/>
            <w:r w:rsidRPr="00FA1386">
              <w:rPr>
                <w:lang w:val="fr-FR"/>
              </w:rPr>
              <w:t xml:space="preserve"> +33 (0)</w:t>
            </w:r>
            <w:r w:rsidRPr="00C4342D">
              <w:rPr>
                <w:szCs w:val="22"/>
                <w:lang w:val="fr-FR"/>
              </w:rPr>
              <w:t>9 69 363 363</w:t>
            </w:r>
          </w:p>
        </w:tc>
        <w:tc>
          <w:tcPr>
            <w:tcW w:w="4508" w:type="dxa"/>
          </w:tcPr>
          <w:p w14:paraId="211CE977" w14:textId="77777777" w:rsidR="00ED1E79" w:rsidRPr="00F81336" w:rsidRDefault="00ED1E79" w:rsidP="00ED1E79">
            <w:pPr>
              <w:pStyle w:val="lbltxt"/>
              <w:rPr>
                <w:noProof w:val="0"/>
                <w:szCs w:val="22"/>
                <w:lang w:val="es-ES"/>
              </w:rPr>
            </w:pPr>
            <w:r w:rsidRPr="00F81336">
              <w:rPr>
                <w:b/>
                <w:noProof w:val="0"/>
                <w:szCs w:val="22"/>
                <w:lang w:val="es-ES"/>
              </w:rPr>
              <w:t>Portugal</w:t>
            </w:r>
          </w:p>
          <w:p w14:paraId="6D354694" w14:textId="77777777" w:rsidR="00ED1E79" w:rsidRPr="00F81336" w:rsidRDefault="00ED1E79" w:rsidP="00ED1E79">
            <w:pPr>
              <w:pStyle w:val="lbltxt"/>
              <w:rPr>
                <w:lang w:val="es-ES"/>
              </w:rPr>
            </w:pPr>
            <w:r w:rsidRPr="00F81336">
              <w:rPr>
                <w:noProof w:val="0"/>
                <w:szCs w:val="22"/>
                <w:lang w:val="es-ES"/>
              </w:rPr>
              <w:t xml:space="preserve">Amgen </w:t>
            </w:r>
            <w:proofErr w:type="spellStart"/>
            <w:r w:rsidRPr="00F81336">
              <w:rPr>
                <w:noProof w:val="0"/>
                <w:szCs w:val="22"/>
                <w:lang w:val="es-ES"/>
              </w:rPr>
              <w:t>Biofarmacêutica</w:t>
            </w:r>
            <w:proofErr w:type="spellEnd"/>
            <w:r w:rsidRPr="00F81336">
              <w:rPr>
                <w:lang w:val="es-ES"/>
              </w:rPr>
              <w:t>, Lda</w:t>
            </w:r>
            <w:r w:rsidRPr="00F81336">
              <w:rPr>
                <w:noProof w:val="0"/>
                <w:szCs w:val="22"/>
                <w:lang w:val="es-ES"/>
              </w:rPr>
              <w:t>.</w:t>
            </w:r>
          </w:p>
          <w:p w14:paraId="2FE19F7E" w14:textId="77777777" w:rsidR="00204B52" w:rsidRPr="00F81336" w:rsidRDefault="00ED1E79" w:rsidP="00204B52">
            <w:pPr>
              <w:rPr>
                <w:lang w:val="es-ES"/>
              </w:rPr>
            </w:pPr>
            <w:r w:rsidRPr="00F81336">
              <w:rPr>
                <w:lang w:val="es-ES"/>
              </w:rPr>
              <w:t>Tel: +351 21 422</w:t>
            </w:r>
            <w:r w:rsidR="00204B52" w:rsidRPr="00F81336">
              <w:rPr>
                <w:lang w:val="es-ES"/>
              </w:rPr>
              <w:t>0606</w:t>
            </w:r>
          </w:p>
          <w:p w14:paraId="73194B31" w14:textId="77777777" w:rsidR="00ED1E79" w:rsidRPr="009F7642" w:rsidRDefault="00ED1E79" w:rsidP="00ED1E79">
            <w:pPr>
              <w:pStyle w:val="Default"/>
              <w:suppressAutoHyphens/>
              <w:rPr>
                <w:b/>
                <w:bCs/>
                <w:color w:val="auto"/>
                <w:sz w:val="22"/>
                <w:szCs w:val="22"/>
                <w:lang w:val="is-IS"/>
              </w:rPr>
            </w:pPr>
          </w:p>
        </w:tc>
      </w:tr>
      <w:tr w:rsidR="00ED1E79" w:rsidRPr="002F522D" w14:paraId="409D44EE" w14:textId="77777777" w:rsidTr="00F2274F">
        <w:trPr>
          <w:cantSplit/>
        </w:trPr>
        <w:tc>
          <w:tcPr>
            <w:tcW w:w="4508" w:type="dxa"/>
          </w:tcPr>
          <w:p w14:paraId="766B56BA" w14:textId="77777777" w:rsidR="00ED1E79" w:rsidRPr="00F81336" w:rsidRDefault="00ED1E79" w:rsidP="00ED1E79">
            <w:pPr>
              <w:rPr>
                <w:lang w:val="is-IS"/>
              </w:rPr>
            </w:pPr>
            <w:r w:rsidRPr="00F81336">
              <w:rPr>
                <w:b/>
                <w:lang w:val="is-IS"/>
              </w:rPr>
              <w:t>Hrvatska</w:t>
            </w:r>
          </w:p>
          <w:p w14:paraId="0EEB2498" w14:textId="77777777" w:rsidR="00ED1E79" w:rsidRPr="00F81336" w:rsidRDefault="00ED1E79" w:rsidP="00ED1E79">
            <w:pPr>
              <w:rPr>
                <w:lang w:val="is-IS"/>
              </w:rPr>
            </w:pPr>
            <w:r w:rsidRPr="00F81336">
              <w:rPr>
                <w:lang w:val="is-IS"/>
              </w:rPr>
              <w:t>Amgen d.o.o.</w:t>
            </w:r>
          </w:p>
          <w:p w14:paraId="6DE79AFB" w14:textId="77777777" w:rsidR="00ED1E79" w:rsidRPr="00D50449" w:rsidRDefault="00ED1E79" w:rsidP="00ED1E79">
            <w:pPr>
              <w:pStyle w:val="Default"/>
              <w:suppressAutoHyphens/>
              <w:rPr>
                <w:b/>
                <w:bCs/>
                <w:color w:val="auto"/>
                <w:sz w:val="22"/>
                <w:szCs w:val="22"/>
                <w:lang w:val="is-IS"/>
              </w:rPr>
            </w:pPr>
            <w:r w:rsidRPr="00F2274F">
              <w:rPr>
                <w:sz w:val="22"/>
                <w:szCs w:val="22"/>
              </w:rPr>
              <w:t>Tel: +385 (0)1 562 57 20</w:t>
            </w:r>
          </w:p>
        </w:tc>
        <w:tc>
          <w:tcPr>
            <w:tcW w:w="4508" w:type="dxa"/>
          </w:tcPr>
          <w:p w14:paraId="69317F20" w14:textId="77777777" w:rsidR="00ED1E79" w:rsidRPr="007566FC" w:rsidRDefault="00ED1E79" w:rsidP="00ED1E79">
            <w:pPr>
              <w:suppressAutoHyphens/>
              <w:rPr>
                <w:b/>
                <w:lang w:val="es-ES"/>
              </w:rPr>
            </w:pPr>
            <w:proofErr w:type="spellStart"/>
            <w:r w:rsidRPr="007566FC">
              <w:rPr>
                <w:b/>
                <w:lang w:val="es-ES"/>
              </w:rPr>
              <w:t>România</w:t>
            </w:r>
            <w:proofErr w:type="spellEnd"/>
          </w:p>
          <w:p w14:paraId="2AE6D6DA" w14:textId="77777777" w:rsidR="00ED1E79" w:rsidRPr="007566FC" w:rsidRDefault="00ED1E79" w:rsidP="00ED1E79">
            <w:pPr>
              <w:rPr>
                <w:lang w:val="es-ES"/>
              </w:rPr>
            </w:pPr>
            <w:r w:rsidRPr="007566FC">
              <w:rPr>
                <w:lang w:val="es-ES"/>
              </w:rPr>
              <w:t xml:space="preserve">Amgen </w:t>
            </w:r>
            <w:proofErr w:type="spellStart"/>
            <w:r w:rsidRPr="007566FC">
              <w:rPr>
                <w:lang w:val="es-ES"/>
              </w:rPr>
              <w:t>România</w:t>
            </w:r>
            <w:proofErr w:type="spellEnd"/>
            <w:r w:rsidRPr="007566FC">
              <w:rPr>
                <w:lang w:val="es-ES"/>
              </w:rPr>
              <w:t xml:space="preserve"> SRL</w:t>
            </w:r>
          </w:p>
          <w:p w14:paraId="74CD3612" w14:textId="77777777" w:rsidR="00ED1E79" w:rsidRPr="007566FC" w:rsidRDefault="00ED1E79" w:rsidP="00ED1E79">
            <w:pPr>
              <w:pStyle w:val="lbltxt"/>
              <w:rPr>
                <w:noProof w:val="0"/>
                <w:szCs w:val="22"/>
                <w:lang w:val="es-ES"/>
              </w:rPr>
            </w:pPr>
            <w:r w:rsidRPr="007566FC">
              <w:rPr>
                <w:szCs w:val="22"/>
                <w:lang w:val="es-ES"/>
              </w:rPr>
              <w:t>Tel: +</w:t>
            </w:r>
            <w:r w:rsidRPr="007566FC">
              <w:rPr>
                <w:noProof w:val="0"/>
                <w:szCs w:val="22"/>
                <w:lang w:val="es-ES"/>
              </w:rPr>
              <w:t>4021 527 3000</w:t>
            </w:r>
          </w:p>
          <w:p w14:paraId="7FA03850" w14:textId="77777777" w:rsidR="00ED1E79" w:rsidRPr="00D50449" w:rsidRDefault="00ED1E79" w:rsidP="00ED1E79">
            <w:pPr>
              <w:pStyle w:val="Default"/>
              <w:suppressAutoHyphens/>
              <w:rPr>
                <w:b/>
                <w:bCs/>
                <w:color w:val="auto"/>
                <w:sz w:val="22"/>
                <w:szCs w:val="22"/>
                <w:lang w:val="is-IS"/>
              </w:rPr>
            </w:pPr>
          </w:p>
        </w:tc>
      </w:tr>
      <w:tr w:rsidR="00ED1E79" w:rsidRPr="009F7642" w14:paraId="75AE1D09" w14:textId="77777777" w:rsidTr="00F2274F">
        <w:trPr>
          <w:cantSplit/>
        </w:trPr>
        <w:tc>
          <w:tcPr>
            <w:tcW w:w="4508" w:type="dxa"/>
          </w:tcPr>
          <w:p w14:paraId="6C6A3FA4" w14:textId="77777777" w:rsidR="00ED1E79" w:rsidRPr="00D50449" w:rsidRDefault="00ED1E79" w:rsidP="00ED1E79">
            <w:pPr>
              <w:pStyle w:val="lbltxt"/>
              <w:rPr>
                <w:noProof w:val="0"/>
                <w:szCs w:val="22"/>
              </w:rPr>
            </w:pPr>
            <w:r w:rsidRPr="00D50449">
              <w:rPr>
                <w:b/>
                <w:noProof w:val="0"/>
                <w:szCs w:val="22"/>
              </w:rPr>
              <w:t>Ireland</w:t>
            </w:r>
          </w:p>
          <w:p w14:paraId="431866F8" w14:textId="77777777" w:rsidR="00ED1E79" w:rsidRPr="00D50449" w:rsidRDefault="00ED1E79" w:rsidP="00ED1E79">
            <w:pPr>
              <w:pStyle w:val="lbltxt"/>
              <w:rPr>
                <w:noProof w:val="0"/>
                <w:szCs w:val="22"/>
              </w:rPr>
            </w:pPr>
            <w:r w:rsidRPr="00D50449">
              <w:rPr>
                <w:noProof w:val="0"/>
                <w:szCs w:val="22"/>
              </w:rPr>
              <w:t>Amgen</w:t>
            </w:r>
            <w:r w:rsidR="00204B52">
              <w:rPr>
                <w:rFonts w:eastAsia="Arial Unicode MS"/>
                <w:bCs/>
                <w:szCs w:val="22"/>
                <w:lang w:val="hr-HR"/>
              </w:rPr>
              <w:t xml:space="preserve"> Ireland</w:t>
            </w:r>
            <w:r w:rsidRPr="00D50449">
              <w:rPr>
                <w:noProof w:val="0"/>
                <w:szCs w:val="22"/>
              </w:rPr>
              <w:t xml:space="preserve"> Limited</w:t>
            </w:r>
          </w:p>
          <w:p w14:paraId="1A33239E" w14:textId="77777777" w:rsidR="00ED1E79" w:rsidRPr="00EC02A3" w:rsidRDefault="00ED1E79" w:rsidP="00ED1E79">
            <w:pPr>
              <w:pStyle w:val="lbltxt"/>
              <w:rPr>
                <w:rStyle w:val="Initial"/>
                <w:rFonts w:ascii="Times New Roman" w:hAnsi="Times New Roman" w:cs="Times New Roman"/>
                <w:sz w:val="22"/>
                <w:szCs w:val="22"/>
              </w:rPr>
            </w:pPr>
            <w:r w:rsidRPr="00D50449">
              <w:rPr>
                <w:szCs w:val="22"/>
              </w:rPr>
              <w:t>Tel: +</w:t>
            </w:r>
            <w:r w:rsidR="00204B52" w:rsidRPr="00E61FEC">
              <w:rPr>
                <w:noProof w:val="0"/>
                <w:lang w:val="en-US"/>
              </w:rPr>
              <w:t>353 1 8527400</w:t>
            </w:r>
          </w:p>
          <w:p w14:paraId="36EA30FA" w14:textId="77777777" w:rsidR="00ED1E79" w:rsidRPr="00D50449" w:rsidRDefault="00ED1E79" w:rsidP="00ED1E79">
            <w:pPr>
              <w:pStyle w:val="Default"/>
              <w:suppressAutoHyphens/>
              <w:rPr>
                <w:b/>
                <w:bCs/>
                <w:color w:val="auto"/>
                <w:sz w:val="22"/>
                <w:szCs w:val="22"/>
                <w:lang w:val="is-IS"/>
              </w:rPr>
            </w:pPr>
          </w:p>
        </w:tc>
        <w:tc>
          <w:tcPr>
            <w:tcW w:w="4508" w:type="dxa"/>
          </w:tcPr>
          <w:p w14:paraId="5165B2B9" w14:textId="77777777" w:rsidR="00ED1E79" w:rsidRPr="00F2274F" w:rsidRDefault="00ED1E79" w:rsidP="00ED1E79">
            <w:pPr>
              <w:pStyle w:val="lbltxt"/>
              <w:rPr>
                <w:b/>
                <w:noProof w:val="0"/>
                <w:szCs w:val="22"/>
                <w:lang w:val="is-IS"/>
              </w:rPr>
            </w:pPr>
            <w:r w:rsidRPr="00F2274F">
              <w:rPr>
                <w:b/>
                <w:noProof w:val="0"/>
                <w:szCs w:val="22"/>
                <w:lang w:val="is-IS"/>
              </w:rPr>
              <w:t>Slovenija</w:t>
            </w:r>
          </w:p>
          <w:p w14:paraId="45863D1F" w14:textId="77777777" w:rsidR="00ED1E79" w:rsidRPr="00F2274F" w:rsidRDefault="00ED1E79" w:rsidP="00ED1E79">
            <w:pPr>
              <w:pStyle w:val="lbltxt"/>
              <w:rPr>
                <w:szCs w:val="22"/>
                <w:lang w:val="is-IS"/>
              </w:rPr>
            </w:pPr>
            <w:r w:rsidRPr="00F2274F">
              <w:rPr>
                <w:noProof w:val="0"/>
                <w:szCs w:val="22"/>
                <w:lang w:val="is-IS"/>
              </w:rPr>
              <w:t>AMGEN zdravila</w:t>
            </w:r>
            <w:r w:rsidRPr="00F2274F">
              <w:rPr>
                <w:szCs w:val="22"/>
                <w:lang w:val="is-IS"/>
              </w:rPr>
              <w:t xml:space="preserve"> d.o.o.</w:t>
            </w:r>
          </w:p>
          <w:p w14:paraId="49E3A6E7" w14:textId="77777777" w:rsidR="00ED1E79" w:rsidRPr="00D50449" w:rsidRDefault="00ED1E79" w:rsidP="00ED1E79">
            <w:pPr>
              <w:pStyle w:val="lbltxt"/>
              <w:rPr>
                <w:bCs/>
                <w:noProof w:val="0"/>
                <w:szCs w:val="22"/>
              </w:rPr>
            </w:pPr>
            <w:r w:rsidRPr="00D50449">
              <w:rPr>
                <w:szCs w:val="22"/>
              </w:rPr>
              <w:t xml:space="preserve">Tel: +386 </w:t>
            </w:r>
            <w:r w:rsidRPr="00D50449">
              <w:rPr>
                <w:bCs/>
                <w:noProof w:val="0"/>
                <w:szCs w:val="22"/>
              </w:rPr>
              <w:t>(0)</w:t>
            </w:r>
            <w:r w:rsidRPr="00D50449">
              <w:rPr>
                <w:szCs w:val="22"/>
              </w:rPr>
              <w:t xml:space="preserve">1 </w:t>
            </w:r>
            <w:r w:rsidRPr="00D50449">
              <w:rPr>
                <w:bCs/>
                <w:noProof w:val="0"/>
                <w:szCs w:val="22"/>
              </w:rPr>
              <w:t>585 1767</w:t>
            </w:r>
          </w:p>
          <w:p w14:paraId="3D86C130" w14:textId="77777777" w:rsidR="00ED1E79" w:rsidRPr="00D50449" w:rsidRDefault="00ED1E79" w:rsidP="00ED1E79">
            <w:pPr>
              <w:pStyle w:val="Default"/>
              <w:suppressAutoHyphens/>
              <w:rPr>
                <w:b/>
                <w:bCs/>
                <w:color w:val="auto"/>
                <w:sz w:val="22"/>
                <w:szCs w:val="22"/>
                <w:lang w:val="is-IS"/>
              </w:rPr>
            </w:pPr>
          </w:p>
        </w:tc>
      </w:tr>
      <w:tr w:rsidR="00ED1E79" w:rsidRPr="009F7642" w14:paraId="48955808" w14:textId="77777777" w:rsidTr="00F2274F">
        <w:trPr>
          <w:cantSplit/>
        </w:trPr>
        <w:tc>
          <w:tcPr>
            <w:tcW w:w="4508" w:type="dxa"/>
          </w:tcPr>
          <w:p w14:paraId="339CD0DD" w14:textId="77777777" w:rsidR="00ED1E79" w:rsidRPr="00D50449" w:rsidRDefault="00ED1E79" w:rsidP="00ED1E79">
            <w:pPr>
              <w:pStyle w:val="lbltxt"/>
              <w:rPr>
                <w:b/>
                <w:noProof w:val="0"/>
                <w:szCs w:val="22"/>
              </w:rPr>
            </w:pPr>
            <w:proofErr w:type="spellStart"/>
            <w:r w:rsidRPr="00D50449">
              <w:rPr>
                <w:b/>
                <w:noProof w:val="0"/>
                <w:szCs w:val="22"/>
              </w:rPr>
              <w:t>Ísland</w:t>
            </w:r>
            <w:proofErr w:type="spellEnd"/>
          </w:p>
          <w:p w14:paraId="22058C06" w14:textId="77777777" w:rsidR="00ED1E79" w:rsidRPr="00D50449" w:rsidRDefault="00ED1E79" w:rsidP="00ED1E79">
            <w:pPr>
              <w:pStyle w:val="lbltxt"/>
              <w:rPr>
                <w:szCs w:val="22"/>
              </w:rPr>
            </w:pPr>
            <w:proofErr w:type="spellStart"/>
            <w:r w:rsidRPr="00D50449">
              <w:rPr>
                <w:noProof w:val="0"/>
                <w:szCs w:val="22"/>
              </w:rPr>
              <w:t>Vistor</w:t>
            </w:r>
            <w:proofErr w:type="spellEnd"/>
            <w:r w:rsidRPr="00D50449">
              <w:rPr>
                <w:szCs w:val="22"/>
              </w:rPr>
              <w:t xml:space="preserve"> hf</w:t>
            </w:r>
            <w:r w:rsidRPr="00D50449">
              <w:rPr>
                <w:noProof w:val="0"/>
                <w:szCs w:val="22"/>
              </w:rPr>
              <w:t>.</w:t>
            </w:r>
          </w:p>
          <w:p w14:paraId="49D97E92" w14:textId="77777777" w:rsidR="00ED1E79" w:rsidRPr="00D50449" w:rsidRDefault="00ED1E79" w:rsidP="00ED1E79">
            <w:pPr>
              <w:pStyle w:val="lbltxt"/>
              <w:rPr>
                <w:noProof w:val="0"/>
                <w:szCs w:val="22"/>
              </w:rPr>
            </w:pPr>
            <w:r w:rsidRPr="00D50449">
              <w:rPr>
                <w:szCs w:val="22"/>
              </w:rPr>
              <w:t>Sími</w:t>
            </w:r>
            <w:r w:rsidRPr="00D50449">
              <w:rPr>
                <w:noProof w:val="0"/>
                <w:szCs w:val="22"/>
              </w:rPr>
              <w:t>: +</w:t>
            </w:r>
            <w:r w:rsidRPr="00D50449">
              <w:rPr>
                <w:szCs w:val="22"/>
              </w:rPr>
              <w:t xml:space="preserve">354 </w:t>
            </w:r>
            <w:r w:rsidRPr="00D50449">
              <w:rPr>
                <w:noProof w:val="0"/>
                <w:szCs w:val="22"/>
              </w:rPr>
              <w:t>535 7000</w:t>
            </w:r>
          </w:p>
          <w:p w14:paraId="37D99050" w14:textId="77777777" w:rsidR="00ED1E79" w:rsidRPr="00D50449" w:rsidRDefault="00ED1E79" w:rsidP="00ED1E79">
            <w:pPr>
              <w:pStyle w:val="Default"/>
              <w:suppressAutoHyphens/>
              <w:rPr>
                <w:b/>
                <w:bCs/>
                <w:color w:val="auto"/>
                <w:sz w:val="22"/>
                <w:szCs w:val="22"/>
                <w:lang w:val="is-IS"/>
              </w:rPr>
            </w:pPr>
          </w:p>
        </w:tc>
        <w:tc>
          <w:tcPr>
            <w:tcW w:w="4508" w:type="dxa"/>
          </w:tcPr>
          <w:p w14:paraId="30822EC5" w14:textId="77777777" w:rsidR="00ED1E79" w:rsidRPr="00F2274F" w:rsidRDefault="00ED1E79" w:rsidP="00ED1E79">
            <w:pPr>
              <w:pStyle w:val="lbltxt"/>
              <w:rPr>
                <w:b/>
                <w:noProof w:val="0"/>
                <w:szCs w:val="22"/>
                <w:lang w:val="sv-SE"/>
              </w:rPr>
            </w:pPr>
            <w:r w:rsidRPr="00F2274F">
              <w:rPr>
                <w:b/>
                <w:noProof w:val="0"/>
                <w:szCs w:val="22"/>
                <w:lang w:val="sv-SE"/>
              </w:rPr>
              <w:t>Slovenská republika</w:t>
            </w:r>
          </w:p>
          <w:p w14:paraId="0D491004" w14:textId="77777777" w:rsidR="00ED1E79" w:rsidRPr="00F2274F" w:rsidRDefault="00ED1E79" w:rsidP="00ED1E79">
            <w:pPr>
              <w:pStyle w:val="lbltxt"/>
              <w:rPr>
                <w:szCs w:val="22"/>
                <w:lang w:val="sv-SE"/>
              </w:rPr>
            </w:pPr>
            <w:r w:rsidRPr="00F2274F">
              <w:rPr>
                <w:bCs/>
                <w:noProof w:val="0"/>
                <w:szCs w:val="22"/>
                <w:lang w:val="sv-SE"/>
              </w:rPr>
              <w:t>Amgen Slovakia</w:t>
            </w:r>
            <w:r w:rsidRPr="00F2274F">
              <w:rPr>
                <w:szCs w:val="22"/>
                <w:lang w:val="sv-SE"/>
              </w:rPr>
              <w:t xml:space="preserve"> s.r.o.</w:t>
            </w:r>
          </w:p>
          <w:p w14:paraId="46F811C4" w14:textId="77777777" w:rsidR="00ED1E79" w:rsidRPr="00D50449" w:rsidRDefault="00ED1E79" w:rsidP="00ED1E79">
            <w:pPr>
              <w:pStyle w:val="lbltxt"/>
              <w:rPr>
                <w:bCs/>
                <w:noProof w:val="0"/>
                <w:szCs w:val="22"/>
              </w:rPr>
            </w:pPr>
            <w:r w:rsidRPr="00D50449">
              <w:rPr>
                <w:szCs w:val="22"/>
              </w:rPr>
              <w:t xml:space="preserve">Tel: +421 2 </w:t>
            </w:r>
            <w:r w:rsidRPr="00D50449">
              <w:rPr>
                <w:bCs/>
                <w:noProof w:val="0"/>
                <w:szCs w:val="22"/>
              </w:rPr>
              <w:t xml:space="preserve">321 114 49 </w:t>
            </w:r>
          </w:p>
          <w:p w14:paraId="35CE5B67" w14:textId="77777777" w:rsidR="00ED1E79" w:rsidRPr="00D50449" w:rsidRDefault="00ED1E79" w:rsidP="00ED1E79">
            <w:pPr>
              <w:pStyle w:val="Default"/>
              <w:suppressAutoHyphens/>
              <w:rPr>
                <w:b/>
                <w:bCs/>
                <w:color w:val="auto"/>
                <w:sz w:val="22"/>
                <w:szCs w:val="22"/>
                <w:lang w:val="is-IS"/>
              </w:rPr>
            </w:pPr>
          </w:p>
        </w:tc>
      </w:tr>
      <w:tr w:rsidR="00ED1E79" w:rsidRPr="009F7642" w14:paraId="00EB1BE9" w14:textId="77777777" w:rsidTr="00F2274F">
        <w:trPr>
          <w:cantSplit/>
        </w:trPr>
        <w:tc>
          <w:tcPr>
            <w:tcW w:w="4508" w:type="dxa"/>
          </w:tcPr>
          <w:p w14:paraId="245F0E0A" w14:textId="77777777" w:rsidR="00ED1E79" w:rsidRPr="00F2274F" w:rsidRDefault="00ED1E79" w:rsidP="00ED1E79">
            <w:pPr>
              <w:pStyle w:val="lbltxt"/>
              <w:rPr>
                <w:noProof w:val="0"/>
                <w:szCs w:val="22"/>
                <w:lang w:val="sv-SE"/>
              </w:rPr>
            </w:pPr>
            <w:r w:rsidRPr="00F2274F">
              <w:rPr>
                <w:b/>
                <w:noProof w:val="0"/>
                <w:szCs w:val="22"/>
                <w:lang w:val="sv-SE"/>
              </w:rPr>
              <w:t>Italia</w:t>
            </w:r>
          </w:p>
          <w:p w14:paraId="6DAA5505" w14:textId="77777777" w:rsidR="00ED1E79" w:rsidRPr="00F2274F" w:rsidRDefault="00ED1E79" w:rsidP="00ED1E79">
            <w:pPr>
              <w:pStyle w:val="lbltxt"/>
              <w:rPr>
                <w:szCs w:val="22"/>
                <w:lang w:val="sv-SE"/>
              </w:rPr>
            </w:pPr>
            <w:r w:rsidRPr="00F2274F">
              <w:rPr>
                <w:noProof w:val="0"/>
                <w:szCs w:val="22"/>
                <w:lang w:val="sv-SE"/>
              </w:rPr>
              <w:t>Amgen</w:t>
            </w:r>
            <w:r w:rsidRPr="00F2274F">
              <w:rPr>
                <w:szCs w:val="22"/>
                <w:lang w:val="sv-SE"/>
              </w:rPr>
              <w:t xml:space="preserve"> S.</w:t>
            </w:r>
            <w:r w:rsidRPr="00F2274F">
              <w:rPr>
                <w:noProof w:val="0"/>
                <w:szCs w:val="22"/>
                <w:lang w:val="sv-SE"/>
              </w:rPr>
              <w:t>r.l</w:t>
            </w:r>
            <w:r w:rsidRPr="00F2274F">
              <w:rPr>
                <w:szCs w:val="22"/>
                <w:lang w:val="sv-SE"/>
              </w:rPr>
              <w:t>.</w:t>
            </w:r>
          </w:p>
          <w:p w14:paraId="3A8C9448" w14:textId="77777777" w:rsidR="00ED1E79" w:rsidRPr="00D50449" w:rsidRDefault="00ED1E79" w:rsidP="00ED1E79">
            <w:pPr>
              <w:pStyle w:val="Default"/>
              <w:keepNext/>
              <w:suppressAutoHyphens/>
              <w:rPr>
                <w:b/>
                <w:bCs/>
                <w:color w:val="auto"/>
                <w:sz w:val="22"/>
                <w:szCs w:val="22"/>
                <w:lang w:val="is-IS"/>
              </w:rPr>
            </w:pPr>
            <w:r w:rsidRPr="00F2274F">
              <w:rPr>
                <w:sz w:val="22"/>
                <w:szCs w:val="22"/>
              </w:rPr>
              <w:t>Tel: +39 02 6241121</w:t>
            </w:r>
          </w:p>
        </w:tc>
        <w:tc>
          <w:tcPr>
            <w:tcW w:w="4508" w:type="dxa"/>
          </w:tcPr>
          <w:p w14:paraId="3E21648D" w14:textId="77777777" w:rsidR="00ED1E79" w:rsidRPr="00F2274F" w:rsidRDefault="00ED1E79" w:rsidP="00ED1E79">
            <w:pPr>
              <w:pStyle w:val="lbltxt"/>
              <w:rPr>
                <w:noProof w:val="0"/>
                <w:szCs w:val="22"/>
                <w:lang w:val="sv-SE"/>
              </w:rPr>
            </w:pPr>
            <w:r w:rsidRPr="00F2274F">
              <w:rPr>
                <w:b/>
                <w:noProof w:val="0"/>
                <w:szCs w:val="22"/>
                <w:lang w:val="sv-SE"/>
              </w:rPr>
              <w:t>Suomi/Finland</w:t>
            </w:r>
          </w:p>
          <w:p w14:paraId="221B3942" w14:textId="77777777" w:rsidR="00ED1E79" w:rsidRPr="00F2274F" w:rsidRDefault="00ED1E79" w:rsidP="00ED1E79">
            <w:pPr>
              <w:pStyle w:val="lbltxt"/>
              <w:rPr>
                <w:noProof w:val="0"/>
                <w:szCs w:val="22"/>
                <w:lang w:val="sv-SE"/>
              </w:rPr>
            </w:pPr>
            <w:r w:rsidRPr="00F2274F">
              <w:rPr>
                <w:noProof w:val="0"/>
                <w:szCs w:val="22"/>
                <w:lang w:val="sv-SE"/>
              </w:rPr>
              <w:t>Amgen AB, sivuliike Suomessa/Amgen AB, filial i Finland</w:t>
            </w:r>
          </w:p>
          <w:p w14:paraId="0970701F" w14:textId="77777777" w:rsidR="00ED1E79" w:rsidRPr="00D50449" w:rsidRDefault="00ED1E79" w:rsidP="00ED1E79">
            <w:pPr>
              <w:pStyle w:val="lbltxt"/>
              <w:rPr>
                <w:noProof w:val="0"/>
                <w:szCs w:val="22"/>
              </w:rPr>
            </w:pPr>
            <w:r w:rsidRPr="00D50449">
              <w:rPr>
                <w:szCs w:val="22"/>
              </w:rPr>
              <w:t>Puh/Tel: +358 (0)</w:t>
            </w:r>
            <w:r w:rsidRPr="00D50449">
              <w:rPr>
                <w:noProof w:val="0"/>
                <w:szCs w:val="22"/>
              </w:rPr>
              <w:t>9 54900500</w:t>
            </w:r>
          </w:p>
          <w:p w14:paraId="398A1241" w14:textId="77777777" w:rsidR="00ED1E79" w:rsidRPr="00D50449" w:rsidRDefault="00ED1E79" w:rsidP="00ED1E79">
            <w:pPr>
              <w:pStyle w:val="Default"/>
              <w:keepNext/>
              <w:suppressAutoHyphens/>
              <w:rPr>
                <w:b/>
                <w:bCs/>
                <w:color w:val="auto"/>
                <w:sz w:val="22"/>
                <w:szCs w:val="22"/>
                <w:lang w:val="is-IS"/>
              </w:rPr>
            </w:pPr>
          </w:p>
        </w:tc>
      </w:tr>
      <w:tr w:rsidR="00ED1E79" w:rsidRPr="009F7642" w14:paraId="545D1564" w14:textId="77777777" w:rsidTr="00F2274F">
        <w:trPr>
          <w:cantSplit/>
        </w:trPr>
        <w:tc>
          <w:tcPr>
            <w:tcW w:w="4508" w:type="dxa"/>
          </w:tcPr>
          <w:p w14:paraId="569A7A62" w14:textId="77777777" w:rsidR="00ED1E79" w:rsidRPr="00F2274F" w:rsidRDefault="00ED1E79" w:rsidP="00ED1E79">
            <w:pPr>
              <w:pStyle w:val="lbltxt"/>
              <w:rPr>
                <w:b/>
                <w:noProof w:val="0"/>
                <w:szCs w:val="22"/>
                <w:lang w:val="is-IS"/>
              </w:rPr>
            </w:pPr>
            <w:r w:rsidRPr="00F2274F">
              <w:rPr>
                <w:b/>
                <w:noProof w:val="0"/>
                <w:szCs w:val="22"/>
                <w:lang w:val="is-IS"/>
              </w:rPr>
              <w:t>K</w:t>
            </w:r>
            <w:r w:rsidRPr="00D50449">
              <w:rPr>
                <w:b/>
                <w:noProof w:val="0"/>
                <w:szCs w:val="22"/>
              </w:rPr>
              <w:t>ύπ</w:t>
            </w:r>
            <w:proofErr w:type="spellStart"/>
            <w:r w:rsidRPr="00D50449">
              <w:rPr>
                <w:b/>
                <w:noProof w:val="0"/>
                <w:szCs w:val="22"/>
              </w:rPr>
              <w:t>ρος</w:t>
            </w:r>
            <w:proofErr w:type="spellEnd"/>
          </w:p>
          <w:p w14:paraId="7F55D90A" w14:textId="77777777" w:rsidR="00ED1E79" w:rsidRPr="00F2274F" w:rsidRDefault="00ED1E79" w:rsidP="00ED1E79">
            <w:pPr>
              <w:rPr>
                <w:lang w:val="is-IS"/>
              </w:rPr>
            </w:pPr>
            <w:r w:rsidRPr="00F2274F">
              <w:rPr>
                <w:lang w:val="is-IS"/>
              </w:rPr>
              <w:t>C.A. Papaellinas Ltd</w:t>
            </w:r>
          </w:p>
          <w:p w14:paraId="1B745F54" w14:textId="4841CC4C" w:rsidR="00ED1E79" w:rsidRPr="00D50449" w:rsidRDefault="00ED1E79" w:rsidP="00ED1E79">
            <w:pPr>
              <w:pStyle w:val="Default"/>
              <w:suppressAutoHyphens/>
              <w:rPr>
                <w:b/>
                <w:bCs/>
                <w:color w:val="auto"/>
                <w:sz w:val="22"/>
                <w:szCs w:val="22"/>
                <w:lang w:val="is-IS"/>
              </w:rPr>
            </w:pPr>
            <w:proofErr w:type="spellStart"/>
            <w:r w:rsidRPr="00F2274F">
              <w:rPr>
                <w:sz w:val="22"/>
                <w:szCs w:val="22"/>
              </w:rPr>
              <w:t>Τηλ</w:t>
            </w:r>
            <w:proofErr w:type="spellEnd"/>
            <w:r w:rsidRPr="00F2274F">
              <w:rPr>
                <w:sz w:val="22"/>
                <w:szCs w:val="22"/>
                <w:lang w:val="is-IS"/>
              </w:rPr>
              <w:t>: +357 22741 741</w:t>
            </w:r>
          </w:p>
        </w:tc>
        <w:tc>
          <w:tcPr>
            <w:tcW w:w="4508" w:type="dxa"/>
          </w:tcPr>
          <w:p w14:paraId="5A79D562" w14:textId="77777777" w:rsidR="00ED1E79" w:rsidRPr="00D50449" w:rsidRDefault="00ED1E79" w:rsidP="00ED1E79">
            <w:pPr>
              <w:pStyle w:val="lbltxt"/>
              <w:rPr>
                <w:noProof w:val="0"/>
                <w:szCs w:val="22"/>
              </w:rPr>
            </w:pPr>
            <w:r w:rsidRPr="00D50449">
              <w:rPr>
                <w:b/>
                <w:noProof w:val="0"/>
                <w:szCs w:val="22"/>
              </w:rPr>
              <w:t>Sverige</w:t>
            </w:r>
          </w:p>
          <w:p w14:paraId="0EFBEF77" w14:textId="77777777" w:rsidR="00ED1E79" w:rsidRPr="00D50449" w:rsidRDefault="00ED1E79" w:rsidP="00ED1E79">
            <w:pPr>
              <w:pStyle w:val="lbltxt"/>
              <w:rPr>
                <w:szCs w:val="22"/>
              </w:rPr>
            </w:pPr>
            <w:r w:rsidRPr="00D50449">
              <w:rPr>
                <w:noProof w:val="0"/>
                <w:szCs w:val="22"/>
              </w:rPr>
              <w:t>Amgen</w:t>
            </w:r>
            <w:r w:rsidRPr="00D50449">
              <w:rPr>
                <w:szCs w:val="22"/>
              </w:rPr>
              <w:t xml:space="preserve"> AB</w:t>
            </w:r>
            <w:r w:rsidRPr="00D50449">
              <w:rPr>
                <w:noProof w:val="0"/>
                <w:szCs w:val="22"/>
              </w:rPr>
              <w:t xml:space="preserve"> </w:t>
            </w:r>
          </w:p>
          <w:p w14:paraId="721E5A0E" w14:textId="77777777" w:rsidR="00ED1E79" w:rsidRPr="00D50449" w:rsidRDefault="00ED1E79" w:rsidP="00ED1E79">
            <w:pPr>
              <w:pStyle w:val="lbltxt"/>
              <w:rPr>
                <w:noProof w:val="0"/>
                <w:szCs w:val="22"/>
              </w:rPr>
            </w:pPr>
            <w:r w:rsidRPr="00D50449">
              <w:rPr>
                <w:szCs w:val="22"/>
              </w:rPr>
              <w:t xml:space="preserve">Tel: +46 (0)8 </w:t>
            </w:r>
            <w:r w:rsidRPr="00D50449">
              <w:rPr>
                <w:noProof w:val="0"/>
                <w:szCs w:val="22"/>
              </w:rPr>
              <w:t>6951100</w:t>
            </w:r>
          </w:p>
          <w:p w14:paraId="1171C346" w14:textId="77777777" w:rsidR="00ED1E79" w:rsidRPr="00D50449" w:rsidRDefault="00ED1E79" w:rsidP="00ED1E79">
            <w:pPr>
              <w:pStyle w:val="Default"/>
              <w:suppressAutoHyphens/>
              <w:rPr>
                <w:b/>
                <w:bCs/>
                <w:color w:val="auto"/>
                <w:sz w:val="22"/>
                <w:szCs w:val="22"/>
                <w:lang w:val="is-IS"/>
              </w:rPr>
            </w:pPr>
          </w:p>
        </w:tc>
      </w:tr>
      <w:tr w:rsidR="00ED1E79" w:rsidRPr="009F7642" w14:paraId="7434F0CF" w14:textId="77777777" w:rsidTr="00F2274F">
        <w:trPr>
          <w:cantSplit/>
        </w:trPr>
        <w:tc>
          <w:tcPr>
            <w:tcW w:w="4508" w:type="dxa"/>
          </w:tcPr>
          <w:p w14:paraId="120A89AD" w14:textId="77777777" w:rsidR="00ED1E79" w:rsidRPr="00F2274F" w:rsidRDefault="00ED1E79" w:rsidP="00ED1E79">
            <w:pPr>
              <w:pStyle w:val="lbltxt"/>
              <w:rPr>
                <w:b/>
                <w:bCs/>
                <w:noProof w:val="0"/>
                <w:szCs w:val="22"/>
                <w:lang w:val="is-IS"/>
              </w:rPr>
            </w:pPr>
            <w:r w:rsidRPr="00F2274F">
              <w:rPr>
                <w:b/>
                <w:bCs/>
                <w:noProof w:val="0"/>
                <w:szCs w:val="22"/>
                <w:lang w:val="is-IS"/>
              </w:rPr>
              <w:t>Latvija</w:t>
            </w:r>
          </w:p>
          <w:p w14:paraId="39507E5A" w14:textId="77777777" w:rsidR="00ED1E79" w:rsidRPr="00F2274F" w:rsidRDefault="00ED1E79" w:rsidP="00ED1E79">
            <w:pPr>
              <w:pStyle w:val="lbltxt"/>
              <w:rPr>
                <w:noProof w:val="0"/>
                <w:szCs w:val="22"/>
                <w:lang w:val="is-IS"/>
              </w:rPr>
            </w:pPr>
            <w:r w:rsidRPr="00F2274F">
              <w:rPr>
                <w:noProof w:val="0"/>
                <w:szCs w:val="22"/>
                <w:lang w:val="is-IS"/>
              </w:rPr>
              <w:t>Amgen Switzerland AG Rīgas filiāle</w:t>
            </w:r>
          </w:p>
          <w:p w14:paraId="600C07A1" w14:textId="77777777" w:rsidR="00ED1E79" w:rsidRPr="00D50449" w:rsidRDefault="00ED1E79" w:rsidP="00ED1E79">
            <w:pPr>
              <w:pStyle w:val="lbltxt"/>
              <w:rPr>
                <w:noProof w:val="0"/>
                <w:szCs w:val="22"/>
              </w:rPr>
            </w:pPr>
            <w:r w:rsidRPr="00D50449">
              <w:rPr>
                <w:szCs w:val="22"/>
              </w:rPr>
              <w:t xml:space="preserve">Tel: +371 </w:t>
            </w:r>
            <w:r w:rsidRPr="00D50449">
              <w:rPr>
                <w:bCs/>
                <w:szCs w:val="22"/>
              </w:rPr>
              <w:t>257 25888</w:t>
            </w:r>
          </w:p>
          <w:p w14:paraId="488D8986" w14:textId="77777777" w:rsidR="00ED1E79" w:rsidRPr="00D50449" w:rsidRDefault="00ED1E79" w:rsidP="00ED1E79">
            <w:pPr>
              <w:pStyle w:val="Default"/>
              <w:suppressAutoHyphens/>
              <w:rPr>
                <w:b/>
                <w:bCs/>
                <w:color w:val="auto"/>
                <w:sz w:val="22"/>
                <w:szCs w:val="22"/>
                <w:lang w:val="is-IS"/>
              </w:rPr>
            </w:pPr>
          </w:p>
        </w:tc>
        <w:tc>
          <w:tcPr>
            <w:tcW w:w="4508" w:type="dxa"/>
          </w:tcPr>
          <w:p w14:paraId="78E1B1F1" w14:textId="77777777" w:rsidR="00ED1E79" w:rsidRPr="00D50449" w:rsidRDefault="00ED1E79" w:rsidP="00ED1E79">
            <w:pPr>
              <w:pStyle w:val="lbltxt"/>
              <w:rPr>
                <w:noProof w:val="0"/>
                <w:szCs w:val="22"/>
              </w:rPr>
            </w:pPr>
            <w:r w:rsidRPr="00D50449">
              <w:rPr>
                <w:b/>
                <w:noProof w:val="0"/>
                <w:szCs w:val="22"/>
              </w:rPr>
              <w:t>United Kingdom</w:t>
            </w:r>
            <w:r w:rsidR="00527563">
              <w:rPr>
                <w:b/>
                <w:noProof w:val="0"/>
                <w:szCs w:val="22"/>
              </w:rPr>
              <w:t xml:space="preserve"> (Northern Ireland)</w:t>
            </w:r>
          </w:p>
          <w:p w14:paraId="057469B5" w14:textId="77777777" w:rsidR="00ED1E79" w:rsidRPr="00D50449" w:rsidRDefault="00ED1E79" w:rsidP="00ED1E79">
            <w:pPr>
              <w:pStyle w:val="lbltxt"/>
              <w:rPr>
                <w:noProof w:val="0"/>
                <w:szCs w:val="22"/>
              </w:rPr>
            </w:pPr>
            <w:r w:rsidRPr="00D50449">
              <w:rPr>
                <w:noProof w:val="0"/>
                <w:szCs w:val="22"/>
              </w:rPr>
              <w:t>Amgen Limited</w:t>
            </w:r>
          </w:p>
          <w:p w14:paraId="5E0801AB" w14:textId="77777777" w:rsidR="00ED1E79" w:rsidRPr="00D50449" w:rsidRDefault="00ED1E79" w:rsidP="00ED1E79">
            <w:pPr>
              <w:pStyle w:val="Default"/>
              <w:suppressAutoHyphens/>
              <w:rPr>
                <w:b/>
                <w:bCs/>
                <w:color w:val="auto"/>
                <w:sz w:val="22"/>
                <w:szCs w:val="22"/>
                <w:lang w:val="is-IS"/>
              </w:rPr>
            </w:pPr>
            <w:r w:rsidRPr="00F2274F">
              <w:rPr>
                <w:sz w:val="22"/>
                <w:szCs w:val="22"/>
              </w:rPr>
              <w:t>Tel: +44 (0)1223 420305</w:t>
            </w:r>
          </w:p>
        </w:tc>
      </w:tr>
      <w:bookmarkEnd w:id="63"/>
    </w:tbl>
    <w:p w14:paraId="2E07206C" w14:textId="77777777" w:rsidR="00DA7904" w:rsidRPr="009F7642" w:rsidRDefault="00DA7904" w:rsidP="0073217C">
      <w:pPr>
        <w:suppressAutoHyphens/>
        <w:spacing w:after="0" w:line="240" w:lineRule="auto"/>
        <w:ind w:left="0" w:firstLine="0"/>
        <w:rPr>
          <w:b/>
          <w:color w:val="auto"/>
          <w:lang w:val="is-IS"/>
        </w:rPr>
      </w:pPr>
    </w:p>
    <w:p w14:paraId="6273A660" w14:textId="77777777" w:rsidR="005F36F3" w:rsidRPr="009F7642" w:rsidRDefault="00564614" w:rsidP="00286350">
      <w:pPr>
        <w:keepNext/>
        <w:keepLines/>
        <w:suppressAutoHyphens/>
        <w:spacing w:after="0" w:line="240" w:lineRule="auto"/>
        <w:ind w:left="0" w:firstLine="0"/>
        <w:rPr>
          <w:color w:val="auto"/>
          <w:lang w:val="is-IS"/>
        </w:rPr>
      </w:pPr>
      <w:r w:rsidRPr="009F7642">
        <w:rPr>
          <w:b/>
          <w:color w:val="auto"/>
          <w:lang w:val="is-IS"/>
        </w:rPr>
        <w:lastRenderedPageBreak/>
        <w:t>Þessi fyl</w:t>
      </w:r>
      <w:r w:rsidR="00874B63" w:rsidRPr="009F7642">
        <w:rPr>
          <w:b/>
          <w:color w:val="auto"/>
          <w:lang w:val="is-IS"/>
        </w:rPr>
        <w:t>giseðill var síðast uppfærður í</w:t>
      </w:r>
    </w:p>
    <w:p w14:paraId="09C2943C" w14:textId="77777777" w:rsidR="005F36F3" w:rsidRPr="009F7642" w:rsidRDefault="005F36F3" w:rsidP="00286350">
      <w:pPr>
        <w:keepNext/>
        <w:keepLines/>
        <w:suppressAutoHyphens/>
        <w:spacing w:after="0" w:line="240" w:lineRule="auto"/>
        <w:ind w:left="0" w:firstLine="0"/>
        <w:rPr>
          <w:color w:val="auto"/>
          <w:lang w:val="is-IS"/>
        </w:rPr>
      </w:pPr>
    </w:p>
    <w:p w14:paraId="08BD6FBB" w14:textId="77777777" w:rsidR="005F36F3" w:rsidRPr="0032401A" w:rsidRDefault="00564614" w:rsidP="00286350">
      <w:pPr>
        <w:keepNext/>
        <w:keepLines/>
        <w:suppressAutoHyphens/>
        <w:spacing w:after="0" w:line="240" w:lineRule="auto"/>
        <w:ind w:left="0" w:firstLine="0"/>
        <w:rPr>
          <w:b/>
          <w:color w:val="auto"/>
          <w:lang w:val="is-IS"/>
        </w:rPr>
      </w:pPr>
      <w:r w:rsidRPr="0032401A">
        <w:rPr>
          <w:b/>
          <w:color w:val="auto"/>
          <w:lang w:val="is-IS"/>
        </w:rPr>
        <w:t>Upplýsingar sem h</w:t>
      </w:r>
      <w:r w:rsidR="00874B63" w:rsidRPr="0032401A">
        <w:rPr>
          <w:b/>
          <w:color w:val="auto"/>
          <w:lang w:val="is-IS"/>
        </w:rPr>
        <w:t>ægt er að nálgast annars staðar</w:t>
      </w:r>
    </w:p>
    <w:p w14:paraId="667419AB" w14:textId="77777777" w:rsidR="005F36F3" w:rsidRPr="009F7642" w:rsidRDefault="005F36F3" w:rsidP="00286350">
      <w:pPr>
        <w:keepNext/>
        <w:keepLines/>
        <w:suppressAutoHyphens/>
        <w:spacing w:after="0" w:line="240" w:lineRule="auto"/>
        <w:ind w:left="0" w:firstLine="0"/>
        <w:rPr>
          <w:color w:val="auto"/>
          <w:lang w:val="is-IS"/>
        </w:rPr>
      </w:pPr>
    </w:p>
    <w:p w14:paraId="0F09B2EE" w14:textId="77777777" w:rsidR="005F36F3" w:rsidRPr="009F7642" w:rsidRDefault="00564614" w:rsidP="00286350">
      <w:pPr>
        <w:keepNext/>
        <w:keepLines/>
        <w:suppressAutoHyphens/>
        <w:spacing w:after="0" w:line="240" w:lineRule="auto"/>
        <w:ind w:left="0" w:firstLine="0"/>
        <w:rPr>
          <w:color w:val="auto"/>
          <w:lang w:val="is-IS"/>
        </w:rPr>
      </w:pPr>
      <w:r w:rsidRPr="009F7642">
        <w:rPr>
          <w:color w:val="auto"/>
          <w:lang w:val="is-IS"/>
        </w:rPr>
        <w:t>Ítarlegar upplýsingar um lyfið eru birtar á vef Lyfjastofnunar Evrópu</w:t>
      </w:r>
      <w:hyperlink r:id="rId14">
        <w:r w:rsidRPr="009F7642">
          <w:rPr>
            <w:color w:val="auto"/>
            <w:lang w:val="is-IS"/>
          </w:rPr>
          <w:t xml:space="preserve"> </w:t>
        </w:r>
      </w:hyperlink>
      <w:hyperlink r:id="rId15" w:history="1">
        <w:r w:rsidR="00EA49EC" w:rsidRPr="00DF14E7">
          <w:rPr>
            <w:noProof/>
            <w:color w:val="0000FF"/>
            <w:u w:val="single"/>
            <w:lang w:val="is-IS"/>
          </w:rPr>
          <w:t>http://www.ema.europa.eu</w:t>
        </w:r>
      </w:hyperlink>
      <w:hyperlink r:id="rId16">
        <w:r w:rsidRPr="009F7642">
          <w:rPr>
            <w:color w:val="auto"/>
            <w:lang w:val="is-IS"/>
          </w:rPr>
          <w:t>.</w:t>
        </w:r>
      </w:hyperlink>
    </w:p>
    <w:p w14:paraId="022206F7" w14:textId="77777777" w:rsidR="005F36F3" w:rsidRPr="009F7642" w:rsidRDefault="005F36F3" w:rsidP="0073217C">
      <w:pPr>
        <w:suppressAutoHyphens/>
        <w:spacing w:after="0" w:line="240" w:lineRule="auto"/>
        <w:ind w:left="0" w:firstLine="0"/>
        <w:rPr>
          <w:color w:val="auto"/>
          <w:lang w:val="is-IS"/>
        </w:rPr>
      </w:pPr>
    </w:p>
    <w:p w14:paraId="6E71F58A" w14:textId="77777777" w:rsidR="005F36F3" w:rsidRPr="009F7642" w:rsidRDefault="00564614" w:rsidP="0073217C">
      <w:pPr>
        <w:suppressAutoHyphens/>
        <w:spacing w:after="0" w:line="240" w:lineRule="auto"/>
        <w:ind w:left="0" w:firstLine="0"/>
        <w:rPr>
          <w:color w:val="auto"/>
          <w:lang w:val="is-IS"/>
        </w:rPr>
      </w:pPr>
      <w:r w:rsidRPr="009F7642">
        <w:rPr>
          <w:color w:val="auto"/>
          <w:lang w:val="is-IS"/>
        </w:rPr>
        <w:t>Upplýsingar á íslensku eru á</w:t>
      </w:r>
      <w:hyperlink r:id="rId17">
        <w:r w:rsidRPr="009F7642">
          <w:rPr>
            <w:color w:val="auto"/>
            <w:lang w:val="is-IS"/>
          </w:rPr>
          <w:t xml:space="preserve"> </w:t>
        </w:r>
      </w:hyperlink>
      <w:hyperlink r:id="rId18">
        <w:r w:rsidRPr="00EA49EC">
          <w:rPr>
            <w:noProof/>
            <w:color w:val="0000FF"/>
            <w:u w:val="single"/>
            <w:lang w:val="is-IS"/>
          </w:rPr>
          <w:t>http://www.serlyfjaskra.is</w:t>
        </w:r>
      </w:hyperlink>
      <w:hyperlink r:id="rId19">
        <w:r w:rsidRPr="0082177F">
          <w:rPr>
            <w:color w:val="auto"/>
            <w:lang w:val="is-IS"/>
          </w:rPr>
          <w:t>.</w:t>
        </w:r>
      </w:hyperlink>
    </w:p>
    <w:sectPr w:rsidR="005F36F3" w:rsidRPr="009F7642" w:rsidSect="004C3602">
      <w:footerReference w:type="even" r:id="rId20"/>
      <w:footerReference w:type="default" r:id="rId21"/>
      <w:headerReference w:type="first" r:id="rId22"/>
      <w:footerReference w:type="first" r:id="rId23"/>
      <w:type w:val="continuous"/>
      <w:pgSz w:w="11906" w:h="16841"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1C82" w14:textId="77777777" w:rsidR="003406B2" w:rsidRDefault="003406B2">
      <w:pPr>
        <w:spacing w:after="0" w:line="240" w:lineRule="auto"/>
      </w:pPr>
      <w:r>
        <w:separator/>
      </w:r>
    </w:p>
  </w:endnote>
  <w:endnote w:type="continuationSeparator" w:id="0">
    <w:p w14:paraId="4832A9B8" w14:textId="77777777" w:rsidR="003406B2" w:rsidRDefault="0034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7E5B" w14:textId="77777777" w:rsidR="001C4A29" w:rsidRPr="00FA1035" w:rsidRDefault="001C4A29">
    <w:pPr>
      <w:spacing w:after="0" w:line="259" w:lineRule="auto"/>
      <w:ind w:left="0" w:right="74" w:firstLine="0"/>
      <w:jc w:val="center"/>
      <w:rPr>
        <w:rFonts w:ascii="Arial" w:hAnsi="Arial" w:cs="Arial"/>
        <w:sz w:val="16"/>
        <w:szCs w:val="16"/>
      </w:rPr>
    </w:pPr>
    <w:r w:rsidRPr="00FA1035">
      <w:rPr>
        <w:rFonts w:ascii="Arial" w:hAnsi="Arial" w:cs="Arial"/>
        <w:sz w:val="16"/>
        <w:szCs w:val="16"/>
      </w:rPr>
      <w:fldChar w:fldCharType="begin"/>
    </w:r>
    <w:r w:rsidRPr="00FA1035">
      <w:rPr>
        <w:rFonts w:ascii="Arial" w:hAnsi="Arial" w:cs="Arial"/>
        <w:sz w:val="16"/>
        <w:szCs w:val="16"/>
      </w:rPr>
      <w:instrText xml:space="preserve"> PAGE   \* MERGEFORMAT </w:instrText>
    </w:r>
    <w:r w:rsidRPr="00FA1035">
      <w:rPr>
        <w:rFonts w:ascii="Arial" w:hAnsi="Arial" w:cs="Arial"/>
        <w:sz w:val="16"/>
        <w:szCs w:val="16"/>
      </w:rPr>
      <w:fldChar w:fldCharType="separate"/>
    </w:r>
    <w:r w:rsidR="004D6C47" w:rsidRPr="004D6C47">
      <w:rPr>
        <w:rFonts w:ascii="Arial" w:eastAsia="Arial" w:hAnsi="Arial" w:cs="Arial"/>
        <w:noProof/>
        <w:sz w:val="16"/>
        <w:szCs w:val="16"/>
      </w:rPr>
      <w:t>80</w:t>
    </w:r>
    <w:r w:rsidRPr="00FA1035">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E0A8" w14:textId="77777777" w:rsidR="001C4A29" w:rsidRPr="00DD0CD2" w:rsidRDefault="001C4A29">
    <w:pPr>
      <w:spacing w:after="0" w:line="259" w:lineRule="auto"/>
      <w:ind w:left="0" w:right="74" w:firstLine="0"/>
      <w:jc w:val="center"/>
      <w:rPr>
        <w:rFonts w:ascii="Arial" w:hAnsi="Arial" w:cs="Arial"/>
        <w:sz w:val="16"/>
        <w:szCs w:val="16"/>
      </w:rPr>
    </w:pPr>
    <w:r w:rsidRPr="00DD0CD2">
      <w:rPr>
        <w:rFonts w:ascii="Arial" w:hAnsi="Arial" w:cs="Arial"/>
        <w:sz w:val="16"/>
        <w:szCs w:val="16"/>
      </w:rPr>
      <w:fldChar w:fldCharType="begin"/>
    </w:r>
    <w:r w:rsidRPr="00DD0CD2">
      <w:rPr>
        <w:rFonts w:ascii="Arial" w:hAnsi="Arial" w:cs="Arial"/>
        <w:sz w:val="16"/>
        <w:szCs w:val="16"/>
      </w:rPr>
      <w:instrText xml:space="preserve"> PAGE   \* MERGEFORMAT </w:instrText>
    </w:r>
    <w:r w:rsidRPr="00DD0CD2">
      <w:rPr>
        <w:rFonts w:ascii="Arial" w:hAnsi="Arial" w:cs="Arial"/>
        <w:sz w:val="16"/>
        <w:szCs w:val="16"/>
      </w:rPr>
      <w:fldChar w:fldCharType="separate"/>
    </w:r>
    <w:r w:rsidR="004D6C47" w:rsidRPr="004D6C47">
      <w:rPr>
        <w:rFonts w:ascii="Arial" w:eastAsia="Arial" w:hAnsi="Arial" w:cs="Arial"/>
        <w:noProof/>
        <w:sz w:val="16"/>
        <w:szCs w:val="16"/>
      </w:rPr>
      <w:t>81</w:t>
    </w:r>
    <w:r w:rsidRPr="00DD0CD2">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F794" w14:textId="77777777" w:rsidR="001C4A29" w:rsidRDefault="001C4A29">
    <w:pPr>
      <w:spacing w:after="0" w:line="259" w:lineRule="auto"/>
      <w:ind w:left="0" w:right="74" w:firstLine="0"/>
      <w:jc w:val="center"/>
      <w:rPr>
        <w:rFonts w:ascii="Arial" w:eastAsia="Arial" w:hAnsi="Arial" w:cs="Arial"/>
        <w:b/>
        <w:sz w:val="20"/>
      </w:rP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181FBEB6" w14:textId="77777777" w:rsidR="001C4A29" w:rsidRDefault="001C4A29">
    <w:pPr>
      <w:spacing w:after="0" w:line="259" w:lineRule="auto"/>
      <w:ind w:left="0" w:right="74"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57B9" w14:textId="77777777" w:rsidR="003406B2" w:rsidRDefault="003406B2">
      <w:pPr>
        <w:spacing w:after="0" w:line="240" w:lineRule="auto"/>
      </w:pPr>
      <w:r>
        <w:separator/>
      </w:r>
    </w:p>
  </w:footnote>
  <w:footnote w:type="continuationSeparator" w:id="0">
    <w:p w14:paraId="2721560C" w14:textId="77777777" w:rsidR="003406B2" w:rsidRDefault="00340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49A7" w14:textId="77777777" w:rsidR="001C4A29" w:rsidRDefault="001C4A2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052"/>
    <w:multiLevelType w:val="hybridMultilevel"/>
    <w:tmpl w:val="B120CFA2"/>
    <w:lvl w:ilvl="0" w:tplc="041D0001">
      <w:start w:val="1"/>
      <w:numFmt w:val="bullet"/>
      <w:lvlText w:val=""/>
      <w:lvlJc w:val="left"/>
      <w:pPr>
        <w:ind w:left="13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DC03E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3ED2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6EB2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5EC0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0606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8C64C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C6C9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3884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1F37E8"/>
    <w:multiLevelType w:val="hybridMultilevel"/>
    <w:tmpl w:val="EC0A04B8"/>
    <w:lvl w:ilvl="0" w:tplc="9AE27FD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33266B4">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A4E3F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2ABDA0">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02190">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1CE8AC">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32836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5844D2">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DC2AEC">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3C1476"/>
    <w:multiLevelType w:val="hybridMultilevel"/>
    <w:tmpl w:val="2AC891CE"/>
    <w:lvl w:ilvl="0" w:tplc="EF509688">
      <w:start w:val="2"/>
      <w:numFmt w:val="decimal"/>
      <w:lvlText w:val="%1"/>
      <w:lvlJc w:val="left"/>
      <w:pPr>
        <w:ind w:left="0"/>
      </w:pPr>
      <w:rPr>
        <w:rFonts w:ascii="Times New Roman" w:eastAsia="Times New Roman" w:hAnsi="Times New Roman" w:cs="Times New Roman"/>
        <w:b w:val="0"/>
        <w:i w:val="0"/>
        <w:strike w:val="0"/>
        <w:dstrike w:val="0"/>
        <w:color w:val="000000"/>
        <w:sz w:val="20"/>
        <w:szCs w:val="13"/>
        <w:u w:val="none" w:color="000000"/>
        <w:bdr w:val="none" w:sz="0" w:space="0" w:color="auto"/>
        <w:shd w:val="clear" w:color="auto" w:fill="auto"/>
        <w:vertAlign w:val="superscript"/>
      </w:rPr>
    </w:lvl>
    <w:lvl w:ilvl="1" w:tplc="FCC6EF70">
      <w:start w:val="1"/>
      <w:numFmt w:val="bullet"/>
      <w:lvlText w:val="•"/>
      <w:lvlJc w:val="left"/>
      <w:pPr>
        <w:ind w:left="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701B8C">
      <w:start w:val="1"/>
      <w:numFmt w:val="bullet"/>
      <w:lvlText w:val="▪"/>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34F126">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DCF4D4">
      <w:start w:val="1"/>
      <w:numFmt w:val="bullet"/>
      <w:lvlText w:val="o"/>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2E3C06">
      <w:start w:val="1"/>
      <w:numFmt w:val="bullet"/>
      <w:lvlText w:val="▪"/>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8EE418">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128E">
      <w:start w:val="1"/>
      <w:numFmt w:val="bullet"/>
      <w:lvlText w:val="o"/>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FE46C8">
      <w:start w:val="1"/>
      <w:numFmt w:val="bullet"/>
      <w:lvlText w:val="▪"/>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75436E"/>
    <w:multiLevelType w:val="hybridMultilevel"/>
    <w:tmpl w:val="0994C5C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D062E9"/>
    <w:multiLevelType w:val="hybridMultilevel"/>
    <w:tmpl w:val="8B92DEFA"/>
    <w:lvl w:ilvl="0" w:tplc="996C3970">
      <w:start w:val="1"/>
      <w:numFmt w:val="upperLetter"/>
      <w:lvlText w:val="%1."/>
      <w:lvlJc w:val="left"/>
      <w:pPr>
        <w:ind w:left="17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8745838">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0D07E7C">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D4AF3EC">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0606FDA">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E1C99A6">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ADCBD48">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4E2C916">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7FCCD50">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3B7FAE"/>
    <w:multiLevelType w:val="hybridMultilevel"/>
    <w:tmpl w:val="045691B8"/>
    <w:lvl w:ilvl="0" w:tplc="2374887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C9F5CFA"/>
    <w:multiLevelType w:val="hybridMultilevel"/>
    <w:tmpl w:val="8EFE1D32"/>
    <w:lvl w:ilvl="0" w:tplc="8BC8F1E8">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D4F4CA0"/>
    <w:multiLevelType w:val="hybridMultilevel"/>
    <w:tmpl w:val="C9069230"/>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B76AA6"/>
    <w:multiLevelType w:val="hybridMultilevel"/>
    <w:tmpl w:val="50540CFA"/>
    <w:lvl w:ilvl="0" w:tplc="FFFFFFFF">
      <w:start w:val="1"/>
      <w:numFmt w:val="bullet"/>
      <w:lvlText w:val="-"/>
      <w:lvlJc w:val="left"/>
      <w:pPr>
        <w:ind w:left="132"/>
      </w:pPr>
      <w:rPr>
        <w:b w:val="0"/>
        <w:i w:val="0"/>
        <w:strike w:val="0"/>
        <w:dstrike w:val="0"/>
        <w:color w:val="000000"/>
        <w:sz w:val="22"/>
        <w:szCs w:val="22"/>
        <w:u w:val="none" w:color="000000"/>
        <w:bdr w:val="none" w:sz="0" w:space="0" w:color="auto"/>
        <w:shd w:val="clear" w:color="auto" w:fill="auto"/>
        <w:vertAlign w:val="baseline"/>
      </w:rPr>
    </w:lvl>
    <w:lvl w:ilvl="1" w:tplc="FDC03E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3ED2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6EB2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5EC0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0606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8C64C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C6C9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3884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DFC3E10"/>
    <w:multiLevelType w:val="hybridMultilevel"/>
    <w:tmpl w:val="486600B0"/>
    <w:lvl w:ilvl="0" w:tplc="9AE27FD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E1C7780"/>
    <w:multiLevelType w:val="hybridMultilevel"/>
    <w:tmpl w:val="946C7CBA"/>
    <w:lvl w:ilvl="0" w:tplc="69960CEA">
      <w:start w:val="1"/>
      <w:numFmt w:val="bullet"/>
      <w:lvlText w:val="•"/>
      <w:lvlJc w:val="left"/>
      <w:pPr>
        <w:ind w:left="9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282A8">
      <w:start w:val="1"/>
      <w:numFmt w:val="bullet"/>
      <w:lvlText w:val="o"/>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465726">
      <w:start w:val="1"/>
      <w:numFmt w:val="bullet"/>
      <w:lvlText w:val="▪"/>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662964">
      <w:start w:val="1"/>
      <w:numFmt w:val="bullet"/>
      <w:lvlText w:val="•"/>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F8D8B4">
      <w:start w:val="1"/>
      <w:numFmt w:val="bullet"/>
      <w:lvlText w:val="o"/>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1E1D04">
      <w:start w:val="1"/>
      <w:numFmt w:val="bullet"/>
      <w:lvlText w:val="▪"/>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944104">
      <w:start w:val="1"/>
      <w:numFmt w:val="bullet"/>
      <w:lvlText w:val="•"/>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BA920A">
      <w:start w:val="1"/>
      <w:numFmt w:val="bullet"/>
      <w:lvlText w:val="o"/>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E83288">
      <w:start w:val="1"/>
      <w:numFmt w:val="bullet"/>
      <w:lvlText w:val="▪"/>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E2024A8"/>
    <w:multiLevelType w:val="hybridMultilevel"/>
    <w:tmpl w:val="E0328944"/>
    <w:lvl w:ilvl="0" w:tplc="9D6808D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A80BB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22349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F4131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A2A5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424BA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4000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A4EA7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70B7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330A4E"/>
    <w:multiLevelType w:val="hybridMultilevel"/>
    <w:tmpl w:val="0C7680BA"/>
    <w:lvl w:ilvl="0" w:tplc="FFFFFFFF">
      <w:start w:val="1"/>
      <w:numFmt w:val="bullet"/>
      <w:lvlText w:val="-"/>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FB28B5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F6065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4BE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2458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78BF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8EA2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13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846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4D09CA"/>
    <w:multiLevelType w:val="hybridMultilevel"/>
    <w:tmpl w:val="854ADC24"/>
    <w:lvl w:ilvl="0" w:tplc="EE7A690E">
      <w:start w:val="5"/>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AE08E62E">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0820254A">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DB284772">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6F34AA4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5A87BE8">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F66AF8D4">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A28A3AAC">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5AACE7F4">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4" w15:restartNumberingAfterBreak="0">
    <w:nsid w:val="17A66DD7"/>
    <w:multiLevelType w:val="hybridMultilevel"/>
    <w:tmpl w:val="9D9A8B4C"/>
    <w:lvl w:ilvl="0" w:tplc="8CDEC90A">
      <w:start w:val="1"/>
      <w:numFmt w:val="decimal"/>
      <w:lvlText w:val="%1."/>
      <w:lvlJc w:val="left"/>
      <w:pPr>
        <w:ind w:left="361" w:hanging="360"/>
      </w:pPr>
      <w:rPr>
        <w:rFonts w:hint="default"/>
        <w:b/>
      </w:rPr>
    </w:lvl>
    <w:lvl w:ilvl="1" w:tplc="40090019" w:tentative="1">
      <w:start w:val="1"/>
      <w:numFmt w:val="lowerLetter"/>
      <w:lvlText w:val="%2."/>
      <w:lvlJc w:val="left"/>
      <w:pPr>
        <w:ind w:left="1081" w:hanging="360"/>
      </w:pPr>
    </w:lvl>
    <w:lvl w:ilvl="2" w:tplc="4009001B" w:tentative="1">
      <w:start w:val="1"/>
      <w:numFmt w:val="lowerRoman"/>
      <w:lvlText w:val="%3."/>
      <w:lvlJc w:val="right"/>
      <w:pPr>
        <w:ind w:left="1801" w:hanging="180"/>
      </w:pPr>
    </w:lvl>
    <w:lvl w:ilvl="3" w:tplc="4009000F" w:tentative="1">
      <w:start w:val="1"/>
      <w:numFmt w:val="decimal"/>
      <w:lvlText w:val="%4."/>
      <w:lvlJc w:val="left"/>
      <w:pPr>
        <w:ind w:left="2521" w:hanging="360"/>
      </w:pPr>
    </w:lvl>
    <w:lvl w:ilvl="4" w:tplc="40090019" w:tentative="1">
      <w:start w:val="1"/>
      <w:numFmt w:val="lowerLetter"/>
      <w:lvlText w:val="%5."/>
      <w:lvlJc w:val="left"/>
      <w:pPr>
        <w:ind w:left="3241" w:hanging="360"/>
      </w:pPr>
    </w:lvl>
    <w:lvl w:ilvl="5" w:tplc="4009001B" w:tentative="1">
      <w:start w:val="1"/>
      <w:numFmt w:val="lowerRoman"/>
      <w:lvlText w:val="%6."/>
      <w:lvlJc w:val="right"/>
      <w:pPr>
        <w:ind w:left="3961" w:hanging="180"/>
      </w:pPr>
    </w:lvl>
    <w:lvl w:ilvl="6" w:tplc="4009000F" w:tentative="1">
      <w:start w:val="1"/>
      <w:numFmt w:val="decimal"/>
      <w:lvlText w:val="%7."/>
      <w:lvlJc w:val="left"/>
      <w:pPr>
        <w:ind w:left="4681" w:hanging="360"/>
      </w:pPr>
    </w:lvl>
    <w:lvl w:ilvl="7" w:tplc="40090019" w:tentative="1">
      <w:start w:val="1"/>
      <w:numFmt w:val="lowerLetter"/>
      <w:lvlText w:val="%8."/>
      <w:lvlJc w:val="left"/>
      <w:pPr>
        <w:ind w:left="5401" w:hanging="360"/>
      </w:pPr>
    </w:lvl>
    <w:lvl w:ilvl="8" w:tplc="4009001B" w:tentative="1">
      <w:start w:val="1"/>
      <w:numFmt w:val="lowerRoman"/>
      <w:lvlText w:val="%9."/>
      <w:lvlJc w:val="right"/>
      <w:pPr>
        <w:ind w:left="6121" w:hanging="180"/>
      </w:pPr>
    </w:lvl>
  </w:abstractNum>
  <w:abstractNum w:abstractNumId="15" w15:restartNumberingAfterBreak="0">
    <w:nsid w:val="1FB87C54"/>
    <w:multiLevelType w:val="hybridMultilevel"/>
    <w:tmpl w:val="D88294A6"/>
    <w:lvl w:ilvl="0" w:tplc="9AE27FD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4021419"/>
    <w:multiLevelType w:val="hybridMultilevel"/>
    <w:tmpl w:val="6EAC3A16"/>
    <w:lvl w:ilvl="0" w:tplc="FFFFFFFF">
      <w:start w:val="1"/>
      <w:numFmt w:val="bullet"/>
      <w:lvlText w:val="-"/>
      <w:lvlJc w:val="left"/>
      <w:pPr>
        <w:ind w:left="571"/>
      </w:pPr>
      <w:rPr>
        <w:b w:val="0"/>
        <w:i w:val="0"/>
        <w:strike w:val="0"/>
        <w:dstrike w:val="0"/>
        <w:color w:val="000000"/>
        <w:sz w:val="22"/>
        <w:szCs w:val="22"/>
        <w:u w:val="none" w:color="000000"/>
        <w:bdr w:val="none" w:sz="0" w:space="0" w:color="auto"/>
        <w:shd w:val="clear" w:color="auto" w:fill="auto"/>
        <w:vertAlign w:val="baseline"/>
      </w:rPr>
    </w:lvl>
    <w:lvl w:ilvl="1" w:tplc="449684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9E10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69F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004DF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AA2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448A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BE27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61A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63B623E"/>
    <w:multiLevelType w:val="hybridMultilevel"/>
    <w:tmpl w:val="7158C8CA"/>
    <w:lvl w:ilvl="0" w:tplc="74E03AFA">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0066F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3C74E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080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14DC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8E9B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78E4D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2E257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CC454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89226BF"/>
    <w:multiLevelType w:val="hybridMultilevel"/>
    <w:tmpl w:val="520E7D30"/>
    <w:lvl w:ilvl="0" w:tplc="9AE27FD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9402F2"/>
    <w:multiLevelType w:val="hybridMultilevel"/>
    <w:tmpl w:val="5BF8CCBA"/>
    <w:lvl w:ilvl="0" w:tplc="FFFFFFFF">
      <w:start w:val="1"/>
      <w:numFmt w:val="bullet"/>
      <w:lvlText w:val="-"/>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8D7051E"/>
    <w:multiLevelType w:val="hybridMultilevel"/>
    <w:tmpl w:val="09569332"/>
    <w:lvl w:ilvl="0" w:tplc="8C16C50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A80D8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5284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9472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9EF5A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4ECA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700F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5242B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F6EC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95E4246"/>
    <w:multiLevelType w:val="hybridMultilevel"/>
    <w:tmpl w:val="89BE9F82"/>
    <w:lvl w:ilvl="0" w:tplc="C4AA687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EC266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98211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649DC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C2AAE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EA37D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F0C56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3AE90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42C9A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EB01E0"/>
    <w:multiLevelType w:val="hybridMultilevel"/>
    <w:tmpl w:val="3814BAA2"/>
    <w:lvl w:ilvl="0" w:tplc="FFFFFFFF">
      <w:start w:val="1"/>
      <w:numFmt w:val="bullet"/>
      <w:lvlText w:val="-"/>
      <w:lvlJc w:val="left"/>
      <w:pPr>
        <w:ind w:left="571"/>
      </w:pPr>
      <w:rPr>
        <w:b w:val="0"/>
        <w:i w:val="0"/>
        <w:strike w:val="0"/>
        <w:dstrike w:val="0"/>
        <w:color w:val="000000"/>
        <w:sz w:val="22"/>
        <w:szCs w:val="22"/>
        <w:u w:val="none" w:color="000000"/>
        <w:bdr w:val="none" w:sz="0" w:space="0" w:color="auto"/>
        <w:shd w:val="clear" w:color="auto" w:fill="auto"/>
        <w:vertAlign w:val="baseline"/>
      </w:rPr>
    </w:lvl>
    <w:lvl w:ilvl="1" w:tplc="449684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9E10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69F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004DF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AA2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448A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BE27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61A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DCD4D7C"/>
    <w:multiLevelType w:val="hybridMultilevel"/>
    <w:tmpl w:val="BF92E9AC"/>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1164A4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AAA7FC">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64FF8C">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FE4204">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6BD08">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F4F5F8">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7A95DE">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9C861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DF71A3C"/>
    <w:multiLevelType w:val="hybridMultilevel"/>
    <w:tmpl w:val="3FB21394"/>
    <w:lvl w:ilvl="0" w:tplc="7D9E940E">
      <w:start w:val="1"/>
      <w:numFmt w:val="bullet"/>
      <w:lvlText w:val="•"/>
      <w:lvlJc w:val="left"/>
      <w:pPr>
        <w:ind w:left="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78511E">
      <w:start w:val="1"/>
      <w:numFmt w:val="bullet"/>
      <w:lvlText w:val="o"/>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7E857A">
      <w:start w:val="1"/>
      <w:numFmt w:val="bullet"/>
      <w:lvlText w:val="▪"/>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32BE76">
      <w:start w:val="1"/>
      <w:numFmt w:val="bullet"/>
      <w:lvlText w:val="•"/>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846D9E">
      <w:start w:val="1"/>
      <w:numFmt w:val="bullet"/>
      <w:lvlText w:val="o"/>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C63BEA">
      <w:start w:val="1"/>
      <w:numFmt w:val="bullet"/>
      <w:lvlText w:val="▪"/>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E2F01E">
      <w:start w:val="1"/>
      <w:numFmt w:val="bullet"/>
      <w:lvlText w:val="•"/>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76DA58">
      <w:start w:val="1"/>
      <w:numFmt w:val="bullet"/>
      <w:lvlText w:val="o"/>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EE6C7A">
      <w:start w:val="1"/>
      <w:numFmt w:val="bullet"/>
      <w:lvlText w:val="▪"/>
      <w:lvlJc w:val="left"/>
      <w:pPr>
        <w:ind w:left="6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EBB6A69"/>
    <w:multiLevelType w:val="hybridMultilevel"/>
    <w:tmpl w:val="1FC2974E"/>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F9366D5"/>
    <w:multiLevelType w:val="hybridMultilevel"/>
    <w:tmpl w:val="8BF2553A"/>
    <w:lvl w:ilvl="0" w:tplc="141CEE00">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1C16F4AC">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08CE4030">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0368F094">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DCCE51AA">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93AB086">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B2EA2FD4">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4D2C02D8">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88E65212">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7" w15:restartNumberingAfterBreak="0">
    <w:nsid w:val="30E171F4"/>
    <w:multiLevelType w:val="hybridMultilevel"/>
    <w:tmpl w:val="094C0B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16B1F81"/>
    <w:multiLevelType w:val="hybridMultilevel"/>
    <w:tmpl w:val="A2204FBC"/>
    <w:lvl w:ilvl="0" w:tplc="6D56F206">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82DAB6">
      <w:start w:val="1"/>
      <w:numFmt w:val="bullet"/>
      <w:lvlText w:val="o"/>
      <w:lvlJc w:val="left"/>
      <w:pPr>
        <w:ind w:left="1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4E1BA2">
      <w:start w:val="1"/>
      <w:numFmt w:val="bullet"/>
      <w:lvlText w:val="▪"/>
      <w:lvlJc w:val="left"/>
      <w:pPr>
        <w:ind w:left="2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F63142">
      <w:start w:val="1"/>
      <w:numFmt w:val="bullet"/>
      <w:lvlText w:val="•"/>
      <w:lvlJc w:val="left"/>
      <w:pPr>
        <w:ind w:left="2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2AADEE">
      <w:start w:val="1"/>
      <w:numFmt w:val="bullet"/>
      <w:lvlText w:val="o"/>
      <w:lvlJc w:val="left"/>
      <w:pPr>
        <w:ind w:left="3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0A5572">
      <w:start w:val="1"/>
      <w:numFmt w:val="bullet"/>
      <w:lvlText w:val="▪"/>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B043BC">
      <w:start w:val="1"/>
      <w:numFmt w:val="bullet"/>
      <w:lvlText w:val="•"/>
      <w:lvlJc w:val="left"/>
      <w:pPr>
        <w:ind w:left="4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648B36">
      <w:start w:val="1"/>
      <w:numFmt w:val="bullet"/>
      <w:lvlText w:val="o"/>
      <w:lvlJc w:val="left"/>
      <w:pPr>
        <w:ind w:left="5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3CB8F8">
      <w:start w:val="1"/>
      <w:numFmt w:val="bullet"/>
      <w:lvlText w:val="▪"/>
      <w:lvlJc w:val="left"/>
      <w:pPr>
        <w:ind w:left="6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3573B22"/>
    <w:multiLevelType w:val="hybridMultilevel"/>
    <w:tmpl w:val="956CB8A6"/>
    <w:lvl w:ilvl="0" w:tplc="9AE27FD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34E44249"/>
    <w:multiLevelType w:val="hybridMultilevel"/>
    <w:tmpl w:val="492EB8A0"/>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28B5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F6065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4BE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2458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78BF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8EA2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13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846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60516CB"/>
    <w:multiLevelType w:val="hybridMultilevel"/>
    <w:tmpl w:val="3DF2CFE4"/>
    <w:lvl w:ilvl="0" w:tplc="FFFFFFFF">
      <w:start w:val="1"/>
      <w:numFmt w:val="bullet"/>
      <w:lvlText w:val="-"/>
      <w:lvlJc w:val="left"/>
      <w:pPr>
        <w:ind w:left="571"/>
      </w:pPr>
      <w:rPr>
        <w:b w:val="0"/>
        <w:i w:val="0"/>
        <w:strike w:val="0"/>
        <w:dstrike w:val="0"/>
        <w:color w:val="000000"/>
        <w:sz w:val="22"/>
        <w:szCs w:val="22"/>
        <w:u w:val="none" w:color="000000"/>
        <w:bdr w:val="none" w:sz="0" w:space="0" w:color="auto"/>
        <w:shd w:val="clear" w:color="auto" w:fill="auto"/>
        <w:vertAlign w:val="baseline"/>
      </w:rPr>
    </w:lvl>
    <w:lvl w:ilvl="1" w:tplc="449684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9E10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69F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004DF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AA2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448A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BE27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61A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8BF29B7"/>
    <w:multiLevelType w:val="hybridMultilevel"/>
    <w:tmpl w:val="43441888"/>
    <w:lvl w:ilvl="0" w:tplc="9AE27FD2">
      <w:start w:val="1"/>
      <w:numFmt w:val="bullet"/>
      <w:lvlText w:val="•"/>
      <w:lvlJc w:val="left"/>
      <w:pPr>
        <w:ind w:left="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97E36E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0A0C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AE51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5E31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EA16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B6AC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CC20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B03D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91E6731"/>
    <w:multiLevelType w:val="hybridMultilevel"/>
    <w:tmpl w:val="20E8EBA4"/>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33266B4">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A4E3F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2ABDA0">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02190">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1CE8AC">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32836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5844D2">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DC2AEC">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A6C7E25"/>
    <w:multiLevelType w:val="hybridMultilevel"/>
    <w:tmpl w:val="5C024DCC"/>
    <w:lvl w:ilvl="0" w:tplc="FFFFFFFF">
      <w:start w:val="1"/>
      <w:numFmt w:val="bullet"/>
      <w:lvlText w:val="-"/>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BDD3EAC"/>
    <w:multiLevelType w:val="hybridMultilevel"/>
    <w:tmpl w:val="15AAA024"/>
    <w:lvl w:ilvl="0" w:tplc="36BE6E52">
      <w:start w:val="1"/>
      <w:numFmt w:val="bullet"/>
      <w:lvlText w:val="•"/>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0A0874">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DA1BAE">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D8B636">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8CD67A">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F02C66C">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16C736">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781C02">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766112">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EAE4C56"/>
    <w:multiLevelType w:val="hybridMultilevel"/>
    <w:tmpl w:val="79FC4DF8"/>
    <w:lvl w:ilvl="0" w:tplc="9AE27FD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17A317F"/>
    <w:multiLevelType w:val="hybridMultilevel"/>
    <w:tmpl w:val="E8F6ED3A"/>
    <w:lvl w:ilvl="0" w:tplc="041D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41F1CDD"/>
    <w:multiLevelType w:val="hybridMultilevel"/>
    <w:tmpl w:val="0B66AC22"/>
    <w:lvl w:ilvl="0" w:tplc="30AA4C70">
      <w:start w:val="2"/>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D74292EA">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BE48779A">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BEEE2F1C">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A7E216CC">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E96C9732">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F96066A6">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5640371A">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5244961C">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39" w15:restartNumberingAfterBreak="0">
    <w:nsid w:val="444D7D3F"/>
    <w:multiLevelType w:val="hybridMultilevel"/>
    <w:tmpl w:val="4F6AEC24"/>
    <w:lvl w:ilvl="0" w:tplc="9AE27FD2">
      <w:start w:val="1"/>
      <w:numFmt w:val="bullet"/>
      <w:lvlText w:val="•"/>
      <w:lvlJc w:val="left"/>
      <w:pPr>
        <w:ind w:left="132"/>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DC03E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3ED22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6EB22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5EC0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0606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8C64C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C6C9F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3884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6114804"/>
    <w:multiLevelType w:val="hybridMultilevel"/>
    <w:tmpl w:val="030C1DC6"/>
    <w:lvl w:ilvl="0" w:tplc="9AE27FD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1164A4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AAA7FC">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64FF8C">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FE4204">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6BD08">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F4F5F8">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7A95DE">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9C861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74B575C"/>
    <w:multiLevelType w:val="hybridMultilevel"/>
    <w:tmpl w:val="5F6632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4864717B"/>
    <w:multiLevelType w:val="hybridMultilevel"/>
    <w:tmpl w:val="9162FC20"/>
    <w:lvl w:ilvl="0" w:tplc="9AE27FD2">
      <w:start w:val="1"/>
      <w:numFmt w:val="bullet"/>
      <w:lvlText w:val="•"/>
      <w:lvlJc w:val="left"/>
      <w:pPr>
        <w:ind w:left="571"/>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49684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9E10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69F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004DF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AA2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448A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BE27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61A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B1520C5"/>
    <w:multiLevelType w:val="hybridMultilevel"/>
    <w:tmpl w:val="D16CAAC2"/>
    <w:lvl w:ilvl="0" w:tplc="4E4C517A">
      <w:start w:val="1"/>
      <w:numFmt w:val="bullet"/>
      <w:lvlText w:val="•"/>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AA09F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600402">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76C42A">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B66DFA">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AE918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FA96A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600B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72335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E320975"/>
    <w:multiLevelType w:val="hybridMultilevel"/>
    <w:tmpl w:val="EE6A1254"/>
    <w:lvl w:ilvl="0" w:tplc="A86A7FE4">
      <w:start w:val="2"/>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AE00D006">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EFCE46F8">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F086D77E">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7FE266BE">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DC683C6A">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2772A2A0">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7BCE3430">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9D74DE2E">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45" w15:restartNumberingAfterBreak="0">
    <w:nsid w:val="4E5F5B9B"/>
    <w:multiLevelType w:val="hybridMultilevel"/>
    <w:tmpl w:val="3FB21C6C"/>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F7E520B"/>
    <w:multiLevelType w:val="hybridMultilevel"/>
    <w:tmpl w:val="5186EC18"/>
    <w:lvl w:ilvl="0" w:tplc="DA92B6C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1004E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4B46FE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FCDBB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9ABF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C83B3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004D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C44F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1C5B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F914550"/>
    <w:multiLevelType w:val="hybridMultilevel"/>
    <w:tmpl w:val="81F8881A"/>
    <w:lvl w:ilvl="0" w:tplc="FFFFFFFF">
      <w:start w:val="1"/>
      <w:numFmt w:val="bullet"/>
      <w:lvlText w:val="-"/>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41164A4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AAA7FC">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64FF8C">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FE4204">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6BD08">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F4F5F8">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7A95DE">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9C861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0370A93"/>
    <w:multiLevelType w:val="hybridMultilevel"/>
    <w:tmpl w:val="B748D72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55155C9B"/>
    <w:multiLevelType w:val="hybridMultilevel"/>
    <w:tmpl w:val="DB781ED2"/>
    <w:lvl w:ilvl="0" w:tplc="9AE27FD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567925FD"/>
    <w:multiLevelType w:val="hybridMultilevel"/>
    <w:tmpl w:val="292E3812"/>
    <w:lvl w:ilvl="0" w:tplc="041D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 w15:restartNumberingAfterBreak="0">
    <w:nsid w:val="56ED0669"/>
    <w:multiLevelType w:val="hybridMultilevel"/>
    <w:tmpl w:val="599E7358"/>
    <w:lvl w:ilvl="0" w:tplc="041D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57D371EE"/>
    <w:multiLevelType w:val="hybridMultilevel"/>
    <w:tmpl w:val="0458191A"/>
    <w:lvl w:ilvl="0" w:tplc="041D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57EF27A1"/>
    <w:multiLevelType w:val="hybridMultilevel"/>
    <w:tmpl w:val="3014EB8E"/>
    <w:lvl w:ilvl="0" w:tplc="FFFFFFFF">
      <w:start w:val="1"/>
      <w:numFmt w:val="bullet"/>
      <w:lvlText w:val="-"/>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53322C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24657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162E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EE1F4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8A05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FEA0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0A84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C61E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7FE62A6"/>
    <w:multiLevelType w:val="hybridMultilevel"/>
    <w:tmpl w:val="7826BD90"/>
    <w:lvl w:ilvl="0" w:tplc="041D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3322C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24657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162E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EE1F4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8A05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FEA0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0A84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C61E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84756E6"/>
    <w:multiLevelType w:val="hybridMultilevel"/>
    <w:tmpl w:val="DF405C54"/>
    <w:lvl w:ilvl="0" w:tplc="9AE27FD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B28B57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F6065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24BE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C2458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78BF3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8EA2A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13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846A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62E426C"/>
    <w:multiLevelType w:val="hybridMultilevel"/>
    <w:tmpl w:val="BC104C88"/>
    <w:lvl w:ilvl="0" w:tplc="7B90AB2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03C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0E47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CAA2E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FA7CB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4E39B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04C58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EA47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04530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71F4E88"/>
    <w:multiLevelType w:val="hybridMultilevel"/>
    <w:tmpl w:val="141255F4"/>
    <w:lvl w:ilvl="0" w:tplc="E8B89DF0">
      <w:start w:val="1"/>
      <w:numFmt w:val="bullet"/>
      <w:lvlText w:val="•"/>
      <w:lvlJc w:val="left"/>
      <w:pPr>
        <w:ind w:left="1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FEC332">
      <w:start w:val="1"/>
      <w:numFmt w:val="bullet"/>
      <w:lvlText w:val="o"/>
      <w:lvlJc w:val="left"/>
      <w:pPr>
        <w:ind w:left="1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6681C6">
      <w:start w:val="1"/>
      <w:numFmt w:val="bullet"/>
      <w:lvlText w:val="▪"/>
      <w:lvlJc w:val="left"/>
      <w:pPr>
        <w:ind w:left="2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4C4830">
      <w:start w:val="1"/>
      <w:numFmt w:val="bullet"/>
      <w:lvlText w:val="•"/>
      <w:lvlJc w:val="left"/>
      <w:pPr>
        <w:ind w:left="3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F23A98">
      <w:start w:val="1"/>
      <w:numFmt w:val="bullet"/>
      <w:lvlText w:val="o"/>
      <w:lvlJc w:val="left"/>
      <w:pPr>
        <w:ind w:left="3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AA940E">
      <w:start w:val="1"/>
      <w:numFmt w:val="bullet"/>
      <w:lvlText w:val="▪"/>
      <w:lvlJc w:val="left"/>
      <w:pPr>
        <w:ind w:left="4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F2B206">
      <w:start w:val="1"/>
      <w:numFmt w:val="bullet"/>
      <w:lvlText w:val="•"/>
      <w:lvlJc w:val="left"/>
      <w:pPr>
        <w:ind w:left="5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02F400">
      <w:start w:val="1"/>
      <w:numFmt w:val="bullet"/>
      <w:lvlText w:val="o"/>
      <w:lvlJc w:val="left"/>
      <w:pPr>
        <w:ind w:left="5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7EEA48">
      <w:start w:val="1"/>
      <w:numFmt w:val="bullet"/>
      <w:lvlText w:val="▪"/>
      <w:lvlJc w:val="left"/>
      <w:pPr>
        <w:ind w:left="6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84F6202"/>
    <w:multiLevelType w:val="hybridMultilevel"/>
    <w:tmpl w:val="7E9A4898"/>
    <w:lvl w:ilvl="0" w:tplc="041D0001">
      <w:start w:val="1"/>
      <w:numFmt w:val="bullet"/>
      <w:lvlText w:val=""/>
      <w:lvlJc w:val="left"/>
      <w:pPr>
        <w:ind w:left="57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49684C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9E105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069F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004DF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7AA2D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448AE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BE271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961AA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684F6E70"/>
    <w:multiLevelType w:val="hybridMultilevel"/>
    <w:tmpl w:val="777658D4"/>
    <w:lvl w:ilvl="0" w:tplc="9AE27FD2">
      <w:start w:val="1"/>
      <w:numFmt w:val="bullet"/>
      <w:lvlText w:val="•"/>
      <w:lvlJc w:val="left"/>
      <w:pPr>
        <w:ind w:left="72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97E36E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0A0C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AE51B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5E310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EA16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B6AC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CC202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B03DF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86B273C"/>
    <w:multiLevelType w:val="hybridMultilevel"/>
    <w:tmpl w:val="BAC6E354"/>
    <w:lvl w:ilvl="0" w:tplc="9AE27FD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91B1052"/>
    <w:multiLevelType w:val="hybridMultilevel"/>
    <w:tmpl w:val="A0A0901E"/>
    <w:lvl w:ilvl="0" w:tplc="9AE27FD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53322C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24657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162E0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EE1F4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8A053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FEA00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0A84B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C61E8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91C2053"/>
    <w:multiLevelType w:val="hybridMultilevel"/>
    <w:tmpl w:val="ED52E99C"/>
    <w:lvl w:ilvl="0" w:tplc="B164DE10">
      <w:start w:val="1"/>
      <w:numFmt w:val="bullet"/>
      <w:lvlText w:val="•"/>
      <w:lvlJc w:val="left"/>
      <w:pPr>
        <w:ind w:left="1434"/>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BAE01CC">
      <w:start w:val="1"/>
      <w:numFmt w:val="bullet"/>
      <w:lvlText w:val="o"/>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84F6CE">
      <w:start w:val="1"/>
      <w:numFmt w:val="bullet"/>
      <w:lvlText w:val="▪"/>
      <w:lvlJc w:val="left"/>
      <w:pPr>
        <w:ind w:left="2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60311C">
      <w:start w:val="1"/>
      <w:numFmt w:val="bullet"/>
      <w:lvlText w:val="•"/>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EEF6E">
      <w:start w:val="1"/>
      <w:numFmt w:val="bullet"/>
      <w:lvlText w:val="o"/>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2ABF24">
      <w:start w:val="1"/>
      <w:numFmt w:val="bullet"/>
      <w:lvlText w:val="▪"/>
      <w:lvlJc w:val="left"/>
      <w:pPr>
        <w:ind w:left="4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CCF58A">
      <w:start w:val="1"/>
      <w:numFmt w:val="bullet"/>
      <w:lvlText w:val="•"/>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A4228">
      <w:start w:val="1"/>
      <w:numFmt w:val="bullet"/>
      <w:lvlText w:val="o"/>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262EDE">
      <w:start w:val="1"/>
      <w:numFmt w:val="bullet"/>
      <w:lvlText w:val="▪"/>
      <w:lvlJc w:val="left"/>
      <w:pPr>
        <w:ind w:left="6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0BE764F"/>
    <w:multiLevelType w:val="hybridMultilevel"/>
    <w:tmpl w:val="EF149064"/>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71A7617D"/>
    <w:multiLevelType w:val="hybridMultilevel"/>
    <w:tmpl w:val="9FB67986"/>
    <w:lvl w:ilvl="0" w:tplc="9AE27FD2">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C8472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98152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BC476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DA9F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48BDE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143C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8E329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D478E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47F6CC3"/>
    <w:multiLevelType w:val="hybridMultilevel"/>
    <w:tmpl w:val="7B085F14"/>
    <w:lvl w:ilvl="0" w:tplc="9AE27FD2">
      <w:start w:val="1"/>
      <w:numFmt w:val="bullet"/>
      <w:lvlText w:val="•"/>
      <w:lvlJc w:val="left"/>
      <w:pPr>
        <w:ind w:left="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50A5B7F"/>
    <w:multiLevelType w:val="hybridMultilevel"/>
    <w:tmpl w:val="D3EA73F0"/>
    <w:lvl w:ilvl="0" w:tplc="1FCC54C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FC4C0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4846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08A6A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4AE59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D44EA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92497C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083BE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08B8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631032E"/>
    <w:multiLevelType w:val="hybridMultilevel"/>
    <w:tmpl w:val="73D8BFE0"/>
    <w:lvl w:ilvl="0" w:tplc="FFFFFFFF">
      <w:start w:val="1"/>
      <w:numFmt w:val="bullet"/>
      <w:lvlText w:val="-"/>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98C08B2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C163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D86B1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209A7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3C2DCE">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88E21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48868">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0EC722">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7880186"/>
    <w:multiLevelType w:val="hybridMultilevel"/>
    <w:tmpl w:val="2398F0C4"/>
    <w:lvl w:ilvl="0" w:tplc="FFFFFFFF">
      <w:start w:val="1"/>
      <w:numFmt w:val="bullet"/>
      <w:lvlText w:val="-"/>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333266B4">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A4E3F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2ABDA0">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02190">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1CE8AC">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32836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5844D2">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DC2AEC">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9063DBC"/>
    <w:multiLevelType w:val="hybridMultilevel"/>
    <w:tmpl w:val="3DEAB6D2"/>
    <w:lvl w:ilvl="0" w:tplc="4009000F">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7AFB5570"/>
    <w:multiLevelType w:val="hybridMultilevel"/>
    <w:tmpl w:val="CB7CF4E8"/>
    <w:lvl w:ilvl="0" w:tplc="00563100">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3E4186">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3E1564">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1C2122">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2C1C5A">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FA23C6">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BE91E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1A0474">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346C2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E6B1790"/>
    <w:multiLevelType w:val="hybridMultilevel"/>
    <w:tmpl w:val="6E484848"/>
    <w:lvl w:ilvl="0" w:tplc="830870DA">
      <w:start w:val="1"/>
      <w:numFmt w:val="decimal"/>
      <w:lvlText w:val="%1"/>
      <w:lvlJc w:val="left"/>
      <w:pPr>
        <w:ind w:left="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DCD6A7D8">
      <w:start w:val="1"/>
      <w:numFmt w:val="lowerLetter"/>
      <w:lvlText w:val="%2"/>
      <w:lvlJc w:val="left"/>
      <w:pPr>
        <w:ind w:left="10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A77CDB96">
      <w:start w:val="1"/>
      <w:numFmt w:val="lowerRoman"/>
      <w:lvlText w:val="%3"/>
      <w:lvlJc w:val="left"/>
      <w:pPr>
        <w:ind w:left="18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A87AD75E">
      <w:start w:val="1"/>
      <w:numFmt w:val="decimal"/>
      <w:lvlText w:val="%4"/>
      <w:lvlJc w:val="left"/>
      <w:pPr>
        <w:ind w:left="25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DE8A0830">
      <w:start w:val="1"/>
      <w:numFmt w:val="lowerLetter"/>
      <w:lvlText w:val="%5"/>
      <w:lvlJc w:val="left"/>
      <w:pPr>
        <w:ind w:left="324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9708915C">
      <w:start w:val="1"/>
      <w:numFmt w:val="lowerRoman"/>
      <w:lvlText w:val="%6"/>
      <w:lvlJc w:val="left"/>
      <w:pPr>
        <w:ind w:left="396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0F7452CC">
      <w:start w:val="1"/>
      <w:numFmt w:val="decimal"/>
      <w:lvlText w:val="%7"/>
      <w:lvlJc w:val="left"/>
      <w:pPr>
        <w:ind w:left="468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B69CF072">
      <w:start w:val="1"/>
      <w:numFmt w:val="lowerLetter"/>
      <w:lvlText w:val="%8"/>
      <w:lvlJc w:val="left"/>
      <w:pPr>
        <w:ind w:left="540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E3B65278">
      <w:start w:val="1"/>
      <w:numFmt w:val="lowerRoman"/>
      <w:lvlText w:val="%9"/>
      <w:lvlJc w:val="left"/>
      <w:pPr>
        <w:ind w:left="612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num w:numId="1" w16cid:durableId="1228225139">
    <w:abstractNumId w:val="64"/>
  </w:num>
  <w:num w:numId="2" w16cid:durableId="673846377">
    <w:abstractNumId w:val="21"/>
  </w:num>
  <w:num w:numId="3" w16cid:durableId="1220677268">
    <w:abstractNumId w:val="46"/>
  </w:num>
  <w:num w:numId="4" w16cid:durableId="589773509">
    <w:abstractNumId w:val="17"/>
  </w:num>
  <w:num w:numId="5" w16cid:durableId="14693294">
    <w:abstractNumId w:val="56"/>
  </w:num>
  <w:num w:numId="6" w16cid:durableId="694616844">
    <w:abstractNumId w:val="24"/>
  </w:num>
  <w:num w:numId="7" w16cid:durableId="1360468348">
    <w:abstractNumId w:val="10"/>
  </w:num>
  <w:num w:numId="8" w16cid:durableId="1735393450">
    <w:abstractNumId w:val="2"/>
  </w:num>
  <w:num w:numId="9" w16cid:durableId="175389130">
    <w:abstractNumId w:val="57"/>
  </w:num>
  <w:num w:numId="10" w16cid:durableId="987632534">
    <w:abstractNumId w:val="38"/>
  </w:num>
  <w:num w:numId="11" w16cid:durableId="237325749">
    <w:abstractNumId w:val="26"/>
  </w:num>
  <w:num w:numId="12" w16cid:durableId="319500903">
    <w:abstractNumId w:val="66"/>
  </w:num>
  <w:num w:numId="13" w16cid:durableId="891622351">
    <w:abstractNumId w:val="11"/>
  </w:num>
  <w:num w:numId="14" w16cid:durableId="187720386">
    <w:abstractNumId w:val="43"/>
  </w:num>
  <w:num w:numId="15" w16cid:durableId="106698136">
    <w:abstractNumId w:val="62"/>
  </w:num>
  <w:num w:numId="16" w16cid:durableId="1881890462">
    <w:abstractNumId w:val="28"/>
  </w:num>
  <w:num w:numId="17" w16cid:durableId="1292173947">
    <w:abstractNumId w:val="44"/>
  </w:num>
  <w:num w:numId="18" w16cid:durableId="1315600594">
    <w:abstractNumId w:val="13"/>
  </w:num>
  <w:num w:numId="19" w16cid:durableId="806312933">
    <w:abstractNumId w:val="71"/>
  </w:num>
  <w:num w:numId="20" w16cid:durableId="327221696">
    <w:abstractNumId w:val="20"/>
  </w:num>
  <w:num w:numId="21" w16cid:durableId="984773529">
    <w:abstractNumId w:val="4"/>
  </w:num>
  <w:num w:numId="22" w16cid:durableId="626081721">
    <w:abstractNumId w:val="35"/>
  </w:num>
  <w:num w:numId="23" w16cid:durableId="94980684">
    <w:abstractNumId w:val="70"/>
  </w:num>
  <w:num w:numId="24" w16cid:durableId="1054500278">
    <w:abstractNumId w:val="32"/>
  </w:num>
  <w:num w:numId="25" w16cid:durableId="1522471951">
    <w:abstractNumId w:val="6"/>
  </w:num>
  <w:num w:numId="26" w16cid:durableId="402483933">
    <w:abstractNumId w:val="14"/>
  </w:num>
  <w:num w:numId="27" w16cid:durableId="1556311398">
    <w:abstractNumId w:val="5"/>
  </w:num>
  <w:num w:numId="28" w16cid:durableId="856886336">
    <w:abstractNumId w:val="69"/>
  </w:num>
  <w:num w:numId="29" w16cid:durableId="1594508847">
    <w:abstractNumId w:val="27"/>
  </w:num>
  <w:num w:numId="30" w16cid:durableId="1894349333">
    <w:abstractNumId w:val="47"/>
  </w:num>
  <w:num w:numId="31" w16cid:durableId="1705668582">
    <w:abstractNumId w:val="68"/>
  </w:num>
  <w:num w:numId="32" w16cid:durableId="1165437977">
    <w:abstractNumId w:val="16"/>
  </w:num>
  <w:num w:numId="33" w16cid:durableId="15814389">
    <w:abstractNumId w:val="22"/>
  </w:num>
  <w:num w:numId="34" w16cid:durableId="1766416218">
    <w:abstractNumId w:val="31"/>
  </w:num>
  <w:num w:numId="35" w16cid:durableId="484784429">
    <w:abstractNumId w:val="53"/>
  </w:num>
  <w:num w:numId="36" w16cid:durableId="910774546">
    <w:abstractNumId w:val="48"/>
  </w:num>
  <w:num w:numId="37" w16cid:durableId="16203029">
    <w:abstractNumId w:val="59"/>
  </w:num>
  <w:num w:numId="38" w16cid:durableId="1528761268">
    <w:abstractNumId w:val="34"/>
  </w:num>
  <w:num w:numId="39" w16cid:durableId="603071112">
    <w:abstractNumId w:val="19"/>
  </w:num>
  <w:num w:numId="40" w16cid:durableId="338388033">
    <w:abstractNumId w:val="3"/>
  </w:num>
  <w:num w:numId="41" w16cid:durableId="836388978">
    <w:abstractNumId w:val="63"/>
  </w:num>
  <w:num w:numId="42" w16cid:durableId="342123124">
    <w:abstractNumId w:val="65"/>
  </w:num>
  <w:num w:numId="43" w16cid:durableId="688217565">
    <w:abstractNumId w:val="67"/>
  </w:num>
  <w:num w:numId="44" w16cid:durableId="982080443">
    <w:abstractNumId w:val="8"/>
  </w:num>
  <w:num w:numId="45" w16cid:durableId="1610578096">
    <w:abstractNumId w:val="12"/>
  </w:num>
  <w:num w:numId="46" w16cid:durableId="1018048194">
    <w:abstractNumId w:val="33"/>
  </w:num>
  <w:num w:numId="47" w16cid:durableId="512185970">
    <w:abstractNumId w:val="41"/>
  </w:num>
  <w:num w:numId="48" w16cid:durableId="1652906361">
    <w:abstractNumId w:val="58"/>
  </w:num>
  <w:num w:numId="49" w16cid:durableId="754328926">
    <w:abstractNumId w:val="54"/>
  </w:num>
  <w:num w:numId="50" w16cid:durableId="1313174847">
    <w:abstractNumId w:val="51"/>
  </w:num>
  <w:num w:numId="51" w16cid:durableId="879363757">
    <w:abstractNumId w:val="25"/>
  </w:num>
  <w:num w:numId="52" w16cid:durableId="1544442305">
    <w:abstractNumId w:val="7"/>
  </w:num>
  <w:num w:numId="53" w16cid:durableId="1188836638">
    <w:abstractNumId w:val="37"/>
  </w:num>
  <w:num w:numId="54" w16cid:durableId="1878665757">
    <w:abstractNumId w:val="50"/>
  </w:num>
  <w:num w:numId="55" w16cid:durableId="1941066002">
    <w:abstractNumId w:val="52"/>
  </w:num>
  <w:num w:numId="56" w16cid:durableId="1281229268">
    <w:abstractNumId w:val="45"/>
  </w:num>
  <w:num w:numId="57" w16cid:durableId="1826311481">
    <w:abstractNumId w:val="0"/>
  </w:num>
  <w:num w:numId="58" w16cid:durableId="342897651">
    <w:abstractNumId w:val="30"/>
  </w:num>
  <w:num w:numId="59" w16cid:durableId="1728719480">
    <w:abstractNumId w:val="23"/>
  </w:num>
  <w:num w:numId="60" w16cid:durableId="382290460">
    <w:abstractNumId w:val="40"/>
  </w:num>
  <w:num w:numId="61" w16cid:durableId="1091700434">
    <w:abstractNumId w:val="1"/>
  </w:num>
  <w:num w:numId="62" w16cid:durableId="539632745">
    <w:abstractNumId w:val="60"/>
  </w:num>
  <w:num w:numId="63" w16cid:durableId="751854189">
    <w:abstractNumId w:val="42"/>
  </w:num>
  <w:num w:numId="64" w16cid:durableId="1771470195">
    <w:abstractNumId w:val="61"/>
  </w:num>
  <w:num w:numId="65" w16cid:durableId="340546665">
    <w:abstractNumId w:val="49"/>
  </w:num>
  <w:num w:numId="66" w16cid:durableId="1503004163">
    <w:abstractNumId w:val="15"/>
  </w:num>
  <w:num w:numId="67" w16cid:durableId="1171260216">
    <w:abstractNumId w:val="9"/>
  </w:num>
  <w:num w:numId="68" w16cid:durableId="2073575470">
    <w:abstractNumId w:val="18"/>
  </w:num>
  <w:num w:numId="69" w16cid:durableId="832263717">
    <w:abstractNumId w:val="29"/>
  </w:num>
  <w:num w:numId="70" w16cid:durableId="1090276565">
    <w:abstractNumId w:val="36"/>
  </w:num>
  <w:num w:numId="71" w16cid:durableId="910195649">
    <w:abstractNumId w:val="39"/>
  </w:num>
  <w:num w:numId="72" w16cid:durableId="1003166162">
    <w:abstractNumId w:val="55"/>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MzcwMzKzMDAzMTNU0lEKTi0uzszPAykwrAUAjGQVOSwAAAA="/>
  </w:docVars>
  <w:rsids>
    <w:rsidRoot w:val="005F36F3"/>
    <w:rsid w:val="00000F2B"/>
    <w:rsid w:val="00001B08"/>
    <w:rsid w:val="00010ED8"/>
    <w:rsid w:val="00011B49"/>
    <w:rsid w:val="00011C3B"/>
    <w:rsid w:val="000120DA"/>
    <w:rsid w:val="0001299A"/>
    <w:rsid w:val="000139CE"/>
    <w:rsid w:val="00014414"/>
    <w:rsid w:val="000177FD"/>
    <w:rsid w:val="00017DFB"/>
    <w:rsid w:val="000226C8"/>
    <w:rsid w:val="000228F4"/>
    <w:rsid w:val="00022B74"/>
    <w:rsid w:val="0002535B"/>
    <w:rsid w:val="000254A9"/>
    <w:rsid w:val="00032D57"/>
    <w:rsid w:val="000330D3"/>
    <w:rsid w:val="00035F48"/>
    <w:rsid w:val="00037269"/>
    <w:rsid w:val="00037CDE"/>
    <w:rsid w:val="000400DA"/>
    <w:rsid w:val="00040B35"/>
    <w:rsid w:val="00040B82"/>
    <w:rsid w:val="00040B8D"/>
    <w:rsid w:val="00040F1B"/>
    <w:rsid w:val="00044705"/>
    <w:rsid w:val="00047634"/>
    <w:rsid w:val="00047F21"/>
    <w:rsid w:val="00050D4C"/>
    <w:rsid w:val="00055AA3"/>
    <w:rsid w:val="00055F42"/>
    <w:rsid w:val="00056084"/>
    <w:rsid w:val="00056CB3"/>
    <w:rsid w:val="000572D2"/>
    <w:rsid w:val="00057AC9"/>
    <w:rsid w:val="00062651"/>
    <w:rsid w:val="0006446C"/>
    <w:rsid w:val="00066C68"/>
    <w:rsid w:val="00066D20"/>
    <w:rsid w:val="00070A78"/>
    <w:rsid w:val="00085430"/>
    <w:rsid w:val="000855AE"/>
    <w:rsid w:val="00086498"/>
    <w:rsid w:val="00086EB9"/>
    <w:rsid w:val="00087198"/>
    <w:rsid w:val="000902B8"/>
    <w:rsid w:val="00091139"/>
    <w:rsid w:val="00091993"/>
    <w:rsid w:val="00091C8E"/>
    <w:rsid w:val="00091F16"/>
    <w:rsid w:val="0009216D"/>
    <w:rsid w:val="000977DB"/>
    <w:rsid w:val="000A035D"/>
    <w:rsid w:val="000A5000"/>
    <w:rsid w:val="000A5972"/>
    <w:rsid w:val="000A5AE7"/>
    <w:rsid w:val="000B0300"/>
    <w:rsid w:val="000B055B"/>
    <w:rsid w:val="000B2D84"/>
    <w:rsid w:val="000B398F"/>
    <w:rsid w:val="000B41B9"/>
    <w:rsid w:val="000B5968"/>
    <w:rsid w:val="000B7850"/>
    <w:rsid w:val="000C0A53"/>
    <w:rsid w:val="000C13DB"/>
    <w:rsid w:val="000C47B6"/>
    <w:rsid w:val="000D2ED9"/>
    <w:rsid w:val="000D4019"/>
    <w:rsid w:val="000D6A81"/>
    <w:rsid w:val="000D7A09"/>
    <w:rsid w:val="000E42E1"/>
    <w:rsid w:val="000E4B55"/>
    <w:rsid w:val="000E4D2A"/>
    <w:rsid w:val="000E6C74"/>
    <w:rsid w:val="000E763C"/>
    <w:rsid w:val="000F2D33"/>
    <w:rsid w:val="000F3356"/>
    <w:rsid w:val="000F5563"/>
    <w:rsid w:val="000F5591"/>
    <w:rsid w:val="000F6969"/>
    <w:rsid w:val="000F69A9"/>
    <w:rsid w:val="000F725F"/>
    <w:rsid w:val="001038B1"/>
    <w:rsid w:val="00103C48"/>
    <w:rsid w:val="00104CD6"/>
    <w:rsid w:val="00105199"/>
    <w:rsid w:val="001110AC"/>
    <w:rsid w:val="00111FA1"/>
    <w:rsid w:val="00117211"/>
    <w:rsid w:val="00122E2F"/>
    <w:rsid w:val="0012317F"/>
    <w:rsid w:val="001312CC"/>
    <w:rsid w:val="00132046"/>
    <w:rsid w:val="001347B7"/>
    <w:rsid w:val="0013516A"/>
    <w:rsid w:val="0013676A"/>
    <w:rsid w:val="00136917"/>
    <w:rsid w:val="00136D08"/>
    <w:rsid w:val="00141B90"/>
    <w:rsid w:val="001451A7"/>
    <w:rsid w:val="001453B5"/>
    <w:rsid w:val="001513ED"/>
    <w:rsid w:val="00153E12"/>
    <w:rsid w:val="00160075"/>
    <w:rsid w:val="001604C1"/>
    <w:rsid w:val="00160676"/>
    <w:rsid w:val="0016100A"/>
    <w:rsid w:val="00161E9A"/>
    <w:rsid w:val="0016468F"/>
    <w:rsid w:val="00165A55"/>
    <w:rsid w:val="001671E2"/>
    <w:rsid w:val="00167FF8"/>
    <w:rsid w:val="00171D95"/>
    <w:rsid w:val="001730E3"/>
    <w:rsid w:val="0017518A"/>
    <w:rsid w:val="001755BE"/>
    <w:rsid w:val="001764F7"/>
    <w:rsid w:val="00176D27"/>
    <w:rsid w:val="0018021C"/>
    <w:rsid w:val="00181917"/>
    <w:rsid w:val="00192F8F"/>
    <w:rsid w:val="00193751"/>
    <w:rsid w:val="0019636A"/>
    <w:rsid w:val="001A03B9"/>
    <w:rsid w:val="001A2666"/>
    <w:rsid w:val="001A3408"/>
    <w:rsid w:val="001A44CF"/>
    <w:rsid w:val="001B195A"/>
    <w:rsid w:val="001B49FC"/>
    <w:rsid w:val="001B4D3E"/>
    <w:rsid w:val="001B60EF"/>
    <w:rsid w:val="001B731E"/>
    <w:rsid w:val="001C2935"/>
    <w:rsid w:val="001C4A29"/>
    <w:rsid w:val="001D05CD"/>
    <w:rsid w:val="001D36CC"/>
    <w:rsid w:val="001D72A6"/>
    <w:rsid w:val="001E54DD"/>
    <w:rsid w:val="001E60A2"/>
    <w:rsid w:val="001E6CA3"/>
    <w:rsid w:val="001F0C72"/>
    <w:rsid w:val="001F48EC"/>
    <w:rsid w:val="001F6231"/>
    <w:rsid w:val="001F774D"/>
    <w:rsid w:val="00201368"/>
    <w:rsid w:val="00202463"/>
    <w:rsid w:val="002040BE"/>
    <w:rsid w:val="00204757"/>
    <w:rsid w:val="00204AE0"/>
    <w:rsid w:val="00204B52"/>
    <w:rsid w:val="00207102"/>
    <w:rsid w:val="00207BE4"/>
    <w:rsid w:val="00210470"/>
    <w:rsid w:val="00215918"/>
    <w:rsid w:val="00220633"/>
    <w:rsid w:val="00223EAF"/>
    <w:rsid w:val="002241DD"/>
    <w:rsid w:val="00227BE1"/>
    <w:rsid w:val="002309D6"/>
    <w:rsid w:val="002314B9"/>
    <w:rsid w:val="00232D2C"/>
    <w:rsid w:val="002339F0"/>
    <w:rsid w:val="00234817"/>
    <w:rsid w:val="0023600E"/>
    <w:rsid w:val="002377B9"/>
    <w:rsid w:val="002420BB"/>
    <w:rsid w:val="00244251"/>
    <w:rsid w:val="00245339"/>
    <w:rsid w:val="00246973"/>
    <w:rsid w:val="0024702C"/>
    <w:rsid w:val="00252902"/>
    <w:rsid w:val="00256E99"/>
    <w:rsid w:val="002606F5"/>
    <w:rsid w:val="00261913"/>
    <w:rsid w:val="002649CD"/>
    <w:rsid w:val="00264FBB"/>
    <w:rsid w:val="00265890"/>
    <w:rsid w:val="002659D9"/>
    <w:rsid w:val="00267BC4"/>
    <w:rsid w:val="00273980"/>
    <w:rsid w:val="00276CFF"/>
    <w:rsid w:val="0027722B"/>
    <w:rsid w:val="00281B87"/>
    <w:rsid w:val="00282E73"/>
    <w:rsid w:val="00283040"/>
    <w:rsid w:val="002854B4"/>
    <w:rsid w:val="00286350"/>
    <w:rsid w:val="0028696A"/>
    <w:rsid w:val="00287280"/>
    <w:rsid w:val="00287AF4"/>
    <w:rsid w:val="00290EBE"/>
    <w:rsid w:val="002930B6"/>
    <w:rsid w:val="00293D14"/>
    <w:rsid w:val="00295AD0"/>
    <w:rsid w:val="002A0493"/>
    <w:rsid w:val="002A05F5"/>
    <w:rsid w:val="002A1BDA"/>
    <w:rsid w:val="002A3241"/>
    <w:rsid w:val="002A3C32"/>
    <w:rsid w:val="002A3E07"/>
    <w:rsid w:val="002A3F83"/>
    <w:rsid w:val="002A555E"/>
    <w:rsid w:val="002A72CD"/>
    <w:rsid w:val="002A785C"/>
    <w:rsid w:val="002B12AD"/>
    <w:rsid w:val="002B192A"/>
    <w:rsid w:val="002B1AF0"/>
    <w:rsid w:val="002B3F9E"/>
    <w:rsid w:val="002B4205"/>
    <w:rsid w:val="002B497B"/>
    <w:rsid w:val="002B4F9D"/>
    <w:rsid w:val="002B6A36"/>
    <w:rsid w:val="002B76D1"/>
    <w:rsid w:val="002B795A"/>
    <w:rsid w:val="002C1167"/>
    <w:rsid w:val="002C4680"/>
    <w:rsid w:val="002C5512"/>
    <w:rsid w:val="002C7FDC"/>
    <w:rsid w:val="002D0D7D"/>
    <w:rsid w:val="002D1001"/>
    <w:rsid w:val="002D3FF9"/>
    <w:rsid w:val="002D7642"/>
    <w:rsid w:val="002D7A6F"/>
    <w:rsid w:val="002E15AA"/>
    <w:rsid w:val="002E40D2"/>
    <w:rsid w:val="002E4261"/>
    <w:rsid w:val="002E484A"/>
    <w:rsid w:val="002F00C2"/>
    <w:rsid w:val="002F0A10"/>
    <w:rsid w:val="002F1245"/>
    <w:rsid w:val="002F37EA"/>
    <w:rsid w:val="002F522D"/>
    <w:rsid w:val="00300B18"/>
    <w:rsid w:val="003029C9"/>
    <w:rsid w:val="0030339D"/>
    <w:rsid w:val="00306525"/>
    <w:rsid w:val="0030747E"/>
    <w:rsid w:val="003076CD"/>
    <w:rsid w:val="00313A56"/>
    <w:rsid w:val="00315D83"/>
    <w:rsid w:val="003170E0"/>
    <w:rsid w:val="003170E2"/>
    <w:rsid w:val="00317138"/>
    <w:rsid w:val="00317AD7"/>
    <w:rsid w:val="00317BD2"/>
    <w:rsid w:val="00321CD1"/>
    <w:rsid w:val="00321D03"/>
    <w:rsid w:val="003228C3"/>
    <w:rsid w:val="0032401A"/>
    <w:rsid w:val="00324D0D"/>
    <w:rsid w:val="00326DAB"/>
    <w:rsid w:val="003271A4"/>
    <w:rsid w:val="00327281"/>
    <w:rsid w:val="0033197E"/>
    <w:rsid w:val="00331D40"/>
    <w:rsid w:val="00334B5E"/>
    <w:rsid w:val="00335184"/>
    <w:rsid w:val="003406B2"/>
    <w:rsid w:val="00341F81"/>
    <w:rsid w:val="0034387A"/>
    <w:rsid w:val="00343A62"/>
    <w:rsid w:val="0034749B"/>
    <w:rsid w:val="00347D73"/>
    <w:rsid w:val="00352EBC"/>
    <w:rsid w:val="0035367D"/>
    <w:rsid w:val="00354217"/>
    <w:rsid w:val="00361015"/>
    <w:rsid w:val="00362418"/>
    <w:rsid w:val="00363B58"/>
    <w:rsid w:val="003661FF"/>
    <w:rsid w:val="00366CA3"/>
    <w:rsid w:val="0036751A"/>
    <w:rsid w:val="003705E2"/>
    <w:rsid w:val="00370C0B"/>
    <w:rsid w:val="003714D4"/>
    <w:rsid w:val="00372D49"/>
    <w:rsid w:val="003753A4"/>
    <w:rsid w:val="00380AB2"/>
    <w:rsid w:val="003819F9"/>
    <w:rsid w:val="003932A5"/>
    <w:rsid w:val="00397561"/>
    <w:rsid w:val="0039764C"/>
    <w:rsid w:val="003A0D79"/>
    <w:rsid w:val="003A1B7D"/>
    <w:rsid w:val="003A1E38"/>
    <w:rsid w:val="003A4DD6"/>
    <w:rsid w:val="003B20D3"/>
    <w:rsid w:val="003B2C26"/>
    <w:rsid w:val="003C161D"/>
    <w:rsid w:val="003C1FFC"/>
    <w:rsid w:val="003C6377"/>
    <w:rsid w:val="003C76C6"/>
    <w:rsid w:val="003D048A"/>
    <w:rsid w:val="003D24C6"/>
    <w:rsid w:val="003D428D"/>
    <w:rsid w:val="003D456A"/>
    <w:rsid w:val="003D4A14"/>
    <w:rsid w:val="003D5BA2"/>
    <w:rsid w:val="003E12E3"/>
    <w:rsid w:val="003E2F96"/>
    <w:rsid w:val="003E43E2"/>
    <w:rsid w:val="003E69DD"/>
    <w:rsid w:val="003E7A1C"/>
    <w:rsid w:val="003F1D8D"/>
    <w:rsid w:val="003F1EBB"/>
    <w:rsid w:val="003F233C"/>
    <w:rsid w:val="003F2427"/>
    <w:rsid w:val="003F4119"/>
    <w:rsid w:val="003F49A5"/>
    <w:rsid w:val="003F4B52"/>
    <w:rsid w:val="003F7CB7"/>
    <w:rsid w:val="003F7E99"/>
    <w:rsid w:val="003F7F14"/>
    <w:rsid w:val="0040103A"/>
    <w:rsid w:val="004020A0"/>
    <w:rsid w:val="00402790"/>
    <w:rsid w:val="00405049"/>
    <w:rsid w:val="0040649F"/>
    <w:rsid w:val="00406FBE"/>
    <w:rsid w:val="00413359"/>
    <w:rsid w:val="00413A13"/>
    <w:rsid w:val="004177CA"/>
    <w:rsid w:val="00417B17"/>
    <w:rsid w:val="00425B31"/>
    <w:rsid w:val="00425E76"/>
    <w:rsid w:val="004262B4"/>
    <w:rsid w:val="00433F35"/>
    <w:rsid w:val="004340B5"/>
    <w:rsid w:val="0043524C"/>
    <w:rsid w:val="00436587"/>
    <w:rsid w:val="00442A84"/>
    <w:rsid w:val="0044479B"/>
    <w:rsid w:val="00444860"/>
    <w:rsid w:val="004470DB"/>
    <w:rsid w:val="004526D5"/>
    <w:rsid w:val="0046011C"/>
    <w:rsid w:val="00460506"/>
    <w:rsid w:val="00465727"/>
    <w:rsid w:val="004735DA"/>
    <w:rsid w:val="004771D0"/>
    <w:rsid w:val="0048548F"/>
    <w:rsid w:val="00485B78"/>
    <w:rsid w:val="0048793B"/>
    <w:rsid w:val="00490ADC"/>
    <w:rsid w:val="00491003"/>
    <w:rsid w:val="00494A23"/>
    <w:rsid w:val="00495BB7"/>
    <w:rsid w:val="0049609F"/>
    <w:rsid w:val="004960E0"/>
    <w:rsid w:val="004965D9"/>
    <w:rsid w:val="00496A5A"/>
    <w:rsid w:val="004A1CCA"/>
    <w:rsid w:val="004A56C7"/>
    <w:rsid w:val="004A5EB9"/>
    <w:rsid w:val="004A6586"/>
    <w:rsid w:val="004B1027"/>
    <w:rsid w:val="004B1136"/>
    <w:rsid w:val="004B17FA"/>
    <w:rsid w:val="004B6D69"/>
    <w:rsid w:val="004B6F00"/>
    <w:rsid w:val="004B7E74"/>
    <w:rsid w:val="004C294F"/>
    <w:rsid w:val="004C3111"/>
    <w:rsid w:val="004C3498"/>
    <w:rsid w:val="004C3602"/>
    <w:rsid w:val="004C45C4"/>
    <w:rsid w:val="004C7294"/>
    <w:rsid w:val="004D15E9"/>
    <w:rsid w:val="004D432C"/>
    <w:rsid w:val="004D534A"/>
    <w:rsid w:val="004D577C"/>
    <w:rsid w:val="004D62E6"/>
    <w:rsid w:val="004D6C47"/>
    <w:rsid w:val="004E063E"/>
    <w:rsid w:val="004E0AED"/>
    <w:rsid w:val="004E0C45"/>
    <w:rsid w:val="004E41D8"/>
    <w:rsid w:val="004E4257"/>
    <w:rsid w:val="004E5B7E"/>
    <w:rsid w:val="004E69FD"/>
    <w:rsid w:val="004E6FD7"/>
    <w:rsid w:val="004E7388"/>
    <w:rsid w:val="004F1644"/>
    <w:rsid w:val="004F218F"/>
    <w:rsid w:val="004F3F41"/>
    <w:rsid w:val="004F4CA9"/>
    <w:rsid w:val="004F5008"/>
    <w:rsid w:val="004F6299"/>
    <w:rsid w:val="004F670B"/>
    <w:rsid w:val="00501527"/>
    <w:rsid w:val="00502C8E"/>
    <w:rsid w:val="005033D4"/>
    <w:rsid w:val="00504296"/>
    <w:rsid w:val="00504340"/>
    <w:rsid w:val="00504350"/>
    <w:rsid w:val="0050617C"/>
    <w:rsid w:val="00506B95"/>
    <w:rsid w:val="00506BB4"/>
    <w:rsid w:val="00513553"/>
    <w:rsid w:val="00515E33"/>
    <w:rsid w:val="0051706E"/>
    <w:rsid w:val="00517A9A"/>
    <w:rsid w:val="00522076"/>
    <w:rsid w:val="00522688"/>
    <w:rsid w:val="00522695"/>
    <w:rsid w:val="00526330"/>
    <w:rsid w:val="00527563"/>
    <w:rsid w:val="00530322"/>
    <w:rsid w:val="00530F31"/>
    <w:rsid w:val="00532938"/>
    <w:rsid w:val="00537F16"/>
    <w:rsid w:val="00540AC4"/>
    <w:rsid w:val="00542673"/>
    <w:rsid w:val="00542E7A"/>
    <w:rsid w:val="00544723"/>
    <w:rsid w:val="00550FA4"/>
    <w:rsid w:val="00551729"/>
    <w:rsid w:val="00561A9D"/>
    <w:rsid w:val="00561B1C"/>
    <w:rsid w:val="00564614"/>
    <w:rsid w:val="005646C7"/>
    <w:rsid w:val="00570240"/>
    <w:rsid w:val="00572621"/>
    <w:rsid w:val="00573B2C"/>
    <w:rsid w:val="0057466D"/>
    <w:rsid w:val="00577087"/>
    <w:rsid w:val="0058113A"/>
    <w:rsid w:val="00581886"/>
    <w:rsid w:val="0058338D"/>
    <w:rsid w:val="0058771A"/>
    <w:rsid w:val="0058789B"/>
    <w:rsid w:val="00587FE4"/>
    <w:rsid w:val="005A69A8"/>
    <w:rsid w:val="005B1D9F"/>
    <w:rsid w:val="005B2A2C"/>
    <w:rsid w:val="005B7693"/>
    <w:rsid w:val="005C1868"/>
    <w:rsid w:val="005C6A86"/>
    <w:rsid w:val="005C7971"/>
    <w:rsid w:val="005D07D7"/>
    <w:rsid w:val="005D0A29"/>
    <w:rsid w:val="005D0BF9"/>
    <w:rsid w:val="005D362B"/>
    <w:rsid w:val="005D6622"/>
    <w:rsid w:val="005E1410"/>
    <w:rsid w:val="005E2221"/>
    <w:rsid w:val="005E257F"/>
    <w:rsid w:val="005E25C7"/>
    <w:rsid w:val="005E317D"/>
    <w:rsid w:val="005E612B"/>
    <w:rsid w:val="005E78B8"/>
    <w:rsid w:val="005F1171"/>
    <w:rsid w:val="005F36F3"/>
    <w:rsid w:val="005F4C98"/>
    <w:rsid w:val="005F538F"/>
    <w:rsid w:val="005F5A40"/>
    <w:rsid w:val="005F74DC"/>
    <w:rsid w:val="005F7E57"/>
    <w:rsid w:val="006013AB"/>
    <w:rsid w:val="00602B8C"/>
    <w:rsid w:val="006033C2"/>
    <w:rsid w:val="00605ACD"/>
    <w:rsid w:val="00605F95"/>
    <w:rsid w:val="00610302"/>
    <w:rsid w:val="00610B8A"/>
    <w:rsid w:val="00613764"/>
    <w:rsid w:val="00614B09"/>
    <w:rsid w:val="00617C18"/>
    <w:rsid w:val="006205BE"/>
    <w:rsid w:val="00621012"/>
    <w:rsid w:val="00631556"/>
    <w:rsid w:val="00632EC1"/>
    <w:rsid w:val="006376D9"/>
    <w:rsid w:val="00637F22"/>
    <w:rsid w:val="00642253"/>
    <w:rsid w:val="006462BD"/>
    <w:rsid w:val="00647CDE"/>
    <w:rsid w:val="006522A7"/>
    <w:rsid w:val="006528CC"/>
    <w:rsid w:val="0065523B"/>
    <w:rsid w:val="00655CF3"/>
    <w:rsid w:val="00656374"/>
    <w:rsid w:val="006567E3"/>
    <w:rsid w:val="006575A0"/>
    <w:rsid w:val="0065773F"/>
    <w:rsid w:val="0066730B"/>
    <w:rsid w:val="0067000F"/>
    <w:rsid w:val="00670482"/>
    <w:rsid w:val="006717E9"/>
    <w:rsid w:val="00673B4B"/>
    <w:rsid w:val="00673CC2"/>
    <w:rsid w:val="0067436F"/>
    <w:rsid w:val="00676E6B"/>
    <w:rsid w:val="00677FFB"/>
    <w:rsid w:val="0068127F"/>
    <w:rsid w:val="0068323D"/>
    <w:rsid w:val="00684097"/>
    <w:rsid w:val="006851BF"/>
    <w:rsid w:val="00686D05"/>
    <w:rsid w:val="0068739E"/>
    <w:rsid w:val="00687A18"/>
    <w:rsid w:val="00690564"/>
    <w:rsid w:val="006910EA"/>
    <w:rsid w:val="00691E48"/>
    <w:rsid w:val="00693E58"/>
    <w:rsid w:val="00695EE6"/>
    <w:rsid w:val="006A0206"/>
    <w:rsid w:val="006A0B61"/>
    <w:rsid w:val="006A33F5"/>
    <w:rsid w:val="006A795C"/>
    <w:rsid w:val="006B080D"/>
    <w:rsid w:val="006B1F58"/>
    <w:rsid w:val="006B3207"/>
    <w:rsid w:val="006B6D20"/>
    <w:rsid w:val="006C06D6"/>
    <w:rsid w:val="006C1EB1"/>
    <w:rsid w:val="006C34E2"/>
    <w:rsid w:val="006C40C5"/>
    <w:rsid w:val="006C4201"/>
    <w:rsid w:val="006C5120"/>
    <w:rsid w:val="006C6C2D"/>
    <w:rsid w:val="006D216F"/>
    <w:rsid w:val="006D3BE4"/>
    <w:rsid w:val="006D4E97"/>
    <w:rsid w:val="006D6EB1"/>
    <w:rsid w:val="006E524D"/>
    <w:rsid w:val="006E53A5"/>
    <w:rsid w:val="006F24DA"/>
    <w:rsid w:val="006F3738"/>
    <w:rsid w:val="006F4D31"/>
    <w:rsid w:val="006F572B"/>
    <w:rsid w:val="00700BDC"/>
    <w:rsid w:val="007018DB"/>
    <w:rsid w:val="007026F7"/>
    <w:rsid w:val="00703963"/>
    <w:rsid w:val="00703AFF"/>
    <w:rsid w:val="00707CDD"/>
    <w:rsid w:val="00707DF7"/>
    <w:rsid w:val="00712F51"/>
    <w:rsid w:val="0071456E"/>
    <w:rsid w:val="00723EB2"/>
    <w:rsid w:val="00727D28"/>
    <w:rsid w:val="00730614"/>
    <w:rsid w:val="007309A2"/>
    <w:rsid w:val="00731E89"/>
    <w:rsid w:val="00732076"/>
    <w:rsid w:val="0073217C"/>
    <w:rsid w:val="00734618"/>
    <w:rsid w:val="00734B6C"/>
    <w:rsid w:val="007353E4"/>
    <w:rsid w:val="007405A4"/>
    <w:rsid w:val="00740A02"/>
    <w:rsid w:val="00742683"/>
    <w:rsid w:val="0074284B"/>
    <w:rsid w:val="0074294B"/>
    <w:rsid w:val="00742B2C"/>
    <w:rsid w:val="00743937"/>
    <w:rsid w:val="00746C8C"/>
    <w:rsid w:val="00747516"/>
    <w:rsid w:val="007564F0"/>
    <w:rsid w:val="007566FC"/>
    <w:rsid w:val="00756F6A"/>
    <w:rsid w:val="00761D16"/>
    <w:rsid w:val="007626E5"/>
    <w:rsid w:val="007638A2"/>
    <w:rsid w:val="00764900"/>
    <w:rsid w:val="007664A3"/>
    <w:rsid w:val="0076689B"/>
    <w:rsid w:val="007711CA"/>
    <w:rsid w:val="00773118"/>
    <w:rsid w:val="00774472"/>
    <w:rsid w:val="00775C66"/>
    <w:rsid w:val="00776AC9"/>
    <w:rsid w:val="00777A07"/>
    <w:rsid w:val="00780187"/>
    <w:rsid w:val="00780FA1"/>
    <w:rsid w:val="007811A9"/>
    <w:rsid w:val="00781331"/>
    <w:rsid w:val="00786EE4"/>
    <w:rsid w:val="007870BC"/>
    <w:rsid w:val="00787B3F"/>
    <w:rsid w:val="007908E5"/>
    <w:rsid w:val="00792F1E"/>
    <w:rsid w:val="00794C16"/>
    <w:rsid w:val="00795A17"/>
    <w:rsid w:val="00796078"/>
    <w:rsid w:val="0079616F"/>
    <w:rsid w:val="00796BD9"/>
    <w:rsid w:val="00797055"/>
    <w:rsid w:val="00797195"/>
    <w:rsid w:val="007A035C"/>
    <w:rsid w:val="007A04BD"/>
    <w:rsid w:val="007A0A8D"/>
    <w:rsid w:val="007A324A"/>
    <w:rsid w:val="007A65A1"/>
    <w:rsid w:val="007B016B"/>
    <w:rsid w:val="007B0845"/>
    <w:rsid w:val="007B0D04"/>
    <w:rsid w:val="007B14E4"/>
    <w:rsid w:val="007B241D"/>
    <w:rsid w:val="007B3FCA"/>
    <w:rsid w:val="007B41AF"/>
    <w:rsid w:val="007B6F83"/>
    <w:rsid w:val="007B76C4"/>
    <w:rsid w:val="007C2914"/>
    <w:rsid w:val="007C6E6B"/>
    <w:rsid w:val="007C73D2"/>
    <w:rsid w:val="007C7AC4"/>
    <w:rsid w:val="007C7C28"/>
    <w:rsid w:val="007D06C6"/>
    <w:rsid w:val="007D1F70"/>
    <w:rsid w:val="007D278A"/>
    <w:rsid w:val="007D2B9D"/>
    <w:rsid w:val="007D414A"/>
    <w:rsid w:val="007D62F1"/>
    <w:rsid w:val="007E5B96"/>
    <w:rsid w:val="007E5FBD"/>
    <w:rsid w:val="007E6316"/>
    <w:rsid w:val="007E792E"/>
    <w:rsid w:val="007F0800"/>
    <w:rsid w:val="007F14C0"/>
    <w:rsid w:val="007F58D2"/>
    <w:rsid w:val="00801617"/>
    <w:rsid w:val="00801B92"/>
    <w:rsid w:val="00810CCD"/>
    <w:rsid w:val="00812FBE"/>
    <w:rsid w:val="00815FA8"/>
    <w:rsid w:val="00816D79"/>
    <w:rsid w:val="00821009"/>
    <w:rsid w:val="0082177F"/>
    <w:rsid w:val="00821E16"/>
    <w:rsid w:val="00822813"/>
    <w:rsid w:val="00825B8C"/>
    <w:rsid w:val="00826FED"/>
    <w:rsid w:val="0083115B"/>
    <w:rsid w:val="00832103"/>
    <w:rsid w:val="00837C1B"/>
    <w:rsid w:val="00840B6F"/>
    <w:rsid w:val="00844F48"/>
    <w:rsid w:val="00845621"/>
    <w:rsid w:val="008502FF"/>
    <w:rsid w:val="00851CF6"/>
    <w:rsid w:val="00853796"/>
    <w:rsid w:val="0086241C"/>
    <w:rsid w:val="008661D1"/>
    <w:rsid w:val="00866958"/>
    <w:rsid w:val="0087083C"/>
    <w:rsid w:val="008709E4"/>
    <w:rsid w:val="00871242"/>
    <w:rsid w:val="008718A1"/>
    <w:rsid w:val="0087228E"/>
    <w:rsid w:val="008734D2"/>
    <w:rsid w:val="00874B63"/>
    <w:rsid w:val="00876B75"/>
    <w:rsid w:val="008810EE"/>
    <w:rsid w:val="00886DB8"/>
    <w:rsid w:val="008872A8"/>
    <w:rsid w:val="00887AC6"/>
    <w:rsid w:val="008902B7"/>
    <w:rsid w:val="0089133C"/>
    <w:rsid w:val="00893F06"/>
    <w:rsid w:val="00895032"/>
    <w:rsid w:val="00895BA7"/>
    <w:rsid w:val="008973DE"/>
    <w:rsid w:val="008A1BD6"/>
    <w:rsid w:val="008A2498"/>
    <w:rsid w:val="008A270B"/>
    <w:rsid w:val="008A39BF"/>
    <w:rsid w:val="008A7BDF"/>
    <w:rsid w:val="008B0B5D"/>
    <w:rsid w:val="008B12C1"/>
    <w:rsid w:val="008B1683"/>
    <w:rsid w:val="008B1D52"/>
    <w:rsid w:val="008B21FA"/>
    <w:rsid w:val="008B3B7F"/>
    <w:rsid w:val="008B60B2"/>
    <w:rsid w:val="008B6364"/>
    <w:rsid w:val="008B6845"/>
    <w:rsid w:val="008C1CE8"/>
    <w:rsid w:val="008C1FEA"/>
    <w:rsid w:val="008C2344"/>
    <w:rsid w:val="008C62A7"/>
    <w:rsid w:val="008C6808"/>
    <w:rsid w:val="008C7A90"/>
    <w:rsid w:val="008D3253"/>
    <w:rsid w:val="008D3CCB"/>
    <w:rsid w:val="008D5364"/>
    <w:rsid w:val="008D57E9"/>
    <w:rsid w:val="008D72D1"/>
    <w:rsid w:val="008E0BD1"/>
    <w:rsid w:val="008E20B0"/>
    <w:rsid w:val="008E2FF6"/>
    <w:rsid w:val="008E345D"/>
    <w:rsid w:val="008E5AEA"/>
    <w:rsid w:val="008E5E9A"/>
    <w:rsid w:val="008E7220"/>
    <w:rsid w:val="008E7C4F"/>
    <w:rsid w:val="008E7E04"/>
    <w:rsid w:val="008F0FCC"/>
    <w:rsid w:val="008F1A9F"/>
    <w:rsid w:val="008F717D"/>
    <w:rsid w:val="008F729A"/>
    <w:rsid w:val="00902F7F"/>
    <w:rsid w:val="00903DBE"/>
    <w:rsid w:val="009046B5"/>
    <w:rsid w:val="0090670F"/>
    <w:rsid w:val="00907DA4"/>
    <w:rsid w:val="00911CFD"/>
    <w:rsid w:val="00916159"/>
    <w:rsid w:val="0091657E"/>
    <w:rsid w:val="00916698"/>
    <w:rsid w:val="00916901"/>
    <w:rsid w:val="00916E35"/>
    <w:rsid w:val="00917EE2"/>
    <w:rsid w:val="009210ED"/>
    <w:rsid w:val="00925CBD"/>
    <w:rsid w:val="00925FCD"/>
    <w:rsid w:val="009303AA"/>
    <w:rsid w:val="00931C9D"/>
    <w:rsid w:val="00931D82"/>
    <w:rsid w:val="009348B4"/>
    <w:rsid w:val="00937B97"/>
    <w:rsid w:val="00941CAB"/>
    <w:rsid w:val="00944727"/>
    <w:rsid w:val="009523B7"/>
    <w:rsid w:val="009530B6"/>
    <w:rsid w:val="00955199"/>
    <w:rsid w:val="00961454"/>
    <w:rsid w:val="0096476F"/>
    <w:rsid w:val="009704CF"/>
    <w:rsid w:val="0097500D"/>
    <w:rsid w:val="009773BE"/>
    <w:rsid w:val="00977B43"/>
    <w:rsid w:val="009828E1"/>
    <w:rsid w:val="00983D02"/>
    <w:rsid w:val="009846DF"/>
    <w:rsid w:val="00985D66"/>
    <w:rsid w:val="009917CB"/>
    <w:rsid w:val="00992468"/>
    <w:rsid w:val="00992A02"/>
    <w:rsid w:val="00993451"/>
    <w:rsid w:val="00994170"/>
    <w:rsid w:val="00994821"/>
    <w:rsid w:val="00996FC3"/>
    <w:rsid w:val="009A038B"/>
    <w:rsid w:val="009A0D2D"/>
    <w:rsid w:val="009A0D7C"/>
    <w:rsid w:val="009A1B1B"/>
    <w:rsid w:val="009A20FA"/>
    <w:rsid w:val="009A2809"/>
    <w:rsid w:val="009A3953"/>
    <w:rsid w:val="009A62AF"/>
    <w:rsid w:val="009A6B95"/>
    <w:rsid w:val="009B2D14"/>
    <w:rsid w:val="009B44E3"/>
    <w:rsid w:val="009B44E8"/>
    <w:rsid w:val="009B4CE0"/>
    <w:rsid w:val="009B65F8"/>
    <w:rsid w:val="009B705D"/>
    <w:rsid w:val="009C2CED"/>
    <w:rsid w:val="009C428B"/>
    <w:rsid w:val="009C4306"/>
    <w:rsid w:val="009D280F"/>
    <w:rsid w:val="009D2BA1"/>
    <w:rsid w:val="009D53FC"/>
    <w:rsid w:val="009D6028"/>
    <w:rsid w:val="009D6B11"/>
    <w:rsid w:val="009E27EA"/>
    <w:rsid w:val="009E3D48"/>
    <w:rsid w:val="009E453F"/>
    <w:rsid w:val="009E4DFF"/>
    <w:rsid w:val="009E6423"/>
    <w:rsid w:val="009E657F"/>
    <w:rsid w:val="009E7197"/>
    <w:rsid w:val="009F2015"/>
    <w:rsid w:val="009F3D97"/>
    <w:rsid w:val="009F75ED"/>
    <w:rsid w:val="009F7642"/>
    <w:rsid w:val="00A04938"/>
    <w:rsid w:val="00A04971"/>
    <w:rsid w:val="00A04EB9"/>
    <w:rsid w:val="00A06FF2"/>
    <w:rsid w:val="00A12086"/>
    <w:rsid w:val="00A12C3F"/>
    <w:rsid w:val="00A1585C"/>
    <w:rsid w:val="00A1603C"/>
    <w:rsid w:val="00A2202F"/>
    <w:rsid w:val="00A23670"/>
    <w:rsid w:val="00A24078"/>
    <w:rsid w:val="00A25A33"/>
    <w:rsid w:val="00A26742"/>
    <w:rsid w:val="00A32BB7"/>
    <w:rsid w:val="00A35FD4"/>
    <w:rsid w:val="00A37AFE"/>
    <w:rsid w:val="00A404E3"/>
    <w:rsid w:val="00A405D7"/>
    <w:rsid w:val="00A415E9"/>
    <w:rsid w:val="00A43BB1"/>
    <w:rsid w:val="00A46901"/>
    <w:rsid w:val="00A523DB"/>
    <w:rsid w:val="00A5309B"/>
    <w:rsid w:val="00A544AD"/>
    <w:rsid w:val="00A606C5"/>
    <w:rsid w:val="00A651BC"/>
    <w:rsid w:val="00A664DC"/>
    <w:rsid w:val="00A66D27"/>
    <w:rsid w:val="00A71718"/>
    <w:rsid w:val="00A71747"/>
    <w:rsid w:val="00A72BA0"/>
    <w:rsid w:val="00A73618"/>
    <w:rsid w:val="00A76ECB"/>
    <w:rsid w:val="00A7738F"/>
    <w:rsid w:val="00A826B6"/>
    <w:rsid w:val="00A8406D"/>
    <w:rsid w:val="00A8696B"/>
    <w:rsid w:val="00A878E6"/>
    <w:rsid w:val="00A87AF6"/>
    <w:rsid w:val="00A90C76"/>
    <w:rsid w:val="00A90EFA"/>
    <w:rsid w:val="00A93E05"/>
    <w:rsid w:val="00A946E0"/>
    <w:rsid w:val="00A97A02"/>
    <w:rsid w:val="00AA22B5"/>
    <w:rsid w:val="00AA3498"/>
    <w:rsid w:val="00AA49D0"/>
    <w:rsid w:val="00AB1968"/>
    <w:rsid w:val="00AB1D5E"/>
    <w:rsid w:val="00AB2293"/>
    <w:rsid w:val="00AB2DCF"/>
    <w:rsid w:val="00AB624D"/>
    <w:rsid w:val="00AB78A8"/>
    <w:rsid w:val="00AB7E86"/>
    <w:rsid w:val="00AC0092"/>
    <w:rsid w:val="00AC1173"/>
    <w:rsid w:val="00AC141D"/>
    <w:rsid w:val="00AC1568"/>
    <w:rsid w:val="00AC1726"/>
    <w:rsid w:val="00AC2657"/>
    <w:rsid w:val="00AC4CF7"/>
    <w:rsid w:val="00AC6B73"/>
    <w:rsid w:val="00AD0053"/>
    <w:rsid w:val="00AD2376"/>
    <w:rsid w:val="00AD2908"/>
    <w:rsid w:val="00AD2FE3"/>
    <w:rsid w:val="00AD52D4"/>
    <w:rsid w:val="00AD7C92"/>
    <w:rsid w:val="00AE3D30"/>
    <w:rsid w:val="00AE46E7"/>
    <w:rsid w:val="00AE58CC"/>
    <w:rsid w:val="00AF0438"/>
    <w:rsid w:val="00AF107E"/>
    <w:rsid w:val="00AF3B7E"/>
    <w:rsid w:val="00AF5E96"/>
    <w:rsid w:val="00B00A95"/>
    <w:rsid w:val="00B00AA0"/>
    <w:rsid w:val="00B02483"/>
    <w:rsid w:val="00B027B6"/>
    <w:rsid w:val="00B0370E"/>
    <w:rsid w:val="00B04314"/>
    <w:rsid w:val="00B04FB0"/>
    <w:rsid w:val="00B057C4"/>
    <w:rsid w:val="00B06A62"/>
    <w:rsid w:val="00B07586"/>
    <w:rsid w:val="00B111CE"/>
    <w:rsid w:val="00B1517B"/>
    <w:rsid w:val="00B1644C"/>
    <w:rsid w:val="00B22EDD"/>
    <w:rsid w:val="00B23D0A"/>
    <w:rsid w:val="00B24C36"/>
    <w:rsid w:val="00B25CE0"/>
    <w:rsid w:val="00B26BE3"/>
    <w:rsid w:val="00B2790C"/>
    <w:rsid w:val="00B30FDA"/>
    <w:rsid w:val="00B3330B"/>
    <w:rsid w:val="00B35E36"/>
    <w:rsid w:val="00B36A53"/>
    <w:rsid w:val="00B37B43"/>
    <w:rsid w:val="00B40B70"/>
    <w:rsid w:val="00B42D0A"/>
    <w:rsid w:val="00B431E3"/>
    <w:rsid w:val="00B44753"/>
    <w:rsid w:val="00B4605A"/>
    <w:rsid w:val="00B47B50"/>
    <w:rsid w:val="00B508B7"/>
    <w:rsid w:val="00B51FBF"/>
    <w:rsid w:val="00B52246"/>
    <w:rsid w:val="00B528B1"/>
    <w:rsid w:val="00B54A7A"/>
    <w:rsid w:val="00B54AA1"/>
    <w:rsid w:val="00B561FD"/>
    <w:rsid w:val="00B56468"/>
    <w:rsid w:val="00B576FB"/>
    <w:rsid w:val="00B60473"/>
    <w:rsid w:val="00B62FA7"/>
    <w:rsid w:val="00B64117"/>
    <w:rsid w:val="00B64ACD"/>
    <w:rsid w:val="00B65402"/>
    <w:rsid w:val="00B65A0C"/>
    <w:rsid w:val="00B72D20"/>
    <w:rsid w:val="00B73B36"/>
    <w:rsid w:val="00B73B51"/>
    <w:rsid w:val="00B76ED0"/>
    <w:rsid w:val="00B80FAB"/>
    <w:rsid w:val="00B81194"/>
    <w:rsid w:val="00B8266C"/>
    <w:rsid w:val="00B83211"/>
    <w:rsid w:val="00B86BA3"/>
    <w:rsid w:val="00B90430"/>
    <w:rsid w:val="00B91A3D"/>
    <w:rsid w:val="00B930BB"/>
    <w:rsid w:val="00B93244"/>
    <w:rsid w:val="00B9327F"/>
    <w:rsid w:val="00B95474"/>
    <w:rsid w:val="00B9716E"/>
    <w:rsid w:val="00B97249"/>
    <w:rsid w:val="00BA1F34"/>
    <w:rsid w:val="00BA4FEC"/>
    <w:rsid w:val="00BB0502"/>
    <w:rsid w:val="00BB1126"/>
    <w:rsid w:val="00BB2C02"/>
    <w:rsid w:val="00BB392D"/>
    <w:rsid w:val="00BB5A95"/>
    <w:rsid w:val="00BC2763"/>
    <w:rsid w:val="00BC278C"/>
    <w:rsid w:val="00BC4F08"/>
    <w:rsid w:val="00BC57B0"/>
    <w:rsid w:val="00BC5924"/>
    <w:rsid w:val="00BD0CA5"/>
    <w:rsid w:val="00BD1114"/>
    <w:rsid w:val="00BD11C0"/>
    <w:rsid w:val="00BD1A72"/>
    <w:rsid w:val="00BD58E1"/>
    <w:rsid w:val="00BD5A96"/>
    <w:rsid w:val="00BE16C8"/>
    <w:rsid w:val="00BE3CCE"/>
    <w:rsid w:val="00BE55AC"/>
    <w:rsid w:val="00BE6EEE"/>
    <w:rsid w:val="00BF22A4"/>
    <w:rsid w:val="00BF2B60"/>
    <w:rsid w:val="00BF4341"/>
    <w:rsid w:val="00BF4F58"/>
    <w:rsid w:val="00BF50B2"/>
    <w:rsid w:val="00BF70BD"/>
    <w:rsid w:val="00C0018C"/>
    <w:rsid w:val="00C04E51"/>
    <w:rsid w:val="00C060FA"/>
    <w:rsid w:val="00C07424"/>
    <w:rsid w:val="00C10862"/>
    <w:rsid w:val="00C11964"/>
    <w:rsid w:val="00C1236A"/>
    <w:rsid w:val="00C12DBB"/>
    <w:rsid w:val="00C14A06"/>
    <w:rsid w:val="00C1511D"/>
    <w:rsid w:val="00C254AC"/>
    <w:rsid w:val="00C27521"/>
    <w:rsid w:val="00C32E07"/>
    <w:rsid w:val="00C35B1F"/>
    <w:rsid w:val="00C40446"/>
    <w:rsid w:val="00C428FA"/>
    <w:rsid w:val="00C441C3"/>
    <w:rsid w:val="00C4585E"/>
    <w:rsid w:val="00C522CB"/>
    <w:rsid w:val="00C536CC"/>
    <w:rsid w:val="00C53990"/>
    <w:rsid w:val="00C53D94"/>
    <w:rsid w:val="00C5409B"/>
    <w:rsid w:val="00C54CAB"/>
    <w:rsid w:val="00C55CC2"/>
    <w:rsid w:val="00C611CE"/>
    <w:rsid w:val="00C617D5"/>
    <w:rsid w:val="00C62EFE"/>
    <w:rsid w:val="00C632AF"/>
    <w:rsid w:val="00C65D04"/>
    <w:rsid w:val="00C67653"/>
    <w:rsid w:val="00C708C8"/>
    <w:rsid w:val="00C7584B"/>
    <w:rsid w:val="00C75E55"/>
    <w:rsid w:val="00C76485"/>
    <w:rsid w:val="00C77584"/>
    <w:rsid w:val="00C80FBB"/>
    <w:rsid w:val="00C81594"/>
    <w:rsid w:val="00C82951"/>
    <w:rsid w:val="00C866C5"/>
    <w:rsid w:val="00C9031A"/>
    <w:rsid w:val="00C91845"/>
    <w:rsid w:val="00C9201E"/>
    <w:rsid w:val="00C96327"/>
    <w:rsid w:val="00C96DD1"/>
    <w:rsid w:val="00C971FE"/>
    <w:rsid w:val="00CA0492"/>
    <w:rsid w:val="00CA6112"/>
    <w:rsid w:val="00CA63B1"/>
    <w:rsid w:val="00CA645D"/>
    <w:rsid w:val="00CA6B13"/>
    <w:rsid w:val="00CB00B5"/>
    <w:rsid w:val="00CB088B"/>
    <w:rsid w:val="00CB0E2A"/>
    <w:rsid w:val="00CB65F9"/>
    <w:rsid w:val="00CB700F"/>
    <w:rsid w:val="00CB734B"/>
    <w:rsid w:val="00CC082C"/>
    <w:rsid w:val="00CC13CD"/>
    <w:rsid w:val="00CC2FC8"/>
    <w:rsid w:val="00CC6009"/>
    <w:rsid w:val="00CC6129"/>
    <w:rsid w:val="00CC7F66"/>
    <w:rsid w:val="00CD2A7E"/>
    <w:rsid w:val="00CD2FDB"/>
    <w:rsid w:val="00CD5B6F"/>
    <w:rsid w:val="00CD65A0"/>
    <w:rsid w:val="00CD6994"/>
    <w:rsid w:val="00CD7EA5"/>
    <w:rsid w:val="00CE046F"/>
    <w:rsid w:val="00CE16F8"/>
    <w:rsid w:val="00CE4144"/>
    <w:rsid w:val="00CE5069"/>
    <w:rsid w:val="00CE52F1"/>
    <w:rsid w:val="00CE6611"/>
    <w:rsid w:val="00CF1220"/>
    <w:rsid w:val="00CF2AF3"/>
    <w:rsid w:val="00D00283"/>
    <w:rsid w:val="00D00EAD"/>
    <w:rsid w:val="00D02C8D"/>
    <w:rsid w:val="00D039F5"/>
    <w:rsid w:val="00D03A40"/>
    <w:rsid w:val="00D050A2"/>
    <w:rsid w:val="00D058B1"/>
    <w:rsid w:val="00D10005"/>
    <w:rsid w:val="00D10853"/>
    <w:rsid w:val="00D123AC"/>
    <w:rsid w:val="00D12BEC"/>
    <w:rsid w:val="00D12CD8"/>
    <w:rsid w:val="00D13F71"/>
    <w:rsid w:val="00D14672"/>
    <w:rsid w:val="00D14DCD"/>
    <w:rsid w:val="00D20C91"/>
    <w:rsid w:val="00D23E35"/>
    <w:rsid w:val="00D23FD7"/>
    <w:rsid w:val="00D26B4E"/>
    <w:rsid w:val="00D26B6E"/>
    <w:rsid w:val="00D27553"/>
    <w:rsid w:val="00D30BAE"/>
    <w:rsid w:val="00D31433"/>
    <w:rsid w:val="00D362AA"/>
    <w:rsid w:val="00D365ED"/>
    <w:rsid w:val="00D4005A"/>
    <w:rsid w:val="00D40972"/>
    <w:rsid w:val="00D45156"/>
    <w:rsid w:val="00D4644F"/>
    <w:rsid w:val="00D46B1F"/>
    <w:rsid w:val="00D47000"/>
    <w:rsid w:val="00D50449"/>
    <w:rsid w:val="00D5502A"/>
    <w:rsid w:val="00D55F26"/>
    <w:rsid w:val="00D5675C"/>
    <w:rsid w:val="00D60C04"/>
    <w:rsid w:val="00D65B11"/>
    <w:rsid w:val="00D661CA"/>
    <w:rsid w:val="00D713E8"/>
    <w:rsid w:val="00D71D88"/>
    <w:rsid w:val="00D75551"/>
    <w:rsid w:val="00D75644"/>
    <w:rsid w:val="00D75D11"/>
    <w:rsid w:val="00D774BB"/>
    <w:rsid w:val="00D77A3F"/>
    <w:rsid w:val="00D806D9"/>
    <w:rsid w:val="00D80EB6"/>
    <w:rsid w:val="00D80F10"/>
    <w:rsid w:val="00D81FD5"/>
    <w:rsid w:val="00D829EC"/>
    <w:rsid w:val="00D859C2"/>
    <w:rsid w:val="00D875AC"/>
    <w:rsid w:val="00D91FB2"/>
    <w:rsid w:val="00D92A8E"/>
    <w:rsid w:val="00D937E2"/>
    <w:rsid w:val="00D971B0"/>
    <w:rsid w:val="00D97295"/>
    <w:rsid w:val="00D97B3A"/>
    <w:rsid w:val="00DA16E4"/>
    <w:rsid w:val="00DA66EB"/>
    <w:rsid w:val="00DA7904"/>
    <w:rsid w:val="00DB26DF"/>
    <w:rsid w:val="00DB2A89"/>
    <w:rsid w:val="00DB497E"/>
    <w:rsid w:val="00DB5B49"/>
    <w:rsid w:val="00DB6482"/>
    <w:rsid w:val="00DB720F"/>
    <w:rsid w:val="00DC266D"/>
    <w:rsid w:val="00DC27F3"/>
    <w:rsid w:val="00DC330A"/>
    <w:rsid w:val="00DC4128"/>
    <w:rsid w:val="00DC4A41"/>
    <w:rsid w:val="00DD07A9"/>
    <w:rsid w:val="00DD0CD2"/>
    <w:rsid w:val="00DD68C7"/>
    <w:rsid w:val="00DE2272"/>
    <w:rsid w:val="00DE4076"/>
    <w:rsid w:val="00DE4BDA"/>
    <w:rsid w:val="00DE6002"/>
    <w:rsid w:val="00DF14E7"/>
    <w:rsid w:val="00DF2F34"/>
    <w:rsid w:val="00DF2FD7"/>
    <w:rsid w:val="00DF2FD8"/>
    <w:rsid w:val="00DF74CA"/>
    <w:rsid w:val="00DF7F3E"/>
    <w:rsid w:val="00E0000B"/>
    <w:rsid w:val="00E0001D"/>
    <w:rsid w:val="00E0187F"/>
    <w:rsid w:val="00E01AE1"/>
    <w:rsid w:val="00E0410C"/>
    <w:rsid w:val="00E04B4C"/>
    <w:rsid w:val="00E05E3D"/>
    <w:rsid w:val="00E06342"/>
    <w:rsid w:val="00E100AA"/>
    <w:rsid w:val="00E24839"/>
    <w:rsid w:val="00E24CA6"/>
    <w:rsid w:val="00E2523C"/>
    <w:rsid w:val="00E26108"/>
    <w:rsid w:val="00E30EC9"/>
    <w:rsid w:val="00E32947"/>
    <w:rsid w:val="00E3317D"/>
    <w:rsid w:val="00E33F2B"/>
    <w:rsid w:val="00E36163"/>
    <w:rsid w:val="00E43369"/>
    <w:rsid w:val="00E45A2E"/>
    <w:rsid w:val="00E45B07"/>
    <w:rsid w:val="00E45BFB"/>
    <w:rsid w:val="00E46FA2"/>
    <w:rsid w:val="00E47F01"/>
    <w:rsid w:val="00E503AA"/>
    <w:rsid w:val="00E50AF4"/>
    <w:rsid w:val="00E51035"/>
    <w:rsid w:val="00E5105C"/>
    <w:rsid w:val="00E52EB7"/>
    <w:rsid w:val="00E53C06"/>
    <w:rsid w:val="00E5456E"/>
    <w:rsid w:val="00E550A1"/>
    <w:rsid w:val="00E5566F"/>
    <w:rsid w:val="00E55682"/>
    <w:rsid w:val="00E55D5B"/>
    <w:rsid w:val="00E576DF"/>
    <w:rsid w:val="00E6399D"/>
    <w:rsid w:val="00E66C3D"/>
    <w:rsid w:val="00E66D5B"/>
    <w:rsid w:val="00E6762D"/>
    <w:rsid w:val="00E710F4"/>
    <w:rsid w:val="00E73BBB"/>
    <w:rsid w:val="00E74B74"/>
    <w:rsid w:val="00E7701A"/>
    <w:rsid w:val="00E77BEB"/>
    <w:rsid w:val="00E839EB"/>
    <w:rsid w:val="00E84E1F"/>
    <w:rsid w:val="00E85A3F"/>
    <w:rsid w:val="00E86656"/>
    <w:rsid w:val="00E87F57"/>
    <w:rsid w:val="00E9033A"/>
    <w:rsid w:val="00E9174F"/>
    <w:rsid w:val="00E95013"/>
    <w:rsid w:val="00E95140"/>
    <w:rsid w:val="00EA207D"/>
    <w:rsid w:val="00EA2374"/>
    <w:rsid w:val="00EA2A14"/>
    <w:rsid w:val="00EA3107"/>
    <w:rsid w:val="00EA3543"/>
    <w:rsid w:val="00EA3CD6"/>
    <w:rsid w:val="00EA446A"/>
    <w:rsid w:val="00EA49EC"/>
    <w:rsid w:val="00EA6AB0"/>
    <w:rsid w:val="00EA735F"/>
    <w:rsid w:val="00EB166D"/>
    <w:rsid w:val="00EB1CB7"/>
    <w:rsid w:val="00EB2C15"/>
    <w:rsid w:val="00EB3D57"/>
    <w:rsid w:val="00EB3FA4"/>
    <w:rsid w:val="00EB58C6"/>
    <w:rsid w:val="00EB66C1"/>
    <w:rsid w:val="00EB67D4"/>
    <w:rsid w:val="00EB6EDF"/>
    <w:rsid w:val="00EB7178"/>
    <w:rsid w:val="00EB71D3"/>
    <w:rsid w:val="00EC02A3"/>
    <w:rsid w:val="00EC13B2"/>
    <w:rsid w:val="00EC2410"/>
    <w:rsid w:val="00EC3052"/>
    <w:rsid w:val="00EC3FF6"/>
    <w:rsid w:val="00EC6F60"/>
    <w:rsid w:val="00EC751C"/>
    <w:rsid w:val="00ED1E79"/>
    <w:rsid w:val="00ED2096"/>
    <w:rsid w:val="00ED2F68"/>
    <w:rsid w:val="00ED46EC"/>
    <w:rsid w:val="00ED50EA"/>
    <w:rsid w:val="00ED52A8"/>
    <w:rsid w:val="00ED534E"/>
    <w:rsid w:val="00ED5D33"/>
    <w:rsid w:val="00ED782B"/>
    <w:rsid w:val="00EE1414"/>
    <w:rsid w:val="00EE1CD6"/>
    <w:rsid w:val="00EE2EFD"/>
    <w:rsid w:val="00EE49BF"/>
    <w:rsid w:val="00EE55DD"/>
    <w:rsid w:val="00EF1187"/>
    <w:rsid w:val="00EF1733"/>
    <w:rsid w:val="00EF1779"/>
    <w:rsid w:val="00EF2A59"/>
    <w:rsid w:val="00EF37C1"/>
    <w:rsid w:val="00EF5C3B"/>
    <w:rsid w:val="00EF6528"/>
    <w:rsid w:val="00F00BAD"/>
    <w:rsid w:val="00F035CB"/>
    <w:rsid w:val="00F042FC"/>
    <w:rsid w:val="00F069FE"/>
    <w:rsid w:val="00F06E36"/>
    <w:rsid w:val="00F07F3E"/>
    <w:rsid w:val="00F11DA9"/>
    <w:rsid w:val="00F124BC"/>
    <w:rsid w:val="00F2274F"/>
    <w:rsid w:val="00F22C46"/>
    <w:rsid w:val="00F23E41"/>
    <w:rsid w:val="00F24B92"/>
    <w:rsid w:val="00F253B5"/>
    <w:rsid w:val="00F26132"/>
    <w:rsid w:val="00F3098A"/>
    <w:rsid w:val="00F3218F"/>
    <w:rsid w:val="00F33999"/>
    <w:rsid w:val="00F34175"/>
    <w:rsid w:val="00F361E6"/>
    <w:rsid w:val="00F36D36"/>
    <w:rsid w:val="00F412AB"/>
    <w:rsid w:val="00F41CEC"/>
    <w:rsid w:val="00F42308"/>
    <w:rsid w:val="00F44FD0"/>
    <w:rsid w:val="00F4621E"/>
    <w:rsid w:val="00F506BD"/>
    <w:rsid w:val="00F52705"/>
    <w:rsid w:val="00F52F00"/>
    <w:rsid w:val="00F53D7D"/>
    <w:rsid w:val="00F55881"/>
    <w:rsid w:val="00F5609D"/>
    <w:rsid w:val="00F56999"/>
    <w:rsid w:val="00F56ED8"/>
    <w:rsid w:val="00F578E5"/>
    <w:rsid w:val="00F632E4"/>
    <w:rsid w:val="00F635FC"/>
    <w:rsid w:val="00F63649"/>
    <w:rsid w:val="00F650C3"/>
    <w:rsid w:val="00F65DC1"/>
    <w:rsid w:val="00F70D01"/>
    <w:rsid w:val="00F73767"/>
    <w:rsid w:val="00F73AB0"/>
    <w:rsid w:val="00F74849"/>
    <w:rsid w:val="00F76557"/>
    <w:rsid w:val="00F76CFB"/>
    <w:rsid w:val="00F80CCA"/>
    <w:rsid w:val="00F81336"/>
    <w:rsid w:val="00F82107"/>
    <w:rsid w:val="00F8218F"/>
    <w:rsid w:val="00F826C3"/>
    <w:rsid w:val="00F826FE"/>
    <w:rsid w:val="00F865D7"/>
    <w:rsid w:val="00F91C4D"/>
    <w:rsid w:val="00F91C9A"/>
    <w:rsid w:val="00F9385D"/>
    <w:rsid w:val="00F94926"/>
    <w:rsid w:val="00F94A97"/>
    <w:rsid w:val="00F95FE9"/>
    <w:rsid w:val="00FA1035"/>
    <w:rsid w:val="00FA15C8"/>
    <w:rsid w:val="00FA281C"/>
    <w:rsid w:val="00FA378A"/>
    <w:rsid w:val="00FA519E"/>
    <w:rsid w:val="00FA58EC"/>
    <w:rsid w:val="00FA67D3"/>
    <w:rsid w:val="00FA7D85"/>
    <w:rsid w:val="00FB0500"/>
    <w:rsid w:val="00FB0A8A"/>
    <w:rsid w:val="00FB53B4"/>
    <w:rsid w:val="00FB7531"/>
    <w:rsid w:val="00FC07F0"/>
    <w:rsid w:val="00FC597A"/>
    <w:rsid w:val="00FD11D7"/>
    <w:rsid w:val="00FD2976"/>
    <w:rsid w:val="00FD348E"/>
    <w:rsid w:val="00FD3DDB"/>
    <w:rsid w:val="00FE3E4D"/>
    <w:rsid w:val="00FE4386"/>
    <w:rsid w:val="00FE5EE2"/>
    <w:rsid w:val="00FE6003"/>
    <w:rsid w:val="00FE718E"/>
    <w:rsid w:val="00FE7644"/>
    <w:rsid w:val="00FF3110"/>
    <w:rsid w:val="00FF4539"/>
    <w:rsid w:val="00FF4D5C"/>
    <w:rsid w:val="00FF54C8"/>
    <w:rsid w:val="00FF76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C2CD0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s-IS" w:eastAsia="is-I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hanging="9"/>
    </w:pPr>
    <w:rPr>
      <w:rFonts w:ascii="Times New Roman" w:hAnsi="Times New Roman"/>
      <w:color w:val="000000"/>
      <w:sz w:val="22"/>
      <w:szCs w:val="22"/>
      <w:lang w:val="en-US" w:eastAsia="en-US"/>
    </w:rPr>
  </w:style>
  <w:style w:type="paragraph" w:styleId="Heading1">
    <w:name w:val="heading 1"/>
    <w:next w:val="Normal"/>
    <w:link w:val="Heading1Char"/>
    <w:uiPriority w:val="9"/>
    <w:unhideWhenUsed/>
    <w:qFormat/>
    <w:pPr>
      <w:keepNext/>
      <w:keepLines/>
      <w:spacing w:after="13" w:line="248" w:lineRule="auto"/>
      <w:ind w:left="12" w:hanging="10"/>
      <w:jc w:val="both"/>
      <w:outlineLvl w:val="0"/>
    </w:pPr>
    <w:rPr>
      <w:rFonts w:ascii="Times New Roman" w:hAnsi="Times New Roman"/>
      <w:b/>
      <w:color w:val="000000"/>
      <w:sz w:val="22"/>
      <w:szCs w:val="22"/>
      <w:lang w:val="en-US" w:eastAsia="en-US"/>
    </w:rPr>
  </w:style>
  <w:style w:type="paragraph" w:styleId="Heading2">
    <w:name w:val="heading 2"/>
    <w:next w:val="Normal"/>
    <w:link w:val="Heading2Char"/>
    <w:uiPriority w:val="9"/>
    <w:unhideWhenUsed/>
    <w:qFormat/>
    <w:pPr>
      <w:keepNext/>
      <w:keepLines/>
      <w:spacing w:line="259" w:lineRule="auto"/>
      <w:ind w:left="11" w:hanging="10"/>
      <w:outlineLvl w:val="1"/>
    </w:pPr>
    <w:rPr>
      <w:rFonts w:ascii="Times New Roman" w:hAnsi="Times New Roman"/>
      <w:color w:val="000000"/>
      <w:sz w:val="22"/>
      <w:szCs w:val="22"/>
      <w:u w:val="single" w:color="000000"/>
      <w:lang w:val="en-US" w:eastAsia="en-US"/>
    </w:rPr>
  </w:style>
  <w:style w:type="paragraph" w:styleId="Heading3">
    <w:name w:val="heading 3"/>
    <w:next w:val="Normal"/>
    <w:link w:val="Heading3Char"/>
    <w:uiPriority w:val="9"/>
    <w:unhideWhenUsed/>
    <w:qFormat/>
    <w:pPr>
      <w:keepNext/>
      <w:keepLines/>
      <w:spacing w:after="13" w:line="248" w:lineRule="auto"/>
      <w:ind w:left="12" w:hanging="10"/>
      <w:jc w:val="both"/>
      <w:outlineLvl w:val="2"/>
    </w:pPr>
    <w:rPr>
      <w:rFonts w:ascii="Times New Roman" w:hAnsi="Times New Roman"/>
      <w:b/>
      <w:color w:val="000000"/>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rPr>
      <w:sz w:val="22"/>
      <w:szCs w:val="22"/>
      <w:lang w:val="en-US" w:eastAsia="en-US"/>
    </w:rPr>
    <w:tblPr>
      <w:tblCellMar>
        <w:top w:w="0" w:type="dxa"/>
        <w:left w:w="0" w:type="dxa"/>
        <w:bottom w:w="0" w:type="dxa"/>
        <w:right w:w="0" w:type="dxa"/>
      </w:tblCellMar>
    </w:tblPr>
  </w:style>
  <w:style w:type="paragraph" w:customStyle="1" w:styleId="TitleA">
    <w:name w:val="Title A"/>
    <w:basedOn w:val="Normal"/>
    <w:qFormat/>
    <w:rsid w:val="00747516"/>
    <w:pPr>
      <w:spacing w:after="0" w:line="259" w:lineRule="auto"/>
      <w:ind w:left="1" w:firstLine="0"/>
    </w:pPr>
    <w:rPr>
      <w:b/>
    </w:rPr>
  </w:style>
  <w:style w:type="paragraph" w:customStyle="1" w:styleId="TitleB">
    <w:name w:val="Title B"/>
    <w:basedOn w:val="Heading1"/>
    <w:qFormat/>
    <w:rsid w:val="00F42308"/>
    <w:pPr>
      <w:ind w:left="-3"/>
    </w:pPr>
  </w:style>
  <w:style w:type="table" w:styleId="TableGrid0">
    <w:name w:val="Table Grid"/>
    <w:basedOn w:val="TableNormal"/>
    <w:uiPriority w:val="39"/>
    <w:rsid w:val="00BD1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AA3"/>
    <w:pPr>
      <w:tabs>
        <w:tab w:val="center" w:pos="4513"/>
        <w:tab w:val="right" w:pos="9026"/>
      </w:tabs>
    </w:pPr>
  </w:style>
  <w:style w:type="character" w:customStyle="1" w:styleId="HeaderChar">
    <w:name w:val="Header Char"/>
    <w:link w:val="Header"/>
    <w:uiPriority w:val="99"/>
    <w:rsid w:val="00055AA3"/>
    <w:rPr>
      <w:rFonts w:ascii="Times New Roman" w:hAnsi="Times New Roman"/>
      <w:color w:val="000000"/>
      <w:sz w:val="22"/>
      <w:szCs w:val="22"/>
      <w:lang w:val="en-US" w:eastAsia="en-US"/>
    </w:rPr>
  </w:style>
  <w:style w:type="paragraph" w:customStyle="1" w:styleId="Default">
    <w:name w:val="Default"/>
    <w:rsid w:val="00C708C8"/>
    <w:pPr>
      <w:autoSpaceDE w:val="0"/>
      <w:autoSpaceDN w:val="0"/>
      <w:adjustRightInd w:val="0"/>
    </w:pPr>
    <w:rPr>
      <w:rFonts w:ascii="Times New Roman" w:hAnsi="Times New Roman"/>
      <w:color w:val="000000"/>
      <w:sz w:val="24"/>
      <w:szCs w:val="24"/>
      <w:lang w:val="en-IN" w:eastAsia="en-IN"/>
    </w:rPr>
  </w:style>
  <w:style w:type="paragraph" w:customStyle="1" w:styleId="CM17">
    <w:name w:val="CM17"/>
    <w:basedOn w:val="Default"/>
    <w:next w:val="Default"/>
    <w:uiPriority w:val="99"/>
    <w:rsid w:val="00C708C8"/>
    <w:pPr>
      <w:widowControl w:val="0"/>
    </w:pPr>
    <w:rPr>
      <w:color w:val="auto"/>
      <w:lang w:val="en-GB" w:eastAsia="en-GB"/>
    </w:rPr>
  </w:style>
  <w:style w:type="character" w:styleId="Hyperlink">
    <w:name w:val="Hyperlink"/>
    <w:uiPriority w:val="99"/>
    <w:rsid w:val="00F52F00"/>
    <w:rPr>
      <w:color w:val="0000FF"/>
      <w:u w:val="single"/>
    </w:rPr>
  </w:style>
  <w:style w:type="character" w:customStyle="1" w:styleId="UnresolvedMention1">
    <w:name w:val="Unresolved Mention1"/>
    <w:uiPriority w:val="99"/>
    <w:semiHidden/>
    <w:unhideWhenUsed/>
    <w:rsid w:val="00F52F00"/>
    <w:rPr>
      <w:color w:val="808080"/>
      <w:shd w:val="clear" w:color="auto" w:fill="E6E6E6"/>
    </w:rPr>
  </w:style>
  <w:style w:type="paragraph" w:styleId="BalloonText">
    <w:name w:val="Balloon Text"/>
    <w:basedOn w:val="Normal"/>
    <w:link w:val="BalloonTextChar"/>
    <w:uiPriority w:val="99"/>
    <w:semiHidden/>
    <w:unhideWhenUsed/>
    <w:rsid w:val="00FE764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E7644"/>
    <w:rPr>
      <w:rFonts w:ascii="Segoe UI" w:hAnsi="Segoe UI" w:cs="Segoe UI"/>
      <w:color w:val="000000"/>
      <w:sz w:val="18"/>
      <w:szCs w:val="18"/>
      <w:lang w:val="en-US" w:eastAsia="en-US"/>
    </w:rPr>
  </w:style>
  <w:style w:type="character" w:customStyle="1" w:styleId="Mention1">
    <w:name w:val="Mention1"/>
    <w:uiPriority w:val="99"/>
    <w:semiHidden/>
    <w:unhideWhenUsed/>
    <w:rsid w:val="004A5EB9"/>
    <w:rPr>
      <w:color w:val="2B579A"/>
      <w:shd w:val="clear" w:color="auto" w:fill="E6E6E6"/>
    </w:rPr>
  </w:style>
  <w:style w:type="paragraph" w:customStyle="1" w:styleId="CM2">
    <w:name w:val="CM2"/>
    <w:basedOn w:val="Default"/>
    <w:next w:val="Default"/>
    <w:uiPriority w:val="99"/>
    <w:rsid w:val="00ED1E79"/>
    <w:pPr>
      <w:widowControl w:val="0"/>
      <w:spacing w:line="253" w:lineRule="atLeast"/>
    </w:pPr>
    <w:rPr>
      <w:color w:val="auto"/>
      <w:lang w:val="en-GB" w:eastAsia="en-GB"/>
    </w:rPr>
  </w:style>
  <w:style w:type="paragraph" w:customStyle="1" w:styleId="lbltxt">
    <w:name w:val="lbltxt"/>
    <w:rsid w:val="00ED1E79"/>
    <w:rPr>
      <w:rFonts w:ascii="Times New Roman" w:hAnsi="Times New Roman"/>
      <w:noProof/>
      <w:sz w:val="22"/>
      <w:lang w:val="en-GB" w:eastAsia="en-US"/>
    </w:rPr>
  </w:style>
  <w:style w:type="paragraph" w:customStyle="1" w:styleId="BodytextAgency">
    <w:name w:val="Body text (Agency)"/>
    <w:basedOn w:val="Normal"/>
    <w:link w:val="BodytextAgencyChar"/>
    <w:qFormat/>
    <w:rsid w:val="00ED1E79"/>
    <w:pPr>
      <w:spacing w:after="140" w:line="280" w:lineRule="atLeast"/>
      <w:ind w:left="0" w:firstLine="0"/>
    </w:pPr>
    <w:rPr>
      <w:rFonts w:ascii="Verdana" w:eastAsia="Verdana" w:hAnsi="Verdana" w:cs="Verdana"/>
      <w:color w:val="auto"/>
      <w:sz w:val="18"/>
      <w:szCs w:val="18"/>
      <w:lang w:val="en-GB" w:eastAsia="en-GB"/>
    </w:rPr>
  </w:style>
  <w:style w:type="character" w:customStyle="1" w:styleId="BodytextAgencyChar">
    <w:name w:val="Body text (Agency) Char"/>
    <w:link w:val="BodytextAgency"/>
    <w:rsid w:val="00ED1E79"/>
    <w:rPr>
      <w:rFonts w:ascii="Verdana" w:eastAsia="Verdana" w:hAnsi="Verdana" w:cs="Verdana"/>
      <w:sz w:val="18"/>
      <w:szCs w:val="18"/>
      <w:lang w:val="en-GB" w:eastAsia="en-GB"/>
    </w:rPr>
  </w:style>
  <w:style w:type="character" w:styleId="Strong">
    <w:name w:val="Strong"/>
    <w:qFormat/>
    <w:rsid w:val="00ED1E79"/>
    <w:rPr>
      <w:b/>
      <w:bCs/>
    </w:rPr>
  </w:style>
  <w:style w:type="character" w:styleId="CommentReference">
    <w:name w:val="annotation reference"/>
    <w:uiPriority w:val="99"/>
    <w:rsid w:val="00ED1E79"/>
    <w:rPr>
      <w:sz w:val="16"/>
      <w:szCs w:val="16"/>
    </w:rPr>
  </w:style>
  <w:style w:type="character" w:customStyle="1" w:styleId="Initial">
    <w:name w:val="Initial"/>
    <w:rsid w:val="00ED1E79"/>
    <w:rPr>
      <w:rFonts w:ascii="CG Times" w:hAnsi="CG Times" w:cs="CG Times" w:hint="default"/>
      <w:noProof w:val="0"/>
      <w:sz w:val="24"/>
      <w:lang w:val="da-DK"/>
    </w:rPr>
  </w:style>
  <w:style w:type="paragraph" w:styleId="CommentText">
    <w:name w:val="annotation text"/>
    <w:basedOn w:val="Normal"/>
    <w:link w:val="CommentTextChar"/>
    <w:uiPriority w:val="99"/>
    <w:unhideWhenUsed/>
    <w:rsid w:val="0058113A"/>
    <w:rPr>
      <w:sz w:val="20"/>
      <w:szCs w:val="20"/>
    </w:rPr>
  </w:style>
  <w:style w:type="character" w:customStyle="1" w:styleId="CommentTextChar">
    <w:name w:val="Comment Text Char"/>
    <w:link w:val="CommentText"/>
    <w:uiPriority w:val="99"/>
    <w:rsid w:val="0058113A"/>
    <w:rPr>
      <w:rFonts w:ascii="Times New Roman" w:hAnsi="Times New Roman"/>
      <w:color w:val="000000"/>
      <w:lang w:val="en-US" w:eastAsia="en-US"/>
    </w:rPr>
  </w:style>
  <w:style w:type="paragraph" w:styleId="CommentSubject">
    <w:name w:val="annotation subject"/>
    <w:basedOn w:val="CommentText"/>
    <w:next w:val="CommentText"/>
    <w:link w:val="CommentSubjectChar"/>
    <w:uiPriority w:val="99"/>
    <w:semiHidden/>
    <w:unhideWhenUsed/>
    <w:rsid w:val="0058113A"/>
    <w:rPr>
      <w:b/>
      <w:bCs/>
    </w:rPr>
  </w:style>
  <w:style w:type="character" w:customStyle="1" w:styleId="CommentSubjectChar">
    <w:name w:val="Comment Subject Char"/>
    <w:link w:val="CommentSubject"/>
    <w:uiPriority w:val="99"/>
    <w:semiHidden/>
    <w:rsid w:val="0058113A"/>
    <w:rPr>
      <w:rFonts w:ascii="Times New Roman" w:hAnsi="Times New Roman"/>
      <w:b/>
      <w:bCs/>
      <w:color w:val="000000"/>
      <w:lang w:val="en-US" w:eastAsia="en-US"/>
    </w:rPr>
  </w:style>
  <w:style w:type="paragraph" w:styleId="Revision">
    <w:name w:val="Revision"/>
    <w:hidden/>
    <w:uiPriority w:val="99"/>
    <w:semiHidden/>
    <w:rsid w:val="00B35E36"/>
    <w:rPr>
      <w:rFonts w:ascii="Times New Roman" w:hAnsi="Times New Roman"/>
      <w:color w:val="000000"/>
      <w:sz w:val="22"/>
      <w:szCs w:val="22"/>
      <w:lang w:val="en-US" w:eastAsia="en-US"/>
    </w:rPr>
  </w:style>
  <w:style w:type="paragraph" w:styleId="NormalWeb">
    <w:name w:val="Normal (Web)"/>
    <w:basedOn w:val="Normal"/>
    <w:uiPriority w:val="99"/>
    <w:rsid w:val="00EC3FF6"/>
    <w:pPr>
      <w:spacing w:before="100" w:beforeAutospacing="1" w:after="100" w:afterAutospacing="1" w:line="240" w:lineRule="auto"/>
      <w:ind w:left="0" w:firstLine="0"/>
    </w:pPr>
    <w:rPr>
      <w:color w:val="auto"/>
      <w:sz w:val="24"/>
      <w:szCs w:val="24"/>
      <w:lang w:val="en-GB"/>
    </w:rPr>
  </w:style>
  <w:style w:type="paragraph" w:styleId="BodyText">
    <w:name w:val="Body Text"/>
    <w:basedOn w:val="Normal"/>
    <w:link w:val="BodyTextChar"/>
    <w:uiPriority w:val="1"/>
    <w:qFormat/>
    <w:rsid w:val="00955199"/>
    <w:pPr>
      <w:widowControl w:val="0"/>
      <w:autoSpaceDE w:val="0"/>
      <w:autoSpaceDN w:val="0"/>
      <w:adjustRightInd w:val="0"/>
      <w:spacing w:after="0" w:line="240" w:lineRule="auto"/>
      <w:ind w:left="116" w:firstLine="0"/>
    </w:pPr>
    <w:rPr>
      <w:color w:val="auto"/>
      <w:lang w:val="en-IN" w:eastAsia="en-IN"/>
    </w:rPr>
  </w:style>
  <w:style w:type="character" w:customStyle="1" w:styleId="BodyTextChar">
    <w:name w:val="Body Text Char"/>
    <w:link w:val="BodyText"/>
    <w:uiPriority w:val="1"/>
    <w:rsid w:val="00955199"/>
    <w:rPr>
      <w:rFonts w:ascii="Times New Roman" w:hAnsi="Times New Roman"/>
      <w:sz w:val="22"/>
      <w:szCs w:val="22"/>
    </w:rPr>
  </w:style>
  <w:style w:type="paragraph" w:customStyle="1" w:styleId="CM53">
    <w:name w:val="CM53"/>
    <w:basedOn w:val="Default"/>
    <w:next w:val="Default"/>
    <w:uiPriority w:val="99"/>
    <w:rsid w:val="00815FA8"/>
    <w:pPr>
      <w:widowControl w:val="0"/>
    </w:pPr>
    <w:rPr>
      <w:color w:val="auto"/>
      <w:lang w:val="en-GB" w:eastAsia="en-GB"/>
    </w:rPr>
  </w:style>
  <w:style w:type="paragraph" w:customStyle="1" w:styleId="DraftingNotesAgency">
    <w:name w:val="Drafting Notes (Agency)"/>
    <w:basedOn w:val="Normal"/>
    <w:next w:val="BodytextAgency"/>
    <w:link w:val="DraftingNotesAgencyChar"/>
    <w:rsid w:val="00832103"/>
    <w:pPr>
      <w:spacing w:after="140" w:line="280" w:lineRule="atLeast"/>
      <w:ind w:left="0" w:firstLine="0"/>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832103"/>
    <w:rPr>
      <w:rFonts w:ascii="Courier New" w:eastAsia="Verdana" w:hAnsi="Courier New"/>
      <w:i/>
      <w:color w:val="339966"/>
      <w:sz w:val="22"/>
      <w:szCs w:val="18"/>
      <w:lang w:val="en-GB" w:eastAsia="en-GB"/>
    </w:rPr>
  </w:style>
  <w:style w:type="paragraph" w:customStyle="1" w:styleId="No-numheading3Agency">
    <w:name w:val="No-num heading 3 (Agency)"/>
    <w:basedOn w:val="Normal"/>
    <w:next w:val="BodytextAgency"/>
    <w:link w:val="No-numheading3AgencyChar"/>
    <w:rsid w:val="00832103"/>
    <w:pPr>
      <w:keepNext/>
      <w:spacing w:before="280" w:after="220" w:line="240" w:lineRule="auto"/>
      <w:ind w:left="0" w:firstLine="0"/>
      <w:outlineLvl w:val="2"/>
    </w:pPr>
    <w:rPr>
      <w:rFonts w:ascii="Verdana" w:eastAsia="Verdana" w:hAnsi="Verdana"/>
      <w:b/>
      <w:bCs/>
      <w:color w:val="auto"/>
      <w:kern w:val="32"/>
      <w:lang w:val="x-none" w:eastAsia="x-none"/>
    </w:rPr>
  </w:style>
  <w:style w:type="character" w:customStyle="1" w:styleId="No-numheading3AgencyChar">
    <w:name w:val="No-num heading 3 (Agency) Char"/>
    <w:link w:val="No-numheading3Agency"/>
    <w:rsid w:val="00832103"/>
    <w:rPr>
      <w:rFonts w:ascii="Verdana" w:eastAsia="Verdana" w:hAnsi="Verdana"/>
      <w:b/>
      <w:bCs/>
      <w:kern w:val="32"/>
      <w:sz w:val="22"/>
      <w:szCs w:val="22"/>
      <w:lang w:val="x-none" w:eastAsia="x-none"/>
    </w:rPr>
  </w:style>
  <w:style w:type="character" w:styleId="FollowedHyperlink">
    <w:name w:val="FollowedHyperlink"/>
    <w:basedOn w:val="DefaultParagraphFont"/>
    <w:uiPriority w:val="99"/>
    <w:semiHidden/>
    <w:unhideWhenUsed/>
    <w:rsid w:val="00D27553"/>
    <w:rPr>
      <w:color w:val="954F72" w:themeColor="followedHyperlink"/>
      <w:u w:val="single"/>
    </w:rPr>
  </w:style>
  <w:style w:type="character" w:styleId="UnresolvedMention">
    <w:name w:val="Unresolved Mention"/>
    <w:basedOn w:val="DefaultParagraphFont"/>
    <w:uiPriority w:val="99"/>
    <w:semiHidden/>
    <w:unhideWhenUsed/>
    <w:rsid w:val="00D27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5968">
      <w:bodyDiv w:val="1"/>
      <w:marLeft w:val="0"/>
      <w:marRight w:val="0"/>
      <w:marTop w:val="0"/>
      <w:marBottom w:val="0"/>
      <w:divBdr>
        <w:top w:val="none" w:sz="0" w:space="0" w:color="auto"/>
        <w:left w:val="none" w:sz="0" w:space="0" w:color="auto"/>
        <w:bottom w:val="none" w:sz="0" w:space="0" w:color="auto"/>
        <w:right w:val="none" w:sz="0" w:space="0" w:color="auto"/>
      </w:divBdr>
    </w:div>
    <w:div w:id="557088262">
      <w:bodyDiv w:val="1"/>
      <w:marLeft w:val="0"/>
      <w:marRight w:val="0"/>
      <w:marTop w:val="0"/>
      <w:marBottom w:val="0"/>
      <w:divBdr>
        <w:top w:val="none" w:sz="0" w:space="0" w:color="auto"/>
        <w:left w:val="none" w:sz="0" w:space="0" w:color="auto"/>
        <w:bottom w:val="none" w:sz="0" w:space="0" w:color="auto"/>
        <w:right w:val="none" w:sz="0" w:space="0" w:color="auto"/>
      </w:divBdr>
    </w:div>
    <w:div w:id="1825470617">
      <w:bodyDiv w:val="1"/>
      <w:marLeft w:val="0"/>
      <w:marRight w:val="0"/>
      <w:marTop w:val="0"/>
      <w:marBottom w:val="0"/>
      <w:divBdr>
        <w:top w:val="none" w:sz="0" w:space="0" w:color="auto"/>
        <w:left w:val="none" w:sz="0" w:space="0" w:color="auto"/>
        <w:bottom w:val="none" w:sz="0" w:space="0" w:color="auto"/>
        <w:right w:val="none" w:sz="0" w:space="0" w:color="auto"/>
      </w:divBdr>
    </w:div>
    <w:div w:id="2042970451">
      <w:bodyDiv w:val="1"/>
      <w:marLeft w:val="0"/>
      <w:marRight w:val="0"/>
      <w:marTop w:val="0"/>
      <w:marBottom w:val="0"/>
      <w:divBdr>
        <w:top w:val="none" w:sz="0" w:space="0" w:color="auto"/>
        <w:left w:val="none" w:sz="0" w:space="0" w:color="auto"/>
        <w:bottom w:val="none" w:sz="0" w:space="0" w:color="auto"/>
        <w:right w:val="none" w:sz="0" w:space="0" w:color="auto"/>
      </w:divBdr>
    </w:div>
    <w:div w:id="211840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serlyfjaskra.i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hyperlink" Target="http://www.serlyfjaskra.i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ma.europa.eu/" TargetMode="External"/><Relationship Id="rId23" Type="http://schemas.openxmlformats.org/officeDocument/2006/relationships/footer" Target="footer3.xml"/><Relationship Id="rId28" Type="http://schemas.openxmlformats.org/officeDocument/2006/relationships/customXml" Target="../customXml/item5.xml"/><Relationship Id="rId10" Type="http://schemas.openxmlformats.org/officeDocument/2006/relationships/hyperlink" Target="https://www.ema.europa.eu/en/medicines/human/EPAR/mvasi" TargetMode="External"/><Relationship Id="rId19" Type="http://schemas.openxmlformats.org/officeDocument/2006/relationships/hyperlink" Target="http://www.serlyfjaskra.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openxmlformats.org/officeDocument/2006/relationships/header" Target="header1.xml"/><Relationship Id="rId27" Type="http://schemas.openxmlformats.org/officeDocument/2006/relationships/customXml" Target="../customXml/item4.xml"/><Relationship Id="rId30"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EMADOC-1700519818-2518328</_dlc_DocId>
    <_dlc_DocIdUrl xmlns="a034c160-bfb7-45f5-8632-2eb7e0508071">
      <Url>https://euema.sharepoint.com/sites/CRM/_layouts/15/DocIdRedir.aspx?ID=EMADOC-1700519818-2518328</Url>
      <Description>EMADOC-1700519818-2518328</Description>
    </_dlc_DocIdUrl>
  </documentManagement>
</p:properties>
</file>

<file path=customXml/itemProps1.xml><?xml version="1.0" encoding="utf-8"?>
<ds:datastoreItem xmlns:ds="http://schemas.openxmlformats.org/officeDocument/2006/customXml" ds:itemID="{05985FD9-28E2-4FAB-A8B7-AE0505C4ACA1}">
  <ds:schemaRefs>
    <ds:schemaRef ds:uri="http://schemas.openxmlformats.org/officeDocument/2006/bibliography"/>
  </ds:schemaRefs>
</ds:datastoreItem>
</file>

<file path=customXml/itemProps2.xml><?xml version="1.0" encoding="utf-8"?>
<ds:datastoreItem xmlns:ds="http://schemas.openxmlformats.org/officeDocument/2006/customXml" ds:itemID="{B0422E8D-3A69-4BC0-8CFA-852ACEC1968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C6AD7584-8346-4118-8D92-641A9FB9543D}">
  <ds:schemaRefs>
    <ds:schemaRef ds:uri="http://schemas.microsoft.com/office/2006/metadata/longProperties"/>
  </ds:schemaRefs>
</ds:datastoreItem>
</file>

<file path=customXml/itemProps4.xml><?xml version="1.0" encoding="utf-8"?>
<ds:datastoreItem xmlns:ds="http://schemas.openxmlformats.org/officeDocument/2006/customXml" ds:itemID="{4C0C5ABA-9BE5-4936-8236-6BBB81D50806}"/>
</file>

<file path=customXml/itemProps5.xml><?xml version="1.0" encoding="utf-8"?>
<ds:datastoreItem xmlns:ds="http://schemas.openxmlformats.org/officeDocument/2006/customXml" ds:itemID="{73CE82B5-73FB-42CF-BDEC-28AD6B00E318}"/>
</file>

<file path=customXml/itemProps6.xml><?xml version="1.0" encoding="utf-8"?>
<ds:datastoreItem xmlns:ds="http://schemas.openxmlformats.org/officeDocument/2006/customXml" ds:itemID="{D3E17B2D-F0BC-4819-924D-ED84BAE7411F}"/>
</file>

<file path=customXml/itemProps7.xml><?xml version="1.0" encoding="utf-8"?>
<ds:datastoreItem xmlns:ds="http://schemas.openxmlformats.org/officeDocument/2006/customXml" ds:itemID="{A7D813DA-43D8-488F-A199-D18CCB0C8434}"/>
</file>

<file path=docProps/app.xml><?xml version="1.0" encoding="utf-8"?>
<Properties xmlns="http://schemas.openxmlformats.org/officeDocument/2006/extended-properties" xmlns:vt="http://schemas.openxmlformats.org/officeDocument/2006/docPropsVTypes">
  <Template>Normal</Template>
  <TotalTime>0</TotalTime>
  <Pages>79</Pages>
  <Words>28042</Words>
  <Characters>159840</Characters>
  <Application>Microsoft Office Word</Application>
  <DocSecurity>0</DocSecurity>
  <Lines>1332</Lines>
  <Paragraphs>375</Paragraphs>
  <ScaleCrop>false</ScaleCrop>
  <Company/>
  <LinksUpToDate>false</LinksUpToDate>
  <CharactersWithSpaces>187507</CharactersWithSpaces>
  <SharedDoc>false</SharedDoc>
  <HLinks>
    <vt:vector size="90" baseType="variant">
      <vt:variant>
        <vt:i4>6619197</vt:i4>
      </vt:variant>
      <vt:variant>
        <vt:i4>42</vt:i4>
      </vt:variant>
      <vt:variant>
        <vt:i4>0</vt:i4>
      </vt:variant>
      <vt:variant>
        <vt:i4>5</vt:i4>
      </vt:variant>
      <vt:variant>
        <vt:lpwstr>http://www.serlyfjaskra.is/</vt:lpwstr>
      </vt:variant>
      <vt:variant>
        <vt:lpwstr/>
      </vt:variant>
      <vt:variant>
        <vt:i4>6619197</vt:i4>
      </vt:variant>
      <vt:variant>
        <vt:i4>39</vt:i4>
      </vt:variant>
      <vt:variant>
        <vt:i4>0</vt:i4>
      </vt:variant>
      <vt:variant>
        <vt:i4>5</vt:i4>
      </vt:variant>
      <vt:variant>
        <vt:lpwstr>http://www.serlyfjaskra.is/</vt:lpwstr>
      </vt:variant>
      <vt:variant>
        <vt:lpwstr/>
      </vt:variant>
      <vt:variant>
        <vt:i4>6619197</vt:i4>
      </vt:variant>
      <vt:variant>
        <vt:i4>36</vt:i4>
      </vt:variant>
      <vt:variant>
        <vt:i4>0</vt:i4>
      </vt:variant>
      <vt:variant>
        <vt:i4>5</vt:i4>
      </vt:variant>
      <vt:variant>
        <vt:lpwstr>http://www.serlyfjaskra.is/</vt:lpwstr>
      </vt:variant>
      <vt:variant>
        <vt:lpwstr/>
      </vt:variant>
      <vt:variant>
        <vt:i4>1245197</vt:i4>
      </vt:variant>
      <vt:variant>
        <vt:i4>33</vt:i4>
      </vt:variant>
      <vt:variant>
        <vt:i4>0</vt:i4>
      </vt:variant>
      <vt:variant>
        <vt:i4>5</vt:i4>
      </vt:variant>
      <vt:variant>
        <vt:lpwstr>http://www.ema.europa.eu/</vt:lpwstr>
      </vt:variant>
      <vt:variant>
        <vt:lpwstr/>
      </vt:variant>
      <vt:variant>
        <vt:i4>1245197</vt:i4>
      </vt:variant>
      <vt:variant>
        <vt:i4>30</vt:i4>
      </vt:variant>
      <vt:variant>
        <vt:i4>0</vt:i4>
      </vt:variant>
      <vt:variant>
        <vt:i4>5</vt:i4>
      </vt:variant>
      <vt:variant>
        <vt:lpwstr>http://www.ema.europa.eu/</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6619197</vt:i4>
      </vt:variant>
      <vt:variant>
        <vt:i4>18</vt:i4>
      </vt:variant>
      <vt:variant>
        <vt:i4>0</vt:i4>
      </vt:variant>
      <vt:variant>
        <vt:i4>5</vt:i4>
      </vt:variant>
      <vt:variant>
        <vt:lpwstr>http://www.serlyfjaskra.is/</vt:lpwstr>
      </vt:variant>
      <vt:variant>
        <vt:lpwstr/>
      </vt:variant>
      <vt:variant>
        <vt:i4>6619197</vt:i4>
      </vt:variant>
      <vt:variant>
        <vt:i4>15</vt:i4>
      </vt:variant>
      <vt:variant>
        <vt:i4>0</vt:i4>
      </vt:variant>
      <vt:variant>
        <vt:i4>5</vt:i4>
      </vt:variant>
      <vt:variant>
        <vt:lpwstr>http://www.serlyfjaskra.is/</vt:lpwstr>
      </vt:variant>
      <vt:variant>
        <vt:lpwstr/>
      </vt:variant>
      <vt:variant>
        <vt:i4>6619197</vt:i4>
      </vt:variant>
      <vt:variant>
        <vt:i4>12</vt:i4>
      </vt:variant>
      <vt:variant>
        <vt:i4>0</vt:i4>
      </vt:variant>
      <vt:variant>
        <vt:i4>5</vt:i4>
      </vt:variant>
      <vt:variant>
        <vt:lpwstr>http://www.serlyfjaskra.is/</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creator/>
  <cp:lastModifiedBy/>
  <cp:revision>1</cp:revision>
  <dcterms:created xsi:type="dcterms:W3CDTF">2025-09-19T08:41:00Z</dcterms:created>
  <dcterms:modified xsi:type="dcterms:W3CDTF">2025-09-19T08:41:00Z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163fad77-7d0f-4c95-afcb-27f9ae8e29ae</vt:lpwstr>
  </property>
</Properties>
</file>