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47C65" w14:textId="45DC939C" w:rsidR="009C0666" w:rsidRPr="00B74D84" w:rsidRDefault="001A04C2" w:rsidP="009C0666">
      <w:pPr>
        <w:jc w:val="center"/>
        <w:outlineLvl w:val="0"/>
        <w:rPr>
          <w:rFonts w:eastAsia="Yu Mincho"/>
          <w:lang w:val="it-IT"/>
        </w:rPr>
      </w:pPr>
      <w:ins w:id="0" w:author="Author">
        <w:r>
          <w:rPr>
            <w:noProof/>
            <w:sz w:val="24"/>
            <w:szCs w:val="24"/>
            <w:lang w:eastAsia="ko-KR"/>
          </w:rPr>
          <mc:AlternateContent>
            <mc:Choice Requires="wps">
              <w:drawing>
                <wp:anchor distT="0" distB="0" distL="114300" distR="114300" simplePos="0" relativeHeight="251659264" behindDoc="0" locked="0" layoutInCell="1" allowOverlap="1" wp14:anchorId="3A17A987" wp14:editId="38CF826D">
                  <wp:simplePos x="0" y="0"/>
                  <wp:positionH relativeFrom="margin">
                    <wp:posOffset>0</wp:posOffset>
                  </wp:positionH>
                  <wp:positionV relativeFrom="paragraph">
                    <wp:posOffset>-635</wp:posOffset>
                  </wp:positionV>
                  <wp:extent cx="6731635" cy="1155700"/>
                  <wp:effectExtent l="0" t="0" r="2476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155700"/>
                          </a:xfrm>
                          <a:prstGeom prst="rect">
                            <a:avLst/>
                          </a:prstGeom>
                          <a:solidFill>
                            <a:sysClr val="window" lastClr="FFFFFF"/>
                          </a:solidFill>
                          <a:ln w="6350">
                            <a:solidFill>
                              <a:prstClr val="black"/>
                            </a:solidFill>
                          </a:ln>
                        </wps:spPr>
                        <wps:txbx>
                          <w:txbxContent>
                            <w:p w14:paraId="4943AD04" w14:textId="4CA0A645" w:rsidR="001A04C2" w:rsidRDefault="001A04C2" w:rsidP="001A04C2">
                              <w:pPr>
                                <w:rPr>
                                  <w:lang w:val="it-IT"/>
                                </w:rPr>
                              </w:pPr>
                              <w:r>
                                <w:t>Il presente documento riporta le informazioni sul prodotto approvate relative a Aybintio, con evidenziate le modifiche che vi sono state apportate in seguito alla procedura precedente (</w:t>
                              </w:r>
                              <w:r w:rsidRPr="001A04C2">
                                <w:t>EMA/VR/0000281387</w:t>
                              </w:r>
                              <w:r>
                                <w:t>).</w:t>
                              </w:r>
                            </w:p>
                            <w:p w14:paraId="44515908" w14:textId="77777777" w:rsidR="001A04C2" w:rsidRDefault="001A04C2" w:rsidP="001A04C2">
                              <w:pPr>
                                <w:rPr>
                                  <w:lang w:val="it-IT"/>
                                </w:rPr>
                              </w:pPr>
                            </w:p>
                            <w:p w14:paraId="7FD154EE" w14:textId="77777777" w:rsidR="001A04C2" w:rsidRDefault="001A04C2" w:rsidP="001A04C2">
                              <w:r>
                                <w:t>Per maggiori informazioni, consultare il sito web dell’Agenzia europea per i medicinali: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A17A987" id="_x0000_t202" coordsize="21600,21600" o:spt="202" path="m,l,21600r21600,l21600,xe">
                  <v:stroke joinstyle="miter"/>
                  <v:path gradientshapeok="t" o:connecttype="rect"/>
                </v:shapetype>
                <v:shape id="Text Box 4" o:spid="_x0000_s1026" type="#_x0000_t202" style="position:absolute;left:0;text-align:left;margin-left:0;margin-top:-.05pt;width:530.05pt;height:91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" fillcolor="window" strokeweight=".5pt">
                  <v:path arrowok="t"/>
                  <v:textbox>
                    <w:txbxContent>
                      <w:p w14:paraId="4943AD04" w14:textId="4CA0A645" w:rsidR="001A04C2" w:rsidRDefault="001A04C2" w:rsidP="001A04C2">
                        <w:pPr>
                          <w:rPr>
                            <w:lang w:val="it-IT"/>
                          </w:rPr>
                        </w:pPr>
                        <w:r>
                          <w:t>Il presente documento riporta le informazioni sul prodotto approvate relative a Aybintio, con evidenziate le modifiche che vi sono state apportate in seguito alla procedura precedente (</w:t>
                        </w:r>
                        <w:r w:rsidRPr="001A04C2">
                          <w:t>EMA/VR/0000281387</w:t>
                        </w:r>
                        <w:r>
                          <w:t>).</w:t>
                        </w:r>
                      </w:p>
                      <w:p w14:paraId="44515908" w14:textId="77777777" w:rsidR="001A04C2" w:rsidRDefault="001A04C2" w:rsidP="001A04C2">
                        <w:pPr>
                          <w:rPr>
                            <w:lang w:val="it-IT"/>
                          </w:rPr>
                        </w:pPr>
                      </w:p>
                      <w:p w14:paraId="7FD154EE" w14:textId="77777777" w:rsidR="001A04C2" w:rsidRDefault="001A04C2" w:rsidP="001A04C2">
                        <w:r>
                          <w:t>Per maggiori informazioni, consultare il sito web dell’Agenzia europea per i medicinali: https://www.ema.europa.eu/en/medicines/human/EPAR/Aybintio</w:t>
                        </w:r>
                      </w:p>
                    </w:txbxContent>
                  </v:textbox>
                  <w10:wrap anchorx="margin"/>
                </v:shape>
              </w:pict>
            </mc:Fallback>
          </mc:AlternateContent>
        </w:r>
      </w:ins>
    </w:p>
    <w:p w14:paraId="49B519B0" w14:textId="77777777" w:rsidR="009C0666" w:rsidRPr="00330A40" w:rsidRDefault="009C0666" w:rsidP="009C0666">
      <w:pPr>
        <w:jc w:val="center"/>
        <w:outlineLvl w:val="0"/>
        <w:rPr>
          <w:lang w:val="it-IT"/>
        </w:rPr>
      </w:pPr>
    </w:p>
    <w:p w14:paraId="43A75D76" w14:textId="77777777" w:rsidR="009C0666" w:rsidRPr="00330A40" w:rsidRDefault="009C0666" w:rsidP="009C0666">
      <w:pPr>
        <w:jc w:val="center"/>
        <w:outlineLvl w:val="0"/>
        <w:rPr>
          <w:lang w:val="it-IT"/>
        </w:rPr>
      </w:pPr>
    </w:p>
    <w:p w14:paraId="06B9609F" w14:textId="77777777" w:rsidR="009C0666" w:rsidRPr="00330A40" w:rsidRDefault="009C0666" w:rsidP="009C0666">
      <w:pPr>
        <w:jc w:val="center"/>
        <w:outlineLvl w:val="0"/>
        <w:rPr>
          <w:lang w:val="it-IT"/>
        </w:rPr>
      </w:pPr>
    </w:p>
    <w:p w14:paraId="10BC64B1" w14:textId="77777777" w:rsidR="009C0666" w:rsidRPr="00330A40" w:rsidRDefault="009C0666" w:rsidP="009C0666">
      <w:pPr>
        <w:jc w:val="center"/>
        <w:outlineLvl w:val="0"/>
        <w:rPr>
          <w:lang w:val="it-IT"/>
        </w:rPr>
      </w:pPr>
    </w:p>
    <w:p w14:paraId="266FA53B" w14:textId="77777777" w:rsidR="009C0666" w:rsidRPr="00330A40" w:rsidRDefault="009C0666" w:rsidP="009C0666">
      <w:pPr>
        <w:jc w:val="center"/>
        <w:outlineLvl w:val="0"/>
        <w:rPr>
          <w:lang w:val="it-IT"/>
        </w:rPr>
      </w:pPr>
    </w:p>
    <w:p w14:paraId="2422947D" w14:textId="77777777" w:rsidR="009C0666" w:rsidRPr="00330A40" w:rsidRDefault="009C0666" w:rsidP="009C0666">
      <w:pPr>
        <w:jc w:val="center"/>
        <w:outlineLvl w:val="0"/>
        <w:rPr>
          <w:lang w:val="it-IT"/>
        </w:rPr>
      </w:pPr>
    </w:p>
    <w:p w14:paraId="5DA740E5" w14:textId="77777777" w:rsidR="009C0666" w:rsidRPr="00330A40" w:rsidRDefault="009C0666" w:rsidP="009C0666">
      <w:pPr>
        <w:jc w:val="center"/>
        <w:outlineLvl w:val="0"/>
        <w:rPr>
          <w:lang w:val="it-IT"/>
        </w:rPr>
      </w:pPr>
    </w:p>
    <w:p w14:paraId="747187F3" w14:textId="77777777" w:rsidR="009C0666" w:rsidRPr="00330A40" w:rsidRDefault="009C0666" w:rsidP="009C0666">
      <w:pPr>
        <w:jc w:val="center"/>
        <w:outlineLvl w:val="0"/>
        <w:rPr>
          <w:lang w:val="it-IT"/>
        </w:rPr>
      </w:pPr>
    </w:p>
    <w:p w14:paraId="427971A9" w14:textId="77777777" w:rsidR="009C0666" w:rsidRPr="00330A40" w:rsidRDefault="009C0666" w:rsidP="009C0666">
      <w:pPr>
        <w:jc w:val="center"/>
        <w:outlineLvl w:val="0"/>
        <w:rPr>
          <w:lang w:val="it-IT"/>
        </w:rPr>
      </w:pPr>
    </w:p>
    <w:p w14:paraId="480A27F3" w14:textId="77777777" w:rsidR="009C0666" w:rsidRPr="00330A40" w:rsidRDefault="009C0666" w:rsidP="009C0666">
      <w:pPr>
        <w:jc w:val="center"/>
        <w:outlineLvl w:val="0"/>
        <w:rPr>
          <w:lang w:val="it-IT"/>
        </w:rPr>
      </w:pPr>
    </w:p>
    <w:p w14:paraId="48AB8106" w14:textId="77777777" w:rsidR="009C0666" w:rsidRPr="00330A40" w:rsidRDefault="009C0666" w:rsidP="009C0666">
      <w:pPr>
        <w:jc w:val="center"/>
        <w:outlineLvl w:val="0"/>
        <w:rPr>
          <w:lang w:val="it-IT"/>
        </w:rPr>
      </w:pPr>
    </w:p>
    <w:p w14:paraId="7681A4A9" w14:textId="77777777" w:rsidR="009C0666" w:rsidRPr="00330A40" w:rsidRDefault="009C0666" w:rsidP="009C0666">
      <w:pPr>
        <w:jc w:val="center"/>
        <w:outlineLvl w:val="0"/>
        <w:rPr>
          <w:lang w:val="it-IT"/>
        </w:rPr>
      </w:pPr>
    </w:p>
    <w:p w14:paraId="6696CD4C" w14:textId="77777777" w:rsidR="00662DA5" w:rsidRPr="00330A40" w:rsidRDefault="00662DA5" w:rsidP="009C0666">
      <w:pPr>
        <w:jc w:val="center"/>
        <w:outlineLvl w:val="0"/>
        <w:rPr>
          <w:lang w:val="it-IT"/>
        </w:rPr>
      </w:pPr>
    </w:p>
    <w:p w14:paraId="424EB7A6" w14:textId="77777777" w:rsidR="009C0666" w:rsidRPr="00330A40" w:rsidRDefault="009C0666" w:rsidP="009C0666">
      <w:pPr>
        <w:jc w:val="center"/>
        <w:outlineLvl w:val="0"/>
        <w:rPr>
          <w:lang w:val="it-IT"/>
        </w:rPr>
      </w:pPr>
    </w:p>
    <w:p w14:paraId="60E82961" w14:textId="77777777" w:rsidR="009C0666" w:rsidRPr="00330A40" w:rsidRDefault="009C0666" w:rsidP="009C0666">
      <w:pPr>
        <w:jc w:val="center"/>
        <w:outlineLvl w:val="0"/>
        <w:rPr>
          <w:lang w:val="it-IT"/>
        </w:rPr>
      </w:pPr>
    </w:p>
    <w:p w14:paraId="4588526B" w14:textId="77777777" w:rsidR="009C0666" w:rsidRPr="00330A40" w:rsidRDefault="009C0666" w:rsidP="009C0666">
      <w:pPr>
        <w:jc w:val="center"/>
        <w:outlineLvl w:val="0"/>
        <w:rPr>
          <w:lang w:val="it-IT"/>
        </w:rPr>
      </w:pPr>
    </w:p>
    <w:p w14:paraId="19CEA718" w14:textId="77777777" w:rsidR="009C0666" w:rsidRPr="00330A40" w:rsidRDefault="009C0666" w:rsidP="009C0666">
      <w:pPr>
        <w:jc w:val="center"/>
        <w:outlineLvl w:val="0"/>
        <w:rPr>
          <w:lang w:val="it-IT"/>
        </w:rPr>
      </w:pPr>
    </w:p>
    <w:p w14:paraId="27ECFD7E" w14:textId="77777777" w:rsidR="009C0666" w:rsidRPr="00330A40" w:rsidRDefault="009C0666" w:rsidP="009C0666">
      <w:pPr>
        <w:jc w:val="center"/>
        <w:outlineLvl w:val="0"/>
        <w:rPr>
          <w:lang w:val="it-IT"/>
        </w:rPr>
      </w:pPr>
    </w:p>
    <w:p w14:paraId="49C57FF9" w14:textId="77777777" w:rsidR="009C0666" w:rsidRPr="00330A40" w:rsidRDefault="009C0666" w:rsidP="009C0666">
      <w:pPr>
        <w:jc w:val="center"/>
        <w:outlineLvl w:val="0"/>
        <w:rPr>
          <w:lang w:val="it-IT"/>
        </w:rPr>
      </w:pPr>
    </w:p>
    <w:p w14:paraId="38CB4BF3" w14:textId="77777777" w:rsidR="009C0666" w:rsidRPr="00330A40" w:rsidRDefault="009C0666" w:rsidP="009C0666">
      <w:pPr>
        <w:jc w:val="center"/>
        <w:outlineLvl w:val="0"/>
        <w:rPr>
          <w:lang w:val="it-IT"/>
        </w:rPr>
      </w:pPr>
    </w:p>
    <w:p w14:paraId="6A2D709B" w14:textId="77777777" w:rsidR="009C0666" w:rsidRPr="00330A40" w:rsidRDefault="009C0666" w:rsidP="009C0666">
      <w:pPr>
        <w:jc w:val="center"/>
        <w:outlineLvl w:val="0"/>
        <w:rPr>
          <w:lang w:val="it-IT"/>
        </w:rPr>
      </w:pPr>
    </w:p>
    <w:p w14:paraId="6C45E783" w14:textId="77777777" w:rsidR="009C0666" w:rsidRPr="00330A40" w:rsidRDefault="009C0666" w:rsidP="009C0666">
      <w:pPr>
        <w:jc w:val="center"/>
        <w:outlineLvl w:val="0"/>
        <w:rPr>
          <w:lang w:val="it-IT"/>
        </w:rPr>
      </w:pPr>
    </w:p>
    <w:p w14:paraId="50CF7A6F" w14:textId="77777777" w:rsidR="009C0666" w:rsidRPr="00330A40" w:rsidRDefault="009C0666" w:rsidP="00C61FAF">
      <w:pPr>
        <w:jc w:val="center"/>
        <w:rPr>
          <w:b/>
          <w:lang w:val="it-IT"/>
        </w:rPr>
      </w:pPr>
      <w:r w:rsidRPr="00330A40">
        <w:rPr>
          <w:b/>
          <w:lang w:val="it-IT"/>
        </w:rPr>
        <w:t>ALLEGATO I</w:t>
      </w:r>
    </w:p>
    <w:p w14:paraId="4298D941" w14:textId="77777777" w:rsidR="009C0666" w:rsidRPr="00330A40" w:rsidRDefault="009C0666" w:rsidP="009C0666">
      <w:pPr>
        <w:jc w:val="center"/>
        <w:rPr>
          <w:b/>
          <w:bCs/>
          <w:lang w:val="it-IT"/>
        </w:rPr>
      </w:pPr>
    </w:p>
    <w:p w14:paraId="7CD35FC9" w14:textId="77777777" w:rsidR="009C0666" w:rsidRPr="00330A40" w:rsidRDefault="009C0666" w:rsidP="00C350D2">
      <w:pPr>
        <w:pStyle w:val="Annex"/>
        <w:rPr>
          <w:lang w:val="it-IT"/>
        </w:rPr>
      </w:pPr>
      <w:r w:rsidRPr="00330A40">
        <w:rPr>
          <w:lang w:val="it-IT"/>
        </w:rPr>
        <w:t>RIASSUNTO DELLE CARATTERISTICHE DEL PRODOTTO</w:t>
      </w:r>
    </w:p>
    <w:p w14:paraId="540EA5AB" w14:textId="77777777" w:rsidR="009C0666" w:rsidRPr="00330A40" w:rsidRDefault="009C0666" w:rsidP="009C0666">
      <w:pPr>
        <w:jc w:val="center"/>
        <w:outlineLvl w:val="0"/>
        <w:rPr>
          <w:b/>
          <w:bCs/>
          <w:lang w:val="it-IT"/>
        </w:rPr>
      </w:pPr>
    </w:p>
    <w:p w14:paraId="50F67081" w14:textId="77777777" w:rsidR="009C0666" w:rsidRPr="006A2BF9" w:rsidRDefault="009C0666" w:rsidP="00B24955">
      <w:pPr>
        <w:ind w:left="567" w:hanging="567"/>
        <w:rPr>
          <w:b/>
          <w:bCs/>
          <w:lang w:val="it-IT"/>
        </w:rPr>
      </w:pPr>
      <w:r w:rsidRPr="00330A40">
        <w:rPr>
          <w:b/>
          <w:bCs/>
          <w:lang w:val="it-IT"/>
        </w:rPr>
        <w:br w:type="page"/>
      </w:r>
      <w:r w:rsidRPr="006A2BF9">
        <w:rPr>
          <w:b/>
          <w:bCs/>
          <w:lang w:val="it-IT"/>
        </w:rPr>
        <w:lastRenderedPageBreak/>
        <w:t>1.</w:t>
      </w:r>
      <w:r w:rsidRPr="006A2BF9">
        <w:rPr>
          <w:b/>
          <w:bCs/>
          <w:lang w:val="it-IT"/>
        </w:rPr>
        <w:tab/>
        <w:t>DENOMINAZIONE DEL MEDICINALE</w:t>
      </w:r>
    </w:p>
    <w:p w14:paraId="1946E779" w14:textId="77777777" w:rsidR="009C0666" w:rsidRPr="006A2BF9" w:rsidRDefault="009C0666" w:rsidP="00C117F0">
      <w:pPr>
        <w:rPr>
          <w:lang w:val="it-IT"/>
        </w:rPr>
      </w:pPr>
    </w:p>
    <w:p w14:paraId="502AC1EE" w14:textId="77777777" w:rsidR="009C0666" w:rsidRPr="006A2BF9" w:rsidRDefault="00ED3103" w:rsidP="00C61FAF">
      <w:pPr>
        <w:rPr>
          <w:lang w:val="it-IT"/>
        </w:rPr>
      </w:pPr>
      <w:r w:rsidRPr="006A2BF9">
        <w:rPr>
          <w:lang w:val="it-IT"/>
        </w:rPr>
        <w:t xml:space="preserve">Aybintio </w:t>
      </w:r>
      <w:r w:rsidR="009C0666" w:rsidRPr="006A2BF9">
        <w:rPr>
          <w:lang w:val="it-IT"/>
        </w:rPr>
        <w:t>25 mg/</w:t>
      </w:r>
      <w:r w:rsidR="00B64026" w:rsidRPr="006A2BF9">
        <w:rPr>
          <w:lang w:val="it-IT"/>
        </w:rPr>
        <w:t>mL</w:t>
      </w:r>
      <w:r w:rsidR="009C0666" w:rsidRPr="006A2BF9">
        <w:rPr>
          <w:lang w:val="it-IT"/>
        </w:rPr>
        <w:t xml:space="preserve"> concentrato per soluzione per infusione.</w:t>
      </w:r>
    </w:p>
    <w:p w14:paraId="135EB16A" w14:textId="77777777" w:rsidR="009C0666" w:rsidRPr="006A2BF9" w:rsidRDefault="009C0666" w:rsidP="009C0666">
      <w:pPr>
        <w:rPr>
          <w:lang w:val="it-IT"/>
        </w:rPr>
      </w:pPr>
    </w:p>
    <w:p w14:paraId="32C8DCD7" w14:textId="77777777" w:rsidR="009C0666" w:rsidRPr="006A2BF9" w:rsidRDefault="009C0666" w:rsidP="009C0666">
      <w:pPr>
        <w:rPr>
          <w:lang w:val="it-IT"/>
        </w:rPr>
      </w:pPr>
    </w:p>
    <w:p w14:paraId="5ECCF9D2" w14:textId="77777777" w:rsidR="009C0666" w:rsidRPr="006A2BF9" w:rsidRDefault="009C0666" w:rsidP="00B24955">
      <w:pPr>
        <w:tabs>
          <w:tab w:val="left" w:pos="-1440"/>
          <w:tab w:val="left" w:pos="-720"/>
        </w:tabs>
        <w:ind w:left="567" w:hanging="567"/>
        <w:rPr>
          <w:b/>
          <w:bCs/>
          <w:lang w:val="it-IT"/>
        </w:rPr>
      </w:pPr>
      <w:r w:rsidRPr="006A2BF9">
        <w:rPr>
          <w:b/>
          <w:bCs/>
          <w:lang w:val="it-IT"/>
        </w:rPr>
        <w:t>2.</w:t>
      </w:r>
      <w:r w:rsidRPr="006A2BF9">
        <w:rPr>
          <w:b/>
          <w:bCs/>
          <w:lang w:val="it-IT"/>
        </w:rPr>
        <w:tab/>
        <w:t>COMPOSIZIONE QUALITATIVA E QUANTITATIVA</w:t>
      </w:r>
    </w:p>
    <w:p w14:paraId="7898E5B2" w14:textId="77777777" w:rsidR="009C0666" w:rsidRPr="006A2BF9" w:rsidRDefault="009C0666" w:rsidP="009C0666">
      <w:pPr>
        <w:rPr>
          <w:i/>
          <w:iCs/>
          <w:lang w:val="it-IT"/>
        </w:rPr>
      </w:pPr>
    </w:p>
    <w:p w14:paraId="1CB0D9E6" w14:textId="77777777" w:rsidR="00AD4104" w:rsidRPr="006A2BF9" w:rsidRDefault="00AD4104" w:rsidP="009C0666">
      <w:pPr>
        <w:rPr>
          <w:lang w:val="it-IT"/>
        </w:rPr>
      </w:pPr>
      <w:r w:rsidRPr="006A2BF9">
        <w:rPr>
          <w:lang w:val="it-IT"/>
        </w:rPr>
        <w:t xml:space="preserve">Ogni </w:t>
      </w:r>
      <w:r w:rsidR="00B64026" w:rsidRPr="006A2BF9">
        <w:rPr>
          <w:lang w:val="it-IT"/>
        </w:rPr>
        <w:t>mL</w:t>
      </w:r>
      <w:r w:rsidRPr="006A2BF9">
        <w:rPr>
          <w:lang w:val="it-IT"/>
        </w:rPr>
        <w:t xml:space="preserve"> </w:t>
      </w:r>
      <w:r w:rsidR="00EE2AFB" w:rsidRPr="006A2BF9">
        <w:rPr>
          <w:lang w:val="it-IT"/>
        </w:rPr>
        <w:t xml:space="preserve">di concentrato </w:t>
      </w:r>
      <w:r w:rsidRPr="006A2BF9">
        <w:rPr>
          <w:lang w:val="it-IT"/>
        </w:rPr>
        <w:t>contiene 25 mg di bevacizumab</w:t>
      </w:r>
      <w:r w:rsidR="00EE2AFB" w:rsidRPr="006A2BF9">
        <w:rPr>
          <w:lang w:val="it-IT"/>
        </w:rPr>
        <w:t>*</w:t>
      </w:r>
      <w:r w:rsidRPr="006A2BF9">
        <w:rPr>
          <w:lang w:val="it-IT"/>
        </w:rPr>
        <w:t>.</w:t>
      </w:r>
    </w:p>
    <w:p w14:paraId="47A40653" w14:textId="77777777" w:rsidR="009C0666" w:rsidRPr="006A2BF9" w:rsidRDefault="009C0666" w:rsidP="009C0666">
      <w:pPr>
        <w:rPr>
          <w:lang w:val="it-IT"/>
        </w:rPr>
      </w:pPr>
      <w:r w:rsidRPr="006A2BF9">
        <w:rPr>
          <w:lang w:val="it-IT"/>
        </w:rPr>
        <w:t>Ogni flaconcino</w:t>
      </w:r>
      <w:r w:rsidR="00EE2AFB" w:rsidRPr="006A2BF9">
        <w:rPr>
          <w:lang w:val="it-IT"/>
        </w:rPr>
        <w:t xml:space="preserve"> da 4</w:t>
      </w:r>
      <w:r w:rsidR="00ED3103" w:rsidRPr="006A2BF9">
        <w:rPr>
          <w:lang w:val="it-IT"/>
        </w:rPr>
        <w:t> </w:t>
      </w:r>
      <w:r w:rsidR="00B64026" w:rsidRPr="006A2BF9">
        <w:rPr>
          <w:lang w:val="it-IT"/>
        </w:rPr>
        <w:t>mL</w:t>
      </w:r>
      <w:r w:rsidRPr="006A2BF9">
        <w:rPr>
          <w:lang w:val="it-IT"/>
        </w:rPr>
        <w:t xml:space="preserve"> contiene 100 mg di bevacizumab</w:t>
      </w:r>
      <w:r w:rsidR="00592108" w:rsidRPr="006A2BF9">
        <w:rPr>
          <w:lang w:val="it-IT"/>
        </w:rPr>
        <w:t>.</w:t>
      </w:r>
    </w:p>
    <w:p w14:paraId="7A9379B6" w14:textId="77777777" w:rsidR="009C0666" w:rsidRPr="006A2BF9" w:rsidRDefault="001A1149" w:rsidP="009C0666">
      <w:pPr>
        <w:rPr>
          <w:lang w:val="it-IT"/>
        </w:rPr>
      </w:pPr>
      <w:r w:rsidRPr="006A2BF9">
        <w:rPr>
          <w:lang w:val="it-IT"/>
        </w:rPr>
        <w:t>Ogni flaconcino da 16</w:t>
      </w:r>
      <w:r w:rsidR="00ED3103" w:rsidRPr="006A2BF9">
        <w:rPr>
          <w:lang w:val="it-IT"/>
        </w:rPr>
        <w:t> </w:t>
      </w:r>
      <w:r w:rsidR="00B64026" w:rsidRPr="006A2BF9">
        <w:rPr>
          <w:lang w:val="it-IT"/>
        </w:rPr>
        <w:t>mL</w:t>
      </w:r>
      <w:r w:rsidRPr="006A2BF9">
        <w:rPr>
          <w:lang w:val="it-IT"/>
        </w:rPr>
        <w:t xml:space="preserve"> contiene 400 mg di bevacizumab</w:t>
      </w:r>
      <w:r w:rsidR="00592108" w:rsidRPr="006A2BF9">
        <w:rPr>
          <w:lang w:val="it-IT"/>
        </w:rPr>
        <w:t>.</w:t>
      </w:r>
    </w:p>
    <w:p w14:paraId="06B139FA" w14:textId="77777777" w:rsidR="00592108" w:rsidRPr="006A2BF9" w:rsidRDefault="00522BB6" w:rsidP="009C0666">
      <w:pPr>
        <w:rPr>
          <w:lang w:val="it-IT"/>
        </w:rPr>
      </w:pPr>
      <w:r w:rsidRPr="006A2BF9">
        <w:rPr>
          <w:lang w:val="it-IT"/>
        </w:rPr>
        <w:t>Per la diluizione ed altre raccomandazioni sulla manipolazione, vedere paragrafo</w:t>
      </w:r>
      <w:r w:rsidR="00ED3103" w:rsidRPr="006A2BF9">
        <w:rPr>
          <w:lang w:val="it-IT"/>
        </w:rPr>
        <w:t> </w:t>
      </w:r>
      <w:r w:rsidRPr="006A2BF9">
        <w:rPr>
          <w:lang w:val="it-IT"/>
        </w:rPr>
        <w:t>6.6.</w:t>
      </w:r>
    </w:p>
    <w:p w14:paraId="5809CCDD" w14:textId="77777777" w:rsidR="001A1149" w:rsidRPr="006A2BF9" w:rsidRDefault="001A1149" w:rsidP="009C0666">
      <w:pPr>
        <w:rPr>
          <w:lang w:val="it-IT"/>
        </w:rPr>
      </w:pPr>
    </w:p>
    <w:p w14:paraId="0B051819" w14:textId="77777777" w:rsidR="009C0666" w:rsidRPr="006A2BF9" w:rsidRDefault="00EE6E78" w:rsidP="009C0666">
      <w:pPr>
        <w:rPr>
          <w:lang w:val="it-IT"/>
        </w:rPr>
      </w:pPr>
      <w:r w:rsidRPr="006A2BF9">
        <w:rPr>
          <w:lang w:val="it-IT"/>
        </w:rPr>
        <w:t>*</w:t>
      </w:r>
      <w:r w:rsidR="009C0666" w:rsidRPr="006A2BF9">
        <w:rPr>
          <w:lang w:val="it-IT"/>
        </w:rPr>
        <w:t>Bevacizumab è un anticorpo monoclonale umanizzato prodotto mediante la tecnica del DNA ricombinante in cellule ovariche di criceto cinese.</w:t>
      </w:r>
    </w:p>
    <w:p w14:paraId="5D7A3A71" w14:textId="77777777" w:rsidR="009C0666" w:rsidRDefault="009C0666" w:rsidP="009C0666">
      <w:pPr>
        <w:rPr>
          <w:lang w:val="it-IT"/>
        </w:rPr>
      </w:pPr>
    </w:p>
    <w:sdt>
      <w:sdtPr>
        <w:tag w:val="goog_rdk_4"/>
        <w:id w:val="404656476"/>
      </w:sdtPr>
      <w:sdtEndPr/>
      <w:sdtContent>
        <w:p w14:paraId="6FB0EF71" w14:textId="77777777" w:rsidR="000A793E" w:rsidRPr="00DF43F1" w:rsidRDefault="000B1DED" w:rsidP="000A793E">
          <w:pPr>
            <w:rPr>
              <w:u w:val="single"/>
              <w:lang w:val="it-IT"/>
            </w:rPr>
          </w:pPr>
          <w:sdt>
            <w:sdtPr>
              <w:tag w:val="goog_rdk_3"/>
              <w:id w:val="2117242229"/>
            </w:sdtPr>
            <w:sdtEndPr/>
            <w:sdtContent>
              <w:r w:rsidR="000A793E" w:rsidRPr="00DF43F1">
                <w:rPr>
                  <w:u w:val="single"/>
                  <w:lang w:val="it-IT"/>
                </w:rPr>
                <w:t>Eccipiente con effetti noti</w:t>
              </w:r>
            </w:sdtContent>
          </w:sdt>
        </w:p>
      </w:sdtContent>
    </w:sdt>
    <w:sdt>
      <w:sdtPr>
        <w:tag w:val="goog_rdk_6"/>
        <w:id w:val="-1991238437"/>
      </w:sdtPr>
      <w:sdtEndPr/>
      <w:sdtContent>
        <w:p w14:paraId="71DEB85C" w14:textId="77777777" w:rsidR="000A793E" w:rsidRPr="00DF43F1" w:rsidRDefault="000B1DED" w:rsidP="000A793E">
          <w:pPr>
            <w:rPr>
              <w:lang w:val="it-IT"/>
            </w:rPr>
          </w:pPr>
          <w:sdt>
            <w:sdtPr>
              <w:tag w:val="goog_rdk_5"/>
              <w:id w:val="-511914914"/>
            </w:sdtPr>
            <w:sdtEndPr/>
            <w:sdtContent>
              <w:r w:rsidR="000A793E" w:rsidRPr="00DF43F1">
                <w:rPr>
                  <w:lang w:val="it-IT"/>
                </w:rPr>
                <w:t>Ogni flaconcino da 4 ml contiene 1,6 mg di polisorbato 20.</w:t>
              </w:r>
            </w:sdtContent>
          </w:sdt>
        </w:p>
      </w:sdtContent>
    </w:sdt>
    <w:sdt>
      <w:sdtPr>
        <w:tag w:val="goog_rdk_8"/>
        <w:id w:val="-1065410389"/>
      </w:sdtPr>
      <w:sdtEndPr/>
      <w:sdtContent>
        <w:p w14:paraId="0A58554A" w14:textId="0AE18725" w:rsidR="000A793E" w:rsidRPr="00DF43F1" w:rsidRDefault="000B1DED" w:rsidP="000A793E">
          <w:pPr>
            <w:rPr>
              <w:lang w:val="it-IT"/>
            </w:rPr>
          </w:pPr>
          <w:sdt>
            <w:sdtPr>
              <w:tag w:val="goog_rdk_7"/>
              <w:id w:val="1349756069"/>
            </w:sdtPr>
            <w:sdtEndPr/>
            <w:sdtContent>
              <w:r w:rsidR="000A793E" w:rsidRPr="00DF43F1">
                <w:rPr>
                  <w:lang w:val="it-IT"/>
                </w:rPr>
                <w:t>Ogni flaconcino da 16 ml contiene 6,4 mg di polisorbato 20.</w:t>
              </w:r>
            </w:sdtContent>
          </w:sdt>
        </w:p>
      </w:sdtContent>
    </w:sdt>
    <w:p w14:paraId="0E9D18D1" w14:textId="77777777" w:rsidR="000A793E" w:rsidRPr="006A2BF9" w:rsidRDefault="000A793E" w:rsidP="009C0666">
      <w:pPr>
        <w:rPr>
          <w:lang w:val="it-IT"/>
        </w:rPr>
      </w:pPr>
    </w:p>
    <w:p w14:paraId="3520E634" w14:textId="77777777" w:rsidR="009C0666" w:rsidRPr="006A2BF9" w:rsidRDefault="009C0666" w:rsidP="009C0666">
      <w:pPr>
        <w:outlineLvl w:val="0"/>
        <w:rPr>
          <w:lang w:val="it-IT"/>
        </w:rPr>
      </w:pPr>
      <w:r w:rsidRPr="006A2BF9">
        <w:rPr>
          <w:lang w:val="it-IT"/>
        </w:rPr>
        <w:t>Per l’elenco completo degli eccipienti, vedere paragrafo</w:t>
      </w:r>
      <w:r w:rsidR="003520A9" w:rsidRPr="006A2BF9">
        <w:rPr>
          <w:lang w:val="it-IT"/>
        </w:rPr>
        <w:t> </w:t>
      </w:r>
      <w:r w:rsidRPr="006A2BF9">
        <w:rPr>
          <w:lang w:val="it-IT"/>
        </w:rPr>
        <w:t>6.1.</w:t>
      </w:r>
    </w:p>
    <w:p w14:paraId="4A2C3AF9" w14:textId="77777777" w:rsidR="009C0666" w:rsidRPr="006A2BF9" w:rsidRDefault="009C0666" w:rsidP="009C0666">
      <w:pPr>
        <w:rPr>
          <w:lang w:val="it-IT"/>
        </w:rPr>
      </w:pPr>
    </w:p>
    <w:p w14:paraId="1DDF3362" w14:textId="77777777" w:rsidR="009C0666" w:rsidRPr="006A2BF9" w:rsidRDefault="009C0666" w:rsidP="009C0666">
      <w:pPr>
        <w:rPr>
          <w:lang w:val="it-IT"/>
        </w:rPr>
      </w:pPr>
    </w:p>
    <w:p w14:paraId="16C2F0AD" w14:textId="77777777" w:rsidR="009C0666" w:rsidRPr="006A2BF9" w:rsidRDefault="009C0666" w:rsidP="00B24955">
      <w:pPr>
        <w:tabs>
          <w:tab w:val="left" w:pos="-1440"/>
          <w:tab w:val="left" w:pos="-720"/>
        </w:tabs>
        <w:ind w:left="567" w:hanging="567"/>
        <w:rPr>
          <w:b/>
          <w:bCs/>
          <w:lang w:val="it-IT"/>
        </w:rPr>
      </w:pPr>
      <w:r w:rsidRPr="006A2BF9">
        <w:rPr>
          <w:b/>
          <w:bCs/>
          <w:lang w:val="it-IT"/>
        </w:rPr>
        <w:t>3.</w:t>
      </w:r>
      <w:r w:rsidRPr="006A2BF9">
        <w:rPr>
          <w:b/>
          <w:bCs/>
          <w:lang w:val="it-IT"/>
        </w:rPr>
        <w:tab/>
        <w:t>FORMA FARMACEUTICA</w:t>
      </w:r>
    </w:p>
    <w:p w14:paraId="4F97C78E" w14:textId="77777777" w:rsidR="009C0666" w:rsidRPr="006A2BF9" w:rsidRDefault="009C0666" w:rsidP="009C0666">
      <w:pPr>
        <w:rPr>
          <w:lang w:val="it-IT"/>
        </w:rPr>
      </w:pPr>
    </w:p>
    <w:p w14:paraId="0CCF80F5" w14:textId="77777777" w:rsidR="009C0666" w:rsidRPr="006A2BF9" w:rsidRDefault="009C0666" w:rsidP="009C0666">
      <w:pPr>
        <w:rPr>
          <w:lang w:val="it-IT"/>
        </w:rPr>
      </w:pPr>
      <w:r w:rsidRPr="006A2BF9">
        <w:rPr>
          <w:lang w:val="it-IT"/>
        </w:rPr>
        <w:t>Concentrato per soluzione per infusione</w:t>
      </w:r>
      <w:r w:rsidR="00D63F4D">
        <w:rPr>
          <w:lang w:val="it-IT"/>
        </w:rPr>
        <w:t xml:space="preserve"> (concentrato sterile)</w:t>
      </w:r>
      <w:r w:rsidRPr="006A2BF9">
        <w:rPr>
          <w:lang w:val="it-IT"/>
        </w:rPr>
        <w:t xml:space="preserve">. </w:t>
      </w:r>
    </w:p>
    <w:p w14:paraId="0F92FFD6" w14:textId="77777777" w:rsidR="00AD4104" w:rsidRPr="006A2BF9" w:rsidRDefault="00AD4104" w:rsidP="009C0666">
      <w:pPr>
        <w:rPr>
          <w:lang w:val="it-IT"/>
        </w:rPr>
      </w:pPr>
    </w:p>
    <w:p w14:paraId="156D7D80" w14:textId="77777777" w:rsidR="009C0666" w:rsidRPr="006A2BF9" w:rsidRDefault="009C0666" w:rsidP="009C0666">
      <w:pPr>
        <w:rPr>
          <w:lang w:val="it-IT"/>
        </w:rPr>
      </w:pPr>
      <w:r w:rsidRPr="006A2BF9">
        <w:rPr>
          <w:lang w:val="it-IT"/>
        </w:rPr>
        <w:t xml:space="preserve">Liquido di aspetto da </w:t>
      </w:r>
      <w:r w:rsidR="00960144" w:rsidRPr="006A2BF9">
        <w:rPr>
          <w:lang w:val="it-IT"/>
        </w:rPr>
        <w:t xml:space="preserve">limpido </w:t>
      </w:r>
      <w:r w:rsidRPr="006A2BF9">
        <w:rPr>
          <w:lang w:val="it-IT"/>
        </w:rPr>
        <w:t>a leggermente opalescente e da incolore a marrone chiaro.</w:t>
      </w:r>
    </w:p>
    <w:p w14:paraId="2474594A" w14:textId="77777777" w:rsidR="009C0666" w:rsidRPr="006A2BF9" w:rsidRDefault="009C0666" w:rsidP="009C0666">
      <w:pPr>
        <w:rPr>
          <w:lang w:val="it-IT"/>
        </w:rPr>
      </w:pPr>
    </w:p>
    <w:p w14:paraId="1E9231CB" w14:textId="77777777" w:rsidR="009C0666" w:rsidRPr="006A2BF9" w:rsidRDefault="009C0666" w:rsidP="009C0666">
      <w:pPr>
        <w:rPr>
          <w:lang w:val="it-IT"/>
        </w:rPr>
      </w:pPr>
    </w:p>
    <w:p w14:paraId="698CFE47" w14:textId="77777777" w:rsidR="009C0666" w:rsidRPr="006A2BF9" w:rsidRDefault="009C0666" w:rsidP="00B24955">
      <w:pPr>
        <w:tabs>
          <w:tab w:val="left" w:pos="-1440"/>
          <w:tab w:val="left" w:pos="-720"/>
        </w:tabs>
        <w:ind w:left="567" w:hanging="567"/>
        <w:rPr>
          <w:b/>
          <w:bCs/>
          <w:lang w:val="it-IT"/>
        </w:rPr>
      </w:pPr>
      <w:r w:rsidRPr="006A2BF9">
        <w:rPr>
          <w:b/>
          <w:bCs/>
          <w:lang w:val="it-IT"/>
        </w:rPr>
        <w:t>4.</w:t>
      </w:r>
      <w:r w:rsidRPr="006A2BF9">
        <w:rPr>
          <w:b/>
          <w:bCs/>
          <w:lang w:val="it-IT"/>
        </w:rPr>
        <w:tab/>
        <w:t>INFORMAZIONI CLINICHE</w:t>
      </w:r>
    </w:p>
    <w:p w14:paraId="6103D936" w14:textId="77777777" w:rsidR="009C0666" w:rsidRPr="006A2BF9" w:rsidRDefault="009C0666" w:rsidP="009C0666">
      <w:pPr>
        <w:rPr>
          <w:lang w:val="it-IT"/>
        </w:rPr>
      </w:pPr>
    </w:p>
    <w:p w14:paraId="6BB0CA46" w14:textId="77777777" w:rsidR="009C0666" w:rsidRPr="006A2BF9" w:rsidRDefault="009C0666" w:rsidP="00B24955">
      <w:pPr>
        <w:ind w:left="567" w:hanging="567"/>
        <w:outlineLvl w:val="0"/>
        <w:rPr>
          <w:b/>
          <w:bCs/>
          <w:lang w:val="it-IT"/>
        </w:rPr>
      </w:pPr>
      <w:r w:rsidRPr="006A2BF9">
        <w:rPr>
          <w:b/>
          <w:bCs/>
          <w:lang w:val="it-IT"/>
        </w:rPr>
        <w:t>4.1</w:t>
      </w:r>
      <w:r w:rsidRPr="006A2BF9">
        <w:rPr>
          <w:b/>
          <w:bCs/>
          <w:lang w:val="it-IT"/>
        </w:rPr>
        <w:tab/>
        <w:t>Indicazioni terapeutiche</w:t>
      </w:r>
    </w:p>
    <w:p w14:paraId="784CE194" w14:textId="77777777" w:rsidR="009C0666" w:rsidRPr="006A2BF9" w:rsidRDefault="009C0666" w:rsidP="009C0666">
      <w:pPr>
        <w:rPr>
          <w:lang w:val="it-IT"/>
        </w:rPr>
      </w:pPr>
    </w:p>
    <w:p w14:paraId="3876D83D" w14:textId="77777777" w:rsidR="009C0666" w:rsidRPr="006A2BF9" w:rsidRDefault="00ED3103" w:rsidP="00A560AB">
      <w:pPr>
        <w:rPr>
          <w:lang w:val="it-IT"/>
        </w:rPr>
      </w:pPr>
      <w:r w:rsidRPr="006A2BF9">
        <w:rPr>
          <w:lang w:val="it-IT"/>
        </w:rPr>
        <w:t xml:space="preserve">Aybintio </w:t>
      </w:r>
      <w:r w:rsidR="00A560AB" w:rsidRPr="006A2BF9">
        <w:rPr>
          <w:lang w:val="it-IT"/>
        </w:rPr>
        <w:t xml:space="preserve">in </w:t>
      </w:r>
      <w:r w:rsidR="00C12264" w:rsidRPr="006A2BF9">
        <w:rPr>
          <w:lang w:val="it-IT"/>
        </w:rPr>
        <w:t xml:space="preserve">associazione </w:t>
      </w:r>
      <w:r w:rsidR="002204B6" w:rsidRPr="006A2BF9">
        <w:rPr>
          <w:lang w:val="it-IT"/>
        </w:rPr>
        <w:t xml:space="preserve">a </w:t>
      </w:r>
      <w:r w:rsidR="00A560AB" w:rsidRPr="006A2BF9">
        <w:rPr>
          <w:lang w:val="it-IT"/>
        </w:rPr>
        <w:t>chemioterapia a base di fluoropirimidine è indicato per il trattamento di pazienti</w:t>
      </w:r>
      <w:r w:rsidR="00EE2AFB" w:rsidRPr="006A2BF9">
        <w:rPr>
          <w:lang w:val="it-IT"/>
        </w:rPr>
        <w:t xml:space="preserve"> adulti</w:t>
      </w:r>
      <w:r w:rsidR="00A560AB" w:rsidRPr="006A2BF9">
        <w:rPr>
          <w:lang w:val="it-IT"/>
        </w:rPr>
        <w:t xml:space="preserve"> con carcinoma metastatico del colon e del retto.</w:t>
      </w:r>
    </w:p>
    <w:p w14:paraId="42525E2C" w14:textId="77777777" w:rsidR="009C0666" w:rsidRPr="006A2BF9" w:rsidRDefault="009C0666" w:rsidP="009C0666">
      <w:pPr>
        <w:rPr>
          <w:lang w:val="it-IT"/>
        </w:rPr>
      </w:pPr>
    </w:p>
    <w:p w14:paraId="6CF398CC" w14:textId="77777777" w:rsidR="009C0666" w:rsidRPr="00330A40" w:rsidRDefault="00ED3103" w:rsidP="009C0666">
      <w:pPr>
        <w:rPr>
          <w:lang w:val="it-IT"/>
        </w:rPr>
      </w:pPr>
      <w:r w:rsidRPr="006A2BF9">
        <w:rPr>
          <w:lang w:val="it-IT"/>
        </w:rPr>
        <w:t xml:space="preserve">Aybintio </w:t>
      </w:r>
      <w:r w:rsidR="009C0666" w:rsidRPr="006A2BF9">
        <w:rPr>
          <w:lang w:val="it-IT"/>
        </w:rPr>
        <w:t xml:space="preserve">in </w:t>
      </w:r>
      <w:r w:rsidR="00645F60" w:rsidRPr="006A2BF9">
        <w:rPr>
          <w:lang w:val="it-IT"/>
        </w:rPr>
        <w:t xml:space="preserve">associazione </w:t>
      </w:r>
      <w:r w:rsidR="002204B6" w:rsidRPr="006A2BF9">
        <w:rPr>
          <w:lang w:val="it-IT"/>
        </w:rPr>
        <w:t xml:space="preserve">a </w:t>
      </w:r>
      <w:r w:rsidR="001B3791" w:rsidRPr="006A2BF9">
        <w:rPr>
          <w:lang w:val="it-IT"/>
        </w:rPr>
        <w:t>paclitaxel</w:t>
      </w:r>
      <w:r w:rsidR="009C0666" w:rsidRPr="006A2BF9">
        <w:rPr>
          <w:lang w:val="it-IT"/>
        </w:rPr>
        <w:t xml:space="preserve"> è indicato per il trattamento in prima linea di pazienti</w:t>
      </w:r>
      <w:r w:rsidR="008A52A5" w:rsidRPr="006A2BF9">
        <w:rPr>
          <w:lang w:val="it-IT"/>
        </w:rPr>
        <w:t xml:space="preserve"> adulti</w:t>
      </w:r>
      <w:r w:rsidR="009C0666" w:rsidRPr="006A2BF9">
        <w:rPr>
          <w:lang w:val="it-IT"/>
        </w:rPr>
        <w:t xml:space="preserve"> con </w:t>
      </w:r>
      <w:r w:rsidR="00E04596" w:rsidRPr="006A2BF9">
        <w:rPr>
          <w:lang w:val="it-IT"/>
        </w:rPr>
        <w:t xml:space="preserve">cancro della mammella </w:t>
      </w:r>
      <w:r w:rsidR="009C0666" w:rsidRPr="00330A40">
        <w:rPr>
          <w:lang w:val="it-IT"/>
        </w:rPr>
        <w:t>metastatico.</w:t>
      </w:r>
      <w:r w:rsidR="001B3791" w:rsidRPr="00330A40">
        <w:rPr>
          <w:lang w:val="it-IT"/>
        </w:rPr>
        <w:t xml:space="preserve"> Per ulteriori informazioni relative allo stato d</w:t>
      </w:r>
      <w:r w:rsidR="00EE2AFB" w:rsidRPr="00330A40">
        <w:rPr>
          <w:lang w:val="it-IT"/>
        </w:rPr>
        <w:t>el recettore</w:t>
      </w:r>
      <w:r w:rsidRPr="00330A40">
        <w:rPr>
          <w:lang w:val="it-IT"/>
        </w:rPr>
        <w:t> </w:t>
      </w:r>
      <w:r w:rsidR="00EE2AFB" w:rsidRPr="00330A40">
        <w:rPr>
          <w:lang w:val="it-IT"/>
        </w:rPr>
        <w:t>2 per il fattore di crescita epidermico umano</w:t>
      </w:r>
      <w:r w:rsidRPr="00330A40">
        <w:rPr>
          <w:lang w:val="it-IT"/>
        </w:rPr>
        <w:t> </w:t>
      </w:r>
      <w:r w:rsidR="00EE2AFB" w:rsidRPr="00330A40">
        <w:rPr>
          <w:lang w:val="it-IT"/>
        </w:rPr>
        <w:t>(</w:t>
      </w:r>
      <w:r w:rsidR="001B3791" w:rsidRPr="00330A40">
        <w:rPr>
          <w:lang w:val="it-IT"/>
        </w:rPr>
        <w:t>HER2</w:t>
      </w:r>
      <w:r w:rsidR="00EE2AFB" w:rsidRPr="00330A40">
        <w:rPr>
          <w:lang w:val="it-IT"/>
        </w:rPr>
        <w:t>)</w:t>
      </w:r>
      <w:r w:rsidR="001B3791" w:rsidRPr="00330A40">
        <w:rPr>
          <w:lang w:val="it-IT"/>
        </w:rPr>
        <w:t xml:space="preserve"> fare riferimento al paragrafo</w:t>
      </w:r>
      <w:r w:rsidRPr="00330A40">
        <w:rPr>
          <w:lang w:val="it-IT"/>
        </w:rPr>
        <w:t> </w:t>
      </w:r>
      <w:r w:rsidR="001B3791" w:rsidRPr="00330A40">
        <w:rPr>
          <w:lang w:val="it-IT"/>
        </w:rPr>
        <w:t>5.1</w:t>
      </w:r>
      <w:r w:rsidR="007D4C67" w:rsidRPr="00330A40">
        <w:rPr>
          <w:lang w:val="it-IT"/>
        </w:rPr>
        <w:t>.</w:t>
      </w:r>
    </w:p>
    <w:p w14:paraId="5839A9A4" w14:textId="77777777" w:rsidR="00CF3E46" w:rsidRPr="00330A40" w:rsidRDefault="00CF3E46" w:rsidP="009C0666">
      <w:pPr>
        <w:rPr>
          <w:lang w:val="it-IT"/>
        </w:rPr>
      </w:pPr>
    </w:p>
    <w:p w14:paraId="372DE932" w14:textId="77777777" w:rsidR="00CF3E46" w:rsidRPr="006A2BF9" w:rsidRDefault="00ED3103" w:rsidP="009C0666">
      <w:pPr>
        <w:rPr>
          <w:lang w:val="it-IT"/>
        </w:rPr>
      </w:pPr>
      <w:r w:rsidRPr="006A2BF9">
        <w:rPr>
          <w:lang w:val="it-IT"/>
        </w:rPr>
        <w:t xml:space="preserve">Aybintio </w:t>
      </w:r>
      <w:r w:rsidR="00CF3E46" w:rsidRPr="006A2BF9">
        <w:rPr>
          <w:lang w:val="it-IT"/>
        </w:rPr>
        <w:t xml:space="preserve">in </w:t>
      </w:r>
      <w:r w:rsidR="00645F60" w:rsidRPr="006A2BF9">
        <w:rPr>
          <w:lang w:val="it-IT"/>
        </w:rPr>
        <w:t xml:space="preserve">associazione </w:t>
      </w:r>
      <w:r w:rsidR="002204B6" w:rsidRPr="006A2BF9">
        <w:rPr>
          <w:lang w:val="it-IT"/>
        </w:rPr>
        <w:t xml:space="preserve">a </w:t>
      </w:r>
      <w:r w:rsidR="00CF3E46" w:rsidRPr="006A2BF9">
        <w:rPr>
          <w:lang w:val="it-IT"/>
        </w:rPr>
        <w:t xml:space="preserve">capecitabina </w:t>
      </w:r>
      <w:r w:rsidR="00BE6D38" w:rsidRPr="006A2BF9">
        <w:rPr>
          <w:lang w:val="it-IT"/>
        </w:rPr>
        <w:t>è indicato per il trattamento in</w:t>
      </w:r>
      <w:r w:rsidR="00CF3E46" w:rsidRPr="006A2BF9">
        <w:rPr>
          <w:lang w:val="it-IT"/>
        </w:rPr>
        <w:t xml:space="preserve"> prima linea di pazienti</w:t>
      </w:r>
      <w:r w:rsidR="008A52A5" w:rsidRPr="006A2BF9">
        <w:rPr>
          <w:lang w:val="it-IT"/>
        </w:rPr>
        <w:t xml:space="preserve"> adulti</w:t>
      </w:r>
      <w:r w:rsidR="00CF3E46" w:rsidRPr="006A2BF9">
        <w:rPr>
          <w:lang w:val="it-IT"/>
        </w:rPr>
        <w:t xml:space="preserve"> con </w:t>
      </w:r>
      <w:r w:rsidR="00EB182B">
        <w:rPr>
          <w:lang w:val="it-IT"/>
        </w:rPr>
        <w:t>cancro della mammella</w:t>
      </w:r>
      <w:r w:rsidR="00CF3E46" w:rsidRPr="00330A40">
        <w:rPr>
          <w:lang w:val="it-IT"/>
        </w:rPr>
        <w:t xml:space="preserve"> metastatico, per </w:t>
      </w:r>
      <w:r w:rsidR="00BE6D38" w:rsidRPr="00330A40">
        <w:rPr>
          <w:lang w:val="it-IT"/>
        </w:rPr>
        <w:t>cui</w:t>
      </w:r>
      <w:r w:rsidR="00CF3E46" w:rsidRPr="00330A40">
        <w:rPr>
          <w:lang w:val="it-IT"/>
        </w:rPr>
        <w:t xml:space="preserve"> una terapia con altri regimi chemioterapici, inclusi </w:t>
      </w:r>
      <w:r w:rsidR="00BE6D38" w:rsidRPr="00330A40">
        <w:rPr>
          <w:lang w:val="it-IT"/>
        </w:rPr>
        <w:t xml:space="preserve">quelli </w:t>
      </w:r>
      <w:r w:rsidR="00CF3E46" w:rsidRPr="00330A40">
        <w:rPr>
          <w:lang w:val="it-IT"/>
        </w:rPr>
        <w:t>a base di taxani o antracicline, non è considerata appropriata. Pazienti che hanno ricevuto un trattamento adiuvante a base d</w:t>
      </w:r>
      <w:r w:rsidR="00CF3E46" w:rsidRPr="006A2BF9">
        <w:rPr>
          <w:lang w:val="it-IT"/>
        </w:rPr>
        <w:t>i taxani o antracicline nei 12</w:t>
      </w:r>
      <w:r w:rsidRPr="006A2BF9">
        <w:rPr>
          <w:lang w:val="it-IT"/>
        </w:rPr>
        <w:t> </w:t>
      </w:r>
      <w:r w:rsidR="00CF3E46" w:rsidRPr="006A2BF9">
        <w:rPr>
          <w:lang w:val="it-IT"/>
        </w:rPr>
        <w:t>mesi precedenti</w:t>
      </w:r>
      <w:r w:rsidR="00BE6D38" w:rsidRPr="006A2BF9">
        <w:rPr>
          <w:lang w:val="it-IT"/>
        </w:rPr>
        <w:t xml:space="preserve"> non devono </w:t>
      </w:r>
      <w:r w:rsidR="008A48B8" w:rsidRPr="006A2BF9">
        <w:rPr>
          <w:lang w:val="it-IT"/>
        </w:rPr>
        <w:t>ricevere il</w:t>
      </w:r>
      <w:r w:rsidR="00BE6D38" w:rsidRPr="006A2BF9">
        <w:rPr>
          <w:lang w:val="it-IT"/>
        </w:rPr>
        <w:t xml:space="preserve"> trattamento con</w:t>
      </w:r>
      <w:r w:rsidR="00CF3E46" w:rsidRPr="006A2BF9">
        <w:rPr>
          <w:lang w:val="it-IT"/>
        </w:rPr>
        <w:t xml:space="preserve"> </w:t>
      </w:r>
      <w:r w:rsidRPr="006A2BF9">
        <w:rPr>
          <w:lang w:val="it-IT"/>
        </w:rPr>
        <w:t xml:space="preserve">Aybintio </w:t>
      </w:r>
      <w:r w:rsidR="00CF3E46" w:rsidRPr="006A2BF9">
        <w:rPr>
          <w:lang w:val="it-IT"/>
        </w:rPr>
        <w:t xml:space="preserve">in </w:t>
      </w:r>
      <w:r w:rsidR="00645F60" w:rsidRPr="006A2BF9">
        <w:rPr>
          <w:lang w:val="it-IT"/>
        </w:rPr>
        <w:t xml:space="preserve">associazione </w:t>
      </w:r>
      <w:r w:rsidR="00403E48" w:rsidRPr="006A2BF9">
        <w:rPr>
          <w:lang w:val="it-IT"/>
        </w:rPr>
        <w:t xml:space="preserve">a </w:t>
      </w:r>
      <w:r w:rsidR="00CF3E46" w:rsidRPr="006A2BF9">
        <w:rPr>
          <w:lang w:val="it-IT"/>
        </w:rPr>
        <w:t>capecitabina. Per ulteriori informazioni relative allo stato di HER2</w:t>
      </w:r>
      <w:r w:rsidR="00BE6D38" w:rsidRPr="006A2BF9">
        <w:rPr>
          <w:lang w:val="it-IT"/>
        </w:rPr>
        <w:t>,</w:t>
      </w:r>
      <w:r w:rsidR="00CF3E46" w:rsidRPr="006A2BF9">
        <w:rPr>
          <w:lang w:val="it-IT"/>
        </w:rPr>
        <w:t xml:space="preserve"> fare riferimento al paragrafo</w:t>
      </w:r>
      <w:r w:rsidRPr="006A2BF9">
        <w:rPr>
          <w:lang w:val="it-IT"/>
        </w:rPr>
        <w:t> </w:t>
      </w:r>
      <w:r w:rsidR="00CF3E46" w:rsidRPr="006A2BF9">
        <w:rPr>
          <w:lang w:val="it-IT"/>
        </w:rPr>
        <w:t>5.1.</w:t>
      </w:r>
    </w:p>
    <w:p w14:paraId="7757FD3A" w14:textId="77777777" w:rsidR="009C0666" w:rsidRPr="006A2BF9" w:rsidRDefault="009C0666" w:rsidP="009C0666">
      <w:pPr>
        <w:rPr>
          <w:lang w:val="it-IT"/>
        </w:rPr>
      </w:pPr>
    </w:p>
    <w:p w14:paraId="059A80A7" w14:textId="77777777" w:rsidR="009C0666" w:rsidRPr="00330A40" w:rsidRDefault="00ED3103" w:rsidP="009C0666">
      <w:pPr>
        <w:rPr>
          <w:lang w:val="it-IT"/>
        </w:rPr>
      </w:pPr>
      <w:r w:rsidRPr="006A2BF9">
        <w:rPr>
          <w:lang w:val="it-IT"/>
        </w:rPr>
        <w:t>Aybintio</w:t>
      </w:r>
      <w:r w:rsidR="009C0666" w:rsidRPr="006A2BF9">
        <w:rPr>
          <w:lang w:val="it-IT"/>
        </w:rPr>
        <w:t>, in aggiunta a chemioterapia a base di platino, è indicato per il trattamento in prima linea di pazienti</w:t>
      </w:r>
      <w:r w:rsidR="008A52A5" w:rsidRPr="006A2BF9">
        <w:rPr>
          <w:lang w:val="it-IT"/>
        </w:rPr>
        <w:t xml:space="preserve"> adulti</w:t>
      </w:r>
      <w:r w:rsidR="009C0666" w:rsidRPr="006A2BF9">
        <w:rPr>
          <w:lang w:val="it-IT"/>
        </w:rPr>
        <w:t xml:space="preserve"> con ca</w:t>
      </w:r>
      <w:r w:rsidR="007022EC" w:rsidRPr="006A2BF9">
        <w:rPr>
          <w:lang w:val="it-IT"/>
        </w:rPr>
        <w:t>ncro del polmone</w:t>
      </w:r>
      <w:r w:rsidR="007022EC" w:rsidRPr="00330A40">
        <w:rPr>
          <w:lang w:val="it-IT"/>
        </w:rPr>
        <w:t xml:space="preserve"> </w:t>
      </w:r>
      <w:r w:rsidR="009C0666" w:rsidRPr="00330A40">
        <w:rPr>
          <w:lang w:val="it-IT"/>
        </w:rPr>
        <w:t xml:space="preserve">non a piccole cellule, non resecabile, avanzato, metastatico o </w:t>
      </w:r>
      <w:r w:rsidR="00465925" w:rsidRPr="00330A40">
        <w:rPr>
          <w:lang w:val="it-IT"/>
        </w:rPr>
        <w:t>ricorrente</w:t>
      </w:r>
      <w:r w:rsidR="009C0666" w:rsidRPr="00330A40">
        <w:rPr>
          <w:lang w:val="it-IT"/>
        </w:rPr>
        <w:t>, con istologia a predominanza non squamo</w:t>
      </w:r>
      <w:r w:rsidR="00E04596" w:rsidRPr="00330A40">
        <w:rPr>
          <w:lang w:val="it-IT"/>
        </w:rPr>
        <w:t>sa</w:t>
      </w:r>
      <w:r w:rsidR="009C0666" w:rsidRPr="00330A40">
        <w:rPr>
          <w:lang w:val="it-IT"/>
        </w:rPr>
        <w:t>.</w:t>
      </w:r>
    </w:p>
    <w:p w14:paraId="13462D69" w14:textId="77777777" w:rsidR="00BB195D" w:rsidRPr="00330A40" w:rsidRDefault="00BB195D" w:rsidP="009C0666">
      <w:pPr>
        <w:rPr>
          <w:lang w:val="it-IT"/>
        </w:rPr>
      </w:pPr>
    </w:p>
    <w:p w14:paraId="0648C51A" w14:textId="77777777" w:rsidR="00BB195D" w:rsidRPr="006A2BF9" w:rsidRDefault="00ED3103" w:rsidP="00BB195D">
      <w:pPr>
        <w:rPr>
          <w:lang w:val="it-IT"/>
        </w:rPr>
      </w:pPr>
      <w:r w:rsidRPr="00330A40">
        <w:rPr>
          <w:lang w:val="it-IT"/>
        </w:rPr>
        <w:t>Aybintio</w:t>
      </w:r>
      <w:r w:rsidR="00BB195D" w:rsidRPr="00330A40">
        <w:rPr>
          <w:lang w:val="it-IT"/>
        </w:rPr>
        <w:t xml:space="preserve">, in associazione </w:t>
      </w:r>
      <w:r w:rsidR="00332EB7" w:rsidRPr="00330A40">
        <w:rPr>
          <w:lang w:val="it-IT"/>
        </w:rPr>
        <w:t xml:space="preserve">a </w:t>
      </w:r>
      <w:r w:rsidR="00BB195D" w:rsidRPr="00330A40">
        <w:rPr>
          <w:lang w:val="it-IT"/>
        </w:rPr>
        <w:t xml:space="preserve">erlotinib, è indicato per il trattamento in prima linea di pazienti adulti affetti da </w:t>
      </w:r>
      <w:r w:rsidR="00CE08B8" w:rsidRPr="006A2BF9">
        <w:rPr>
          <w:lang w:val="it-IT"/>
        </w:rPr>
        <w:t xml:space="preserve">cancro del polmone </w:t>
      </w:r>
      <w:r w:rsidR="00BB195D" w:rsidRPr="006A2BF9">
        <w:rPr>
          <w:lang w:val="it-IT"/>
        </w:rPr>
        <w:t xml:space="preserve">non a piccole cellule non </w:t>
      </w:r>
      <w:r w:rsidR="00CE08B8" w:rsidRPr="006A2BF9">
        <w:rPr>
          <w:lang w:val="it-IT"/>
        </w:rPr>
        <w:t>squamoso</w:t>
      </w:r>
      <w:r w:rsidR="00BB195D" w:rsidRPr="006A2BF9">
        <w:rPr>
          <w:lang w:val="it-IT"/>
        </w:rPr>
        <w:t>, avanzato non resecabile, metastatico o ricorrente, con mutazioni attivanti del recettore del fattor</w:t>
      </w:r>
      <w:r w:rsidR="00F526B9" w:rsidRPr="006A2BF9">
        <w:rPr>
          <w:lang w:val="it-IT"/>
        </w:rPr>
        <w:t>e di crescita epidermico (EGFR) (vedere paragrafo</w:t>
      </w:r>
      <w:r w:rsidRPr="006A2BF9">
        <w:rPr>
          <w:lang w:val="it-IT"/>
        </w:rPr>
        <w:t> </w:t>
      </w:r>
      <w:r w:rsidR="00F526B9" w:rsidRPr="006A2BF9">
        <w:rPr>
          <w:lang w:val="it-IT"/>
        </w:rPr>
        <w:t>5.1).</w:t>
      </w:r>
    </w:p>
    <w:p w14:paraId="30BE3383" w14:textId="77777777" w:rsidR="009C0666" w:rsidRPr="006A2BF9" w:rsidRDefault="009C0666" w:rsidP="009C0666">
      <w:pPr>
        <w:rPr>
          <w:lang w:val="it-IT"/>
        </w:rPr>
      </w:pPr>
    </w:p>
    <w:p w14:paraId="0BCB03DB" w14:textId="77777777" w:rsidR="009C0666" w:rsidRPr="00330A40" w:rsidRDefault="00ED3103" w:rsidP="009C0666">
      <w:pPr>
        <w:rPr>
          <w:lang w:val="it-IT"/>
        </w:rPr>
      </w:pPr>
      <w:r w:rsidRPr="006A2BF9">
        <w:rPr>
          <w:lang w:val="it-IT"/>
        </w:rPr>
        <w:lastRenderedPageBreak/>
        <w:t xml:space="preserve">Aybintio </w:t>
      </w:r>
      <w:r w:rsidR="009C0666" w:rsidRPr="006A2BF9">
        <w:rPr>
          <w:lang w:val="it-IT"/>
        </w:rPr>
        <w:t xml:space="preserve">in </w:t>
      </w:r>
      <w:r w:rsidR="00645F60" w:rsidRPr="006A2BF9">
        <w:rPr>
          <w:lang w:val="it-IT"/>
        </w:rPr>
        <w:t xml:space="preserve">associazione </w:t>
      </w:r>
      <w:r w:rsidR="00332EB7" w:rsidRPr="006A2BF9">
        <w:rPr>
          <w:lang w:val="it-IT"/>
        </w:rPr>
        <w:t xml:space="preserve">a </w:t>
      </w:r>
      <w:r w:rsidR="009C0666" w:rsidRPr="006A2BF9">
        <w:rPr>
          <w:lang w:val="it-IT"/>
        </w:rPr>
        <w:t>interferone alfa-2a è indicato per il trattamento in prima linea di pazienti</w:t>
      </w:r>
      <w:r w:rsidR="008A52A5" w:rsidRPr="006A2BF9">
        <w:rPr>
          <w:lang w:val="it-IT"/>
        </w:rPr>
        <w:t xml:space="preserve"> adulti</w:t>
      </w:r>
      <w:r w:rsidR="009C0666" w:rsidRPr="006A2BF9">
        <w:rPr>
          <w:lang w:val="it-IT"/>
        </w:rPr>
        <w:t xml:space="preserve"> con ca</w:t>
      </w:r>
      <w:r w:rsidR="007022EC" w:rsidRPr="006A2BF9">
        <w:rPr>
          <w:lang w:val="it-IT"/>
        </w:rPr>
        <w:t>ncro a cellule renali</w:t>
      </w:r>
      <w:r w:rsidR="007022EC" w:rsidRPr="00330A40">
        <w:rPr>
          <w:lang w:val="it-IT"/>
        </w:rPr>
        <w:t xml:space="preserve"> </w:t>
      </w:r>
      <w:r w:rsidR="009C0666" w:rsidRPr="00330A40">
        <w:rPr>
          <w:lang w:val="it-IT"/>
        </w:rPr>
        <w:t>avanzato e/o metastatico.</w:t>
      </w:r>
    </w:p>
    <w:p w14:paraId="065FA52E" w14:textId="77777777" w:rsidR="00674B79" w:rsidRPr="00330A40" w:rsidRDefault="00674B79" w:rsidP="009C0666">
      <w:pPr>
        <w:rPr>
          <w:lang w:val="it-IT"/>
        </w:rPr>
      </w:pPr>
    </w:p>
    <w:p w14:paraId="1E50872A" w14:textId="77777777" w:rsidR="00674B79" w:rsidRPr="00330A40" w:rsidRDefault="00ED3103" w:rsidP="00323494">
      <w:pPr>
        <w:keepLines/>
        <w:rPr>
          <w:color w:val="000000"/>
          <w:lang w:val="it-IT"/>
        </w:rPr>
      </w:pPr>
      <w:r w:rsidRPr="00330A40">
        <w:rPr>
          <w:lang w:val="it-IT"/>
        </w:rPr>
        <w:t>Aybintio</w:t>
      </w:r>
      <w:r w:rsidR="00674B79" w:rsidRPr="00330A40">
        <w:rPr>
          <w:color w:val="000000"/>
          <w:lang w:val="it-IT"/>
        </w:rPr>
        <w:t xml:space="preserve">, in </w:t>
      </w:r>
      <w:r w:rsidR="00645F60" w:rsidRPr="00330A40">
        <w:rPr>
          <w:color w:val="000000"/>
          <w:lang w:val="it-IT"/>
        </w:rPr>
        <w:t xml:space="preserve">associazione </w:t>
      </w:r>
      <w:r w:rsidR="00332EB7" w:rsidRPr="00330A40">
        <w:rPr>
          <w:color w:val="000000"/>
          <w:lang w:val="it-IT"/>
        </w:rPr>
        <w:t xml:space="preserve">a </w:t>
      </w:r>
      <w:r w:rsidR="00674B79" w:rsidRPr="00330A40">
        <w:rPr>
          <w:color w:val="000000"/>
          <w:lang w:val="it-IT"/>
        </w:rPr>
        <w:t>carboplatino e paclitaxel</w:t>
      </w:r>
      <w:r w:rsidR="00332EB7" w:rsidRPr="00330A40">
        <w:rPr>
          <w:color w:val="000000"/>
          <w:lang w:val="it-IT"/>
        </w:rPr>
        <w:t>,</w:t>
      </w:r>
      <w:r w:rsidR="00674B79" w:rsidRPr="00330A40">
        <w:rPr>
          <w:color w:val="000000"/>
          <w:lang w:val="it-IT"/>
        </w:rPr>
        <w:t xml:space="preserve"> è indicato per il trattamento </w:t>
      </w:r>
      <w:r w:rsidR="00F743AA" w:rsidRPr="00330A40">
        <w:rPr>
          <w:color w:val="000000"/>
          <w:lang w:val="it-IT"/>
        </w:rPr>
        <w:t>in</w:t>
      </w:r>
      <w:r w:rsidR="00674B79" w:rsidRPr="00330A40">
        <w:rPr>
          <w:color w:val="000000"/>
          <w:lang w:val="it-IT"/>
        </w:rPr>
        <w:t xml:space="preserve"> prima linea del ca</w:t>
      </w:r>
      <w:r w:rsidR="007022EC" w:rsidRPr="00330A40">
        <w:rPr>
          <w:color w:val="000000"/>
          <w:lang w:val="it-IT"/>
        </w:rPr>
        <w:t xml:space="preserve">ncro </w:t>
      </w:r>
      <w:r w:rsidR="00674B79" w:rsidRPr="006A2BF9">
        <w:rPr>
          <w:color w:val="000000"/>
          <w:lang w:val="it-IT"/>
        </w:rPr>
        <w:t>epiteliale</w:t>
      </w:r>
      <w:r w:rsidR="007022EC" w:rsidRPr="00330A40">
        <w:rPr>
          <w:color w:val="000000"/>
          <w:lang w:val="it-IT"/>
        </w:rPr>
        <w:t xml:space="preserve"> dell’ovaio</w:t>
      </w:r>
      <w:r w:rsidR="00674B79" w:rsidRPr="00330A40">
        <w:rPr>
          <w:color w:val="000000"/>
          <w:lang w:val="it-IT"/>
        </w:rPr>
        <w:t xml:space="preserve">, del </w:t>
      </w:r>
      <w:r w:rsidR="007022EC" w:rsidRPr="00330A40">
        <w:rPr>
          <w:color w:val="000000"/>
          <w:lang w:val="it-IT"/>
        </w:rPr>
        <w:t xml:space="preserve">cancro </w:t>
      </w:r>
      <w:r w:rsidR="00332EB7" w:rsidRPr="00330A40">
        <w:rPr>
          <w:color w:val="000000"/>
          <w:lang w:val="it-IT"/>
        </w:rPr>
        <w:t xml:space="preserve">della </w:t>
      </w:r>
      <w:r w:rsidR="00674B79" w:rsidRPr="00330A40">
        <w:rPr>
          <w:color w:val="000000"/>
          <w:lang w:val="it-IT"/>
        </w:rPr>
        <w:t>tub</w:t>
      </w:r>
      <w:r w:rsidR="00332EB7" w:rsidRPr="00330A40">
        <w:rPr>
          <w:color w:val="000000"/>
          <w:lang w:val="it-IT"/>
        </w:rPr>
        <w:t>a</w:t>
      </w:r>
      <w:r w:rsidR="00674B79" w:rsidRPr="00330A40">
        <w:rPr>
          <w:color w:val="000000"/>
          <w:lang w:val="it-IT"/>
        </w:rPr>
        <w:t xml:space="preserve"> di </w:t>
      </w:r>
      <w:r w:rsidR="00CF262D" w:rsidRPr="00330A40">
        <w:rPr>
          <w:color w:val="000000"/>
          <w:lang w:val="it-IT"/>
        </w:rPr>
        <w:t>F</w:t>
      </w:r>
      <w:r w:rsidR="00674B79" w:rsidRPr="00330A40">
        <w:rPr>
          <w:color w:val="000000"/>
          <w:lang w:val="it-IT"/>
        </w:rPr>
        <w:t xml:space="preserve">alloppio o del </w:t>
      </w:r>
      <w:r w:rsidR="007022EC" w:rsidRPr="00330A40">
        <w:rPr>
          <w:color w:val="000000"/>
          <w:lang w:val="it-IT"/>
        </w:rPr>
        <w:t xml:space="preserve">cancro </w:t>
      </w:r>
      <w:r w:rsidR="00674B79" w:rsidRPr="00330A40">
        <w:rPr>
          <w:color w:val="000000"/>
          <w:lang w:val="it-IT"/>
        </w:rPr>
        <w:t xml:space="preserve">peritoneale primario in stadio avanzato (stadio III B, III C e IV, secondo la </w:t>
      </w:r>
      <w:r w:rsidR="00E94AFF" w:rsidRPr="00330A40">
        <w:rPr>
          <w:color w:val="000000"/>
          <w:lang w:val="it-IT"/>
        </w:rPr>
        <w:t>Federazion</w:t>
      </w:r>
      <w:r w:rsidR="00547F4B" w:rsidRPr="00330A40">
        <w:rPr>
          <w:color w:val="000000"/>
          <w:lang w:val="it-IT"/>
        </w:rPr>
        <w:t>e</w:t>
      </w:r>
      <w:r w:rsidR="00E94AFF" w:rsidRPr="00330A40">
        <w:rPr>
          <w:color w:val="000000"/>
          <w:lang w:val="it-IT"/>
        </w:rPr>
        <w:t xml:space="preserve"> Internazionale di Ginecologia e Ostetricia</w:t>
      </w:r>
      <w:r w:rsidR="00330A40">
        <w:rPr>
          <w:color w:val="000000"/>
          <w:lang w:val="it-IT"/>
        </w:rPr>
        <w:t>,</w:t>
      </w:r>
      <w:r w:rsidR="00E94AFF" w:rsidRPr="00330A40">
        <w:rPr>
          <w:color w:val="000000"/>
          <w:lang w:val="it-IT"/>
        </w:rPr>
        <w:t xml:space="preserve"> </w:t>
      </w:r>
      <w:r w:rsidR="00674B79" w:rsidRPr="00330A40">
        <w:rPr>
          <w:color w:val="000000"/>
          <w:lang w:val="it-IT"/>
        </w:rPr>
        <w:t>FIGO)</w:t>
      </w:r>
      <w:r w:rsidR="008A52A5" w:rsidRPr="00330A40">
        <w:rPr>
          <w:color w:val="000000"/>
          <w:lang w:val="it-IT"/>
        </w:rPr>
        <w:t xml:space="preserve"> in pazienti adult</w:t>
      </w:r>
      <w:r w:rsidR="00B60879" w:rsidRPr="00330A40">
        <w:rPr>
          <w:color w:val="000000"/>
          <w:lang w:val="it-IT"/>
        </w:rPr>
        <w:t>e</w:t>
      </w:r>
      <w:r w:rsidR="00C15C6B" w:rsidRPr="00330A40">
        <w:rPr>
          <w:color w:val="000000"/>
          <w:lang w:val="it-IT"/>
        </w:rPr>
        <w:t xml:space="preserve"> (vedere paragrafo</w:t>
      </w:r>
      <w:r w:rsidRPr="00330A40">
        <w:rPr>
          <w:color w:val="000000"/>
          <w:lang w:val="it-IT"/>
        </w:rPr>
        <w:t> </w:t>
      </w:r>
      <w:r w:rsidR="00C15C6B" w:rsidRPr="00330A40">
        <w:rPr>
          <w:color w:val="000000"/>
          <w:lang w:val="it-IT"/>
        </w:rPr>
        <w:t>5.1)</w:t>
      </w:r>
      <w:r w:rsidR="00674B79" w:rsidRPr="00330A40">
        <w:rPr>
          <w:color w:val="000000"/>
          <w:lang w:val="it-IT"/>
        </w:rPr>
        <w:t>.</w:t>
      </w:r>
    </w:p>
    <w:p w14:paraId="125E2B9B" w14:textId="77777777" w:rsidR="006620E1" w:rsidRPr="00330A40" w:rsidRDefault="006620E1" w:rsidP="009C0666">
      <w:pPr>
        <w:rPr>
          <w:color w:val="000000"/>
          <w:lang w:val="it-IT"/>
        </w:rPr>
      </w:pPr>
    </w:p>
    <w:p w14:paraId="41BB8883" w14:textId="77777777" w:rsidR="006620E1" w:rsidRPr="00330A40" w:rsidRDefault="00ED3103" w:rsidP="009C0666">
      <w:pPr>
        <w:rPr>
          <w:lang w:val="it-IT"/>
        </w:rPr>
      </w:pPr>
      <w:r w:rsidRPr="006A2BF9">
        <w:rPr>
          <w:lang w:val="it-IT"/>
        </w:rPr>
        <w:t>Aybintio</w:t>
      </w:r>
      <w:r w:rsidR="006620E1" w:rsidRPr="006A2BF9">
        <w:rPr>
          <w:lang w:val="it-IT"/>
        </w:rPr>
        <w:t xml:space="preserve">, in </w:t>
      </w:r>
      <w:r w:rsidR="00645F60" w:rsidRPr="006A2BF9">
        <w:rPr>
          <w:lang w:val="it-IT"/>
        </w:rPr>
        <w:t xml:space="preserve">associazione </w:t>
      </w:r>
      <w:r w:rsidR="00332EB7" w:rsidRPr="006A2BF9">
        <w:rPr>
          <w:lang w:val="it-IT"/>
        </w:rPr>
        <w:t xml:space="preserve">a </w:t>
      </w:r>
      <w:r w:rsidR="006620E1" w:rsidRPr="006A2BF9">
        <w:rPr>
          <w:lang w:val="it-IT"/>
        </w:rPr>
        <w:t xml:space="preserve">carboplatino e gemcitabina </w:t>
      </w:r>
      <w:r w:rsidR="00C15C6B" w:rsidRPr="006A2BF9">
        <w:rPr>
          <w:lang w:val="it-IT"/>
        </w:rPr>
        <w:t xml:space="preserve">o </w:t>
      </w:r>
      <w:r w:rsidR="00D13A53" w:rsidRPr="006A2BF9">
        <w:rPr>
          <w:lang w:val="it-IT"/>
        </w:rPr>
        <w:t xml:space="preserve">in </w:t>
      </w:r>
      <w:r w:rsidR="00332EB7" w:rsidRPr="006A2BF9">
        <w:rPr>
          <w:lang w:val="it-IT"/>
        </w:rPr>
        <w:t>associazione a</w:t>
      </w:r>
      <w:r w:rsidR="00C15C6B" w:rsidRPr="006A2BF9">
        <w:rPr>
          <w:lang w:val="it-IT"/>
        </w:rPr>
        <w:t xml:space="preserve"> carboplatino e paclitaxel</w:t>
      </w:r>
      <w:r w:rsidR="00332EB7" w:rsidRPr="006A2BF9">
        <w:rPr>
          <w:lang w:val="it-IT"/>
        </w:rPr>
        <w:t>,</w:t>
      </w:r>
      <w:r w:rsidR="00C15C6B" w:rsidRPr="006A2BF9">
        <w:rPr>
          <w:lang w:val="it-IT"/>
        </w:rPr>
        <w:t xml:space="preserve"> </w:t>
      </w:r>
      <w:r w:rsidR="006620E1" w:rsidRPr="006A2BF9">
        <w:rPr>
          <w:lang w:val="it-IT"/>
        </w:rPr>
        <w:t xml:space="preserve">è indicato </w:t>
      </w:r>
      <w:r w:rsidR="00465925" w:rsidRPr="006A2BF9">
        <w:rPr>
          <w:lang w:val="it-IT"/>
        </w:rPr>
        <w:t xml:space="preserve">per il </w:t>
      </w:r>
      <w:r w:rsidR="006620E1" w:rsidRPr="006A2BF9">
        <w:rPr>
          <w:lang w:val="it-IT"/>
        </w:rPr>
        <w:t>trattamento di pazienti adult</w:t>
      </w:r>
      <w:r w:rsidR="00B60879" w:rsidRPr="006A2BF9">
        <w:rPr>
          <w:lang w:val="it-IT"/>
        </w:rPr>
        <w:t>e</w:t>
      </w:r>
      <w:r w:rsidR="006620E1" w:rsidRPr="006A2BF9">
        <w:rPr>
          <w:lang w:val="it-IT"/>
        </w:rPr>
        <w:t xml:space="preserve"> con prima recidiva di</w:t>
      </w:r>
      <w:r w:rsidR="00C932DA" w:rsidRPr="006A2BF9">
        <w:rPr>
          <w:lang w:val="it-IT"/>
        </w:rPr>
        <w:t xml:space="preserve"> </w:t>
      </w:r>
      <w:r w:rsidR="00EB182B">
        <w:rPr>
          <w:lang w:val="it-IT"/>
        </w:rPr>
        <w:t>cancro epiteliale dell’ovaio</w:t>
      </w:r>
      <w:r w:rsidR="006620E1" w:rsidRPr="00330A40">
        <w:rPr>
          <w:lang w:val="it-IT"/>
        </w:rPr>
        <w:t xml:space="preserve">, </w:t>
      </w:r>
      <w:r w:rsidR="00560A5F">
        <w:rPr>
          <w:lang w:val="it-IT"/>
        </w:rPr>
        <w:t>cancro</w:t>
      </w:r>
      <w:r w:rsidR="00560A5F" w:rsidRPr="00330A40">
        <w:rPr>
          <w:lang w:val="it-IT"/>
        </w:rPr>
        <w:t xml:space="preserve"> </w:t>
      </w:r>
      <w:r w:rsidR="00332EB7" w:rsidRPr="00330A40">
        <w:rPr>
          <w:lang w:val="it-IT"/>
        </w:rPr>
        <w:t xml:space="preserve">della tuba </w:t>
      </w:r>
      <w:r w:rsidR="00C932DA" w:rsidRPr="00330A40">
        <w:rPr>
          <w:lang w:val="it-IT"/>
        </w:rPr>
        <w:t xml:space="preserve">di </w:t>
      </w:r>
      <w:r w:rsidR="00B43A81" w:rsidRPr="00330A40">
        <w:rPr>
          <w:lang w:val="it-IT"/>
        </w:rPr>
        <w:t>F</w:t>
      </w:r>
      <w:r w:rsidR="000879B8" w:rsidRPr="00330A40">
        <w:rPr>
          <w:lang w:val="it-IT"/>
        </w:rPr>
        <w:t>alloppio</w:t>
      </w:r>
      <w:r w:rsidR="00C932DA" w:rsidRPr="00330A40">
        <w:rPr>
          <w:lang w:val="it-IT"/>
        </w:rPr>
        <w:t xml:space="preserve"> o </w:t>
      </w:r>
      <w:r w:rsidR="00560A5F">
        <w:rPr>
          <w:lang w:val="it-IT"/>
        </w:rPr>
        <w:t>cancro</w:t>
      </w:r>
      <w:r w:rsidR="00560A5F" w:rsidRPr="00330A40">
        <w:rPr>
          <w:lang w:val="it-IT"/>
        </w:rPr>
        <w:t xml:space="preserve"> </w:t>
      </w:r>
      <w:r w:rsidR="00C932DA" w:rsidRPr="00330A40">
        <w:rPr>
          <w:lang w:val="it-IT"/>
        </w:rPr>
        <w:t>peritoneale</w:t>
      </w:r>
      <w:r w:rsidR="006620E1" w:rsidRPr="00330A40">
        <w:rPr>
          <w:lang w:val="it-IT"/>
        </w:rPr>
        <w:t xml:space="preserve"> primari</w:t>
      </w:r>
      <w:r w:rsidR="00C932DA" w:rsidRPr="00330A40">
        <w:rPr>
          <w:lang w:val="it-IT"/>
        </w:rPr>
        <w:t>o</w:t>
      </w:r>
      <w:r w:rsidR="000879B8" w:rsidRPr="00330A40">
        <w:rPr>
          <w:lang w:val="it-IT"/>
        </w:rPr>
        <w:t xml:space="preserve"> </w:t>
      </w:r>
      <w:r w:rsidR="00436C24" w:rsidRPr="00330A40">
        <w:rPr>
          <w:lang w:val="it-IT"/>
        </w:rPr>
        <w:t>platino-sensibil</w:t>
      </w:r>
      <w:r w:rsidR="00242C84" w:rsidRPr="00330A40">
        <w:rPr>
          <w:lang w:val="it-IT"/>
        </w:rPr>
        <w:t>i</w:t>
      </w:r>
      <w:r w:rsidR="00436C24" w:rsidRPr="00330A40">
        <w:rPr>
          <w:lang w:val="it-IT"/>
        </w:rPr>
        <w:t xml:space="preserve"> </w:t>
      </w:r>
      <w:r w:rsidR="000879B8" w:rsidRPr="00330A40">
        <w:rPr>
          <w:lang w:val="it-IT"/>
        </w:rPr>
        <w:t xml:space="preserve">che non hanno ricevuto </w:t>
      </w:r>
      <w:r w:rsidR="00CA2B90" w:rsidRPr="00330A40">
        <w:rPr>
          <w:lang w:val="it-IT"/>
        </w:rPr>
        <w:t>una precedente</w:t>
      </w:r>
      <w:r w:rsidR="000879B8" w:rsidRPr="00330A40">
        <w:rPr>
          <w:lang w:val="it-IT"/>
        </w:rPr>
        <w:t xml:space="preserve"> terapia con bevacizumab o altri inibitori </w:t>
      </w:r>
      <w:r w:rsidR="003A226F" w:rsidRPr="00330A40">
        <w:rPr>
          <w:lang w:val="it-IT"/>
        </w:rPr>
        <w:t>del fattore di crescita dell</w:t>
      </w:r>
      <w:r w:rsidRPr="00330A40">
        <w:rPr>
          <w:lang w:val="it-IT"/>
        </w:rPr>
        <w:t>’</w:t>
      </w:r>
      <w:r w:rsidR="003A226F" w:rsidRPr="006A2BF9">
        <w:rPr>
          <w:lang w:val="it-IT"/>
        </w:rPr>
        <w:t>endotelio vascolare (</w:t>
      </w:r>
      <w:r w:rsidR="003A226F" w:rsidRPr="000F0246">
        <w:rPr>
          <w:i/>
          <w:lang w:val="it-IT"/>
        </w:rPr>
        <w:t>vascular endothelial growth factor</w:t>
      </w:r>
      <w:r w:rsidR="003A226F" w:rsidRPr="00330A40">
        <w:rPr>
          <w:lang w:val="it-IT"/>
        </w:rPr>
        <w:t xml:space="preserve">, </w:t>
      </w:r>
      <w:r w:rsidR="00AB0449" w:rsidRPr="00330A40">
        <w:rPr>
          <w:lang w:val="it-IT"/>
        </w:rPr>
        <w:t>VEGF</w:t>
      </w:r>
      <w:r w:rsidR="003A226F" w:rsidRPr="00330A40">
        <w:rPr>
          <w:lang w:val="it-IT"/>
        </w:rPr>
        <w:t>)</w:t>
      </w:r>
      <w:r w:rsidR="00AB0449" w:rsidRPr="00330A40">
        <w:rPr>
          <w:lang w:val="it-IT"/>
        </w:rPr>
        <w:t xml:space="preserve"> o</w:t>
      </w:r>
      <w:r w:rsidR="00CA2B90" w:rsidRPr="00330A40">
        <w:rPr>
          <w:lang w:val="it-IT"/>
        </w:rPr>
        <w:t xml:space="preserve"> altri</w:t>
      </w:r>
      <w:r w:rsidR="000879B8" w:rsidRPr="00330A40">
        <w:rPr>
          <w:lang w:val="it-IT"/>
        </w:rPr>
        <w:t xml:space="preserve"> agenti</w:t>
      </w:r>
      <w:r w:rsidR="00AB0449" w:rsidRPr="00330A40">
        <w:rPr>
          <w:lang w:val="it-IT"/>
        </w:rPr>
        <w:t xml:space="preserve"> mirati al recettore VEGF.</w:t>
      </w:r>
    </w:p>
    <w:p w14:paraId="5270F410" w14:textId="77777777" w:rsidR="009C0666" w:rsidRPr="00330A40" w:rsidRDefault="009C0666" w:rsidP="009C0666">
      <w:pPr>
        <w:rPr>
          <w:lang w:val="it-IT"/>
        </w:rPr>
      </w:pPr>
    </w:p>
    <w:p w14:paraId="524FE7EC" w14:textId="77777777" w:rsidR="00436C24" w:rsidRPr="00330A40" w:rsidRDefault="00ED3103" w:rsidP="00436C24">
      <w:pPr>
        <w:rPr>
          <w:lang w:val="it-IT"/>
        </w:rPr>
      </w:pPr>
      <w:r w:rsidRPr="006A2BF9">
        <w:rPr>
          <w:lang w:val="it-IT"/>
        </w:rPr>
        <w:t xml:space="preserve">Aybintio </w:t>
      </w:r>
      <w:r w:rsidR="00436C24" w:rsidRPr="006A2BF9">
        <w:rPr>
          <w:lang w:val="it-IT"/>
        </w:rPr>
        <w:t xml:space="preserve">in </w:t>
      </w:r>
      <w:r w:rsidR="00E32D61" w:rsidRPr="006A2BF9">
        <w:rPr>
          <w:lang w:val="it-IT"/>
        </w:rPr>
        <w:t xml:space="preserve">associazione </w:t>
      </w:r>
      <w:r w:rsidR="002D52B1">
        <w:rPr>
          <w:lang w:val="it-IT"/>
        </w:rPr>
        <w:t xml:space="preserve">con </w:t>
      </w:r>
      <w:r w:rsidR="002D52B1" w:rsidRPr="00E6020B">
        <w:rPr>
          <w:szCs w:val="22"/>
          <w:lang w:val="it-IT"/>
        </w:rPr>
        <w:t>paclitaxel,</w:t>
      </w:r>
      <w:r w:rsidR="00F021F5" w:rsidRPr="006A2BF9">
        <w:rPr>
          <w:lang w:val="it-IT"/>
        </w:rPr>
        <w:t xml:space="preserve"> </w:t>
      </w:r>
      <w:r w:rsidR="00436C24" w:rsidRPr="006A2BF9">
        <w:rPr>
          <w:lang w:val="it-IT"/>
        </w:rPr>
        <w:t>topotecan o doxorubicina liposomiale pegilata è indicato per il trattamento di pazienti adult</w:t>
      </w:r>
      <w:r w:rsidR="00B60879" w:rsidRPr="006A2BF9">
        <w:rPr>
          <w:lang w:val="it-IT"/>
        </w:rPr>
        <w:t>e</w:t>
      </w:r>
      <w:r w:rsidR="00436C24" w:rsidRPr="006A2BF9">
        <w:rPr>
          <w:lang w:val="it-IT"/>
        </w:rPr>
        <w:t xml:space="preserve"> con recidiva di </w:t>
      </w:r>
      <w:r w:rsidR="00EB182B">
        <w:rPr>
          <w:lang w:val="it-IT"/>
        </w:rPr>
        <w:t>cancro epiteliale dell’ovaio</w:t>
      </w:r>
      <w:r w:rsidR="00436C24" w:rsidRPr="00330A40">
        <w:rPr>
          <w:lang w:val="it-IT"/>
        </w:rPr>
        <w:t xml:space="preserve">, </w:t>
      </w:r>
      <w:r w:rsidR="00560A5F">
        <w:rPr>
          <w:lang w:val="it-IT"/>
        </w:rPr>
        <w:t>cancro</w:t>
      </w:r>
      <w:r w:rsidR="00560A5F" w:rsidRPr="00330A40">
        <w:rPr>
          <w:lang w:val="it-IT"/>
        </w:rPr>
        <w:t xml:space="preserve"> </w:t>
      </w:r>
      <w:r w:rsidR="00F021F5" w:rsidRPr="00330A40">
        <w:rPr>
          <w:lang w:val="it-IT"/>
        </w:rPr>
        <w:t xml:space="preserve">della tuba </w:t>
      </w:r>
      <w:r w:rsidR="00436C24" w:rsidRPr="00330A40">
        <w:rPr>
          <w:lang w:val="it-IT"/>
        </w:rPr>
        <w:t xml:space="preserve">di </w:t>
      </w:r>
      <w:r w:rsidR="00CF262D" w:rsidRPr="00330A40">
        <w:rPr>
          <w:lang w:val="it-IT"/>
        </w:rPr>
        <w:t>F</w:t>
      </w:r>
      <w:r w:rsidR="00436C24" w:rsidRPr="00330A40">
        <w:rPr>
          <w:lang w:val="it-IT"/>
        </w:rPr>
        <w:t xml:space="preserve">alloppio o </w:t>
      </w:r>
      <w:r w:rsidR="00560A5F">
        <w:rPr>
          <w:lang w:val="it-IT"/>
        </w:rPr>
        <w:t>cancro</w:t>
      </w:r>
      <w:r w:rsidR="00560A5F" w:rsidRPr="00330A40">
        <w:rPr>
          <w:lang w:val="it-IT"/>
        </w:rPr>
        <w:t xml:space="preserve"> </w:t>
      </w:r>
      <w:r w:rsidR="00436C24" w:rsidRPr="00330A40">
        <w:rPr>
          <w:lang w:val="it-IT"/>
        </w:rPr>
        <w:t>peritoneale primario platino-resistent</w:t>
      </w:r>
      <w:r w:rsidR="00242C84" w:rsidRPr="00330A40">
        <w:rPr>
          <w:lang w:val="it-IT"/>
        </w:rPr>
        <w:t>i</w:t>
      </w:r>
      <w:r w:rsidR="00436C24" w:rsidRPr="00330A40">
        <w:rPr>
          <w:lang w:val="it-IT"/>
        </w:rPr>
        <w:t xml:space="preserve"> che hanno ricevuto non più di due precedenti regimi chemioterapici e che non hanno ricevuto una precedente terapia con bevacizumab o altri inibitori </w:t>
      </w:r>
      <w:r w:rsidR="00F656F1" w:rsidRPr="00330A40">
        <w:rPr>
          <w:lang w:val="it-IT"/>
        </w:rPr>
        <w:t>del fattore di crescita dell'endotelio vascolare (</w:t>
      </w:r>
      <w:r w:rsidR="00F656F1" w:rsidRPr="000F0246">
        <w:rPr>
          <w:i/>
          <w:lang w:val="it-IT"/>
        </w:rPr>
        <w:t>vascular endothelial growth factor</w:t>
      </w:r>
      <w:r w:rsidR="00F656F1" w:rsidRPr="00330A40">
        <w:rPr>
          <w:lang w:val="it-IT"/>
        </w:rPr>
        <w:t xml:space="preserve">, VEGF) </w:t>
      </w:r>
      <w:r w:rsidR="00436C24" w:rsidRPr="00330A40">
        <w:rPr>
          <w:lang w:val="it-IT"/>
        </w:rPr>
        <w:t>o altri agenti mirati al recettore VEGF</w:t>
      </w:r>
      <w:r w:rsidR="008E73A8" w:rsidRPr="00330A40">
        <w:rPr>
          <w:lang w:val="it-IT"/>
        </w:rPr>
        <w:t xml:space="preserve"> (</w:t>
      </w:r>
      <w:r w:rsidR="00724649" w:rsidRPr="00330A40">
        <w:rPr>
          <w:lang w:val="it-IT"/>
        </w:rPr>
        <w:t>ved</w:t>
      </w:r>
      <w:r w:rsidR="00242C84" w:rsidRPr="00330A40">
        <w:rPr>
          <w:lang w:val="it-IT"/>
        </w:rPr>
        <w:t>ere</w:t>
      </w:r>
      <w:r w:rsidR="00724649" w:rsidRPr="00330A40">
        <w:rPr>
          <w:lang w:val="it-IT"/>
        </w:rPr>
        <w:t xml:space="preserve"> paragrafo</w:t>
      </w:r>
      <w:r w:rsidRPr="00330A40">
        <w:rPr>
          <w:lang w:val="it-IT"/>
        </w:rPr>
        <w:t> </w:t>
      </w:r>
      <w:r w:rsidR="00724649" w:rsidRPr="00330A40">
        <w:rPr>
          <w:lang w:val="it-IT"/>
        </w:rPr>
        <w:t>5.1).</w:t>
      </w:r>
    </w:p>
    <w:p w14:paraId="5E8127F7" w14:textId="77777777" w:rsidR="00CA2087" w:rsidRPr="00330A40" w:rsidRDefault="00CA2087" w:rsidP="00436C24">
      <w:pPr>
        <w:rPr>
          <w:lang w:val="it-IT"/>
        </w:rPr>
      </w:pPr>
    </w:p>
    <w:p w14:paraId="1BE729C4" w14:textId="77777777" w:rsidR="00CA2087" w:rsidRPr="006A2BF9" w:rsidRDefault="00ED3103" w:rsidP="0085675A">
      <w:pPr>
        <w:rPr>
          <w:lang w:val="it-IT"/>
        </w:rPr>
      </w:pPr>
      <w:r w:rsidRPr="006A2BF9">
        <w:rPr>
          <w:lang w:val="it-IT"/>
        </w:rPr>
        <w:t>Aybintio</w:t>
      </w:r>
      <w:r w:rsidR="00CA2087" w:rsidRPr="006A2BF9">
        <w:rPr>
          <w:color w:val="000000"/>
          <w:lang w:val="it-IT"/>
        </w:rPr>
        <w:t xml:space="preserve">, in associazione </w:t>
      </w:r>
      <w:r w:rsidR="00F021F5" w:rsidRPr="006A2BF9">
        <w:rPr>
          <w:color w:val="000000"/>
          <w:lang w:val="it-IT"/>
        </w:rPr>
        <w:t xml:space="preserve">a </w:t>
      </w:r>
      <w:r w:rsidR="00CA2087" w:rsidRPr="006A2BF9">
        <w:rPr>
          <w:color w:val="000000"/>
          <w:lang w:val="it-IT"/>
        </w:rPr>
        <w:t>paclitaxel e cisplatino o, in alternativa, a paclitaxel e topotecan in</w:t>
      </w:r>
      <w:r w:rsidR="00C94318" w:rsidRPr="006A2BF9">
        <w:rPr>
          <w:color w:val="000000"/>
          <w:lang w:val="it-IT"/>
        </w:rPr>
        <w:t xml:space="preserve"> donne</w:t>
      </w:r>
      <w:r w:rsidR="00CA2087" w:rsidRPr="006A2BF9">
        <w:rPr>
          <w:color w:val="000000"/>
          <w:lang w:val="it-IT"/>
        </w:rPr>
        <w:t xml:space="preserve"> che non possono essere sottopost</w:t>
      </w:r>
      <w:r w:rsidR="00C94318" w:rsidRPr="006A2BF9">
        <w:rPr>
          <w:color w:val="000000"/>
          <w:lang w:val="it-IT"/>
        </w:rPr>
        <w:t>e</w:t>
      </w:r>
      <w:r w:rsidR="00CA2087" w:rsidRPr="006A2BF9">
        <w:rPr>
          <w:color w:val="000000"/>
          <w:lang w:val="it-IT"/>
        </w:rPr>
        <w:t xml:space="preserve"> a terapia a base di platino</w:t>
      </w:r>
      <w:r w:rsidR="00393E97" w:rsidRPr="006A2BF9">
        <w:rPr>
          <w:color w:val="000000"/>
          <w:lang w:val="it-IT"/>
        </w:rPr>
        <w:t>,</w:t>
      </w:r>
      <w:r w:rsidR="00CA2087" w:rsidRPr="006A2BF9">
        <w:rPr>
          <w:color w:val="000000"/>
          <w:lang w:val="it-IT"/>
        </w:rPr>
        <w:t xml:space="preserve"> è indicato per il trattamento di pazienti adult</w:t>
      </w:r>
      <w:r w:rsidR="00F84A08" w:rsidRPr="006A2BF9">
        <w:rPr>
          <w:color w:val="000000"/>
          <w:lang w:val="it-IT"/>
        </w:rPr>
        <w:t>e</w:t>
      </w:r>
      <w:r w:rsidR="00CA2087" w:rsidRPr="006A2BF9">
        <w:rPr>
          <w:color w:val="000000"/>
          <w:lang w:val="it-IT"/>
        </w:rPr>
        <w:t xml:space="preserve"> affett</w:t>
      </w:r>
      <w:r w:rsidR="00F84A08" w:rsidRPr="006A2BF9">
        <w:rPr>
          <w:color w:val="000000"/>
          <w:lang w:val="it-IT"/>
        </w:rPr>
        <w:t>e</w:t>
      </w:r>
      <w:r w:rsidR="00CA2087" w:rsidRPr="006A2BF9">
        <w:rPr>
          <w:color w:val="000000"/>
          <w:lang w:val="it-IT"/>
        </w:rPr>
        <w:t xml:space="preserve"> da carcinoma della cervice persistente, </w:t>
      </w:r>
      <w:r w:rsidR="001C747B" w:rsidRPr="006A2BF9">
        <w:rPr>
          <w:color w:val="000000"/>
          <w:lang w:val="it-IT"/>
        </w:rPr>
        <w:t>ricorrente</w:t>
      </w:r>
      <w:r w:rsidR="00CA2087" w:rsidRPr="006A2BF9">
        <w:rPr>
          <w:color w:val="000000"/>
          <w:lang w:val="it-IT"/>
        </w:rPr>
        <w:t xml:space="preserve"> o metastatico</w:t>
      </w:r>
      <w:r w:rsidR="00183711" w:rsidRPr="006A2BF9">
        <w:rPr>
          <w:color w:val="000000"/>
          <w:lang w:val="it-IT"/>
        </w:rPr>
        <w:t xml:space="preserve"> (vedere paragrafo</w:t>
      </w:r>
      <w:r w:rsidRPr="006A2BF9">
        <w:rPr>
          <w:color w:val="000000"/>
          <w:lang w:val="it-IT"/>
        </w:rPr>
        <w:t> </w:t>
      </w:r>
      <w:r w:rsidR="00183711" w:rsidRPr="006A2BF9">
        <w:rPr>
          <w:color w:val="000000"/>
          <w:lang w:val="it-IT"/>
        </w:rPr>
        <w:t>5.1).</w:t>
      </w:r>
    </w:p>
    <w:p w14:paraId="0E3A016C" w14:textId="77777777" w:rsidR="00436C24" w:rsidRPr="006A2BF9" w:rsidRDefault="00436C24" w:rsidP="009C0666">
      <w:pPr>
        <w:rPr>
          <w:lang w:val="it-IT"/>
        </w:rPr>
      </w:pPr>
    </w:p>
    <w:p w14:paraId="62554F12" w14:textId="77777777" w:rsidR="009C0666" w:rsidRPr="006A2BF9" w:rsidRDefault="009C0666" w:rsidP="00F44CF1">
      <w:pPr>
        <w:ind w:left="567" w:hanging="567"/>
        <w:outlineLvl w:val="0"/>
        <w:rPr>
          <w:b/>
          <w:bCs/>
          <w:lang w:val="it-IT"/>
        </w:rPr>
      </w:pPr>
      <w:r w:rsidRPr="006A2BF9">
        <w:rPr>
          <w:b/>
          <w:bCs/>
          <w:lang w:val="it-IT"/>
        </w:rPr>
        <w:t>4.2</w:t>
      </w:r>
      <w:r w:rsidRPr="006A2BF9">
        <w:rPr>
          <w:b/>
          <w:bCs/>
          <w:lang w:val="it-IT"/>
        </w:rPr>
        <w:tab/>
        <w:t>Posologia e modo di somministrazione</w:t>
      </w:r>
    </w:p>
    <w:p w14:paraId="7DC74046" w14:textId="77777777" w:rsidR="009C0666" w:rsidRDefault="009C0666" w:rsidP="00F44CF1">
      <w:pPr>
        <w:outlineLvl w:val="0"/>
        <w:rPr>
          <w:lang w:val="it-IT"/>
        </w:rPr>
      </w:pPr>
    </w:p>
    <w:p w14:paraId="5FF9BC5B" w14:textId="77777777" w:rsidR="003E4249" w:rsidRDefault="003E4249" w:rsidP="00F44CF1">
      <w:pPr>
        <w:outlineLvl w:val="0"/>
        <w:rPr>
          <w:lang w:val="it-IT"/>
        </w:rPr>
      </w:pPr>
      <w:r>
        <w:rPr>
          <w:lang w:val="it-IT"/>
        </w:rPr>
        <w:t>Non agitare il flaconcino.</w:t>
      </w:r>
    </w:p>
    <w:p w14:paraId="0ABBE3E0" w14:textId="77777777" w:rsidR="003E4249" w:rsidRPr="006A2BF9" w:rsidRDefault="003E4249" w:rsidP="00F44CF1">
      <w:pPr>
        <w:outlineLvl w:val="0"/>
        <w:rPr>
          <w:lang w:val="it-IT"/>
        </w:rPr>
      </w:pPr>
    </w:p>
    <w:p w14:paraId="6521C2AB" w14:textId="77777777" w:rsidR="009C0666" w:rsidRPr="006A2BF9" w:rsidRDefault="00ED3103" w:rsidP="00F44CF1">
      <w:pPr>
        <w:rPr>
          <w:lang w:val="it-IT"/>
        </w:rPr>
      </w:pPr>
      <w:r w:rsidRPr="006A2BF9">
        <w:rPr>
          <w:lang w:val="it-IT"/>
        </w:rPr>
        <w:t xml:space="preserve">Aybintio </w:t>
      </w:r>
      <w:r w:rsidR="009C0666" w:rsidRPr="006A2BF9">
        <w:rPr>
          <w:lang w:val="it-IT"/>
        </w:rPr>
        <w:t>deve essere somministrato sotto la supervisione di un medico esperto nell’impiego di medicinali antineoplastic</w:t>
      </w:r>
      <w:r w:rsidR="006C684E" w:rsidRPr="006A2BF9">
        <w:rPr>
          <w:lang w:val="it-IT"/>
        </w:rPr>
        <w:t>i</w:t>
      </w:r>
      <w:r w:rsidR="009C0666" w:rsidRPr="006A2BF9">
        <w:rPr>
          <w:lang w:val="it-IT"/>
        </w:rPr>
        <w:t>.</w:t>
      </w:r>
    </w:p>
    <w:p w14:paraId="5B360019" w14:textId="77777777" w:rsidR="009C0666" w:rsidRPr="006A2BF9" w:rsidRDefault="009C0666" w:rsidP="00F44CF1">
      <w:pPr>
        <w:rPr>
          <w:lang w:val="it-IT"/>
        </w:rPr>
      </w:pPr>
    </w:p>
    <w:p w14:paraId="41AEA117" w14:textId="77777777" w:rsidR="009C0666" w:rsidRPr="006A2BF9" w:rsidRDefault="004D7B46" w:rsidP="009C0666">
      <w:pPr>
        <w:rPr>
          <w:bCs/>
          <w:iCs/>
          <w:u w:val="single"/>
          <w:lang w:val="it-IT"/>
        </w:rPr>
      </w:pPr>
      <w:r w:rsidRPr="006A2BF9">
        <w:rPr>
          <w:bCs/>
          <w:iCs/>
          <w:u w:val="single"/>
          <w:lang w:val="it-IT"/>
        </w:rPr>
        <w:t>Posolog</w:t>
      </w:r>
      <w:r w:rsidR="003B36C5" w:rsidRPr="006A2BF9">
        <w:rPr>
          <w:bCs/>
          <w:iCs/>
          <w:u w:val="single"/>
          <w:lang w:val="it-IT"/>
        </w:rPr>
        <w:t>ia</w:t>
      </w:r>
    </w:p>
    <w:p w14:paraId="6366B94F" w14:textId="77777777" w:rsidR="004D7B46" w:rsidRPr="006A2BF9" w:rsidRDefault="004D7B46" w:rsidP="009C0666">
      <w:pPr>
        <w:rPr>
          <w:b/>
          <w:bCs/>
          <w:i/>
          <w:iCs/>
          <w:lang w:val="it-IT"/>
        </w:rPr>
      </w:pPr>
    </w:p>
    <w:p w14:paraId="76DFF040" w14:textId="77777777" w:rsidR="009C0666" w:rsidRPr="006A2BF9" w:rsidRDefault="009C0666" w:rsidP="009C0666">
      <w:pPr>
        <w:rPr>
          <w:i/>
          <w:u w:val="single"/>
          <w:lang w:val="it-IT"/>
        </w:rPr>
      </w:pPr>
      <w:r w:rsidRPr="006A2BF9">
        <w:rPr>
          <w:i/>
          <w:u w:val="single"/>
          <w:lang w:val="it-IT"/>
        </w:rPr>
        <w:t>Carcinoma metastatico d</w:t>
      </w:r>
      <w:r w:rsidR="006A2BF9">
        <w:rPr>
          <w:i/>
          <w:u w:val="single"/>
          <w:lang w:val="it-IT"/>
        </w:rPr>
        <w:t>i</w:t>
      </w:r>
      <w:r w:rsidRPr="006A2BF9">
        <w:rPr>
          <w:i/>
          <w:u w:val="single"/>
          <w:lang w:val="it-IT"/>
        </w:rPr>
        <w:t xml:space="preserve"> colon e retto (</w:t>
      </w:r>
      <w:r w:rsidR="00507BBD" w:rsidRPr="006A2BF9">
        <w:rPr>
          <w:i/>
          <w:u w:val="single"/>
          <w:lang w:val="it-IT"/>
        </w:rPr>
        <w:t>m</w:t>
      </w:r>
      <w:r w:rsidRPr="006A2BF9">
        <w:rPr>
          <w:i/>
          <w:u w:val="single"/>
          <w:lang w:val="it-IT"/>
        </w:rPr>
        <w:t>CR</w:t>
      </w:r>
      <w:r w:rsidR="00507BBD" w:rsidRPr="006A2BF9">
        <w:rPr>
          <w:i/>
          <w:u w:val="single"/>
          <w:lang w:val="it-IT"/>
        </w:rPr>
        <w:t>C</w:t>
      </w:r>
      <w:r w:rsidRPr="006A2BF9">
        <w:rPr>
          <w:i/>
          <w:u w:val="single"/>
          <w:lang w:val="it-IT"/>
        </w:rPr>
        <w:t>)</w:t>
      </w:r>
    </w:p>
    <w:p w14:paraId="0810BE51" w14:textId="77777777" w:rsidR="009C0666" w:rsidRPr="006A2BF9" w:rsidRDefault="009C0666" w:rsidP="009C0666">
      <w:pPr>
        <w:rPr>
          <w:lang w:val="it-IT"/>
        </w:rPr>
      </w:pPr>
    </w:p>
    <w:p w14:paraId="0561CEAB" w14:textId="77777777" w:rsidR="00674B79" w:rsidRPr="00330A40" w:rsidRDefault="00A560AB" w:rsidP="00674B79">
      <w:pPr>
        <w:rPr>
          <w:lang w:val="it-IT"/>
        </w:rPr>
      </w:pPr>
      <w:r w:rsidRPr="006A2BF9">
        <w:rPr>
          <w:lang w:val="it-IT"/>
        </w:rPr>
        <w:t xml:space="preserve">La dose raccomandata di </w:t>
      </w:r>
      <w:r w:rsidR="00ED3103" w:rsidRPr="006A2BF9">
        <w:rPr>
          <w:lang w:val="it-IT"/>
        </w:rPr>
        <w:t>Aybintio</w:t>
      </w:r>
      <w:r w:rsidRPr="006A2BF9">
        <w:rPr>
          <w:lang w:val="it-IT"/>
        </w:rPr>
        <w:t xml:space="preserve">, somministrata mediante infusione endovenosa, è di 5 mg/kg </w:t>
      </w:r>
      <w:r w:rsidRPr="000F0246">
        <w:rPr>
          <w:lang w:val="it-IT"/>
        </w:rPr>
        <w:t>o</w:t>
      </w:r>
      <w:r w:rsidRPr="00330A40">
        <w:rPr>
          <w:lang w:val="it-IT"/>
        </w:rPr>
        <w:t xml:space="preserve"> 10 mg/kg di peso corporeo una volta </w:t>
      </w:r>
      <w:r w:rsidRPr="000F0246">
        <w:rPr>
          <w:u w:val="single"/>
          <w:lang w:val="it-IT"/>
        </w:rPr>
        <w:t>ogni 2</w:t>
      </w:r>
      <w:r w:rsidR="00EB7C8F" w:rsidRPr="000F0246">
        <w:rPr>
          <w:u w:val="single"/>
          <w:lang w:val="it-IT"/>
        </w:rPr>
        <w:t> </w:t>
      </w:r>
      <w:r w:rsidRPr="000F0246">
        <w:rPr>
          <w:u w:val="single"/>
          <w:lang w:val="it-IT"/>
        </w:rPr>
        <w:t>settimane</w:t>
      </w:r>
      <w:r w:rsidRPr="00330A40">
        <w:rPr>
          <w:lang w:val="it-IT"/>
        </w:rPr>
        <w:t xml:space="preserve"> oppure 7,5 mg/kg o 15 mg/kg di peso corporeo una volta </w:t>
      </w:r>
      <w:r w:rsidRPr="00330A40">
        <w:rPr>
          <w:u w:val="single"/>
          <w:lang w:val="it-IT"/>
        </w:rPr>
        <w:t>ogni 3</w:t>
      </w:r>
      <w:r w:rsidR="00EB7C8F" w:rsidRPr="00330A40">
        <w:rPr>
          <w:u w:val="single"/>
          <w:lang w:val="it-IT"/>
        </w:rPr>
        <w:t> </w:t>
      </w:r>
      <w:r w:rsidRPr="00330A40">
        <w:rPr>
          <w:u w:val="single"/>
          <w:lang w:val="it-IT"/>
        </w:rPr>
        <w:t>settimane</w:t>
      </w:r>
      <w:r w:rsidRPr="00330A40">
        <w:rPr>
          <w:lang w:val="it-IT"/>
        </w:rPr>
        <w:t>.</w:t>
      </w:r>
    </w:p>
    <w:p w14:paraId="1442342A" w14:textId="77777777" w:rsidR="00EB7C8F" w:rsidRPr="00330A40" w:rsidRDefault="00EB7C8F" w:rsidP="00A560AB">
      <w:pPr>
        <w:rPr>
          <w:lang w:val="it-IT"/>
        </w:rPr>
      </w:pPr>
    </w:p>
    <w:p w14:paraId="4AD7F205" w14:textId="77777777" w:rsidR="00A560AB" w:rsidRPr="006A2BF9" w:rsidRDefault="00674B79" w:rsidP="00A560AB">
      <w:pPr>
        <w:rPr>
          <w:lang w:val="it-IT"/>
        </w:rPr>
      </w:pPr>
      <w:r w:rsidRPr="006A2BF9">
        <w:rPr>
          <w:lang w:val="it-IT"/>
        </w:rPr>
        <w:t>Si raccomanda di proseguire il trattamento fino alla progressione della malattia o finché non compare tossicità inaccettabile.</w:t>
      </w:r>
    </w:p>
    <w:p w14:paraId="596C7D96" w14:textId="77777777" w:rsidR="00A560AB" w:rsidRPr="006A2BF9" w:rsidRDefault="00A560AB" w:rsidP="00A560AB">
      <w:pPr>
        <w:rPr>
          <w:lang w:val="it-IT"/>
        </w:rPr>
      </w:pPr>
    </w:p>
    <w:p w14:paraId="321AC02E" w14:textId="77777777" w:rsidR="009C0666" w:rsidRPr="00330A40" w:rsidRDefault="00EB182B" w:rsidP="009C0666">
      <w:pPr>
        <w:rPr>
          <w:i/>
          <w:u w:val="single"/>
          <w:lang w:val="it-IT"/>
        </w:rPr>
      </w:pPr>
      <w:r>
        <w:rPr>
          <w:i/>
          <w:u w:val="single"/>
          <w:lang w:val="it-IT"/>
        </w:rPr>
        <w:t>Cancro della mammella</w:t>
      </w:r>
      <w:r w:rsidR="009C0666" w:rsidRPr="00330A40">
        <w:rPr>
          <w:i/>
          <w:szCs w:val="22"/>
          <w:u w:val="single"/>
          <w:lang w:val="it-IT"/>
        </w:rPr>
        <w:t xml:space="preserve"> </w:t>
      </w:r>
      <w:r w:rsidR="009C0666" w:rsidRPr="00330A40">
        <w:rPr>
          <w:i/>
          <w:u w:val="single"/>
          <w:lang w:val="it-IT"/>
        </w:rPr>
        <w:t>metastatico (</w:t>
      </w:r>
      <w:r w:rsidR="004A057D" w:rsidRPr="00330A40">
        <w:rPr>
          <w:i/>
          <w:u w:val="single"/>
          <w:lang w:val="it-IT"/>
        </w:rPr>
        <w:t>mBC</w:t>
      </w:r>
      <w:r w:rsidR="009C0666" w:rsidRPr="00330A40">
        <w:rPr>
          <w:i/>
          <w:u w:val="single"/>
          <w:lang w:val="it-IT"/>
        </w:rPr>
        <w:t>)</w:t>
      </w:r>
    </w:p>
    <w:p w14:paraId="474B72A3" w14:textId="77777777" w:rsidR="009C0666" w:rsidRPr="00330A40" w:rsidRDefault="009C0666" w:rsidP="009C0666">
      <w:pPr>
        <w:rPr>
          <w:lang w:val="it-IT"/>
        </w:rPr>
      </w:pPr>
    </w:p>
    <w:p w14:paraId="3479AD75" w14:textId="77777777" w:rsidR="009C0666" w:rsidRPr="006A2BF9" w:rsidRDefault="009C0666" w:rsidP="009C0666">
      <w:pPr>
        <w:rPr>
          <w:lang w:val="it-IT"/>
        </w:rPr>
      </w:pPr>
      <w:r w:rsidRPr="006A2BF9">
        <w:rPr>
          <w:lang w:val="it-IT"/>
        </w:rPr>
        <w:t xml:space="preserve">La dose raccomandata di </w:t>
      </w:r>
      <w:r w:rsidR="00EB7C8F" w:rsidRPr="006A2BF9">
        <w:rPr>
          <w:lang w:val="it-IT"/>
        </w:rPr>
        <w:t xml:space="preserve">Aybintio </w:t>
      </w:r>
      <w:r w:rsidRPr="006A2BF9">
        <w:rPr>
          <w:lang w:val="it-IT"/>
        </w:rPr>
        <w:t>è di 10 mg/kg di peso corporeo da somministrarsi una volta ogni 2</w:t>
      </w:r>
      <w:r w:rsidR="00EB7C8F" w:rsidRPr="006A2BF9">
        <w:rPr>
          <w:lang w:val="it-IT"/>
        </w:rPr>
        <w:t> </w:t>
      </w:r>
      <w:r w:rsidRPr="006A2BF9">
        <w:rPr>
          <w:lang w:val="it-IT"/>
        </w:rPr>
        <w:t>settimane oppure 15 mg/kg di peso corporeo da somministrarsi una volta ogni 3</w:t>
      </w:r>
      <w:r w:rsidR="00EB7C8F" w:rsidRPr="006A2BF9">
        <w:rPr>
          <w:lang w:val="it-IT"/>
        </w:rPr>
        <w:t> </w:t>
      </w:r>
      <w:r w:rsidRPr="006A2BF9">
        <w:rPr>
          <w:lang w:val="it-IT"/>
        </w:rPr>
        <w:t>settimane mediante infusione endovenosa.</w:t>
      </w:r>
    </w:p>
    <w:p w14:paraId="3B003DF7" w14:textId="77777777" w:rsidR="00EB7C8F" w:rsidRPr="006A2BF9" w:rsidRDefault="00EB7C8F" w:rsidP="009C0666">
      <w:pPr>
        <w:rPr>
          <w:lang w:val="it-IT"/>
        </w:rPr>
      </w:pPr>
    </w:p>
    <w:p w14:paraId="13560C1E" w14:textId="77777777" w:rsidR="00674B79" w:rsidRPr="006A2BF9" w:rsidRDefault="00674B79" w:rsidP="009C0666">
      <w:pPr>
        <w:rPr>
          <w:lang w:val="it-IT"/>
        </w:rPr>
      </w:pPr>
      <w:r w:rsidRPr="006A2BF9">
        <w:rPr>
          <w:lang w:val="it-IT"/>
        </w:rPr>
        <w:t xml:space="preserve">Si raccomanda di proseguire il trattamento fino alla progressione della malattia o </w:t>
      </w:r>
      <w:r w:rsidR="000E6EBF" w:rsidRPr="006A2BF9">
        <w:rPr>
          <w:lang w:val="it-IT"/>
        </w:rPr>
        <w:t>finché</w:t>
      </w:r>
      <w:r w:rsidRPr="006A2BF9">
        <w:rPr>
          <w:lang w:val="it-IT"/>
        </w:rPr>
        <w:t xml:space="preserve"> non compare tossicità inaccettabile.</w:t>
      </w:r>
    </w:p>
    <w:p w14:paraId="671B9724" w14:textId="77777777" w:rsidR="009C0666" w:rsidRPr="006A2BF9" w:rsidRDefault="009C0666" w:rsidP="009C0666">
      <w:pPr>
        <w:rPr>
          <w:lang w:val="it-IT"/>
        </w:rPr>
      </w:pPr>
    </w:p>
    <w:p w14:paraId="28821B6B" w14:textId="77777777" w:rsidR="009C0666" w:rsidRPr="00330A40" w:rsidRDefault="00EB182B" w:rsidP="00C65E97">
      <w:pPr>
        <w:keepNext/>
        <w:rPr>
          <w:bCs/>
          <w:i/>
          <w:u w:val="single"/>
          <w:lang w:val="it-IT"/>
        </w:rPr>
      </w:pPr>
      <w:r>
        <w:rPr>
          <w:bCs/>
          <w:i/>
          <w:u w:val="single"/>
          <w:lang w:val="it-IT"/>
        </w:rPr>
        <w:lastRenderedPageBreak/>
        <w:t>Cancro del polmone</w:t>
      </w:r>
      <w:r w:rsidR="009C0666" w:rsidRPr="00330A40">
        <w:rPr>
          <w:bCs/>
          <w:i/>
          <w:u w:val="single"/>
          <w:lang w:val="it-IT"/>
        </w:rPr>
        <w:t xml:space="preserve"> non a piccole cellule (NSCLC)</w:t>
      </w:r>
    </w:p>
    <w:p w14:paraId="22629B75" w14:textId="77777777" w:rsidR="00BB195D" w:rsidRPr="00330A40" w:rsidRDefault="00BB195D" w:rsidP="00C65E97">
      <w:pPr>
        <w:keepNext/>
        <w:rPr>
          <w:bCs/>
          <w:i/>
          <w:u w:val="single"/>
          <w:lang w:val="it-IT"/>
        </w:rPr>
      </w:pPr>
    </w:p>
    <w:p w14:paraId="3BF2AB33" w14:textId="77777777" w:rsidR="00BB195D" w:rsidRPr="00330A40" w:rsidRDefault="00BB195D" w:rsidP="00C65E97">
      <w:pPr>
        <w:keepNext/>
        <w:rPr>
          <w:bCs/>
          <w:i/>
          <w:lang w:val="it-IT"/>
        </w:rPr>
      </w:pPr>
      <w:r w:rsidRPr="00330A40">
        <w:rPr>
          <w:bCs/>
          <w:i/>
          <w:lang w:val="it-IT"/>
        </w:rPr>
        <w:t xml:space="preserve">Trattamento in prima linea </w:t>
      </w:r>
      <w:r w:rsidR="00EB41BA" w:rsidRPr="00330A40">
        <w:rPr>
          <w:bCs/>
          <w:i/>
          <w:lang w:val="it-IT"/>
        </w:rPr>
        <w:t xml:space="preserve">del </w:t>
      </w:r>
      <w:r w:rsidRPr="00330A40">
        <w:rPr>
          <w:bCs/>
          <w:i/>
          <w:lang w:val="it-IT"/>
        </w:rPr>
        <w:t xml:space="preserve">NSCLC non </w:t>
      </w:r>
      <w:r w:rsidR="007022EC" w:rsidRPr="00330A40">
        <w:rPr>
          <w:bCs/>
          <w:i/>
          <w:lang w:val="it-IT"/>
        </w:rPr>
        <w:t xml:space="preserve">squamoso </w:t>
      </w:r>
      <w:r w:rsidRPr="00330A40">
        <w:rPr>
          <w:bCs/>
          <w:i/>
          <w:lang w:val="it-IT"/>
        </w:rPr>
        <w:t xml:space="preserve">in associazione </w:t>
      </w:r>
      <w:r w:rsidR="005E056E" w:rsidRPr="00330A40">
        <w:rPr>
          <w:bCs/>
          <w:i/>
          <w:lang w:val="it-IT"/>
        </w:rPr>
        <w:t xml:space="preserve">a </w:t>
      </w:r>
      <w:r w:rsidRPr="00330A40">
        <w:rPr>
          <w:bCs/>
          <w:i/>
          <w:lang w:val="it-IT"/>
        </w:rPr>
        <w:t>chemioterapia a base di platino</w:t>
      </w:r>
    </w:p>
    <w:p w14:paraId="679E993E" w14:textId="77777777" w:rsidR="009C0666" w:rsidRPr="00330A40" w:rsidRDefault="009C0666" w:rsidP="00C65E97">
      <w:pPr>
        <w:keepNext/>
        <w:rPr>
          <w:b/>
          <w:bCs/>
          <w:lang w:val="it-IT"/>
        </w:rPr>
      </w:pPr>
    </w:p>
    <w:p w14:paraId="4A69D7EF" w14:textId="77777777" w:rsidR="009C0666" w:rsidRPr="006A2BF9" w:rsidRDefault="00EB7C8F" w:rsidP="00C65E97">
      <w:pPr>
        <w:keepNext/>
        <w:rPr>
          <w:lang w:val="it-IT"/>
        </w:rPr>
      </w:pPr>
      <w:r w:rsidRPr="006A2BF9">
        <w:rPr>
          <w:lang w:val="it-IT"/>
        </w:rPr>
        <w:t xml:space="preserve">Aybintio </w:t>
      </w:r>
      <w:r w:rsidR="009C0666" w:rsidRPr="006A2BF9">
        <w:rPr>
          <w:lang w:val="it-IT"/>
        </w:rPr>
        <w:t>è somministrato in aggiunta a chemioterapia a base di platino fino a 6</w:t>
      </w:r>
      <w:r w:rsidRPr="006A2BF9">
        <w:rPr>
          <w:lang w:val="it-IT"/>
        </w:rPr>
        <w:t> </w:t>
      </w:r>
      <w:r w:rsidR="009C0666" w:rsidRPr="006A2BF9">
        <w:rPr>
          <w:lang w:val="it-IT"/>
        </w:rPr>
        <w:t xml:space="preserve">cicli di trattamento, seguiti da </w:t>
      </w:r>
      <w:r w:rsidRPr="006A2BF9">
        <w:rPr>
          <w:lang w:val="it-IT"/>
        </w:rPr>
        <w:t xml:space="preserve">Aybintio </w:t>
      </w:r>
      <w:r w:rsidR="009C0666" w:rsidRPr="006A2BF9">
        <w:rPr>
          <w:lang w:val="it-IT"/>
        </w:rPr>
        <w:t>in monoterapia fino alla progressione della malattia.</w:t>
      </w:r>
    </w:p>
    <w:p w14:paraId="598DC1B1" w14:textId="77777777" w:rsidR="009C0666" w:rsidRPr="006A2BF9" w:rsidRDefault="009C0666" w:rsidP="009C0666">
      <w:pPr>
        <w:rPr>
          <w:lang w:val="it-IT"/>
        </w:rPr>
      </w:pPr>
    </w:p>
    <w:p w14:paraId="2E4C8349" w14:textId="77777777" w:rsidR="009C0666" w:rsidRPr="006A2BF9" w:rsidRDefault="009C0666" w:rsidP="009C0666">
      <w:pPr>
        <w:rPr>
          <w:lang w:val="it-IT"/>
        </w:rPr>
      </w:pPr>
      <w:r w:rsidRPr="006A2BF9">
        <w:rPr>
          <w:lang w:val="it-IT"/>
        </w:rPr>
        <w:t xml:space="preserve">La dose raccomandata di </w:t>
      </w:r>
      <w:r w:rsidR="00EB7C8F" w:rsidRPr="006A2BF9">
        <w:rPr>
          <w:lang w:val="it-IT"/>
        </w:rPr>
        <w:t xml:space="preserve">Aybintio </w:t>
      </w:r>
      <w:r w:rsidRPr="006A2BF9">
        <w:rPr>
          <w:lang w:val="it-IT"/>
        </w:rPr>
        <w:t>è di 7,5 mg/kg o 15 mg/kg di peso corporeo, da somministrarsi una volta ogni 3</w:t>
      </w:r>
      <w:r w:rsidR="00EB7C8F" w:rsidRPr="006A2BF9">
        <w:rPr>
          <w:lang w:val="it-IT"/>
        </w:rPr>
        <w:t> </w:t>
      </w:r>
      <w:r w:rsidRPr="006A2BF9">
        <w:rPr>
          <w:lang w:val="it-IT"/>
        </w:rPr>
        <w:t>settimane mediante infusione endovenosa.</w:t>
      </w:r>
    </w:p>
    <w:p w14:paraId="48555525" w14:textId="77777777" w:rsidR="009C0666" w:rsidRPr="006A2BF9" w:rsidRDefault="009C0666" w:rsidP="009C0666">
      <w:pPr>
        <w:rPr>
          <w:lang w:val="it-IT"/>
        </w:rPr>
      </w:pPr>
    </w:p>
    <w:p w14:paraId="0CB04D2D" w14:textId="77777777" w:rsidR="009C0666" w:rsidRPr="006A2BF9" w:rsidRDefault="009C0666" w:rsidP="009C0666">
      <w:pPr>
        <w:rPr>
          <w:lang w:val="it-IT"/>
        </w:rPr>
      </w:pPr>
      <w:r w:rsidRPr="006A2BF9">
        <w:rPr>
          <w:lang w:val="it-IT"/>
        </w:rPr>
        <w:t>Il beneficio clinico è stato dimostrato in pazienti con NSCLC sia alla dose di 7,5 mg/kg sia di 15 mg/kg</w:t>
      </w:r>
      <w:r w:rsidR="00EE54C9" w:rsidRPr="006A2BF9">
        <w:rPr>
          <w:lang w:val="it-IT"/>
        </w:rPr>
        <w:t xml:space="preserve"> (</w:t>
      </w:r>
      <w:r w:rsidRPr="006A2BF9">
        <w:rPr>
          <w:lang w:val="it-IT"/>
        </w:rPr>
        <w:t>vedere paragrafo</w:t>
      </w:r>
      <w:r w:rsidR="00EB7C8F" w:rsidRPr="006A2BF9">
        <w:rPr>
          <w:lang w:val="it-IT"/>
        </w:rPr>
        <w:t> </w:t>
      </w:r>
      <w:r w:rsidRPr="006A2BF9">
        <w:rPr>
          <w:lang w:val="it-IT"/>
        </w:rPr>
        <w:t>5.1</w:t>
      </w:r>
      <w:r w:rsidR="00EE54C9" w:rsidRPr="006A2BF9">
        <w:rPr>
          <w:lang w:val="it-IT"/>
        </w:rPr>
        <w:t>).</w:t>
      </w:r>
    </w:p>
    <w:p w14:paraId="628D7DEE" w14:textId="77777777" w:rsidR="00EB7C8F" w:rsidRPr="006A2BF9" w:rsidRDefault="00EB7C8F" w:rsidP="009C0666">
      <w:pPr>
        <w:rPr>
          <w:bCs/>
          <w:lang w:val="it-IT"/>
        </w:rPr>
      </w:pPr>
    </w:p>
    <w:p w14:paraId="6924F158" w14:textId="77777777" w:rsidR="00674B79" w:rsidRPr="006A2BF9" w:rsidRDefault="00674B79" w:rsidP="009C0666">
      <w:pPr>
        <w:rPr>
          <w:lang w:val="it-IT"/>
        </w:rPr>
      </w:pPr>
      <w:r w:rsidRPr="006A2BF9">
        <w:rPr>
          <w:lang w:val="it-IT"/>
        </w:rPr>
        <w:t>Si raccomanda di proseguire il trattamento fino alla progressione della malattia o finché non compare tossicità inaccettabile.</w:t>
      </w:r>
    </w:p>
    <w:p w14:paraId="494BADA9" w14:textId="77777777" w:rsidR="00BB195D" w:rsidRPr="006A2BF9" w:rsidRDefault="00BB195D" w:rsidP="009C0666">
      <w:pPr>
        <w:rPr>
          <w:lang w:val="it-IT"/>
        </w:rPr>
      </w:pPr>
    </w:p>
    <w:p w14:paraId="77520D6C" w14:textId="77777777" w:rsidR="00BB195D" w:rsidRPr="006A2BF9" w:rsidRDefault="00BB195D" w:rsidP="00BB195D">
      <w:pPr>
        <w:rPr>
          <w:bCs/>
          <w:i/>
          <w:lang w:val="it-IT"/>
        </w:rPr>
      </w:pPr>
      <w:r w:rsidRPr="006A2BF9">
        <w:rPr>
          <w:bCs/>
          <w:i/>
          <w:lang w:val="it-IT"/>
        </w:rPr>
        <w:t xml:space="preserve">Trattamento in prima linea </w:t>
      </w:r>
      <w:r w:rsidR="00EB41BA" w:rsidRPr="006A2BF9">
        <w:rPr>
          <w:bCs/>
          <w:i/>
          <w:lang w:val="it-IT"/>
        </w:rPr>
        <w:t xml:space="preserve">del </w:t>
      </w:r>
      <w:r w:rsidRPr="006A2BF9">
        <w:rPr>
          <w:bCs/>
          <w:i/>
          <w:lang w:val="it-IT"/>
        </w:rPr>
        <w:t>NSCLC non squamo</w:t>
      </w:r>
      <w:r w:rsidR="006A2BF9">
        <w:rPr>
          <w:bCs/>
          <w:i/>
          <w:lang w:val="it-IT"/>
        </w:rPr>
        <w:t>so</w:t>
      </w:r>
      <w:r w:rsidRPr="006A2BF9">
        <w:rPr>
          <w:bCs/>
          <w:i/>
          <w:lang w:val="it-IT"/>
        </w:rPr>
        <w:t xml:space="preserve"> con mutazioni attivanti dell’EGFR in associazione </w:t>
      </w:r>
      <w:r w:rsidR="005E056E" w:rsidRPr="006A2BF9">
        <w:rPr>
          <w:bCs/>
          <w:i/>
          <w:lang w:val="it-IT"/>
        </w:rPr>
        <w:t xml:space="preserve">a </w:t>
      </w:r>
      <w:r w:rsidRPr="006A2BF9">
        <w:rPr>
          <w:bCs/>
          <w:i/>
          <w:lang w:val="it-IT"/>
        </w:rPr>
        <w:t>erlotinib</w:t>
      </w:r>
    </w:p>
    <w:p w14:paraId="21D9F10E" w14:textId="77777777" w:rsidR="00BB195D" w:rsidRPr="006A2BF9" w:rsidRDefault="00BB195D" w:rsidP="00BB195D">
      <w:pPr>
        <w:rPr>
          <w:bCs/>
          <w:lang w:val="it-IT"/>
        </w:rPr>
      </w:pPr>
    </w:p>
    <w:p w14:paraId="410173A3" w14:textId="77777777" w:rsidR="00BB195D" w:rsidRPr="006A2BF9" w:rsidRDefault="00BB195D" w:rsidP="00BB195D">
      <w:pPr>
        <w:rPr>
          <w:bCs/>
          <w:lang w:val="it-IT"/>
        </w:rPr>
      </w:pPr>
      <w:r w:rsidRPr="006A2BF9">
        <w:rPr>
          <w:bCs/>
          <w:lang w:val="it-IT"/>
        </w:rPr>
        <w:t>Il test per la mutazione dell’EGFR deve essere effettuato prima di iniziare il trattamento con</w:t>
      </w:r>
      <w:r w:rsidR="00214783" w:rsidRPr="006A2BF9">
        <w:rPr>
          <w:bCs/>
          <w:lang w:val="it-IT"/>
        </w:rPr>
        <w:t xml:space="preserve"> </w:t>
      </w:r>
      <w:r w:rsidRPr="006A2BF9">
        <w:rPr>
          <w:bCs/>
          <w:lang w:val="it-IT"/>
        </w:rPr>
        <w:t>l’associaz</w:t>
      </w:r>
      <w:r w:rsidR="00AA5AAE" w:rsidRPr="006A2BF9">
        <w:rPr>
          <w:bCs/>
          <w:lang w:val="it-IT"/>
        </w:rPr>
        <w:t>i</w:t>
      </w:r>
      <w:r w:rsidRPr="006A2BF9">
        <w:rPr>
          <w:bCs/>
          <w:lang w:val="it-IT"/>
        </w:rPr>
        <w:t xml:space="preserve">one </w:t>
      </w:r>
      <w:r w:rsidR="00EB7C8F" w:rsidRPr="006A2BF9">
        <w:rPr>
          <w:lang w:val="it-IT"/>
        </w:rPr>
        <w:t xml:space="preserve">Aybintio </w:t>
      </w:r>
      <w:r w:rsidRPr="006A2BF9">
        <w:rPr>
          <w:bCs/>
          <w:lang w:val="it-IT"/>
        </w:rPr>
        <w:t>e</w:t>
      </w:r>
      <w:r w:rsidR="00EB7C8F" w:rsidRPr="006A2BF9">
        <w:rPr>
          <w:bCs/>
          <w:lang w:val="it-IT"/>
        </w:rPr>
        <w:t>d</w:t>
      </w:r>
      <w:r w:rsidRPr="006A2BF9">
        <w:rPr>
          <w:bCs/>
          <w:lang w:val="it-IT"/>
        </w:rPr>
        <w:t xml:space="preserve"> erlotinib. </w:t>
      </w:r>
      <w:r w:rsidR="006B7F8F" w:rsidRPr="006A2BF9">
        <w:rPr>
          <w:bCs/>
          <w:lang w:val="it-IT"/>
        </w:rPr>
        <w:t xml:space="preserve">È </w:t>
      </w:r>
      <w:r w:rsidRPr="006A2BF9">
        <w:rPr>
          <w:bCs/>
          <w:lang w:val="it-IT"/>
        </w:rPr>
        <w:t xml:space="preserve">importante che </w:t>
      </w:r>
      <w:r w:rsidR="00DC714A" w:rsidRPr="006A2BF9">
        <w:rPr>
          <w:bCs/>
          <w:lang w:val="it-IT"/>
        </w:rPr>
        <w:t xml:space="preserve">sia scelta </w:t>
      </w:r>
      <w:r w:rsidRPr="006A2BF9">
        <w:rPr>
          <w:bCs/>
          <w:lang w:val="it-IT"/>
        </w:rPr>
        <w:t xml:space="preserve">una metodologia ben validata e </w:t>
      </w:r>
      <w:r w:rsidR="005E056E" w:rsidRPr="006A2BF9">
        <w:rPr>
          <w:bCs/>
          <w:lang w:val="it-IT"/>
        </w:rPr>
        <w:t xml:space="preserve">solida </w:t>
      </w:r>
      <w:r w:rsidRPr="006A2BF9">
        <w:rPr>
          <w:bCs/>
          <w:lang w:val="it-IT"/>
        </w:rPr>
        <w:t xml:space="preserve">per evitare la determinazione di falsi negativi o falsi positivi. </w:t>
      </w:r>
    </w:p>
    <w:p w14:paraId="6FBE0DFA" w14:textId="77777777" w:rsidR="00EB7C8F" w:rsidRPr="006A2BF9" w:rsidRDefault="00EB7C8F" w:rsidP="00BB195D">
      <w:pPr>
        <w:rPr>
          <w:bCs/>
          <w:lang w:val="it-IT"/>
        </w:rPr>
      </w:pPr>
    </w:p>
    <w:p w14:paraId="692B20E3" w14:textId="77777777" w:rsidR="00BB195D" w:rsidRPr="006A2BF9" w:rsidRDefault="00BB195D" w:rsidP="00BB195D">
      <w:pPr>
        <w:rPr>
          <w:bCs/>
          <w:lang w:val="it-IT"/>
        </w:rPr>
      </w:pPr>
      <w:r w:rsidRPr="006A2BF9">
        <w:rPr>
          <w:bCs/>
          <w:lang w:val="it-IT"/>
        </w:rPr>
        <w:t xml:space="preserve">La dose raccomandata di </w:t>
      </w:r>
      <w:r w:rsidR="00EB7C8F" w:rsidRPr="006A2BF9">
        <w:rPr>
          <w:lang w:val="it-IT"/>
        </w:rPr>
        <w:t xml:space="preserve">Aybintio </w:t>
      </w:r>
      <w:r w:rsidRPr="006A2BF9">
        <w:rPr>
          <w:bCs/>
          <w:lang w:val="it-IT"/>
        </w:rPr>
        <w:t xml:space="preserve">in associazione </w:t>
      </w:r>
      <w:r w:rsidR="00C80537" w:rsidRPr="006A2BF9">
        <w:rPr>
          <w:bCs/>
          <w:lang w:val="it-IT"/>
        </w:rPr>
        <w:t xml:space="preserve">a </w:t>
      </w:r>
      <w:r w:rsidRPr="006A2BF9">
        <w:rPr>
          <w:bCs/>
          <w:lang w:val="it-IT"/>
        </w:rPr>
        <w:t>erlotinib è di 15</w:t>
      </w:r>
      <w:r w:rsidR="00EB7C8F" w:rsidRPr="006A2BF9">
        <w:rPr>
          <w:bCs/>
          <w:lang w:val="it-IT"/>
        </w:rPr>
        <w:t> </w:t>
      </w:r>
      <w:r w:rsidRPr="006A2BF9">
        <w:rPr>
          <w:bCs/>
          <w:lang w:val="it-IT"/>
        </w:rPr>
        <w:t>mg/kg di peso corporeo somministrati una volta ogni 3</w:t>
      </w:r>
      <w:r w:rsidR="00EB7C8F" w:rsidRPr="006A2BF9">
        <w:rPr>
          <w:bCs/>
          <w:lang w:val="it-IT"/>
        </w:rPr>
        <w:t> </w:t>
      </w:r>
      <w:r w:rsidRPr="006A2BF9">
        <w:rPr>
          <w:bCs/>
          <w:lang w:val="it-IT"/>
        </w:rPr>
        <w:t>settimane mediante infusione endovenosa.</w:t>
      </w:r>
    </w:p>
    <w:p w14:paraId="3699820D" w14:textId="77777777" w:rsidR="00EB7C8F" w:rsidRPr="006A2BF9" w:rsidRDefault="00EB7C8F" w:rsidP="00BB195D">
      <w:pPr>
        <w:rPr>
          <w:bCs/>
          <w:lang w:val="it-IT"/>
        </w:rPr>
      </w:pPr>
    </w:p>
    <w:p w14:paraId="3A1F018B" w14:textId="77777777" w:rsidR="00BB195D" w:rsidRPr="006A2BF9" w:rsidRDefault="00BB195D" w:rsidP="00BB195D">
      <w:pPr>
        <w:rPr>
          <w:bCs/>
          <w:lang w:val="it-IT"/>
        </w:rPr>
      </w:pPr>
      <w:r w:rsidRPr="006A2BF9">
        <w:rPr>
          <w:bCs/>
          <w:lang w:val="it-IT"/>
        </w:rPr>
        <w:t xml:space="preserve">Si raccomanda di proseguire il trattamento con </w:t>
      </w:r>
      <w:r w:rsidR="00EB7C8F" w:rsidRPr="006A2BF9">
        <w:rPr>
          <w:lang w:val="it-IT"/>
        </w:rPr>
        <w:t xml:space="preserve">Aybintio </w:t>
      </w:r>
      <w:r w:rsidRPr="006A2BF9">
        <w:rPr>
          <w:bCs/>
          <w:lang w:val="it-IT"/>
        </w:rPr>
        <w:t xml:space="preserve">in associazione </w:t>
      </w:r>
      <w:r w:rsidR="00C80537" w:rsidRPr="006A2BF9">
        <w:rPr>
          <w:bCs/>
          <w:lang w:val="it-IT"/>
        </w:rPr>
        <w:t xml:space="preserve">a </w:t>
      </w:r>
      <w:r w:rsidRPr="006A2BF9">
        <w:rPr>
          <w:bCs/>
          <w:lang w:val="it-IT"/>
        </w:rPr>
        <w:t>erlotinib fino alla progressione della malattia.</w:t>
      </w:r>
    </w:p>
    <w:p w14:paraId="528AFCA6" w14:textId="77777777" w:rsidR="00BB195D" w:rsidRPr="006A2BF9" w:rsidRDefault="00BB195D" w:rsidP="00BB195D">
      <w:pPr>
        <w:rPr>
          <w:bCs/>
          <w:lang w:val="it-IT"/>
        </w:rPr>
      </w:pPr>
    </w:p>
    <w:p w14:paraId="390B4D43" w14:textId="77777777" w:rsidR="00BB195D" w:rsidRPr="006A2BF9" w:rsidRDefault="00BB195D" w:rsidP="00BB195D">
      <w:pPr>
        <w:jc w:val="both"/>
        <w:rPr>
          <w:bCs/>
          <w:lang w:val="it-IT"/>
        </w:rPr>
      </w:pPr>
      <w:r w:rsidRPr="006A2BF9">
        <w:rPr>
          <w:bCs/>
          <w:lang w:val="it-IT"/>
        </w:rPr>
        <w:t>Per la posologia e la modalità di somministrazione d</w:t>
      </w:r>
      <w:r w:rsidR="00C80537" w:rsidRPr="006A2BF9">
        <w:rPr>
          <w:bCs/>
          <w:lang w:val="it-IT"/>
        </w:rPr>
        <w:t xml:space="preserve">i </w:t>
      </w:r>
      <w:r w:rsidRPr="006A2BF9">
        <w:rPr>
          <w:bCs/>
          <w:lang w:val="it-IT"/>
        </w:rPr>
        <w:t xml:space="preserve">erlotinib, vedere le informazioni </w:t>
      </w:r>
      <w:r w:rsidR="00C80537" w:rsidRPr="006A2BF9">
        <w:rPr>
          <w:bCs/>
          <w:lang w:val="it-IT"/>
        </w:rPr>
        <w:t xml:space="preserve">complete per la prescrizione </w:t>
      </w:r>
      <w:r w:rsidRPr="006A2BF9">
        <w:rPr>
          <w:bCs/>
          <w:lang w:val="it-IT"/>
        </w:rPr>
        <w:t>di erlotinib.</w:t>
      </w:r>
    </w:p>
    <w:p w14:paraId="019FDED5" w14:textId="77777777" w:rsidR="00B57ECC" w:rsidRPr="006A2BF9" w:rsidRDefault="00B57ECC" w:rsidP="00BB195D">
      <w:pPr>
        <w:jc w:val="both"/>
        <w:rPr>
          <w:bCs/>
          <w:lang w:val="it-IT"/>
        </w:rPr>
      </w:pPr>
    </w:p>
    <w:p w14:paraId="6D343C89" w14:textId="77777777" w:rsidR="009C0666" w:rsidRPr="00330A40" w:rsidRDefault="00EB182B" w:rsidP="009C0666">
      <w:pPr>
        <w:rPr>
          <w:bCs/>
          <w:i/>
          <w:u w:val="single"/>
          <w:lang w:val="it-IT"/>
        </w:rPr>
      </w:pPr>
      <w:r w:rsidRPr="006A2BF9">
        <w:rPr>
          <w:bCs/>
          <w:i/>
          <w:u w:val="single"/>
          <w:lang w:val="it-IT"/>
        </w:rPr>
        <w:t>Ca</w:t>
      </w:r>
      <w:r>
        <w:rPr>
          <w:bCs/>
          <w:i/>
          <w:u w:val="single"/>
          <w:lang w:val="it-IT"/>
        </w:rPr>
        <w:t>ncro a cellule</w:t>
      </w:r>
      <w:r w:rsidRPr="00330A40">
        <w:rPr>
          <w:bCs/>
          <w:i/>
          <w:u w:val="single"/>
          <w:lang w:val="it-IT"/>
        </w:rPr>
        <w:t xml:space="preserve"> </w:t>
      </w:r>
      <w:r w:rsidR="009C0666" w:rsidRPr="00330A40">
        <w:rPr>
          <w:bCs/>
          <w:i/>
          <w:u w:val="single"/>
          <w:lang w:val="it-IT"/>
        </w:rPr>
        <w:t>renal</w:t>
      </w:r>
      <w:r>
        <w:rPr>
          <w:bCs/>
          <w:i/>
          <w:u w:val="single"/>
          <w:lang w:val="it-IT"/>
        </w:rPr>
        <w:t>i</w:t>
      </w:r>
      <w:r w:rsidR="009C0666" w:rsidRPr="00330A40">
        <w:rPr>
          <w:bCs/>
          <w:i/>
          <w:u w:val="single"/>
          <w:lang w:val="it-IT"/>
        </w:rPr>
        <w:t xml:space="preserve"> avanzato e/o metastatico (</w:t>
      </w:r>
      <w:r w:rsidR="00507BBD" w:rsidRPr="00330A40">
        <w:rPr>
          <w:bCs/>
          <w:i/>
          <w:u w:val="single"/>
          <w:lang w:val="it-IT"/>
        </w:rPr>
        <w:t>m</w:t>
      </w:r>
      <w:r w:rsidR="009C0666" w:rsidRPr="00330A40">
        <w:rPr>
          <w:bCs/>
          <w:i/>
          <w:u w:val="single"/>
          <w:lang w:val="it-IT"/>
        </w:rPr>
        <w:t>R</w:t>
      </w:r>
      <w:r w:rsidR="00507BBD" w:rsidRPr="00330A40">
        <w:rPr>
          <w:bCs/>
          <w:i/>
          <w:u w:val="single"/>
          <w:lang w:val="it-IT"/>
        </w:rPr>
        <w:t>C</w:t>
      </w:r>
      <w:r w:rsidR="009E0073" w:rsidRPr="00330A40">
        <w:rPr>
          <w:bCs/>
          <w:i/>
          <w:u w:val="single"/>
          <w:lang w:val="it-IT"/>
        </w:rPr>
        <w:t>C</w:t>
      </w:r>
      <w:r w:rsidR="009C0666" w:rsidRPr="00330A40">
        <w:rPr>
          <w:bCs/>
          <w:i/>
          <w:u w:val="single"/>
          <w:lang w:val="it-IT"/>
        </w:rPr>
        <w:t>)</w:t>
      </w:r>
    </w:p>
    <w:p w14:paraId="08034597" w14:textId="77777777" w:rsidR="009C0666" w:rsidRPr="00330A40" w:rsidRDefault="009C0666" w:rsidP="009C0666">
      <w:pPr>
        <w:rPr>
          <w:lang w:val="it-IT"/>
        </w:rPr>
      </w:pPr>
    </w:p>
    <w:p w14:paraId="00916D94" w14:textId="77777777" w:rsidR="009C0666" w:rsidRPr="006A2BF9" w:rsidRDefault="009C0666" w:rsidP="009C0666">
      <w:pPr>
        <w:rPr>
          <w:lang w:val="it-IT"/>
        </w:rPr>
      </w:pPr>
      <w:r w:rsidRPr="006A2BF9">
        <w:rPr>
          <w:lang w:val="it-IT"/>
        </w:rPr>
        <w:t xml:space="preserve">La dose raccomandata di </w:t>
      </w:r>
      <w:r w:rsidR="00EB7C8F" w:rsidRPr="006A2BF9">
        <w:rPr>
          <w:lang w:val="it-IT"/>
        </w:rPr>
        <w:t xml:space="preserve">Aybintio </w:t>
      </w:r>
      <w:r w:rsidRPr="006A2BF9">
        <w:rPr>
          <w:lang w:val="it-IT"/>
        </w:rPr>
        <w:t>è di 10 mg/kg di peso corporeo da somministrarsi una volta ogni 2</w:t>
      </w:r>
      <w:r w:rsidR="00EB7C8F" w:rsidRPr="006A2BF9">
        <w:rPr>
          <w:lang w:val="it-IT"/>
        </w:rPr>
        <w:t> </w:t>
      </w:r>
      <w:r w:rsidRPr="006A2BF9">
        <w:rPr>
          <w:lang w:val="it-IT"/>
        </w:rPr>
        <w:t>settimane mediante infusione endovenosa.</w:t>
      </w:r>
    </w:p>
    <w:p w14:paraId="66257153" w14:textId="77777777" w:rsidR="00EB7C8F" w:rsidRPr="006A2BF9" w:rsidRDefault="00EB7C8F" w:rsidP="009C0666">
      <w:pPr>
        <w:rPr>
          <w:lang w:val="it-IT"/>
        </w:rPr>
      </w:pPr>
    </w:p>
    <w:p w14:paraId="45795D96" w14:textId="77777777" w:rsidR="00674B79" w:rsidRPr="006A2BF9" w:rsidRDefault="00674B79" w:rsidP="009C0666">
      <w:pPr>
        <w:rPr>
          <w:lang w:val="it-IT"/>
        </w:rPr>
      </w:pPr>
      <w:r w:rsidRPr="006A2BF9">
        <w:rPr>
          <w:lang w:val="it-IT"/>
        </w:rPr>
        <w:t xml:space="preserve">Si raccomanda di proseguire il trattamento fino alla progressione della malattia o </w:t>
      </w:r>
      <w:r w:rsidR="004C3C77" w:rsidRPr="006A2BF9">
        <w:rPr>
          <w:lang w:val="it-IT"/>
        </w:rPr>
        <w:t>finché</w:t>
      </w:r>
      <w:r w:rsidRPr="006A2BF9">
        <w:rPr>
          <w:lang w:val="it-IT"/>
        </w:rPr>
        <w:t xml:space="preserve"> non compare tossicità inaccettabile.</w:t>
      </w:r>
    </w:p>
    <w:p w14:paraId="5C082007" w14:textId="77777777" w:rsidR="00674B79" w:rsidRPr="006A2BF9" w:rsidRDefault="00674B79" w:rsidP="009C0666">
      <w:pPr>
        <w:rPr>
          <w:lang w:val="it-IT"/>
        </w:rPr>
      </w:pPr>
    </w:p>
    <w:p w14:paraId="3EC192E5" w14:textId="77777777" w:rsidR="00674B79" w:rsidRPr="00330A40" w:rsidRDefault="00EB182B" w:rsidP="00744C92">
      <w:pPr>
        <w:keepNext/>
        <w:keepLines/>
        <w:rPr>
          <w:i/>
          <w:u w:val="single"/>
          <w:lang w:val="it-IT"/>
        </w:rPr>
      </w:pPr>
      <w:r>
        <w:rPr>
          <w:i/>
          <w:u w:val="single"/>
          <w:lang w:val="it-IT"/>
        </w:rPr>
        <w:t>Cancro epiteliale dell’ovaio</w:t>
      </w:r>
      <w:r w:rsidR="00674B79" w:rsidRPr="00330A40">
        <w:rPr>
          <w:i/>
          <w:u w:val="single"/>
          <w:lang w:val="it-IT"/>
        </w:rPr>
        <w:t xml:space="preserve">, </w:t>
      </w:r>
      <w:r>
        <w:rPr>
          <w:i/>
          <w:u w:val="single"/>
          <w:lang w:val="it-IT"/>
        </w:rPr>
        <w:t>cancro della tuba di Falloppio</w:t>
      </w:r>
      <w:r w:rsidR="00674B79" w:rsidRPr="00330A40">
        <w:rPr>
          <w:i/>
          <w:u w:val="single"/>
          <w:lang w:val="it-IT"/>
        </w:rPr>
        <w:t xml:space="preserve"> e </w:t>
      </w:r>
      <w:r w:rsidR="004D4340">
        <w:rPr>
          <w:i/>
          <w:u w:val="single"/>
          <w:lang w:val="it-IT"/>
        </w:rPr>
        <w:t>cancro</w:t>
      </w:r>
      <w:r w:rsidR="004D4340" w:rsidRPr="00330A40">
        <w:rPr>
          <w:i/>
          <w:u w:val="single"/>
          <w:lang w:val="it-IT"/>
        </w:rPr>
        <w:t xml:space="preserve"> </w:t>
      </w:r>
      <w:r w:rsidR="00674B79" w:rsidRPr="00330A40">
        <w:rPr>
          <w:i/>
          <w:u w:val="single"/>
          <w:lang w:val="it-IT"/>
        </w:rPr>
        <w:t>peritoneale primario</w:t>
      </w:r>
    </w:p>
    <w:p w14:paraId="232D39AE" w14:textId="77777777" w:rsidR="00674B79" w:rsidRPr="00330A40" w:rsidRDefault="00674B79" w:rsidP="00744C92">
      <w:pPr>
        <w:keepNext/>
        <w:keepLines/>
        <w:rPr>
          <w:i/>
          <w:u w:val="single"/>
          <w:lang w:val="it-IT"/>
        </w:rPr>
      </w:pPr>
    </w:p>
    <w:p w14:paraId="190A7D90" w14:textId="77777777" w:rsidR="00EB7C8F" w:rsidRPr="006A2BF9" w:rsidRDefault="00EE54C9" w:rsidP="00C117F0">
      <w:pPr>
        <w:rPr>
          <w:color w:val="000000"/>
          <w:szCs w:val="22"/>
          <w:lang w:val="it-IT"/>
        </w:rPr>
      </w:pPr>
      <w:r w:rsidRPr="006A2BF9">
        <w:rPr>
          <w:i/>
          <w:color w:val="000000"/>
          <w:szCs w:val="22"/>
          <w:lang w:val="it-IT"/>
        </w:rPr>
        <w:t>Trattamento in prima linea</w:t>
      </w:r>
    </w:p>
    <w:p w14:paraId="427FBD60" w14:textId="77777777" w:rsidR="00674B79" w:rsidRPr="006A2BF9" w:rsidRDefault="00EB7C8F" w:rsidP="00C117F0">
      <w:pPr>
        <w:rPr>
          <w:lang w:val="it-IT"/>
        </w:rPr>
      </w:pPr>
      <w:r w:rsidRPr="006A2BF9">
        <w:rPr>
          <w:lang w:val="it-IT"/>
        </w:rPr>
        <w:t xml:space="preserve">Aybintio </w:t>
      </w:r>
      <w:r w:rsidR="00674B79" w:rsidRPr="006A2BF9">
        <w:rPr>
          <w:color w:val="000000"/>
          <w:szCs w:val="22"/>
          <w:lang w:val="it-IT"/>
        </w:rPr>
        <w:t xml:space="preserve">è somministrato in aggiunta a carboplatino e </w:t>
      </w:r>
      <w:r w:rsidR="00674B79" w:rsidRPr="006A2BF9">
        <w:rPr>
          <w:lang w:val="it-IT"/>
        </w:rPr>
        <w:t>paclitaxel</w:t>
      </w:r>
      <w:r w:rsidR="00674B79" w:rsidRPr="006A2BF9">
        <w:rPr>
          <w:color w:val="000000"/>
          <w:szCs w:val="22"/>
          <w:lang w:val="it-IT"/>
        </w:rPr>
        <w:t xml:space="preserve"> fino a 6</w:t>
      </w:r>
      <w:r w:rsidRPr="006A2BF9">
        <w:rPr>
          <w:color w:val="000000"/>
          <w:szCs w:val="22"/>
          <w:lang w:val="it-IT"/>
        </w:rPr>
        <w:t> </w:t>
      </w:r>
      <w:r w:rsidR="00674B79" w:rsidRPr="006A2BF9">
        <w:rPr>
          <w:color w:val="000000"/>
          <w:szCs w:val="22"/>
          <w:lang w:val="it-IT"/>
        </w:rPr>
        <w:t xml:space="preserve">cicli di trattamento, seguiti dalla somministrazione di </w:t>
      </w:r>
      <w:r w:rsidRPr="006A2BF9">
        <w:rPr>
          <w:lang w:val="it-IT"/>
        </w:rPr>
        <w:t xml:space="preserve">Aybintio </w:t>
      </w:r>
      <w:r w:rsidR="00674B79" w:rsidRPr="006A2BF9">
        <w:rPr>
          <w:color w:val="000000"/>
          <w:szCs w:val="22"/>
          <w:lang w:val="it-IT"/>
        </w:rPr>
        <w:t>in monoterapia da proseguire fino alla progressione della malattia o per un massimo di 15</w:t>
      </w:r>
      <w:r w:rsidRPr="006A2BF9">
        <w:rPr>
          <w:color w:val="000000"/>
          <w:szCs w:val="22"/>
          <w:lang w:val="it-IT"/>
        </w:rPr>
        <w:t> </w:t>
      </w:r>
      <w:r w:rsidR="00674B79" w:rsidRPr="006A2BF9">
        <w:rPr>
          <w:color w:val="000000"/>
          <w:szCs w:val="22"/>
          <w:lang w:val="it-IT"/>
        </w:rPr>
        <w:t>mesi o fino a che non compare tossicità inaccettabile, qualsiasi si manifesti prima.</w:t>
      </w:r>
      <w:r w:rsidRPr="006A2BF9">
        <w:rPr>
          <w:color w:val="000000"/>
          <w:szCs w:val="22"/>
          <w:lang w:val="it-IT"/>
        </w:rPr>
        <w:t xml:space="preserve"> </w:t>
      </w:r>
      <w:r w:rsidR="00674B79" w:rsidRPr="006A2BF9">
        <w:rPr>
          <w:color w:val="000000"/>
          <w:szCs w:val="22"/>
          <w:lang w:val="it-IT"/>
        </w:rPr>
        <w:t xml:space="preserve">La dose raccomandata di </w:t>
      </w:r>
      <w:r w:rsidRPr="006A2BF9">
        <w:rPr>
          <w:lang w:val="it-IT"/>
        </w:rPr>
        <w:t xml:space="preserve">Aybintio </w:t>
      </w:r>
      <w:r w:rsidR="00674B79" w:rsidRPr="006A2BF9">
        <w:rPr>
          <w:color w:val="000000"/>
          <w:szCs w:val="22"/>
          <w:lang w:val="it-IT"/>
        </w:rPr>
        <w:t>è di 15 mg/kg di peso corporeo, da somministrarsi una volta ogni 3</w:t>
      </w:r>
      <w:r w:rsidRPr="006A2BF9">
        <w:rPr>
          <w:color w:val="000000"/>
          <w:szCs w:val="22"/>
          <w:lang w:val="it-IT"/>
        </w:rPr>
        <w:t> </w:t>
      </w:r>
      <w:r w:rsidR="00674B79" w:rsidRPr="006A2BF9">
        <w:rPr>
          <w:color w:val="000000"/>
          <w:szCs w:val="22"/>
          <w:lang w:val="it-IT"/>
        </w:rPr>
        <w:t>settimane mediante infusione endovenosa.</w:t>
      </w:r>
    </w:p>
    <w:p w14:paraId="3990F154" w14:textId="77777777" w:rsidR="009C0666" w:rsidRPr="006A2BF9" w:rsidRDefault="009C0666" w:rsidP="009C0666">
      <w:pPr>
        <w:rPr>
          <w:lang w:val="it-IT"/>
        </w:rPr>
      </w:pPr>
    </w:p>
    <w:p w14:paraId="0886FB1C" w14:textId="77777777" w:rsidR="00EB7C8F" w:rsidRPr="006A2BF9" w:rsidRDefault="00174301" w:rsidP="009C0666">
      <w:pPr>
        <w:rPr>
          <w:i/>
          <w:lang w:val="it-IT"/>
        </w:rPr>
      </w:pPr>
      <w:r w:rsidRPr="006A2BF9">
        <w:rPr>
          <w:i/>
          <w:lang w:val="it-IT"/>
        </w:rPr>
        <w:t>Trattamento della</w:t>
      </w:r>
      <w:r w:rsidR="003B36C5" w:rsidRPr="006A2BF9">
        <w:rPr>
          <w:i/>
          <w:lang w:val="it-IT"/>
        </w:rPr>
        <w:t xml:space="preserve"> recidiva di </w:t>
      </w:r>
      <w:r w:rsidRPr="006A2BF9">
        <w:rPr>
          <w:i/>
          <w:lang w:val="it-IT"/>
        </w:rPr>
        <w:t>malattia</w:t>
      </w:r>
      <w:r w:rsidR="00436C24" w:rsidRPr="006A2BF9">
        <w:rPr>
          <w:i/>
          <w:lang w:val="it-IT"/>
        </w:rPr>
        <w:t xml:space="preserve"> platino-sensibile</w:t>
      </w:r>
    </w:p>
    <w:p w14:paraId="3D5C219C" w14:textId="77777777" w:rsidR="00174301" w:rsidRPr="006A2BF9" w:rsidRDefault="00EB7C8F" w:rsidP="009C0666">
      <w:pPr>
        <w:rPr>
          <w:lang w:val="it-IT"/>
        </w:rPr>
      </w:pPr>
      <w:r w:rsidRPr="006A2BF9">
        <w:rPr>
          <w:lang w:val="it-IT"/>
        </w:rPr>
        <w:t xml:space="preserve">Aybintio </w:t>
      </w:r>
      <w:r w:rsidR="00174301" w:rsidRPr="006A2BF9">
        <w:rPr>
          <w:lang w:val="it-IT"/>
        </w:rPr>
        <w:t xml:space="preserve">è somministrato in </w:t>
      </w:r>
      <w:r w:rsidR="00645F60" w:rsidRPr="006A2BF9">
        <w:rPr>
          <w:lang w:val="it-IT"/>
        </w:rPr>
        <w:t xml:space="preserve">associazione </w:t>
      </w:r>
      <w:r w:rsidR="00436C24" w:rsidRPr="006A2BF9">
        <w:rPr>
          <w:lang w:val="it-IT"/>
        </w:rPr>
        <w:t xml:space="preserve">a </w:t>
      </w:r>
      <w:r w:rsidR="00174301" w:rsidRPr="006A2BF9">
        <w:rPr>
          <w:lang w:val="it-IT"/>
        </w:rPr>
        <w:t>carboplatino e gemcitabina per 6</w:t>
      </w:r>
      <w:r w:rsidRPr="006A2BF9">
        <w:rPr>
          <w:lang w:val="it-IT"/>
        </w:rPr>
        <w:t> </w:t>
      </w:r>
      <w:r w:rsidR="00174301" w:rsidRPr="006A2BF9">
        <w:rPr>
          <w:lang w:val="it-IT"/>
        </w:rPr>
        <w:t>cicli fino a</w:t>
      </w:r>
      <w:r w:rsidR="00C94779" w:rsidRPr="006A2BF9">
        <w:rPr>
          <w:lang w:val="it-IT"/>
        </w:rPr>
        <w:t xml:space="preserve">d un massimo di </w:t>
      </w:r>
      <w:r w:rsidR="00174301" w:rsidRPr="006A2BF9">
        <w:rPr>
          <w:lang w:val="it-IT"/>
        </w:rPr>
        <w:t>10</w:t>
      </w:r>
      <w:r w:rsidRPr="006A2BF9">
        <w:rPr>
          <w:lang w:val="it-IT"/>
        </w:rPr>
        <w:t> </w:t>
      </w:r>
      <w:r w:rsidR="00174301" w:rsidRPr="006A2BF9">
        <w:rPr>
          <w:lang w:val="it-IT"/>
        </w:rPr>
        <w:t xml:space="preserve">cicli </w:t>
      </w:r>
      <w:r w:rsidR="00C15C6B" w:rsidRPr="006A2BF9">
        <w:rPr>
          <w:lang w:val="it-IT"/>
        </w:rPr>
        <w:t>o</w:t>
      </w:r>
      <w:r w:rsidR="0025458E" w:rsidRPr="006A2BF9">
        <w:rPr>
          <w:lang w:val="it-IT"/>
        </w:rPr>
        <w:t>ppure</w:t>
      </w:r>
      <w:r w:rsidR="00641EA1" w:rsidRPr="006A2BF9">
        <w:rPr>
          <w:lang w:val="it-IT"/>
        </w:rPr>
        <w:t xml:space="preserve"> in associazione </w:t>
      </w:r>
      <w:r w:rsidR="00C15C6B" w:rsidRPr="006A2BF9">
        <w:rPr>
          <w:lang w:val="it-IT"/>
        </w:rPr>
        <w:t>a carboplatino e paclitaxel per 6</w:t>
      </w:r>
      <w:r w:rsidRPr="006A2BF9">
        <w:rPr>
          <w:lang w:val="it-IT"/>
        </w:rPr>
        <w:t> </w:t>
      </w:r>
      <w:r w:rsidR="00C15C6B" w:rsidRPr="006A2BF9">
        <w:rPr>
          <w:lang w:val="it-IT"/>
        </w:rPr>
        <w:t>cicli fino ad un massimo di 8</w:t>
      </w:r>
      <w:r w:rsidRPr="006A2BF9">
        <w:rPr>
          <w:lang w:val="it-IT"/>
        </w:rPr>
        <w:t> </w:t>
      </w:r>
      <w:r w:rsidR="00C15C6B" w:rsidRPr="006A2BF9">
        <w:rPr>
          <w:lang w:val="it-IT"/>
        </w:rPr>
        <w:t xml:space="preserve">cicli, </w:t>
      </w:r>
      <w:r w:rsidR="00174301" w:rsidRPr="006A2BF9">
        <w:rPr>
          <w:lang w:val="it-IT"/>
        </w:rPr>
        <w:t>seguiti da</w:t>
      </w:r>
      <w:r w:rsidR="00465925" w:rsidRPr="006A2BF9">
        <w:rPr>
          <w:lang w:val="it-IT"/>
        </w:rPr>
        <w:t>lla somministrazione</w:t>
      </w:r>
      <w:r w:rsidR="00174301" w:rsidRPr="006A2BF9">
        <w:rPr>
          <w:lang w:val="it-IT"/>
        </w:rPr>
        <w:t xml:space="preserve"> di </w:t>
      </w:r>
      <w:r w:rsidRPr="006A2BF9">
        <w:rPr>
          <w:lang w:val="it-IT"/>
        </w:rPr>
        <w:t xml:space="preserve">Aybintio </w:t>
      </w:r>
      <w:r w:rsidR="00174301" w:rsidRPr="006A2BF9">
        <w:rPr>
          <w:lang w:val="it-IT"/>
        </w:rPr>
        <w:t xml:space="preserve">in monoterapia </w:t>
      </w:r>
      <w:r w:rsidR="00465925" w:rsidRPr="006A2BF9">
        <w:rPr>
          <w:lang w:val="it-IT"/>
        </w:rPr>
        <w:t xml:space="preserve">da proseguire </w:t>
      </w:r>
      <w:r w:rsidR="00174301" w:rsidRPr="006A2BF9">
        <w:rPr>
          <w:lang w:val="it-IT"/>
        </w:rPr>
        <w:t xml:space="preserve">fino alla progressione della malattia. La dose raccomandata di </w:t>
      </w:r>
      <w:r w:rsidRPr="006A2BF9">
        <w:rPr>
          <w:lang w:val="it-IT"/>
        </w:rPr>
        <w:t xml:space="preserve">Aybintio </w:t>
      </w:r>
      <w:r w:rsidR="00174301" w:rsidRPr="006A2BF9">
        <w:rPr>
          <w:lang w:val="it-IT"/>
        </w:rPr>
        <w:t>è di 15</w:t>
      </w:r>
      <w:r w:rsidRPr="006A2BF9">
        <w:rPr>
          <w:lang w:val="it-IT"/>
        </w:rPr>
        <w:t> </w:t>
      </w:r>
      <w:r w:rsidR="00174301" w:rsidRPr="006A2BF9">
        <w:rPr>
          <w:lang w:val="it-IT"/>
        </w:rPr>
        <w:t>mg/kg di peso corporeo</w:t>
      </w:r>
      <w:r w:rsidR="00465925" w:rsidRPr="006A2BF9">
        <w:rPr>
          <w:lang w:val="it-IT"/>
        </w:rPr>
        <w:t>,</w:t>
      </w:r>
      <w:r w:rsidR="006336C0" w:rsidRPr="006A2BF9">
        <w:rPr>
          <w:lang w:val="it-IT"/>
        </w:rPr>
        <w:t xml:space="preserve"> </w:t>
      </w:r>
      <w:r w:rsidR="00465925" w:rsidRPr="006A2BF9">
        <w:rPr>
          <w:lang w:val="it-IT"/>
        </w:rPr>
        <w:t xml:space="preserve">da somministrarsi </w:t>
      </w:r>
      <w:r w:rsidR="00174301" w:rsidRPr="006A2BF9">
        <w:rPr>
          <w:lang w:val="it-IT"/>
        </w:rPr>
        <w:t>una volta ogni 3</w:t>
      </w:r>
      <w:r w:rsidRPr="006A2BF9">
        <w:rPr>
          <w:lang w:val="it-IT"/>
        </w:rPr>
        <w:t> </w:t>
      </w:r>
      <w:r w:rsidR="00174301" w:rsidRPr="006A2BF9">
        <w:rPr>
          <w:lang w:val="it-IT"/>
        </w:rPr>
        <w:t>settimane mediante infusione endovenosa.</w:t>
      </w:r>
    </w:p>
    <w:p w14:paraId="12823F9B" w14:textId="77777777" w:rsidR="00436C24" w:rsidRPr="00330A40" w:rsidRDefault="00436C24" w:rsidP="009C0666">
      <w:pPr>
        <w:rPr>
          <w:lang w:val="it-IT"/>
        </w:rPr>
      </w:pPr>
    </w:p>
    <w:p w14:paraId="29CEE04C" w14:textId="77777777" w:rsidR="00EB7C8F" w:rsidRPr="00330A40" w:rsidRDefault="00436C24" w:rsidP="00436C24">
      <w:pPr>
        <w:rPr>
          <w:lang w:val="it-IT"/>
        </w:rPr>
      </w:pPr>
      <w:r w:rsidRPr="002F2255">
        <w:rPr>
          <w:i/>
          <w:lang w:val="it-IT"/>
        </w:rPr>
        <w:lastRenderedPageBreak/>
        <w:t>Trattamento della recidiva di malattia platino-resistente</w:t>
      </w:r>
    </w:p>
    <w:p w14:paraId="007F85ED" w14:textId="77777777" w:rsidR="00436C24" w:rsidRPr="006A2BF9" w:rsidRDefault="00EB7C8F" w:rsidP="00436C24">
      <w:pPr>
        <w:rPr>
          <w:lang w:val="it-IT"/>
        </w:rPr>
      </w:pPr>
      <w:r w:rsidRPr="00330A40">
        <w:rPr>
          <w:lang w:val="it-IT"/>
        </w:rPr>
        <w:t xml:space="preserve">Aybintio </w:t>
      </w:r>
      <w:r w:rsidR="00436C24" w:rsidRPr="00330A40">
        <w:rPr>
          <w:lang w:val="it-IT"/>
        </w:rPr>
        <w:t xml:space="preserve">è somministrato in </w:t>
      </w:r>
      <w:r w:rsidR="00EB669A" w:rsidRPr="00330A40">
        <w:rPr>
          <w:lang w:val="it-IT"/>
        </w:rPr>
        <w:t xml:space="preserve">associazione </w:t>
      </w:r>
      <w:r w:rsidR="00F656F1" w:rsidRPr="00330A40">
        <w:rPr>
          <w:lang w:val="it-IT"/>
        </w:rPr>
        <w:t>ad</w:t>
      </w:r>
      <w:r w:rsidR="00436C24" w:rsidRPr="00330A40">
        <w:rPr>
          <w:lang w:val="it-IT"/>
        </w:rPr>
        <w:t xml:space="preserve"> uno dei seguenti agenti: </w:t>
      </w:r>
      <w:r w:rsidR="002D52B1" w:rsidRPr="00E6020B">
        <w:rPr>
          <w:szCs w:val="22"/>
          <w:lang w:val="it-IT"/>
        </w:rPr>
        <w:t>paclitaxel,</w:t>
      </w:r>
      <w:r w:rsidR="002D52B1">
        <w:rPr>
          <w:szCs w:val="22"/>
          <w:lang w:val="it-IT"/>
        </w:rPr>
        <w:t xml:space="preserve"> </w:t>
      </w:r>
      <w:r w:rsidR="00436C24" w:rsidRPr="00330A40">
        <w:rPr>
          <w:lang w:val="it-IT"/>
        </w:rPr>
        <w:t xml:space="preserve">topotecan (somministrato ogni settimana) o doxorubicina liposomiale pegilata. La dose raccomandata di </w:t>
      </w:r>
      <w:r w:rsidRPr="006A2BF9">
        <w:rPr>
          <w:lang w:val="it-IT"/>
        </w:rPr>
        <w:t xml:space="preserve">Aybintio </w:t>
      </w:r>
      <w:r w:rsidR="00436C24" w:rsidRPr="006A2BF9">
        <w:rPr>
          <w:lang w:val="it-IT"/>
        </w:rPr>
        <w:t>è di 10 mg/kg di peso corporeo, da somministrarsi una volta ogni 2</w:t>
      </w:r>
      <w:r w:rsidRPr="006A2BF9">
        <w:rPr>
          <w:lang w:val="it-IT"/>
        </w:rPr>
        <w:t> </w:t>
      </w:r>
      <w:r w:rsidR="00436C24" w:rsidRPr="006A2BF9">
        <w:rPr>
          <w:lang w:val="it-IT"/>
        </w:rPr>
        <w:t xml:space="preserve">settimane mediante infusione endovenosa. Se </w:t>
      </w:r>
      <w:r w:rsidR="00C70CB0" w:rsidRPr="006A2BF9">
        <w:rPr>
          <w:lang w:val="it-IT"/>
        </w:rPr>
        <w:t xml:space="preserve">Aybintio </w:t>
      </w:r>
      <w:r w:rsidR="00436C24" w:rsidRPr="006A2BF9">
        <w:rPr>
          <w:lang w:val="it-IT"/>
        </w:rPr>
        <w:t>è somministrato in associazione a topotecan (somministrato nei giorni</w:t>
      </w:r>
      <w:r w:rsidR="00C70CB0" w:rsidRPr="006A2BF9">
        <w:rPr>
          <w:lang w:val="it-IT"/>
        </w:rPr>
        <w:t> </w:t>
      </w:r>
      <w:r w:rsidR="00436C24" w:rsidRPr="006A2BF9">
        <w:rPr>
          <w:lang w:val="it-IT"/>
        </w:rPr>
        <w:t>1-5, ogni 3</w:t>
      </w:r>
      <w:r w:rsidR="00C70CB0" w:rsidRPr="006A2BF9">
        <w:rPr>
          <w:lang w:val="it-IT"/>
        </w:rPr>
        <w:t> </w:t>
      </w:r>
      <w:r w:rsidR="00436C24" w:rsidRPr="006A2BF9">
        <w:rPr>
          <w:lang w:val="it-IT"/>
        </w:rPr>
        <w:t xml:space="preserve">settimane), la dose raccomandata di </w:t>
      </w:r>
      <w:r w:rsidR="00C70CB0" w:rsidRPr="006A2BF9">
        <w:rPr>
          <w:lang w:val="it-IT"/>
        </w:rPr>
        <w:t xml:space="preserve">Aybintio </w:t>
      </w:r>
      <w:r w:rsidR="00436C24" w:rsidRPr="006A2BF9">
        <w:rPr>
          <w:lang w:val="it-IT"/>
        </w:rPr>
        <w:t>è di 15 mg/kg di peso corporeo, da somministrarsi ogni 3</w:t>
      </w:r>
      <w:r w:rsidR="00C70CB0" w:rsidRPr="006A2BF9">
        <w:rPr>
          <w:lang w:val="it-IT"/>
        </w:rPr>
        <w:t> </w:t>
      </w:r>
      <w:r w:rsidR="00436C24" w:rsidRPr="006A2BF9">
        <w:rPr>
          <w:lang w:val="it-IT"/>
        </w:rPr>
        <w:t>settimane mediante infusione endovenosa. Si raccomanda di continuare il trattamento fino alla progressione della malattia o sviluppo di tossicità inaccettabile (vedere paragrafo</w:t>
      </w:r>
      <w:r w:rsidR="00C70CB0" w:rsidRPr="006A2BF9">
        <w:rPr>
          <w:lang w:val="it-IT"/>
        </w:rPr>
        <w:t> </w:t>
      </w:r>
      <w:r w:rsidR="00436C24" w:rsidRPr="006A2BF9">
        <w:rPr>
          <w:lang w:val="it-IT"/>
        </w:rPr>
        <w:t>5.1, studio</w:t>
      </w:r>
      <w:r w:rsidR="00C70CB0" w:rsidRPr="006A2BF9">
        <w:rPr>
          <w:lang w:val="it-IT"/>
        </w:rPr>
        <w:t> </w:t>
      </w:r>
      <w:r w:rsidR="00436C24" w:rsidRPr="006A2BF9">
        <w:rPr>
          <w:lang w:val="it-IT"/>
        </w:rPr>
        <w:t>MO22224</w:t>
      </w:r>
      <w:r w:rsidR="00436C24" w:rsidRPr="006A2BF9">
        <w:rPr>
          <w:rFonts w:cs="Arial"/>
          <w:lang w:val="it-IT"/>
        </w:rPr>
        <w:t>).</w:t>
      </w:r>
    </w:p>
    <w:p w14:paraId="37417F0F" w14:textId="77777777" w:rsidR="00436C24" w:rsidRPr="006A2BF9" w:rsidRDefault="00436C24" w:rsidP="009C0666">
      <w:pPr>
        <w:rPr>
          <w:lang w:val="it-IT"/>
        </w:rPr>
      </w:pPr>
    </w:p>
    <w:p w14:paraId="66B4317F" w14:textId="77777777" w:rsidR="0085675A" w:rsidRPr="00330A40" w:rsidRDefault="0094448F" w:rsidP="0085675A">
      <w:pPr>
        <w:rPr>
          <w:i/>
          <w:u w:val="single"/>
          <w:lang w:val="it-IT"/>
        </w:rPr>
      </w:pPr>
      <w:r>
        <w:rPr>
          <w:i/>
          <w:u w:val="single"/>
          <w:lang w:val="it-IT"/>
        </w:rPr>
        <w:t xml:space="preserve">Cancro </w:t>
      </w:r>
      <w:r w:rsidR="0085675A" w:rsidRPr="00330A40">
        <w:rPr>
          <w:i/>
          <w:u w:val="single"/>
          <w:lang w:val="it-IT"/>
        </w:rPr>
        <w:t>della cervice</w:t>
      </w:r>
    </w:p>
    <w:p w14:paraId="29DBD2A5" w14:textId="77777777" w:rsidR="0085675A" w:rsidRPr="00330A40" w:rsidRDefault="0085675A" w:rsidP="0085675A">
      <w:pPr>
        <w:rPr>
          <w:lang w:val="it-IT"/>
        </w:rPr>
      </w:pPr>
    </w:p>
    <w:p w14:paraId="712CC0EE" w14:textId="77777777" w:rsidR="0085675A" w:rsidRPr="006A2BF9" w:rsidRDefault="00C70CB0" w:rsidP="0085675A">
      <w:pPr>
        <w:rPr>
          <w:lang w:val="it-IT"/>
        </w:rPr>
      </w:pPr>
      <w:r w:rsidRPr="006A2BF9">
        <w:rPr>
          <w:lang w:val="it-IT"/>
        </w:rPr>
        <w:t xml:space="preserve">Aybintio </w:t>
      </w:r>
      <w:r w:rsidR="0085675A" w:rsidRPr="006A2BF9">
        <w:rPr>
          <w:lang w:val="it-IT"/>
        </w:rPr>
        <w:t>è</w:t>
      </w:r>
      <w:r w:rsidR="002E7A16" w:rsidRPr="006A2BF9">
        <w:rPr>
          <w:lang w:val="it-IT"/>
        </w:rPr>
        <w:t xml:space="preserve"> somministrato in associazione </w:t>
      </w:r>
      <w:r w:rsidR="00D4333D" w:rsidRPr="006A2BF9">
        <w:rPr>
          <w:lang w:val="it-IT"/>
        </w:rPr>
        <w:t xml:space="preserve">a </w:t>
      </w:r>
      <w:r w:rsidR="0085675A" w:rsidRPr="006A2BF9">
        <w:rPr>
          <w:lang w:val="it-IT"/>
        </w:rPr>
        <w:t xml:space="preserve">uno dei seguenti regimi chemioterapici: </w:t>
      </w:r>
      <w:r w:rsidR="00F6088E" w:rsidRPr="006A2BF9">
        <w:rPr>
          <w:lang w:val="it-IT"/>
        </w:rPr>
        <w:t>paclitaxel e cisplatin</w:t>
      </w:r>
      <w:r w:rsidR="00956BD1" w:rsidRPr="006A2BF9">
        <w:rPr>
          <w:lang w:val="it-IT"/>
        </w:rPr>
        <w:t>o</w:t>
      </w:r>
      <w:r w:rsidR="00F6088E" w:rsidRPr="006A2BF9">
        <w:rPr>
          <w:lang w:val="it-IT"/>
        </w:rPr>
        <w:t xml:space="preserve"> o paclitaxel e topotecan.</w:t>
      </w:r>
    </w:p>
    <w:p w14:paraId="5CF2651E" w14:textId="77777777" w:rsidR="00C70CB0" w:rsidRPr="006A2BF9" w:rsidRDefault="00C70CB0" w:rsidP="0085675A">
      <w:pPr>
        <w:rPr>
          <w:lang w:val="it-IT"/>
        </w:rPr>
      </w:pPr>
    </w:p>
    <w:p w14:paraId="5A1E1713" w14:textId="77777777" w:rsidR="00D4333D" w:rsidRPr="006A2BF9" w:rsidRDefault="00F6088E" w:rsidP="0085675A">
      <w:pPr>
        <w:rPr>
          <w:lang w:val="it-IT"/>
        </w:rPr>
      </w:pPr>
      <w:r w:rsidRPr="006A2BF9">
        <w:rPr>
          <w:lang w:val="it-IT"/>
        </w:rPr>
        <w:t xml:space="preserve">La dose raccomandata di </w:t>
      </w:r>
      <w:r w:rsidR="00C70CB0" w:rsidRPr="006A2BF9">
        <w:rPr>
          <w:lang w:val="it-IT"/>
        </w:rPr>
        <w:t xml:space="preserve">Aybintio </w:t>
      </w:r>
      <w:r w:rsidRPr="006A2BF9">
        <w:rPr>
          <w:lang w:val="it-IT"/>
        </w:rPr>
        <w:t>è di 15</w:t>
      </w:r>
      <w:r w:rsidR="00C70CB0" w:rsidRPr="006A2BF9">
        <w:rPr>
          <w:lang w:val="it-IT"/>
        </w:rPr>
        <w:t> </w:t>
      </w:r>
      <w:r w:rsidRPr="006A2BF9">
        <w:rPr>
          <w:lang w:val="it-IT"/>
        </w:rPr>
        <w:t>mg/kg</w:t>
      </w:r>
      <w:r w:rsidR="00956BD1" w:rsidRPr="006A2BF9">
        <w:rPr>
          <w:lang w:val="it-IT"/>
        </w:rPr>
        <w:t xml:space="preserve"> di pe</w:t>
      </w:r>
      <w:r w:rsidRPr="006A2BF9">
        <w:rPr>
          <w:lang w:val="it-IT"/>
        </w:rPr>
        <w:t xml:space="preserve">so corporeo, </w:t>
      </w:r>
      <w:r w:rsidR="001C747B" w:rsidRPr="006A2BF9">
        <w:rPr>
          <w:lang w:val="it-IT"/>
        </w:rPr>
        <w:t>da somministrarsi</w:t>
      </w:r>
      <w:r w:rsidRPr="006A2BF9">
        <w:rPr>
          <w:lang w:val="it-IT"/>
        </w:rPr>
        <w:t xml:space="preserve"> una volta ogni 3</w:t>
      </w:r>
      <w:r w:rsidR="00C70CB0" w:rsidRPr="006A2BF9">
        <w:rPr>
          <w:lang w:val="it-IT"/>
        </w:rPr>
        <w:t> </w:t>
      </w:r>
      <w:r w:rsidRPr="006A2BF9">
        <w:rPr>
          <w:lang w:val="it-IT"/>
        </w:rPr>
        <w:t>settimane mediante infusione endovenosa.</w:t>
      </w:r>
    </w:p>
    <w:p w14:paraId="4F681250" w14:textId="77777777" w:rsidR="00F6088E" w:rsidRPr="006A2BF9" w:rsidRDefault="00F6088E" w:rsidP="0085675A">
      <w:pPr>
        <w:rPr>
          <w:lang w:val="it-IT"/>
        </w:rPr>
      </w:pPr>
      <w:r w:rsidRPr="006A2BF9">
        <w:rPr>
          <w:lang w:val="it-IT"/>
        </w:rPr>
        <w:t>Si raccomanda di proseguire il trattamento fino a progressione della malattia sottostante o comparsa di tossicità inaccettabile (vedere paragrafo</w:t>
      </w:r>
      <w:r w:rsidR="00C70CB0" w:rsidRPr="006A2BF9">
        <w:rPr>
          <w:lang w:val="it-IT"/>
        </w:rPr>
        <w:t> </w:t>
      </w:r>
      <w:r w:rsidRPr="006A2BF9">
        <w:rPr>
          <w:lang w:val="it-IT"/>
        </w:rPr>
        <w:t>5.1).</w:t>
      </w:r>
    </w:p>
    <w:p w14:paraId="66935BCE" w14:textId="77777777" w:rsidR="0085675A" w:rsidRPr="006A2BF9" w:rsidRDefault="0085675A" w:rsidP="0085675A">
      <w:pPr>
        <w:rPr>
          <w:lang w:val="it-IT"/>
        </w:rPr>
      </w:pPr>
    </w:p>
    <w:p w14:paraId="3E35D862" w14:textId="77777777" w:rsidR="009C0666" w:rsidRPr="00330A40" w:rsidRDefault="00FA18E1" w:rsidP="002E56FD">
      <w:pPr>
        <w:keepNext/>
        <w:rPr>
          <w:i/>
          <w:iCs/>
          <w:u w:val="single"/>
          <w:lang w:val="it-IT"/>
        </w:rPr>
      </w:pPr>
      <w:r>
        <w:rPr>
          <w:i/>
          <w:iCs/>
          <w:u w:val="single"/>
          <w:lang w:val="it-IT"/>
        </w:rPr>
        <w:t>Popolazioni speciali</w:t>
      </w:r>
    </w:p>
    <w:p w14:paraId="32BB0CAE" w14:textId="77777777" w:rsidR="009C0666" w:rsidRPr="00330A40" w:rsidRDefault="009C0666" w:rsidP="002E56FD">
      <w:pPr>
        <w:keepNext/>
        <w:rPr>
          <w:lang w:val="it-IT"/>
        </w:rPr>
      </w:pPr>
    </w:p>
    <w:p w14:paraId="4CE24A53" w14:textId="77777777" w:rsidR="00311727" w:rsidRPr="00330A40" w:rsidRDefault="00E7195C" w:rsidP="002E56FD">
      <w:pPr>
        <w:keepNext/>
        <w:rPr>
          <w:lang w:val="it-IT"/>
        </w:rPr>
      </w:pPr>
      <w:r w:rsidRPr="006A2BF9">
        <w:rPr>
          <w:i/>
          <w:iCs/>
          <w:lang w:val="it-IT"/>
        </w:rPr>
        <w:t>Pazie</w:t>
      </w:r>
      <w:r w:rsidRPr="00330A40">
        <w:rPr>
          <w:i/>
          <w:iCs/>
          <w:lang w:val="it-IT"/>
        </w:rPr>
        <w:t>nti a</w:t>
      </w:r>
      <w:r w:rsidR="009C0666" w:rsidRPr="00330A40">
        <w:rPr>
          <w:i/>
          <w:iCs/>
          <w:lang w:val="it-IT"/>
        </w:rPr>
        <w:t>nziani</w:t>
      </w:r>
    </w:p>
    <w:p w14:paraId="204A2733" w14:textId="77777777" w:rsidR="009C0666" w:rsidRPr="00330A40" w:rsidRDefault="00311727" w:rsidP="002E56FD">
      <w:pPr>
        <w:keepNext/>
        <w:rPr>
          <w:lang w:val="it-IT"/>
        </w:rPr>
      </w:pPr>
      <w:r w:rsidRPr="00330A40">
        <w:rPr>
          <w:lang w:val="it-IT"/>
        </w:rPr>
        <w:t>N</w:t>
      </w:r>
      <w:r w:rsidR="00465925" w:rsidRPr="00330A40">
        <w:rPr>
          <w:lang w:val="it-IT"/>
        </w:rPr>
        <w:t xml:space="preserve">ei pazienti </w:t>
      </w:r>
      <w:r w:rsidR="008268BB" w:rsidRPr="00330A40">
        <w:rPr>
          <w:lang w:val="it-IT"/>
        </w:rPr>
        <w:t>di età ≥</w:t>
      </w:r>
      <w:r w:rsidR="00C70CB0" w:rsidRPr="00330A40">
        <w:rPr>
          <w:lang w:val="it-IT"/>
        </w:rPr>
        <w:t> </w:t>
      </w:r>
      <w:r w:rsidR="008268BB" w:rsidRPr="00330A40">
        <w:rPr>
          <w:lang w:val="it-IT"/>
        </w:rPr>
        <w:t>65</w:t>
      </w:r>
      <w:r w:rsidR="00C70CB0" w:rsidRPr="00330A40">
        <w:rPr>
          <w:lang w:val="it-IT"/>
        </w:rPr>
        <w:t> </w:t>
      </w:r>
      <w:r w:rsidR="008268BB" w:rsidRPr="00330A40">
        <w:rPr>
          <w:lang w:val="it-IT"/>
        </w:rPr>
        <w:t>anni</w:t>
      </w:r>
      <w:r w:rsidR="00465925" w:rsidRPr="00330A40">
        <w:rPr>
          <w:lang w:val="it-IT"/>
        </w:rPr>
        <w:t xml:space="preserve"> </w:t>
      </w:r>
      <w:r w:rsidR="009C0666" w:rsidRPr="00330A40">
        <w:rPr>
          <w:lang w:val="it-IT"/>
        </w:rPr>
        <w:t xml:space="preserve">non è necessario attuare alcuna correzione della dose di </w:t>
      </w:r>
      <w:r w:rsidR="00C70CB0" w:rsidRPr="00330A40">
        <w:rPr>
          <w:lang w:val="it-IT"/>
        </w:rPr>
        <w:t>Aybintio</w:t>
      </w:r>
      <w:r w:rsidR="009C0666" w:rsidRPr="00330A40">
        <w:rPr>
          <w:lang w:val="it-IT"/>
        </w:rPr>
        <w:t>.</w:t>
      </w:r>
    </w:p>
    <w:p w14:paraId="57CE8939" w14:textId="77777777" w:rsidR="009C0666" w:rsidRPr="006A2BF9" w:rsidRDefault="009C0666" w:rsidP="009C0666">
      <w:pPr>
        <w:rPr>
          <w:lang w:val="it-IT"/>
        </w:rPr>
      </w:pPr>
    </w:p>
    <w:p w14:paraId="2973244E" w14:textId="77777777" w:rsidR="00C70CB0" w:rsidRPr="006A2BF9" w:rsidRDefault="00E7195C" w:rsidP="009C0666">
      <w:pPr>
        <w:rPr>
          <w:bCs/>
          <w:i/>
          <w:lang w:val="it-IT"/>
        </w:rPr>
      </w:pPr>
      <w:r w:rsidRPr="006A2BF9">
        <w:rPr>
          <w:bCs/>
          <w:i/>
          <w:lang w:val="it-IT"/>
        </w:rPr>
        <w:t xml:space="preserve">Pazienti con </w:t>
      </w:r>
      <w:r w:rsidR="00D4333D" w:rsidRPr="006A2BF9">
        <w:rPr>
          <w:bCs/>
          <w:i/>
          <w:lang w:val="it-IT"/>
        </w:rPr>
        <w:t xml:space="preserve">compromissione </w:t>
      </w:r>
      <w:r w:rsidR="009C0666" w:rsidRPr="006A2BF9">
        <w:rPr>
          <w:bCs/>
          <w:i/>
          <w:lang w:val="it-IT"/>
        </w:rPr>
        <w:t>renale</w:t>
      </w:r>
    </w:p>
    <w:p w14:paraId="41447A96" w14:textId="77777777" w:rsidR="009C0666" w:rsidRPr="006A2BF9" w:rsidRDefault="00C70CB0" w:rsidP="009C0666">
      <w:pPr>
        <w:rPr>
          <w:lang w:val="it-IT"/>
        </w:rPr>
      </w:pPr>
      <w:r w:rsidRPr="006A2BF9">
        <w:rPr>
          <w:lang w:val="it-IT"/>
        </w:rPr>
        <w:t>L</w:t>
      </w:r>
      <w:r w:rsidR="009C0666" w:rsidRPr="006A2BF9">
        <w:rPr>
          <w:lang w:val="it-IT"/>
        </w:rPr>
        <w:t xml:space="preserve">a sicurezza e l’efficacia nei pazienti affetti da </w:t>
      </w:r>
      <w:r w:rsidR="00D4333D" w:rsidRPr="006A2BF9">
        <w:rPr>
          <w:lang w:val="it-IT"/>
        </w:rPr>
        <w:t xml:space="preserve">compromissione </w:t>
      </w:r>
      <w:r w:rsidR="009C0666" w:rsidRPr="006A2BF9">
        <w:rPr>
          <w:lang w:val="it-IT"/>
        </w:rPr>
        <w:t>renale non sono state studiate</w:t>
      </w:r>
      <w:r w:rsidR="005D014E" w:rsidRPr="006A2BF9">
        <w:rPr>
          <w:lang w:val="it-IT"/>
        </w:rPr>
        <w:t xml:space="preserve"> (vedere paragrafo</w:t>
      </w:r>
      <w:r w:rsidRPr="006A2BF9">
        <w:rPr>
          <w:lang w:val="it-IT"/>
        </w:rPr>
        <w:t> </w:t>
      </w:r>
      <w:r w:rsidR="005D014E" w:rsidRPr="006A2BF9">
        <w:rPr>
          <w:lang w:val="it-IT"/>
        </w:rPr>
        <w:t>5.2)</w:t>
      </w:r>
      <w:r w:rsidR="009C0666" w:rsidRPr="006A2BF9">
        <w:rPr>
          <w:lang w:val="it-IT"/>
        </w:rPr>
        <w:t>.</w:t>
      </w:r>
    </w:p>
    <w:p w14:paraId="7B1F9372" w14:textId="77777777" w:rsidR="009C0666" w:rsidRPr="006A2BF9" w:rsidRDefault="009C0666" w:rsidP="009C0666">
      <w:pPr>
        <w:rPr>
          <w:lang w:val="it-IT"/>
        </w:rPr>
      </w:pPr>
    </w:p>
    <w:p w14:paraId="05687D25" w14:textId="77777777" w:rsidR="00C70CB0" w:rsidRPr="006A2BF9" w:rsidRDefault="005D014E" w:rsidP="009C0666">
      <w:pPr>
        <w:rPr>
          <w:bCs/>
          <w:i/>
          <w:lang w:val="it-IT"/>
        </w:rPr>
      </w:pPr>
      <w:r w:rsidRPr="006A2BF9">
        <w:rPr>
          <w:bCs/>
          <w:i/>
          <w:lang w:val="it-IT"/>
        </w:rPr>
        <w:t xml:space="preserve">Pazienti con </w:t>
      </w:r>
      <w:r w:rsidR="00D4333D" w:rsidRPr="006A2BF9">
        <w:rPr>
          <w:bCs/>
          <w:i/>
          <w:lang w:val="it-IT"/>
        </w:rPr>
        <w:t xml:space="preserve">compromissione </w:t>
      </w:r>
      <w:r w:rsidR="009C0666" w:rsidRPr="006A2BF9">
        <w:rPr>
          <w:bCs/>
          <w:i/>
          <w:lang w:val="it-IT"/>
        </w:rPr>
        <w:t>epatica</w:t>
      </w:r>
    </w:p>
    <w:p w14:paraId="1495AA51" w14:textId="77777777" w:rsidR="0025370C" w:rsidRPr="006A2BF9" w:rsidRDefault="00C70CB0" w:rsidP="009C0666">
      <w:pPr>
        <w:rPr>
          <w:szCs w:val="22"/>
          <w:lang w:val="it-IT"/>
        </w:rPr>
      </w:pPr>
      <w:r w:rsidRPr="006A2BF9">
        <w:rPr>
          <w:lang w:val="it-IT"/>
        </w:rPr>
        <w:t>L</w:t>
      </w:r>
      <w:r w:rsidR="009C0666" w:rsidRPr="006A2BF9">
        <w:rPr>
          <w:lang w:val="it-IT"/>
        </w:rPr>
        <w:t xml:space="preserve">a sicurezza e l’efficacia nei pazienti affetti da </w:t>
      </w:r>
      <w:r w:rsidR="00D4333D" w:rsidRPr="006A2BF9">
        <w:rPr>
          <w:lang w:val="it-IT"/>
        </w:rPr>
        <w:t xml:space="preserve">compromissione </w:t>
      </w:r>
      <w:r w:rsidR="009C0666" w:rsidRPr="006A2BF9">
        <w:rPr>
          <w:lang w:val="it-IT"/>
        </w:rPr>
        <w:t>epatica non sono state studiate</w:t>
      </w:r>
      <w:r w:rsidR="005D014E" w:rsidRPr="006A2BF9">
        <w:rPr>
          <w:lang w:val="it-IT"/>
        </w:rPr>
        <w:t xml:space="preserve"> (vedere paragrafo</w:t>
      </w:r>
      <w:r w:rsidRPr="006A2BF9">
        <w:rPr>
          <w:lang w:val="it-IT"/>
        </w:rPr>
        <w:t> </w:t>
      </w:r>
      <w:r w:rsidR="005D014E" w:rsidRPr="006A2BF9">
        <w:rPr>
          <w:lang w:val="it-IT"/>
        </w:rPr>
        <w:t>5.2)</w:t>
      </w:r>
      <w:r w:rsidR="009C0666" w:rsidRPr="006A2BF9">
        <w:rPr>
          <w:lang w:val="it-IT"/>
        </w:rPr>
        <w:t>.</w:t>
      </w:r>
    </w:p>
    <w:p w14:paraId="4CB3AFE7" w14:textId="77777777" w:rsidR="00AD4104" w:rsidRPr="006A2BF9" w:rsidRDefault="00AD4104" w:rsidP="009C0666">
      <w:pPr>
        <w:rPr>
          <w:lang w:val="it-IT"/>
        </w:rPr>
      </w:pPr>
    </w:p>
    <w:p w14:paraId="24701FE4" w14:textId="77777777" w:rsidR="001056EF" w:rsidRPr="006A2BF9" w:rsidRDefault="001056EF" w:rsidP="001056EF">
      <w:pPr>
        <w:rPr>
          <w:i/>
          <w:lang w:val="it-IT"/>
        </w:rPr>
      </w:pPr>
      <w:r w:rsidRPr="006A2BF9">
        <w:rPr>
          <w:i/>
          <w:lang w:val="it-IT"/>
        </w:rPr>
        <w:t>Popolazione pediatrica</w:t>
      </w:r>
    </w:p>
    <w:p w14:paraId="7C8421AD" w14:textId="77777777" w:rsidR="00D7022D" w:rsidRPr="006A2BF9" w:rsidRDefault="00D7022D" w:rsidP="001056EF">
      <w:pPr>
        <w:rPr>
          <w:szCs w:val="22"/>
          <w:lang w:val="it-IT"/>
        </w:rPr>
      </w:pPr>
      <w:r w:rsidRPr="006A2BF9">
        <w:rPr>
          <w:szCs w:val="22"/>
          <w:lang w:val="it-IT"/>
        </w:rPr>
        <w:t>La sicurezza e l’efficacia di bevacizumab nei bambini di età inferiore a 18</w:t>
      </w:r>
      <w:r w:rsidR="00C70CB0" w:rsidRPr="006A2BF9">
        <w:rPr>
          <w:szCs w:val="22"/>
          <w:lang w:val="it-IT"/>
        </w:rPr>
        <w:t> </w:t>
      </w:r>
      <w:r w:rsidRPr="006A2BF9">
        <w:rPr>
          <w:szCs w:val="22"/>
          <w:lang w:val="it-IT"/>
        </w:rPr>
        <w:t>anni non sono state stabilite. I dati</w:t>
      </w:r>
      <w:r w:rsidR="00311727" w:rsidRPr="006A2BF9">
        <w:rPr>
          <w:szCs w:val="22"/>
          <w:lang w:val="it-IT"/>
        </w:rPr>
        <w:t xml:space="preserve"> al momento</w:t>
      </w:r>
      <w:r w:rsidRPr="006A2BF9">
        <w:rPr>
          <w:szCs w:val="22"/>
          <w:lang w:val="it-IT"/>
        </w:rPr>
        <w:t xml:space="preserve"> disponibili sono riportati nei paragrafi</w:t>
      </w:r>
      <w:r w:rsidR="00C70CB0" w:rsidRPr="006A2BF9">
        <w:rPr>
          <w:szCs w:val="22"/>
          <w:lang w:val="it-IT"/>
        </w:rPr>
        <w:t> </w:t>
      </w:r>
      <w:r w:rsidRPr="006A2BF9">
        <w:rPr>
          <w:szCs w:val="22"/>
          <w:lang w:val="it-IT"/>
        </w:rPr>
        <w:t>4.8, 5.1 e</w:t>
      </w:r>
      <w:r w:rsidR="00C70CB0" w:rsidRPr="006A2BF9">
        <w:rPr>
          <w:szCs w:val="22"/>
          <w:lang w:val="it-IT"/>
        </w:rPr>
        <w:t> </w:t>
      </w:r>
      <w:r w:rsidRPr="006A2BF9">
        <w:rPr>
          <w:szCs w:val="22"/>
          <w:lang w:val="it-IT"/>
        </w:rPr>
        <w:t>5.2, ma non</w:t>
      </w:r>
      <w:r w:rsidR="00311727" w:rsidRPr="006A2BF9">
        <w:rPr>
          <w:szCs w:val="22"/>
          <w:lang w:val="it-IT"/>
        </w:rPr>
        <w:t xml:space="preserve"> </w:t>
      </w:r>
      <w:r w:rsidR="00311727" w:rsidRPr="006A2BF9">
        <w:rPr>
          <w:lang w:val="it-IT"/>
        </w:rPr>
        <w:t xml:space="preserve">può essere fatta </w:t>
      </w:r>
      <w:r w:rsidRPr="006A2BF9">
        <w:rPr>
          <w:szCs w:val="22"/>
          <w:lang w:val="it-IT"/>
        </w:rPr>
        <w:t xml:space="preserve">alcuna raccomandazione </w:t>
      </w:r>
      <w:r w:rsidR="00311727" w:rsidRPr="006A2BF9">
        <w:rPr>
          <w:lang w:val="it-IT"/>
        </w:rPr>
        <w:t>riguardante la</w:t>
      </w:r>
      <w:r w:rsidRPr="006A2BF9">
        <w:rPr>
          <w:szCs w:val="22"/>
          <w:lang w:val="it-IT"/>
        </w:rPr>
        <w:t xml:space="preserve"> posologia.</w:t>
      </w:r>
    </w:p>
    <w:p w14:paraId="740CDE5C" w14:textId="77777777" w:rsidR="00D7022D" w:rsidRPr="006A2BF9" w:rsidRDefault="00D7022D" w:rsidP="001056EF">
      <w:pPr>
        <w:rPr>
          <w:szCs w:val="22"/>
          <w:lang w:val="it-IT"/>
        </w:rPr>
      </w:pPr>
    </w:p>
    <w:p w14:paraId="2CBB5AA5" w14:textId="77777777" w:rsidR="00D7022D" w:rsidRPr="006A2BF9" w:rsidRDefault="00D7022D" w:rsidP="001056EF">
      <w:pPr>
        <w:rPr>
          <w:szCs w:val="22"/>
          <w:lang w:val="it-IT"/>
        </w:rPr>
      </w:pPr>
      <w:r w:rsidRPr="006A2BF9">
        <w:rPr>
          <w:szCs w:val="22"/>
          <w:lang w:val="it-IT"/>
        </w:rPr>
        <w:t xml:space="preserve">Non </w:t>
      </w:r>
      <w:r w:rsidR="003E3815" w:rsidRPr="006A2BF9">
        <w:rPr>
          <w:szCs w:val="22"/>
          <w:lang w:val="it-IT"/>
        </w:rPr>
        <w:t xml:space="preserve">vi è </w:t>
      </w:r>
      <w:r w:rsidRPr="006A2BF9">
        <w:rPr>
          <w:szCs w:val="22"/>
          <w:lang w:val="it-IT"/>
        </w:rPr>
        <w:t xml:space="preserve">alcun uso rilevante di bevacizumab </w:t>
      </w:r>
      <w:r w:rsidR="003E3815" w:rsidRPr="006A2BF9">
        <w:rPr>
          <w:szCs w:val="22"/>
          <w:lang w:val="it-IT"/>
        </w:rPr>
        <w:t>nel</w:t>
      </w:r>
      <w:r w:rsidRPr="006A2BF9">
        <w:rPr>
          <w:szCs w:val="22"/>
          <w:lang w:val="it-IT"/>
        </w:rPr>
        <w:t>la popolazione pediatrica per il trattamento de</w:t>
      </w:r>
      <w:r w:rsidR="00560A5F">
        <w:rPr>
          <w:szCs w:val="22"/>
          <w:lang w:val="it-IT"/>
        </w:rPr>
        <w:t>l cancro</w:t>
      </w:r>
      <w:r w:rsidR="00560A5F" w:rsidRPr="006A2BF9">
        <w:rPr>
          <w:szCs w:val="22"/>
          <w:lang w:val="it-IT"/>
        </w:rPr>
        <w:t xml:space="preserve"> </w:t>
      </w:r>
      <w:r w:rsidRPr="006A2BF9">
        <w:rPr>
          <w:szCs w:val="22"/>
          <w:lang w:val="it-IT"/>
        </w:rPr>
        <w:t>di colon, retto, mammella, polmone, ovaio, tub</w:t>
      </w:r>
      <w:r w:rsidR="00560A5F">
        <w:rPr>
          <w:szCs w:val="22"/>
          <w:lang w:val="it-IT"/>
        </w:rPr>
        <w:t>a</w:t>
      </w:r>
      <w:r w:rsidRPr="006A2BF9">
        <w:rPr>
          <w:szCs w:val="22"/>
          <w:lang w:val="it-IT"/>
        </w:rPr>
        <w:t xml:space="preserve"> di Falloppio, peritoneo, cervice e rene.</w:t>
      </w:r>
    </w:p>
    <w:p w14:paraId="2A914316" w14:textId="77777777" w:rsidR="00404EA5" w:rsidRPr="006A2BF9" w:rsidRDefault="00404EA5" w:rsidP="009C0666">
      <w:pPr>
        <w:rPr>
          <w:lang w:val="it-IT"/>
        </w:rPr>
      </w:pPr>
    </w:p>
    <w:p w14:paraId="21C75FFC" w14:textId="77777777" w:rsidR="00AD4104" w:rsidRPr="006A2BF9" w:rsidRDefault="00AD4104" w:rsidP="009C0666">
      <w:pPr>
        <w:rPr>
          <w:u w:val="single"/>
          <w:lang w:val="it-IT"/>
        </w:rPr>
      </w:pPr>
      <w:r w:rsidRPr="006A2BF9">
        <w:rPr>
          <w:u w:val="single"/>
          <w:lang w:val="it-IT"/>
        </w:rPr>
        <w:t>Modo di somministrazione</w:t>
      </w:r>
    </w:p>
    <w:p w14:paraId="78BA1AD7" w14:textId="77777777" w:rsidR="00AD4104" w:rsidRPr="006A2BF9" w:rsidRDefault="00AD4104" w:rsidP="009C0666">
      <w:pPr>
        <w:rPr>
          <w:lang w:val="it-IT"/>
        </w:rPr>
      </w:pPr>
    </w:p>
    <w:p w14:paraId="16A49136" w14:textId="77777777" w:rsidR="00AD4104" w:rsidRPr="006A2BF9" w:rsidRDefault="00C70CB0" w:rsidP="00AD4104">
      <w:pPr>
        <w:rPr>
          <w:lang w:val="it-IT"/>
        </w:rPr>
      </w:pPr>
      <w:r w:rsidRPr="006A2BF9">
        <w:rPr>
          <w:lang w:val="it-IT"/>
        </w:rPr>
        <w:t xml:space="preserve">Aybintio è per uso endovenoso. </w:t>
      </w:r>
      <w:r w:rsidR="00AD4104" w:rsidRPr="006A2BF9">
        <w:rPr>
          <w:lang w:val="it-IT"/>
        </w:rPr>
        <w:t>La dose iniziale deve essere somministrata mediante infusione endovenosa di 90</w:t>
      </w:r>
      <w:r w:rsidRPr="006A2BF9">
        <w:rPr>
          <w:lang w:val="it-IT"/>
        </w:rPr>
        <w:t> </w:t>
      </w:r>
      <w:r w:rsidR="00AD4104" w:rsidRPr="006A2BF9">
        <w:rPr>
          <w:lang w:val="it-IT"/>
        </w:rPr>
        <w:t>minuti. Se la prima infusione è ben tollerata, la seconda può essere somministrata in 60</w:t>
      </w:r>
      <w:r w:rsidRPr="006A2BF9">
        <w:rPr>
          <w:lang w:val="it-IT"/>
        </w:rPr>
        <w:t> </w:t>
      </w:r>
      <w:r w:rsidR="00AD4104" w:rsidRPr="006A2BF9">
        <w:rPr>
          <w:lang w:val="it-IT"/>
        </w:rPr>
        <w:t>minuti. Se l’infusione di 60</w:t>
      </w:r>
      <w:r w:rsidRPr="006A2BF9">
        <w:rPr>
          <w:lang w:val="it-IT"/>
        </w:rPr>
        <w:t> </w:t>
      </w:r>
      <w:r w:rsidR="00AD4104" w:rsidRPr="006A2BF9">
        <w:rPr>
          <w:lang w:val="it-IT"/>
        </w:rPr>
        <w:t>minuti è ben tollerata, tutte le infusioni successive possono essere somministrate in 30</w:t>
      </w:r>
      <w:r w:rsidRPr="006A2BF9">
        <w:rPr>
          <w:lang w:val="it-IT"/>
        </w:rPr>
        <w:t> </w:t>
      </w:r>
      <w:r w:rsidR="00AD4104" w:rsidRPr="006A2BF9">
        <w:rPr>
          <w:lang w:val="it-IT"/>
        </w:rPr>
        <w:t>minuti.</w:t>
      </w:r>
    </w:p>
    <w:p w14:paraId="426375B2" w14:textId="77777777" w:rsidR="00AD4104" w:rsidRPr="006A2BF9" w:rsidRDefault="00AD4104" w:rsidP="00AD4104">
      <w:pPr>
        <w:rPr>
          <w:lang w:val="it-IT"/>
        </w:rPr>
      </w:pPr>
    </w:p>
    <w:p w14:paraId="7CA70687" w14:textId="77777777" w:rsidR="00AD4104" w:rsidRPr="00226862" w:rsidRDefault="00D4333D" w:rsidP="00AD4104">
      <w:pPr>
        <w:outlineLvl w:val="0"/>
        <w:rPr>
          <w:lang w:val="it-IT"/>
        </w:rPr>
      </w:pPr>
      <w:r w:rsidRPr="006A2BF9">
        <w:rPr>
          <w:lang w:val="it-IT"/>
        </w:rPr>
        <w:t xml:space="preserve">Aybintio non </w:t>
      </w:r>
      <w:r w:rsidR="00F337C3" w:rsidRPr="006A2BF9">
        <w:rPr>
          <w:lang w:val="it-IT"/>
        </w:rPr>
        <w:t>deve essere</w:t>
      </w:r>
      <w:r w:rsidR="005D014E" w:rsidRPr="006A2BF9">
        <w:rPr>
          <w:lang w:val="it-IT"/>
        </w:rPr>
        <w:t xml:space="preserve"> </w:t>
      </w:r>
      <w:r w:rsidRPr="006A2BF9">
        <w:rPr>
          <w:lang w:val="it-IT"/>
        </w:rPr>
        <w:t xml:space="preserve">somministrato </w:t>
      </w:r>
      <w:r w:rsidR="00AD4104" w:rsidRPr="00226862">
        <w:rPr>
          <w:lang w:val="it-IT"/>
        </w:rPr>
        <w:t>mediante infusione rapida endovenosa o bolo endovenoso.</w:t>
      </w:r>
    </w:p>
    <w:p w14:paraId="2EB25338" w14:textId="77777777" w:rsidR="002F4006" w:rsidRPr="00226862" w:rsidRDefault="002F4006" w:rsidP="00AD4104">
      <w:pPr>
        <w:outlineLvl w:val="0"/>
        <w:rPr>
          <w:lang w:val="it-IT"/>
        </w:rPr>
      </w:pPr>
    </w:p>
    <w:p w14:paraId="0A2F4DA9" w14:textId="77777777" w:rsidR="002F4006" w:rsidRPr="006A2BF9" w:rsidRDefault="002F4006" w:rsidP="002F4006">
      <w:pPr>
        <w:rPr>
          <w:lang w:val="it-IT"/>
        </w:rPr>
      </w:pPr>
      <w:r w:rsidRPr="00226862">
        <w:rPr>
          <w:lang w:val="it-IT"/>
        </w:rPr>
        <w:t xml:space="preserve">Non </w:t>
      </w:r>
      <w:r w:rsidR="00817B0C" w:rsidRPr="00226862">
        <w:rPr>
          <w:lang w:val="it-IT"/>
        </w:rPr>
        <w:t>sono</w:t>
      </w:r>
      <w:r w:rsidRPr="00226862">
        <w:rPr>
          <w:lang w:val="it-IT"/>
        </w:rPr>
        <w:t xml:space="preserve"> raccomandat</w:t>
      </w:r>
      <w:r w:rsidR="00817B0C" w:rsidRPr="006A2BF9">
        <w:rPr>
          <w:lang w:val="it-IT"/>
        </w:rPr>
        <w:t>e</w:t>
      </w:r>
      <w:r w:rsidRPr="006A2BF9">
        <w:rPr>
          <w:lang w:val="it-IT"/>
        </w:rPr>
        <w:t xml:space="preserve"> riduzion</w:t>
      </w:r>
      <w:r w:rsidR="00817B0C" w:rsidRPr="006A2BF9">
        <w:rPr>
          <w:lang w:val="it-IT"/>
        </w:rPr>
        <w:t>i</w:t>
      </w:r>
      <w:r w:rsidRPr="006A2BF9">
        <w:rPr>
          <w:lang w:val="it-IT"/>
        </w:rPr>
        <w:t xml:space="preserve"> della dose </w:t>
      </w:r>
      <w:r w:rsidR="00817B0C" w:rsidRPr="006A2BF9">
        <w:rPr>
          <w:lang w:val="it-IT"/>
        </w:rPr>
        <w:t>a seguito di</w:t>
      </w:r>
      <w:r w:rsidRPr="006A2BF9">
        <w:rPr>
          <w:lang w:val="it-IT"/>
        </w:rPr>
        <w:t xml:space="preserve"> reazioni avverse. Se indicato, la terapia deve essere interrotta definitivamente o sospesa temporaneamente come </w:t>
      </w:r>
      <w:r w:rsidR="005D7DB3" w:rsidRPr="006A2BF9">
        <w:rPr>
          <w:lang w:val="it-IT"/>
        </w:rPr>
        <w:t>illustrato</w:t>
      </w:r>
      <w:r w:rsidRPr="006A2BF9">
        <w:rPr>
          <w:lang w:val="it-IT"/>
        </w:rPr>
        <w:t xml:space="preserve"> nel paragrafo</w:t>
      </w:r>
      <w:r w:rsidR="00C70CB0" w:rsidRPr="006A2BF9">
        <w:rPr>
          <w:lang w:val="it-IT"/>
        </w:rPr>
        <w:t> </w:t>
      </w:r>
      <w:r w:rsidRPr="006A2BF9">
        <w:rPr>
          <w:lang w:val="it-IT"/>
        </w:rPr>
        <w:t>4.4.</w:t>
      </w:r>
    </w:p>
    <w:p w14:paraId="53C2F65A" w14:textId="77777777" w:rsidR="00C349D8" w:rsidRPr="006A2BF9" w:rsidRDefault="00C349D8" w:rsidP="00AD4104">
      <w:pPr>
        <w:rPr>
          <w:i/>
          <w:u w:val="single"/>
          <w:lang w:val="it-IT"/>
        </w:rPr>
      </w:pPr>
    </w:p>
    <w:p w14:paraId="7971D01B" w14:textId="77777777" w:rsidR="001056EF" w:rsidRPr="006A2BF9" w:rsidRDefault="001056EF" w:rsidP="00A339FF">
      <w:pPr>
        <w:keepNext/>
        <w:keepLines/>
        <w:rPr>
          <w:i/>
          <w:u w:val="single"/>
          <w:lang w:val="it-IT"/>
        </w:rPr>
      </w:pPr>
      <w:r w:rsidRPr="006A2BF9">
        <w:rPr>
          <w:i/>
          <w:u w:val="single"/>
          <w:lang w:val="it-IT"/>
        </w:rPr>
        <w:t xml:space="preserve">Precauzioni che devono essere prese prima della manipolazione o della </w:t>
      </w:r>
      <w:r w:rsidRPr="006A2BF9">
        <w:rPr>
          <w:i/>
          <w:szCs w:val="22"/>
          <w:u w:val="single"/>
          <w:lang w:val="it-IT"/>
        </w:rPr>
        <w:t>somministrazione del</w:t>
      </w:r>
      <w:r w:rsidRPr="006A2BF9">
        <w:rPr>
          <w:i/>
          <w:u w:val="single"/>
          <w:lang w:val="it-IT"/>
        </w:rPr>
        <w:t xml:space="preserve"> medicinale</w:t>
      </w:r>
    </w:p>
    <w:p w14:paraId="1E498DDA" w14:textId="77777777" w:rsidR="001056EF" w:rsidRPr="006A2BF9" w:rsidRDefault="001056EF" w:rsidP="00AD4104">
      <w:pPr>
        <w:rPr>
          <w:i/>
          <w:u w:val="single"/>
          <w:lang w:val="it-IT"/>
        </w:rPr>
      </w:pPr>
    </w:p>
    <w:p w14:paraId="06D3A95C" w14:textId="77777777" w:rsidR="00AD4104" w:rsidRPr="006A2BF9" w:rsidRDefault="001056EF" w:rsidP="00E740F8">
      <w:pPr>
        <w:rPr>
          <w:lang w:val="it-IT"/>
        </w:rPr>
      </w:pPr>
      <w:r w:rsidRPr="006A2BF9">
        <w:rPr>
          <w:lang w:val="it-IT"/>
        </w:rPr>
        <w:lastRenderedPageBreak/>
        <w:t>Per l</w:t>
      </w:r>
      <w:r w:rsidR="00AD4104" w:rsidRPr="006A2BF9">
        <w:rPr>
          <w:lang w:val="it-IT"/>
        </w:rPr>
        <w:t xml:space="preserve">e istruzioni </w:t>
      </w:r>
      <w:r w:rsidRPr="006A2BF9">
        <w:rPr>
          <w:lang w:val="it-IT"/>
        </w:rPr>
        <w:t>sul</w:t>
      </w:r>
      <w:r w:rsidR="00AD4104" w:rsidRPr="006A2BF9">
        <w:rPr>
          <w:lang w:val="it-IT"/>
        </w:rPr>
        <w:t xml:space="preserve">la </w:t>
      </w:r>
      <w:r w:rsidRPr="006A2BF9">
        <w:rPr>
          <w:lang w:val="it-IT"/>
        </w:rPr>
        <w:t xml:space="preserve">diluizione </w:t>
      </w:r>
      <w:r w:rsidRPr="006A2BF9">
        <w:rPr>
          <w:szCs w:val="22"/>
          <w:lang w:val="it-IT"/>
        </w:rPr>
        <w:t xml:space="preserve">del medicinale prima della somministrazione, vedere </w:t>
      </w:r>
      <w:r w:rsidR="00AD4104" w:rsidRPr="006A2BF9">
        <w:rPr>
          <w:lang w:val="it-IT"/>
        </w:rPr>
        <w:t>paragrafo</w:t>
      </w:r>
      <w:r w:rsidR="00C70CB0" w:rsidRPr="006A2BF9">
        <w:rPr>
          <w:lang w:val="it-IT"/>
        </w:rPr>
        <w:t> </w:t>
      </w:r>
      <w:r w:rsidR="00AD4104" w:rsidRPr="006A2BF9">
        <w:rPr>
          <w:lang w:val="it-IT"/>
        </w:rPr>
        <w:t>6.6.</w:t>
      </w:r>
      <w:r w:rsidR="00E740F8" w:rsidRPr="006A2BF9">
        <w:rPr>
          <w:lang w:val="it-IT"/>
        </w:rPr>
        <w:t xml:space="preserve"> Le infusioni di </w:t>
      </w:r>
      <w:r w:rsidR="00C70CB0" w:rsidRPr="006A2BF9">
        <w:rPr>
          <w:lang w:val="it-IT"/>
        </w:rPr>
        <w:t xml:space="preserve">Aybintio </w:t>
      </w:r>
      <w:r w:rsidR="00E740F8" w:rsidRPr="006A2BF9">
        <w:rPr>
          <w:lang w:val="it-IT"/>
        </w:rPr>
        <w:t xml:space="preserve">non devono essere somministrate o miscelate con soluzioni di glucosio. Questo medicinale non deve essere miscelato con altri </w:t>
      </w:r>
      <w:r w:rsidR="00465925" w:rsidRPr="006A2BF9">
        <w:rPr>
          <w:lang w:val="it-IT"/>
        </w:rPr>
        <w:t xml:space="preserve">medicinali </w:t>
      </w:r>
      <w:r w:rsidR="00E740F8" w:rsidRPr="006A2BF9">
        <w:rPr>
          <w:lang w:val="it-IT"/>
        </w:rPr>
        <w:t>ad eccezione di quelli menzionati nel paragrafo</w:t>
      </w:r>
      <w:r w:rsidR="00C70CB0" w:rsidRPr="006A2BF9">
        <w:rPr>
          <w:lang w:val="it-IT"/>
        </w:rPr>
        <w:t> </w:t>
      </w:r>
      <w:r w:rsidR="00E740F8" w:rsidRPr="006A2BF9">
        <w:rPr>
          <w:lang w:val="it-IT"/>
        </w:rPr>
        <w:t>6.6.</w:t>
      </w:r>
    </w:p>
    <w:p w14:paraId="0114D4A4" w14:textId="77777777" w:rsidR="009C0666" w:rsidRPr="006A2BF9" w:rsidRDefault="009C0666" w:rsidP="009C0666">
      <w:pPr>
        <w:rPr>
          <w:lang w:val="it-IT"/>
        </w:rPr>
      </w:pPr>
    </w:p>
    <w:p w14:paraId="172E3D1F" w14:textId="77777777" w:rsidR="009C0666" w:rsidRPr="006A2BF9" w:rsidRDefault="009C0666" w:rsidP="00B24955">
      <w:pPr>
        <w:ind w:left="567" w:hanging="567"/>
        <w:outlineLvl w:val="0"/>
        <w:rPr>
          <w:b/>
          <w:bCs/>
          <w:lang w:val="it-IT"/>
        </w:rPr>
      </w:pPr>
      <w:r w:rsidRPr="006A2BF9">
        <w:rPr>
          <w:b/>
          <w:bCs/>
          <w:lang w:val="it-IT"/>
        </w:rPr>
        <w:t>4.3</w:t>
      </w:r>
      <w:r w:rsidRPr="006A2BF9">
        <w:rPr>
          <w:b/>
          <w:bCs/>
          <w:lang w:val="it-IT"/>
        </w:rPr>
        <w:tab/>
        <w:t>Controindicazioni</w:t>
      </w:r>
    </w:p>
    <w:p w14:paraId="63EB81D0" w14:textId="77777777" w:rsidR="009C0666" w:rsidRPr="006A2BF9" w:rsidRDefault="009C0666" w:rsidP="009C0666">
      <w:pPr>
        <w:rPr>
          <w:lang w:val="it-IT"/>
        </w:rPr>
      </w:pPr>
    </w:p>
    <w:p w14:paraId="5CDFECB4" w14:textId="77777777" w:rsidR="009C0666" w:rsidRPr="006A2BF9" w:rsidRDefault="009C0666" w:rsidP="00C65E97">
      <w:pPr>
        <w:ind w:left="567" w:hanging="567"/>
        <w:rPr>
          <w:lang w:val="it-IT"/>
        </w:rPr>
      </w:pPr>
      <w:r w:rsidRPr="006A2BF9">
        <w:rPr>
          <w:lang w:val="it-IT"/>
        </w:rPr>
        <w:t>•</w:t>
      </w:r>
      <w:r w:rsidRPr="006A2BF9">
        <w:rPr>
          <w:lang w:val="it-IT"/>
        </w:rPr>
        <w:tab/>
        <w:t>Ipersensibilità al principio attivo o ad uno qualsiasi degli eccipienti</w:t>
      </w:r>
      <w:r w:rsidR="00631F89" w:rsidRPr="006A2BF9">
        <w:rPr>
          <w:lang w:val="it-IT"/>
        </w:rPr>
        <w:t xml:space="preserve"> elencati al paragrafo</w:t>
      </w:r>
      <w:r w:rsidR="00C70CB0" w:rsidRPr="006A2BF9">
        <w:rPr>
          <w:lang w:val="it-IT"/>
        </w:rPr>
        <w:t> </w:t>
      </w:r>
      <w:r w:rsidR="00631F89" w:rsidRPr="006A2BF9">
        <w:rPr>
          <w:lang w:val="it-IT"/>
        </w:rPr>
        <w:t>6.1</w:t>
      </w:r>
      <w:r w:rsidR="00284479" w:rsidRPr="006A2BF9">
        <w:rPr>
          <w:lang w:val="it-IT"/>
        </w:rPr>
        <w:t>.</w:t>
      </w:r>
    </w:p>
    <w:p w14:paraId="15889959" w14:textId="77777777" w:rsidR="009C0666" w:rsidRPr="006A2BF9" w:rsidRDefault="009C0666" w:rsidP="00C65E97">
      <w:pPr>
        <w:ind w:left="567" w:hanging="567"/>
        <w:rPr>
          <w:lang w:val="it-IT"/>
        </w:rPr>
      </w:pPr>
      <w:r w:rsidRPr="006A2BF9">
        <w:rPr>
          <w:lang w:val="it-IT"/>
        </w:rPr>
        <w:t>•</w:t>
      </w:r>
      <w:r w:rsidRPr="006A2BF9">
        <w:rPr>
          <w:lang w:val="it-IT"/>
        </w:rPr>
        <w:tab/>
        <w:t>Ipersensibilità ai prodotti derivati da cellule ovariche di criceto cinese (CHO) o ad altri anticorpi ricombinanti umani o umanizzati</w:t>
      </w:r>
      <w:r w:rsidR="00284479" w:rsidRPr="006A2BF9">
        <w:rPr>
          <w:lang w:val="it-IT"/>
        </w:rPr>
        <w:t>.</w:t>
      </w:r>
    </w:p>
    <w:p w14:paraId="346FAAA6" w14:textId="77777777" w:rsidR="009C0666" w:rsidRPr="006A2BF9" w:rsidRDefault="009C0666" w:rsidP="00C65E97">
      <w:pPr>
        <w:ind w:left="567" w:hanging="567"/>
        <w:rPr>
          <w:lang w:val="it-IT"/>
        </w:rPr>
      </w:pPr>
      <w:r w:rsidRPr="006A2BF9">
        <w:rPr>
          <w:lang w:val="it-IT"/>
        </w:rPr>
        <w:t>•</w:t>
      </w:r>
      <w:r w:rsidRPr="006A2BF9">
        <w:rPr>
          <w:lang w:val="it-IT"/>
        </w:rPr>
        <w:tab/>
        <w:t>Gravidanza (vedere paragrafo</w:t>
      </w:r>
      <w:r w:rsidR="00C70CB0" w:rsidRPr="006A2BF9">
        <w:rPr>
          <w:lang w:val="it-IT"/>
        </w:rPr>
        <w:t> </w:t>
      </w:r>
      <w:r w:rsidRPr="006A2BF9">
        <w:rPr>
          <w:lang w:val="it-IT"/>
        </w:rPr>
        <w:t>4.6)</w:t>
      </w:r>
      <w:r w:rsidR="00284479" w:rsidRPr="006A2BF9">
        <w:rPr>
          <w:lang w:val="it-IT"/>
        </w:rPr>
        <w:t>.</w:t>
      </w:r>
    </w:p>
    <w:p w14:paraId="3AF26870" w14:textId="77777777" w:rsidR="009C0666" w:rsidRPr="006A2BF9" w:rsidRDefault="009C0666" w:rsidP="009C0666">
      <w:pPr>
        <w:tabs>
          <w:tab w:val="left" w:pos="360"/>
        </w:tabs>
        <w:rPr>
          <w:lang w:val="it-IT"/>
        </w:rPr>
      </w:pPr>
    </w:p>
    <w:p w14:paraId="009D6B21" w14:textId="77777777" w:rsidR="009C0666" w:rsidRPr="006A2BF9" w:rsidRDefault="009C0666" w:rsidP="00185751">
      <w:pPr>
        <w:ind w:left="567" w:hanging="567"/>
        <w:outlineLvl w:val="0"/>
        <w:rPr>
          <w:b/>
          <w:bCs/>
          <w:lang w:val="it-IT"/>
        </w:rPr>
      </w:pPr>
      <w:r w:rsidRPr="006A2BF9">
        <w:rPr>
          <w:b/>
          <w:bCs/>
          <w:lang w:val="it-IT"/>
        </w:rPr>
        <w:t>4.4</w:t>
      </w:r>
      <w:r w:rsidRPr="006A2BF9">
        <w:rPr>
          <w:b/>
          <w:bCs/>
          <w:lang w:val="it-IT"/>
        </w:rPr>
        <w:tab/>
        <w:t>Avvertenze speciali e precauzioni d</w:t>
      </w:r>
      <w:r w:rsidR="00311727" w:rsidRPr="006A2BF9">
        <w:rPr>
          <w:b/>
          <w:bCs/>
          <w:lang w:val="it-IT"/>
        </w:rPr>
        <w:t>’</w:t>
      </w:r>
      <w:r w:rsidRPr="006A2BF9">
        <w:rPr>
          <w:b/>
          <w:bCs/>
          <w:lang w:val="it-IT"/>
        </w:rPr>
        <w:t>impiego</w:t>
      </w:r>
    </w:p>
    <w:p w14:paraId="32238DAE" w14:textId="77777777" w:rsidR="009C0666" w:rsidRPr="006A2BF9" w:rsidRDefault="009C0666" w:rsidP="00185751">
      <w:pPr>
        <w:rPr>
          <w:b/>
          <w:bCs/>
          <w:i/>
          <w:iCs/>
          <w:lang w:val="it-IT"/>
        </w:rPr>
      </w:pPr>
    </w:p>
    <w:p w14:paraId="18FF2B00" w14:textId="77777777" w:rsidR="008268BB" w:rsidRPr="006A2BF9" w:rsidRDefault="008268BB" w:rsidP="003C2E7B">
      <w:pPr>
        <w:rPr>
          <w:u w:val="single"/>
          <w:lang w:val="it-IT"/>
        </w:rPr>
      </w:pPr>
      <w:r w:rsidRPr="006A2BF9">
        <w:rPr>
          <w:u w:val="single"/>
          <w:lang w:val="it-IT"/>
        </w:rPr>
        <w:t>Tracciabilità</w:t>
      </w:r>
    </w:p>
    <w:p w14:paraId="1021555D" w14:textId="77777777" w:rsidR="003C2E7B" w:rsidRPr="00226862" w:rsidRDefault="00D4333D" w:rsidP="003C2E7B">
      <w:pPr>
        <w:rPr>
          <w:lang w:val="it-IT"/>
        </w:rPr>
      </w:pPr>
      <w:r w:rsidRPr="006A2BF9">
        <w:rPr>
          <w:lang w:val="it-IT"/>
        </w:rPr>
        <w:t xml:space="preserve">Al fine di </w:t>
      </w:r>
      <w:r w:rsidR="003C2E7B" w:rsidRPr="00226862">
        <w:rPr>
          <w:lang w:val="it-IT"/>
        </w:rPr>
        <w:t xml:space="preserve">migliorare la tracciabilità dei medicinali biologici, il nome </w:t>
      </w:r>
      <w:r w:rsidR="00DB56C5" w:rsidRPr="00226862">
        <w:rPr>
          <w:lang w:val="it-IT"/>
        </w:rPr>
        <w:t xml:space="preserve">e il numero </w:t>
      </w:r>
      <w:r w:rsidRPr="00226862">
        <w:rPr>
          <w:lang w:val="it-IT"/>
        </w:rPr>
        <w:t xml:space="preserve">di </w:t>
      </w:r>
      <w:r w:rsidR="00DB56C5" w:rsidRPr="00226862">
        <w:rPr>
          <w:lang w:val="it-IT"/>
        </w:rPr>
        <w:t>lotto</w:t>
      </w:r>
      <w:r w:rsidR="003C2E7B" w:rsidRPr="00226862">
        <w:rPr>
          <w:lang w:val="it-IT"/>
        </w:rPr>
        <w:t xml:space="preserve"> del </w:t>
      </w:r>
      <w:r w:rsidRPr="00226862">
        <w:rPr>
          <w:lang w:val="it-IT"/>
        </w:rPr>
        <w:t xml:space="preserve">medicinale </w:t>
      </w:r>
      <w:r w:rsidR="003C2E7B" w:rsidRPr="00226862">
        <w:rPr>
          <w:lang w:val="it-IT"/>
        </w:rPr>
        <w:t xml:space="preserve">somministrato </w:t>
      </w:r>
      <w:r w:rsidR="00E4154F" w:rsidRPr="00226862">
        <w:rPr>
          <w:lang w:val="it-IT"/>
        </w:rPr>
        <w:t>devo</w:t>
      </w:r>
      <w:r w:rsidR="00502E80">
        <w:rPr>
          <w:lang w:val="it-IT"/>
        </w:rPr>
        <w:t>no</w:t>
      </w:r>
      <w:r w:rsidR="003C2E7B" w:rsidRPr="00226862">
        <w:rPr>
          <w:lang w:val="it-IT"/>
        </w:rPr>
        <w:t xml:space="preserve"> essere </w:t>
      </w:r>
      <w:r w:rsidRPr="00226862">
        <w:rPr>
          <w:lang w:val="it-IT"/>
        </w:rPr>
        <w:t xml:space="preserve">chiaramente </w:t>
      </w:r>
      <w:r w:rsidR="003C2E7B" w:rsidRPr="00226862">
        <w:rPr>
          <w:lang w:val="it-IT"/>
        </w:rPr>
        <w:t>registrat</w:t>
      </w:r>
      <w:r w:rsidR="00E4154F" w:rsidRPr="00226862">
        <w:rPr>
          <w:lang w:val="it-IT"/>
        </w:rPr>
        <w:t>i</w:t>
      </w:r>
      <w:r w:rsidR="003C2E7B" w:rsidRPr="00226862">
        <w:rPr>
          <w:lang w:val="it-IT"/>
        </w:rPr>
        <w:t>.</w:t>
      </w:r>
    </w:p>
    <w:p w14:paraId="69D48F03" w14:textId="77777777" w:rsidR="003C2E7B" w:rsidRPr="00226862" w:rsidRDefault="003C2E7B" w:rsidP="00185751">
      <w:pPr>
        <w:rPr>
          <w:lang w:val="it-IT"/>
        </w:rPr>
      </w:pPr>
    </w:p>
    <w:p w14:paraId="1A7F4D75" w14:textId="77777777" w:rsidR="009C0666" w:rsidRPr="006A2BF9" w:rsidRDefault="009C0666" w:rsidP="006C7DD0">
      <w:pPr>
        <w:keepNext/>
        <w:rPr>
          <w:iCs/>
          <w:u w:val="single"/>
          <w:lang w:val="it-IT"/>
        </w:rPr>
      </w:pPr>
      <w:r w:rsidRPr="006A2BF9">
        <w:rPr>
          <w:u w:val="single"/>
          <w:lang w:val="it-IT"/>
        </w:rPr>
        <w:t xml:space="preserve">Perforazioni </w:t>
      </w:r>
      <w:r w:rsidR="00F84A08" w:rsidRPr="006A2BF9">
        <w:rPr>
          <w:u w:val="single"/>
          <w:lang w:val="it-IT"/>
        </w:rPr>
        <w:t xml:space="preserve">e fistole </w:t>
      </w:r>
      <w:r w:rsidRPr="006A2BF9">
        <w:rPr>
          <w:u w:val="single"/>
          <w:lang w:val="it-IT"/>
        </w:rPr>
        <w:t>gastrointestinali</w:t>
      </w:r>
      <w:r w:rsidR="00F84A08" w:rsidRPr="006A2BF9">
        <w:rPr>
          <w:u w:val="single"/>
          <w:lang w:val="it-IT"/>
        </w:rPr>
        <w:t xml:space="preserve"> (GI) </w:t>
      </w:r>
      <w:r w:rsidRPr="006A2BF9">
        <w:rPr>
          <w:u w:val="single"/>
          <w:lang w:val="it-IT"/>
        </w:rPr>
        <w:t>(vedere paragrafo</w:t>
      </w:r>
      <w:r w:rsidR="00C70CB0" w:rsidRPr="006A2BF9">
        <w:rPr>
          <w:u w:val="single"/>
          <w:lang w:val="it-IT"/>
        </w:rPr>
        <w:t> </w:t>
      </w:r>
      <w:r w:rsidRPr="006A2BF9">
        <w:rPr>
          <w:u w:val="single"/>
          <w:lang w:val="it-IT"/>
        </w:rPr>
        <w:t>4.8)</w:t>
      </w:r>
    </w:p>
    <w:p w14:paraId="20CB37C1" w14:textId="77777777" w:rsidR="009C0666" w:rsidRPr="006A2BF9" w:rsidRDefault="009C0666" w:rsidP="009C0666">
      <w:pPr>
        <w:rPr>
          <w:lang w:val="it-IT"/>
        </w:rPr>
      </w:pPr>
      <w:r w:rsidRPr="006A2BF9">
        <w:rPr>
          <w:lang w:val="it-IT"/>
        </w:rPr>
        <w:t xml:space="preserve">Durante il trattamento con </w:t>
      </w:r>
      <w:r w:rsidR="00C70CB0" w:rsidRPr="006A2BF9">
        <w:rPr>
          <w:szCs w:val="22"/>
          <w:lang w:val="it-IT"/>
        </w:rPr>
        <w:t xml:space="preserve">bevacizumab </w:t>
      </w:r>
      <w:r w:rsidRPr="006A2BF9">
        <w:rPr>
          <w:lang w:val="it-IT"/>
        </w:rPr>
        <w:t>i pazienti possono essere maggiormente a rischio di sviluppare una perforazione gastrointestinale</w:t>
      </w:r>
      <w:r w:rsidR="00A56E42" w:rsidRPr="006A2BF9">
        <w:rPr>
          <w:lang w:val="it-IT"/>
        </w:rPr>
        <w:t xml:space="preserve"> e una perforazione della colecisti</w:t>
      </w:r>
      <w:r w:rsidRPr="006A2BF9">
        <w:rPr>
          <w:lang w:val="it-IT"/>
        </w:rPr>
        <w:t xml:space="preserve">. In pazienti con carcinoma metastatico del colon o del retto, un processo infiammatorio intra-addominale può essere un fattore di rischio di perforazioni gastrointestinali, pertanto, è opportuno osservare cautela nel trattare questi pazienti. </w:t>
      </w:r>
      <w:r w:rsidR="007854F8" w:rsidRPr="006A2BF9">
        <w:rPr>
          <w:lang w:val="it-IT"/>
        </w:rPr>
        <w:t xml:space="preserve">La precedente radioterapia </w:t>
      </w:r>
      <w:r w:rsidR="00183711" w:rsidRPr="006A2BF9">
        <w:rPr>
          <w:lang w:val="it-IT"/>
        </w:rPr>
        <w:t xml:space="preserve">è un fattore di rischio per la perforazione gastrointestinale nelle pazienti trattate con </w:t>
      </w:r>
      <w:r w:rsidR="00C70CB0" w:rsidRPr="006A2BF9">
        <w:rPr>
          <w:szCs w:val="22"/>
          <w:lang w:val="it-IT"/>
        </w:rPr>
        <w:t xml:space="preserve">bevacizumab </w:t>
      </w:r>
      <w:r w:rsidR="00183711" w:rsidRPr="006A2BF9">
        <w:rPr>
          <w:lang w:val="it-IT"/>
        </w:rPr>
        <w:t xml:space="preserve">per il </w:t>
      </w:r>
      <w:r w:rsidR="006970D8" w:rsidRPr="006A2BF9">
        <w:rPr>
          <w:lang w:val="it-IT"/>
        </w:rPr>
        <w:t>c</w:t>
      </w:r>
      <w:r w:rsidR="006970D8">
        <w:rPr>
          <w:lang w:val="it-IT"/>
        </w:rPr>
        <w:t>ancro</w:t>
      </w:r>
      <w:r w:rsidR="006970D8" w:rsidRPr="00330A40">
        <w:rPr>
          <w:lang w:val="it-IT"/>
        </w:rPr>
        <w:t xml:space="preserve"> </w:t>
      </w:r>
      <w:r w:rsidR="00183711" w:rsidRPr="006A2BF9">
        <w:rPr>
          <w:color w:val="000000"/>
          <w:lang w:val="it-IT"/>
        </w:rPr>
        <w:t>della cervice persistente, ricorrente o metastatico e tutte le pazienti c</w:t>
      </w:r>
      <w:r w:rsidR="00D772C0" w:rsidRPr="006A2BF9">
        <w:rPr>
          <w:color w:val="000000"/>
          <w:lang w:val="it-IT"/>
        </w:rPr>
        <w:t>on per</w:t>
      </w:r>
      <w:r w:rsidR="00183711" w:rsidRPr="006A2BF9">
        <w:rPr>
          <w:color w:val="000000"/>
          <w:lang w:val="it-IT"/>
        </w:rPr>
        <w:t>forazioni GI sono state precedentemente so</w:t>
      </w:r>
      <w:r w:rsidR="002B3493" w:rsidRPr="006A2BF9">
        <w:rPr>
          <w:color w:val="000000"/>
          <w:lang w:val="it-IT"/>
        </w:rPr>
        <w:t xml:space="preserve">ttoposte </w:t>
      </w:r>
      <w:r w:rsidR="00183711" w:rsidRPr="006A2BF9">
        <w:rPr>
          <w:color w:val="000000"/>
          <w:lang w:val="it-IT"/>
        </w:rPr>
        <w:t xml:space="preserve">ad irradiazione. </w:t>
      </w:r>
      <w:r w:rsidRPr="006A2BF9">
        <w:rPr>
          <w:lang w:val="it-IT"/>
        </w:rPr>
        <w:t>Nei pazienti che sviluppano una perforazione gastrointestinale la terapia deve essere interrotta definitivamente.</w:t>
      </w:r>
    </w:p>
    <w:p w14:paraId="2F26AE12" w14:textId="77777777" w:rsidR="00183711" w:rsidRPr="006A2BF9" w:rsidRDefault="00183711" w:rsidP="009C0666">
      <w:pPr>
        <w:rPr>
          <w:lang w:val="it-IT"/>
        </w:rPr>
      </w:pPr>
    </w:p>
    <w:p w14:paraId="79F0C2E6" w14:textId="77777777" w:rsidR="00183711" w:rsidRPr="006A2BF9" w:rsidRDefault="00183711" w:rsidP="009C0666">
      <w:pPr>
        <w:rPr>
          <w:u w:val="single"/>
          <w:lang w:val="it-IT"/>
        </w:rPr>
      </w:pPr>
      <w:r w:rsidRPr="006A2BF9">
        <w:rPr>
          <w:u w:val="single"/>
          <w:lang w:val="it-IT"/>
        </w:rPr>
        <w:t>Fistole vagino-gastrointestinali nello studio</w:t>
      </w:r>
      <w:r w:rsidR="00C70CB0" w:rsidRPr="006A2BF9">
        <w:rPr>
          <w:u w:val="single"/>
          <w:lang w:val="it-IT"/>
        </w:rPr>
        <w:t> </w:t>
      </w:r>
      <w:r w:rsidRPr="006A2BF9">
        <w:rPr>
          <w:u w:val="single"/>
          <w:lang w:val="it-IT"/>
        </w:rPr>
        <w:t>GOG-0240</w:t>
      </w:r>
    </w:p>
    <w:p w14:paraId="2471F402" w14:textId="77777777" w:rsidR="00F84A08" w:rsidRPr="00330A40" w:rsidRDefault="00F84A08" w:rsidP="009C0666">
      <w:pPr>
        <w:rPr>
          <w:lang w:val="it-IT"/>
        </w:rPr>
      </w:pPr>
      <w:r w:rsidRPr="006A2BF9">
        <w:rPr>
          <w:lang w:val="it-IT"/>
        </w:rPr>
        <w:t xml:space="preserve">Le pazienti </w:t>
      </w:r>
      <w:r w:rsidR="00956BD1" w:rsidRPr="006A2BF9">
        <w:rPr>
          <w:lang w:val="it-IT"/>
        </w:rPr>
        <w:t>trattate</w:t>
      </w:r>
      <w:r w:rsidRPr="006A2BF9">
        <w:rPr>
          <w:lang w:val="it-IT"/>
        </w:rPr>
        <w:t xml:space="preserve"> con </w:t>
      </w:r>
      <w:r w:rsidR="00C70CB0" w:rsidRPr="006A2BF9">
        <w:rPr>
          <w:szCs w:val="22"/>
          <w:lang w:val="it-IT"/>
        </w:rPr>
        <w:t xml:space="preserve">bevacizumab </w:t>
      </w:r>
      <w:r w:rsidRPr="006A2BF9">
        <w:rPr>
          <w:lang w:val="it-IT"/>
        </w:rPr>
        <w:t xml:space="preserve">per </w:t>
      </w:r>
      <w:r w:rsidR="00864D38" w:rsidRPr="006A2BF9">
        <w:rPr>
          <w:lang w:val="it-IT"/>
        </w:rPr>
        <w:t>c</w:t>
      </w:r>
      <w:r w:rsidR="00864D38">
        <w:rPr>
          <w:lang w:val="it-IT"/>
        </w:rPr>
        <w:t>ancro</w:t>
      </w:r>
      <w:r w:rsidR="00864D38" w:rsidRPr="00330A40">
        <w:rPr>
          <w:lang w:val="it-IT"/>
        </w:rPr>
        <w:t xml:space="preserve"> </w:t>
      </w:r>
      <w:r w:rsidRPr="00330A40">
        <w:rPr>
          <w:lang w:val="it-IT"/>
        </w:rPr>
        <w:t xml:space="preserve">della cervice persistente, </w:t>
      </w:r>
      <w:r w:rsidR="001C747B" w:rsidRPr="00330A40">
        <w:rPr>
          <w:lang w:val="it-IT"/>
        </w:rPr>
        <w:t>ricorrente</w:t>
      </w:r>
      <w:r w:rsidRPr="00330A40">
        <w:rPr>
          <w:lang w:val="it-IT"/>
        </w:rPr>
        <w:t xml:space="preserve"> o metastatico </w:t>
      </w:r>
      <w:r w:rsidR="00A07075" w:rsidRPr="00330A40">
        <w:rPr>
          <w:lang w:val="it-IT"/>
        </w:rPr>
        <w:t xml:space="preserve">sono </w:t>
      </w:r>
      <w:r w:rsidRPr="00330A40">
        <w:rPr>
          <w:lang w:val="it-IT"/>
        </w:rPr>
        <w:t xml:space="preserve">a maggior rischio di </w:t>
      </w:r>
      <w:r w:rsidR="001C5AC5" w:rsidRPr="00330A40">
        <w:rPr>
          <w:lang w:val="it-IT"/>
        </w:rPr>
        <w:t>sviluppare</w:t>
      </w:r>
      <w:r w:rsidRPr="00330A40">
        <w:rPr>
          <w:lang w:val="it-IT"/>
        </w:rPr>
        <w:t xml:space="preserve"> fistole tra la vagina e qualsiasi sezione del tratto gastrointestinale (fistole</w:t>
      </w:r>
      <w:r w:rsidR="00CD2CEC" w:rsidRPr="00330A40">
        <w:rPr>
          <w:lang w:val="it-IT"/>
        </w:rPr>
        <w:t xml:space="preserve"> vagino-gastrointestinali).</w:t>
      </w:r>
      <w:r w:rsidR="00183711" w:rsidRPr="00330A40">
        <w:rPr>
          <w:lang w:val="it-IT"/>
        </w:rPr>
        <w:t xml:space="preserve"> </w:t>
      </w:r>
      <w:r w:rsidR="00F57C4E" w:rsidRPr="006A2BF9">
        <w:rPr>
          <w:lang w:val="it-IT"/>
        </w:rPr>
        <w:t xml:space="preserve">La precedente radioterapia </w:t>
      </w:r>
      <w:r w:rsidR="00183711" w:rsidRPr="006A2BF9">
        <w:rPr>
          <w:lang w:val="it-IT"/>
        </w:rPr>
        <w:t>è uno dei maggiori fattori di rischio per lo sviluppo di fistole vagino-gastrointestinali e tutte le pazienti con fistole vagino-gastrointestinali sono state precedentemente so</w:t>
      </w:r>
      <w:r w:rsidR="002B3493" w:rsidRPr="006A2BF9">
        <w:rPr>
          <w:lang w:val="it-IT"/>
        </w:rPr>
        <w:t>ttoposte</w:t>
      </w:r>
      <w:r w:rsidR="00183711" w:rsidRPr="006A2BF9">
        <w:rPr>
          <w:lang w:val="it-IT"/>
        </w:rPr>
        <w:t xml:space="preserve"> ad irradiazione. </w:t>
      </w:r>
      <w:r w:rsidR="00D772C0" w:rsidRPr="006A2BF9">
        <w:rPr>
          <w:lang w:val="it-IT"/>
        </w:rPr>
        <w:t>L</w:t>
      </w:r>
      <w:r w:rsidR="002B3493" w:rsidRPr="006A2BF9">
        <w:rPr>
          <w:lang w:val="it-IT"/>
        </w:rPr>
        <w:t>a recidiva</w:t>
      </w:r>
      <w:r w:rsidR="00D772C0" w:rsidRPr="006A2BF9">
        <w:rPr>
          <w:lang w:val="it-IT"/>
        </w:rPr>
        <w:t xml:space="preserve"> di </w:t>
      </w:r>
      <w:r w:rsidR="00864D38">
        <w:rPr>
          <w:lang w:val="it-IT"/>
        </w:rPr>
        <w:t>cancro</w:t>
      </w:r>
      <w:r w:rsidR="00864D38" w:rsidRPr="00330A40">
        <w:rPr>
          <w:lang w:val="it-IT"/>
        </w:rPr>
        <w:t xml:space="preserve"> </w:t>
      </w:r>
      <w:r w:rsidR="00D772C0" w:rsidRPr="00330A40">
        <w:rPr>
          <w:lang w:val="it-IT"/>
        </w:rPr>
        <w:t>nelle zone precedentemente irradiate è un importa</w:t>
      </w:r>
      <w:r w:rsidR="00C15B99" w:rsidRPr="00330A40">
        <w:rPr>
          <w:lang w:val="it-IT"/>
        </w:rPr>
        <w:t>n</w:t>
      </w:r>
      <w:r w:rsidR="00D772C0" w:rsidRPr="00330A40">
        <w:rPr>
          <w:lang w:val="it-IT"/>
        </w:rPr>
        <w:t>te fattore di rischio addizionale</w:t>
      </w:r>
      <w:r w:rsidR="002B3493" w:rsidRPr="00330A40">
        <w:rPr>
          <w:lang w:val="it-IT"/>
        </w:rPr>
        <w:t xml:space="preserve"> p</w:t>
      </w:r>
      <w:r w:rsidR="00D772C0" w:rsidRPr="00330A40">
        <w:rPr>
          <w:lang w:val="it-IT"/>
        </w:rPr>
        <w:t>er lo sviluppo di fistole vagino-gastrointestinali.</w:t>
      </w:r>
    </w:p>
    <w:p w14:paraId="42AAAD58" w14:textId="77777777" w:rsidR="009C0666" w:rsidRPr="006A2BF9" w:rsidRDefault="009C0666" w:rsidP="009C0666">
      <w:pPr>
        <w:rPr>
          <w:lang w:val="it-IT"/>
        </w:rPr>
      </w:pPr>
    </w:p>
    <w:p w14:paraId="28C8E0C9" w14:textId="77777777" w:rsidR="009C0666" w:rsidRPr="006A2BF9" w:rsidRDefault="009C0666" w:rsidP="009C0666">
      <w:pPr>
        <w:rPr>
          <w:u w:val="single"/>
          <w:lang w:val="it-IT"/>
        </w:rPr>
      </w:pPr>
      <w:r w:rsidRPr="006A2BF9">
        <w:rPr>
          <w:u w:val="single"/>
          <w:lang w:val="it-IT"/>
        </w:rPr>
        <w:t>Fistole</w:t>
      </w:r>
      <w:r w:rsidR="00B9590D" w:rsidRPr="006A2BF9">
        <w:rPr>
          <w:u w:val="single"/>
          <w:lang w:val="it-IT"/>
        </w:rPr>
        <w:t xml:space="preserve"> non GI</w:t>
      </w:r>
      <w:r w:rsidRPr="006A2BF9">
        <w:rPr>
          <w:u w:val="single"/>
          <w:lang w:val="it-IT"/>
        </w:rPr>
        <w:t xml:space="preserve"> (vedere paragrafo</w:t>
      </w:r>
      <w:r w:rsidR="00C70CB0" w:rsidRPr="006A2BF9">
        <w:rPr>
          <w:u w:val="single"/>
          <w:lang w:val="it-IT"/>
        </w:rPr>
        <w:t> </w:t>
      </w:r>
      <w:r w:rsidRPr="006A2BF9">
        <w:rPr>
          <w:u w:val="single"/>
          <w:lang w:val="it-IT"/>
        </w:rPr>
        <w:t>4.8)</w:t>
      </w:r>
    </w:p>
    <w:p w14:paraId="3D64545D" w14:textId="77777777" w:rsidR="00C70CB0" w:rsidRPr="006A2BF9" w:rsidRDefault="00674B79" w:rsidP="009C0666">
      <w:pPr>
        <w:rPr>
          <w:lang w:val="it-IT"/>
        </w:rPr>
      </w:pPr>
      <w:r w:rsidRPr="006A2BF9">
        <w:rPr>
          <w:lang w:val="it-IT"/>
        </w:rPr>
        <w:t>Durante il</w:t>
      </w:r>
      <w:r w:rsidR="009C0666" w:rsidRPr="006A2BF9">
        <w:rPr>
          <w:lang w:val="it-IT"/>
        </w:rPr>
        <w:t xml:space="preserve"> trattamento con </w:t>
      </w:r>
      <w:r w:rsidR="00C70CB0" w:rsidRPr="006A2BF9">
        <w:rPr>
          <w:szCs w:val="22"/>
          <w:lang w:val="it-IT"/>
        </w:rPr>
        <w:t xml:space="preserve">bevacizumab </w:t>
      </w:r>
      <w:r w:rsidR="009C0666" w:rsidRPr="006A2BF9">
        <w:rPr>
          <w:lang w:val="it-IT"/>
        </w:rPr>
        <w:t>i pazienti possono essere maggiormente a rischio di sviluppare fistole.</w:t>
      </w:r>
      <w:r w:rsidR="00C70CB0" w:rsidRPr="006A2BF9">
        <w:rPr>
          <w:lang w:val="it-IT"/>
        </w:rPr>
        <w:t xml:space="preserve"> </w:t>
      </w:r>
      <w:r w:rsidR="009C0666" w:rsidRPr="006A2BF9">
        <w:rPr>
          <w:lang w:val="it-IT"/>
        </w:rPr>
        <w:t>Nei pazienti che sviluppano una fistola tracheoesofagea</w:t>
      </w:r>
      <w:r w:rsidR="00631F89" w:rsidRPr="006A2BF9">
        <w:rPr>
          <w:lang w:val="it-IT"/>
        </w:rPr>
        <w:t xml:space="preserve"> (TE)</w:t>
      </w:r>
      <w:r w:rsidR="009C0666" w:rsidRPr="006A2BF9">
        <w:rPr>
          <w:lang w:val="it-IT"/>
        </w:rPr>
        <w:t xml:space="preserve"> o qualsiasi fistola di </w:t>
      </w:r>
      <w:r w:rsidR="00465925" w:rsidRPr="006A2BF9">
        <w:rPr>
          <w:lang w:val="it-IT"/>
        </w:rPr>
        <w:t>G</w:t>
      </w:r>
      <w:r w:rsidR="009C0666" w:rsidRPr="006A2BF9">
        <w:rPr>
          <w:lang w:val="it-IT"/>
        </w:rPr>
        <w:t>rado</w:t>
      </w:r>
      <w:r w:rsidR="00C70CB0" w:rsidRPr="006A2BF9">
        <w:rPr>
          <w:lang w:val="it-IT"/>
        </w:rPr>
        <w:t> </w:t>
      </w:r>
      <w:r w:rsidR="009C0666" w:rsidRPr="006A2BF9">
        <w:rPr>
          <w:lang w:val="it-IT"/>
        </w:rPr>
        <w:t>4</w:t>
      </w:r>
      <w:r w:rsidR="00C11934" w:rsidRPr="006A2BF9">
        <w:rPr>
          <w:lang w:val="it-IT"/>
        </w:rPr>
        <w:t xml:space="preserve"> [</w:t>
      </w:r>
      <w:r w:rsidR="00612CE0" w:rsidRPr="006A2BF9">
        <w:rPr>
          <w:lang w:val="it-IT"/>
        </w:rPr>
        <w:t>secondo i c</w:t>
      </w:r>
      <w:r w:rsidR="00C11934" w:rsidRPr="006A2BF9">
        <w:rPr>
          <w:lang w:val="it-IT"/>
        </w:rPr>
        <w:t xml:space="preserve">riteri </w:t>
      </w:r>
      <w:r w:rsidR="00612CE0" w:rsidRPr="006A2BF9">
        <w:rPr>
          <w:lang w:val="it-IT"/>
        </w:rPr>
        <w:t xml:space="preserve">comuni di </w:t>
      </w:r>
      <w:r w:rsidR="00C11934" w:rsidRPr="006A2BF9">
        <w:rPr>
          <w:lang w:val="it-IT"/>
        </w:rPr>
        <w:t>terminologia per gli eventi avversi</w:t>
      </w:r>
      <w:r w:rsidR="00465925" w:rsidRPr="006A2BF9">
        <w:rPr>
          <w:lang w:val="it-IT"/>
        </w:rPr>
        <w:t xml:space="preserve"> del</w:t>
      </w:r>
      <w:r w:rsidR="00612CE0" w:rsidRPr="006A2BF9">
        <w:rPr>
          <w:lang w:val="it-IT"/>
        </w:rPr>
        <w:t xml:space="preserve"> National Cancer Institute degli USA </w:t>
      </w:r>
      <w:r w:rsidR="0046370F" w:rsidRPr="006A2BF9">
        <w:rPr>
          <w:lang w:val="it-IT"/>
        </w:rPr>
        <w:t>(</w:t>
      </w:r>
      <w:r w:rsidR="00612CE0" w:rsidRPr="006A2BF9">
        <w:rPr>
          <w:lang w:val="it-IT"/>
        </w:rPr>
        <w:t>NCI-CTCAE v.3)</w:t>
      </w:r>
      <w:r w:rsidR="00C11934" w:rsidRPr="006A2BF9">
        <w:rPr>
          <w:lang w:val="it-IT"/>
        </w:rPr>
        <w:t>]</w:t>
      </w:r>
      <w:r w:rsidR="009C0666" w:rsidRPr="006A2BF9">
        <w:rPr>
          <w:lang w:val="it-IT"/>
        </w:rPr>
        <w:t xml:space="preserve">, la terapia con </w:t>
      </w:r>
      <w:r w:rsidR="00C70CB0" w:rsidRPr="006A2BF9">
        <w:rPr>
          <w:lang w:val="it-IT"/>
        </w:rPr>
        <w:t xml:space="preserve">Aybintio </w:t>
      </w:r>
      <w:r w:rsidR="009C0666" w:rsidRPr="006A2BF9">
        <w:rPr>
          <w:lang w:val="it-IT"/>
        </w:rPr>
        <w:t xml:space="preserve">deve essere interrotta definitivamente. Sono disponibili informazioni limitate sulla prosecuzione dell’uso di </w:t>
      </w:r>
      <w:r w:rsidR="00C70CB0" w:rsidRPr="006A2BF9">
        <w:rPr>
          <w:szCs w:val="22"/>
          <w:lang w:val="it-IT"/>
        </w:rPr>
        <w:t xml:space="preserve">bevacizumab </w:t>
      </w:r>
      <w:r w:rsidR="009C0666" w:rsidRPr="006A2BF9">
        <w:rPr>
          <w:lang w:val="it-IT"/>
        </w:rPr>
        <w:t>in pazienti con altre fistole.</w:t>
      </w:r>
    </w:p>
    <w:p w14:paraId="4D05495A" w14:textId="77777777" w:rsidR="009C0666" w:rsidRPr="006A2BF9" w:rsidRDefault="009C0666" w:rsidP="009C0666">
      <w:pPr>
        <w:rPr>
          <w:lang w:val="it-IT"/>
        </w:rPr>
      </w:pPr>
      <w:r w:rsidRPr="006A2BF9">
        <w:rPr>
          <w:lang w:val="it-IT"/>
        </w:rPr>
        <w:t>Nei casi di fistole interne che non si sviluppano nel tratto gastrointestinale</w:t>
      </w:r>
      <w:r w:rsidR="00631F89" w:rsidRPr="006A2BF9">
        <w:rPr>
          <w:lang w:val="it-IT"/>
        </w:rPr>
        <w:t xml:space="preserve"> </w:t>
      </w:r>
      <w:r w:rsidRPr="006A2BF9">
        <w:rPr>
          <w:lang w:val="it-IT"/>
        </w:rPr>
        <w:t xml:space="preserve">deve essere considerata la sospensione di </w:t>
      </w:r>
      <w:r w:rsidR="00C70CB0" w:rsidRPr="006A2BF9">
        <w:rPr>
          <w:lang w:val="it-IT"/>
        </w:rPr>
        <w:t>Aybintio</w:t>
      </w:r>
      <w:r w:rsidRPr="006A2BF9">
        <w:rPr>
          <w:lang w:val="it-IT"/>
        </w:rPr>
        <w:t>.</w:t>
      </w:r>
    </w:p>
    <w:p w14:paraId="5EDBEC2B" w14:textId="77777777" w:rsidR="009C0666" w:rsidRPr="006A2BF9" w:rsidRDefault="009C0666" w:rsidP="009C0666">
      <w:pPr>
        <w:rPr>
          <w:lang w:val="it-IT"/>
        </w:rPr>
      </w:pPr>
    </w:p>
    <w:p w14:paraId="36000BBB" w14:textId="77777777" w:rsidR="009C0666" w:rsidRPr="006A2BF9" w:rsidRDefault="009C0666" w:rsidP="00197876">
      <w:pPr>
        <w:keepNext/>
        <w:keepLines/>
        <w:rPr>
          <w:u w:val="single"/>
          <w:lang w:val="it-IT"/>
        </w:rPr>
      </w:pPr>
      <w:r w:rsidRPr="006A2BF9">
        <w:rPr>
          <w:iCs/>
          <w:u w:val="single"/>
          <w:lang w:val="it-IT"/>
        </w:rPr>
        <w:t>Complicanze nel processo di cicatrizzazione</w:t>
      </w:r>
      <w:r w:rsidRPr="006A2BF9">
        <w:rPr>
          <w:u w:val="single"/>
          <w:lang w:val="it-IT"/>
        </w:rPr>
        <w:t xml:space="preserve"> </w:t>
      </w:r>
      <w:r w:rsidRPr="006A2BF9">
        <w:rPr>
          <w:iCs/>
          <w:u w:val="single"/>
          <w:lang w:val="it-IT"/>
        </w:rPr>
        <w:t>(</w:t>
      </w:r>
      <w:r w:rsidRPr="006A2BF9">
        <w:rPr>
          <w:u w:val="single"/>
          <w:lang w:val="it-IT"/>
        </w:rPr>
        <w:t>vedere</w:t>
      </w:r>
      <w:r w:rsidRPr="006A2BF9">
        <w:rPr>
          <w:iCs/>
          <w:u w:val="single"/>
          <w:lang w:val="it-IT"/>
        </w:rPr>
        <w:t xml:space="preserve"> </w:t>
      </w:r>
      <w:r w:rsidRPr="006A2BF9">
        <w:rPr>
          <w:u w:val="single"/>
          <w:lang w:val="it-IT"/>
        </w:rPr>
        <w:t>paragrafo</w:t>
      </w:r>
      <w:r w:rsidR="00C70CB0" w:rsidRPr="006A2BF9">
        <w:rPr>
          <w:iCs/>
          <w:u w:val="single"/>
          <w:lang w:val="it-IT"/>
        </w:rPr>
        <w:t> </w:t>
      </w:r>
      <w:r w:rsidRPr="006A2BF9">
        <w:rPr>
          <w:iCs/>
          <w:u w:val="single"/>
          <w:lang w:val="it-IT"/>
        </w:rPr>
        <w:t>4.8)</w:t>
      </w:r>
    </w:p>
    <w:p w14:paraId="3ACEE42B" w14:textId="77777777" w:rsidR="009C0666" w:rsidRPr="006A2BF9" w:rsidRDefault="00C70CB0" w:rsidP="00197876">
      <w:pPr>
        <w:keepNext/>
        <w:keepLines/>
        <w:rPr>
          <w:lang w:val="it-IT"/>
        </w:rPr>
      </w:pPr>
      <w:r w:rsidRPr="006A2BF9">
        <w:rPr>
          <w:szCs w:val="22"/>
          <w:lang w:val="it-IT"/>
        </w:rPr>
        <w:t xml:space="preserve">Bevacizumab </w:t>
      </w:r>
      <w:r w:rsidR="009C0666" w:rsidRPr="006A2BF9">
        <w:rPr>
          <w:lang w:val="it-IT"/>
        </w:rPr>
        <w:t xml:space="preserve">può influire in modo negativo sul processo di cicatrizzazione. </w:t>
      </w:r>
      <w:r w:rsidR="00286783" w:rsidRPr="006A2BF9">
        <w:rPr>
          <w:lang w:val="it-IT"/>
        </w:rPr>
        <w:t xml:space="preserve">Sono state riportate gravi complicanze, incluse complicanze anastomotiche, nel processo di cicatrizzazione con esito fatale. </w:t>
      </w:r>
      <w:r w:rsidR="009C0666" w:rsidRPr="006A2BF9">
        <w:rPr>
          <w:lang w:val="it-IT"/>
        </w:rPr>
        <w:t>La terapia non deve essere iniziata per almeno 28</w:t>
      </w:r>
      <w:r w:rsidRPr="006A2BF9">
        <w:rPr>
          <w:lang w:val="it-IT"/>
        </w:rPr>
        <w:t> </w:t>
      </w:r>
      <w:r w:rsidR="009C0666" w:rsidRPr="006A2BF9">
        <w:rPr>
          <w:lang w:val="it-IT"/>
        </w:rPr>
        <w:t xml:space="preserve">giorni dopo una chirurgia maggiore o fino a completa guarigione della ferita chirurgica. Nei pazienti che durante il trattamento manifestano delle complicanze nel processo di cicatrizzazione, la terapia deve essere sospesa fino a completa guarigione della cicatrice. La terapia deve essere sospesa in caso di chirurgia elettiva. </w:t>
      </w:r>
    </w:p>
    <w:p w14:paraId="2E141A4B" w14:textId="77777777" w:rsidR="009C0666" w:rsidRPr="006A2BF9" w:rsidRDefault="009C0666" w:rsidP="009C0666">
      <w:pPr>
        <w:rPr>
          <w:lang w:val="it-IT"/>
        </w:rPr>
      </w:pPr>
    </w:p>
    <w:p w14:paraId="54416C76" w14:textId="77777777" w:rsidR="006E6A98" w:rsidRPr="006A2BF9" w:rsidRDefault="00F451BF" w:rsidP="009C0666">
      <w:pPr>
        <w:rPr>
          <w:lang w:val="it-IT"/>
        </w:rPr>
      </w:pPr>
      <w:r w:rsidRPr="006A2BF9">
        <w:rPr>
          <w:lang w:val="it-IT"/>
        </w:rPr>
        <w:lastRenderedPageBreak/>
        <w:t xml:space="preserve">In pazienti trattati con </w:t>
      </w:r>
      <w:r w:rsidR="00C70CB0" w:rsidRPr="006A2BF9">
        <w:rPr>
          <w:szCs w:val="22"/>
          <w:lang w:val="it-IT"/>
        </w:rPr>
        <w:t xml:space="preserve">bevacizumab </w:t>
      </w:r>
      <w:r w:rsidRPr="006A2BF9">
        <w:rPr>
          <w:lang w:val="it-IT"/>
        </w:rPr>
        <w:t>sono stati raramente segnalati casi di fasc</w:t>
      </w:r>
      <w:r w:rsidR="00AB062B" w:rsidRPr="006A2BF9">
        <w:rPr>
          <w:lang w:val="it-IT"/>
        </w:rPr>
        <w:t xml:space="preserve">ite necrotizzante, alcuni </w:t>
      </w:r>
      <w:r w:rsidR="00AB062B" w:rsidRPr="00435A80">
        <w:rPr>
          <w:lang w:val="it-IT"/>
        </w:rPr>
        <w:t>dei quali letali.</w:t>
      </w:r>
      <w:r w:rsidRPr="00435A80">
        <w:rPr>
          <w:lang w:val="it-IT"/>
        </w:rPr>
        <w:t xml:space="preserve"> </w:t>
      </w:r>
      <w:r w:rsidR="00AB062B" w:rsidRPr="00435A80">
        <w:rPr>
          <w:lang w:val="it-IT"/>
        </w:rPr>
        <w:t>Questa condizione è in genere determinata</w:t>
      </w:r>
      <w:r w:rsidRPr="00435A80">
        <w:rPr>
          <w:lang w:val="it-IT"/>
        </w:rPr>
        <w:t xml:space="preserve"> da complicanze nella guarigione delle ferite, perforazioni gastrointestinali o formazione di fistole. Nei pazienti che sviluppano fascite necrotizzante, il trattamento con </w:t>
      </w:r>
      <w:r w:rsidR="00C70CB0" w:rsidRPr="006A2BF9">
        <w:rPr>
          <w:lang w:val="it-IT"/>
        </w:rPr>
        <w:t xml:space="preserve">Aybintio </w:t>
      </w:r>
      <w:r w:rsidRPr="006A2BF9">
        <w:rPr>
          <w:lang w:val="it-IT"/>
        </w:rPr>
        <w:t xml:space="preserve">deve essere interrotto, </w:t>
      </w:r>
      <w:r w:rsidR="00465925" w:rsidRPr="006A2BF9">
        <w:rPr>
          <w:lang w:val="it-IT"/>
        </w:rPr>
        <w:t xml:space="preserve">ed è necessario istituire </w:t>
      </w:r>
      <w:r w:rsidRPr="006A2BF9">
        <w:rPr>
          <w:lang w:val="it-IT"/>
        </w:rPr>
        <w:t>tempestivamente una terapia adeguata</w:t>
      </w:r>
      <w:r w:rsidR="00661A78" w:rsidRPr="006A2BF9">
        <w:rPr>
          <w:lang w:val="it-IT"/>
        </w:rPr>
        <w:t>.</w:t>
      </w:r>
    </w:p>
    <w:p w14:paraId="6CEAD410" w14:textId="77777777" w:rsidR="00661A78" w:rsidRPr="006A2BF9" w:rsidRDefault="00661A78" w:rsidP="009C0666">
      <w:pPr>
        <w:rPr>
          <w:i/>
          <w:lang w:val="it-IT"/>
        </w:rPr>
      </w:pPr>
    </w:p>
    <w:p w14:paraId="07D66AEB" w14:textId="77777777" w:rsidR="009C0666" w:rsidRPr="006A2BF9" w:rsidRDefault="009C0666" w:rsidP="009C0666">
      <w:pPr>
        <w:rPr>
          <w:u w:val="single"/>
          <w:lang w:val="it-IT"/>
        </w:rPr>
      </w:pPr>
      <w:r w:rsidRPr="006A2BF9">
        <w:rPr>
          <w:u w:val="single"/>
          <w:lang w:val="it-IT"/>
        </w:rPr>
        <w:t>Ipertensione (vedere paragrafo</w:t>
      </w:r>
      <w:r w:rsidR="00C70CB0" w:rsidRPr="006A2BF9">
        <w:rPr>
          <w:u w:val="single"/>
          <w:lang w:val="it-IT"/>
        </w:rPr>
        <w:t> </w:t>
      </w:r>
      <w:r w:rsidRPr="006A2BF9">
        <w:rPr>
          <w:u w:val="single"/>
          <w:lang w:val="it-IT"/>
        </w:rPr>
        <w:t>4.8)</w:t>
      </w:r>
    </w:p>
    <w:p w14:paraId="47D06BA6" w14:textId="77777777" w:rsidR="00C70CB0" w:rsidRPr="006A2BF9" w:rsidRDefault="009C0666" w:rsidP="009C0666">
      <w:pPr>
        <w:rPr>
          <w:lang w:val="it-IT"/>
        </w:rPr>
      </w:pPr>
      <w:r w:rsidRPr="006A2BF9">
        <w:rPr>
          <w:lang w:val="it-IT"/>
        </w:rPr>
        <w:t xml:space="preserve">Nei pazienti trattati con </w:t>
      </w:r>
      <w:r w:rsidR="00C70CB0" w:rsidRPr="006A2BF9">
        <w:rPr>
          <w:szCs w:val="22"/>
          <w:lang w:val="it-IT"/>
        </w:rPr>
        <w:t xml:space="preserve">bevacizumab </w:t>
      </w:r>
      <w:r w:rsidRPr="006A2BF9">
        <w:rPr>
          <w:lang w:val="it-IT"/>
        </w:rPr>
        <w:t xml:space="preserve">è stata osservata una maggior incidenza di ipertensione. I dati relativi alla sicurezza clinica indicano che l’incidenza di ipertensione è probabilmente dose-dipendente. Prima di iniziare il trattamento con </w:t>
      </w:r>
      <w:r w:rsidR="00C70CB0" w:rsidRPr="006A2BF9">
        <w:rPr>
          <w:lang w:val="it-IT"/>
        </w:rPr>
        <w:t>Aybintio</w:t>
      </w:r>
      <w:r w:rsidRPr="006A2BF9">
        <w:rPr>
          <w:lang w:val="it-IT"/>
        </w:rPr>
        <w:t xml:space="preserve">, è necessario che </w:t>
      </w:r>
      <w:r w:rsidR="00A356DF" w:rsidRPr="006A2BF9">
        <w:rPr>
          <w:lang w:val="it-IT"/>
        </w:rPr>
        <w:t xml:space="preserve">l’ipertensione </w:t>
      </w:r>
      <w:r w:rsidRPr="006A2BF9">
        <w:rPr>
          <w:lang w:val="it-IT"/>
        </w:rPr>
        <w:t xml:space="preserve">preesistente sia adeguatamente controllata. Non esistono dati sull’effetto di </w:t>
      </w:r>
      <w:r w:rsidR="00C70CB0" w:rsidRPr="006A2BF9">
        <w:rPr>
          <w:szCs w:val="22"/>
          <w:lang w:val="it-IT"/>
        </w:rPr>
        <w:t xml:space="preserve">bevacizumab </w:t>
      </w:r>
      <w:r w:rsidRPr="006A2BF9">
        <w:rPr>
          <w:lang w:val="it-IT"/>
        </w:rPr>
        <w:t>nei pazienti che presentano un'ipertensione non controllata al momento di iniziare la terapia.</w:t>
      </w:r>
    </w:p>
    <w:p w14:paraId="21BE9493" w14:textId="77777777" w:rsidR="00C70CB0" w:rsidRPr="006A2BF9" w:rsidRDefault="00C70CB0" w:rsidP="009C0666">
      <w:pPr>
        <w:rPr>
          <w:lang w:val="it-IT"/>
        </w:rPr>
      </w:pPr>
    </w:p>
    <w:p w14:paraId="27569A01" w14:textId="77777777" w:rsidR="009C0666" w:rsidRPr="006A2BF9" w:rsidRDefault="009C0666" w:rsidP="009C0666">
      <w:pPr>
        <w:rPr>
          <w:lang w:val="it-IT"/>
        </w:rPr>
      </w:pPr>
      <w:r w:rsidRPr="006A2BF9">
        <w:rPr>
          <w:lang w:val="it-IT"/>
        </w:rPr>
        <w:t>Nel corso della terapia è generalmente raccomandato il monitoraggio della pressione sanguigna.</w:t>
      </w:r>
    </w:p>
    <w:p w14:paraId="405EE098" w14:textId="77777777" w:rsidR="009C0666" w:rsidRPr="006A2BF9" w:rsidRDefault="009C0666" w:rsidP="009C0666">
      <w:pPr>
        <w:rPr>
          <w:lang w:val="it-IT"/>
        </w:rPr>
      </w:pPr>
    </w:p>
    <w:p w14:paraId="12DB04F5" w14:textId="77777777" w:rsidR="009C0666" w:rsidRPr="006A2BF9" w:rsidRDefault="009C0666" w:rsidP="009C0666">
      <w:pPr>
        <w:rPr>
          <w:lang w:val="it-IT"/>
        </w:rPr>
      </w:pPr>
      <w:r w:rsidRPr="006A2BF9">
        <w:rPr>
          <w:lang w:val="it-IT"/>
        </w:rPr>
        <w:t>Nella maggior parte dei casi l’ipertensione è stata adeguatamente controllata con un trattamento antipertensivo standard appropriato per la situazione individuale del paziente colpito. L</w:t>
      </w:r>
      <w:r w:rsidR="00C70CB0" w:rsidRPr="006A2BF9">
        <w:rPr>
          <w:lang w:val="it-IT"/>
        </w:rPr>
        <w:t>’</w:t>
      </w:r>
      <w:r w:rsidRPr="006A2BF9">
        <w:rPr>
          <w:lang w:val="it-IT"/>
        </w:rPr>
        <w:t xml:space="preserve">uso di diuretici per il trattamento dell'ipertensione non è consigliato nei pazienti sottoposti a regime chemioterapico a base di cisplatino. </w:t>
      </w:r>
      <w:r w:rsidR="00C70CB0" w:rsidRPr="006A2BF9">
        <w:rPr>
          <w:lang w:val="it-IT"/>
        </w:rPr>
        <w:t xml:space="preserve">Aybintio </w:t>
      </w:r>
      <w:r w:rsidRPr="006A2BF9">
        <w:rPr>
          <w:lang w:val="it-IT"/>
        </w:rPr>
        <w:t>deve essere interrotto in modo definitivo nel caso in cui l’ipertensione clinicamente significativa non possa essere adeguatamente controllata con una terapia antipertensiva o se il paziente manifesta crisi ipertensive o encefalopatia ipertensiva.</w:t>
      </w:r>
    </w:p>
    <w:p w14:paraId="7759E765" w14:textId="77777777" w:rsidR="009C0666" w:rsidRPr="006A2BF9" w:rsidRDefault="009C0666" w:rsidP="009C0666">
      <w:pPr>
        <w:rPr>
          <w:lang w:val="it-IT"/>
        </w:rPr>
      </w:pPr>
    </w:p>
    <w:p w14:paraId="4F0EF6F7" w14:textId="77777777" w:rsidR="009C0666" w:rsidRPr="006A2BF9" w:rsidRDefault="00E55E2F" w:rsidP="006C0B2B">
      <w:pPr>
        <w:keepNext/>
        <w:keepLines/>
        <w:rPr>
          <w:u w:val="single"/>
          <w:lang w:val="it-IT"/>
        </w:rPr>
      </w:pPr>
      <w:r w:rsidRPr="006A2BF9">
        <w:rPr>
          <w:u w:val="single"/>
          <w:lang w:val="it-IT"/>
        </w:rPr>
        <w:t xml:space="preserve">Sindrome </w:t>
      </w:r>
      <w:r w:rsidR="005F7285" w:rsidRPr="006A2BF9">
        <w:rPr>
          <w:u w:val="single"/>
          <w:lang w:val="it-IT"/>
        </w:rPr>
        <w:t>da</w:t>
      </w:r>
      <w:r w:rsidRPr="006A2BF9">
        <w:rPr>
          <w:u w:val="single"/>
          <w:lang w:val="it-IT"/>
        </w:rPr>
        <w:t xml:space="preserve"> encefalopatia posteriore reversibile (PRES)</w:t>
      </w:r>
      <w:r w:rsidR="009C0666" w:rsidRPr="006A2BF9">
        <w:rPr>
          <w:iCs/>
          <w:u w:val="single"/>
          <w:lang w:val="it-IT"/>
        </w:rPr>
        <w:t xml:space="preserve"> (</w:t>
      </w:r>
      <w:r w:rsidR="009C0666" w:rsidRPr="006A2BF9">
        <w:rPr>
          <w:u w:val="single"/>
          <w:lang w:val="it-IT"/>
        </w:rPr>
        <w:t>vedere</w:t>
      </w:r>
      <w:r w:rsidR="009C0666" w:rsidRPr="006A2BF9">
        <w:rPr>
          <w:iCs/>
          <w:u w:val="single"/>
          <w:lang w:val="it-IT"/>
        </w:rPr>
        <w:t xml:space="preserve"> </w:t>
      </w:r>
      <w:r w:rsidR="009C0666" w:rsidRPr="006A2BF9">
        <w:rPr>
          <w:u w:val="single"/>
          <w:lang w:val="it-IT"/>
        </w:rPr>
        <w:t>paragrafo</w:t>
      </w:r>
      <w:r w:rsidR="00C70CB0" w:rsidRPr="006A2BF9">
        <w:rPr>
          <w:iCs/>
          <w:u w:val="single"/>
          <w:lang w:val="it-IT"/>
        </w:rPr>
        <w:t> </w:t>
      </w:r>
      <w:r w:rsidR="009C0666" w:rsidRPr="006A2BF9">
        <w:rPr>
          <w:iCs/>
          <w:u w:val="single"/>
          <w:lang w:val="it-IT"/>
        </w:rPr>
        <w:t>4.8)</w:t>
      </w:r>
    </w:p>
    <w:p w14:paraId="0C254384" w14:textId="77777777" w:rsidR="009C0666" w:rsidRPr="006A2BF9" w:rsidRDefault="009C0666" w:rsidP="009C0666">
      <w:pPr>
        <w:rPr>
          <w:iCs/>
          <w:lang w:val="it-IT"/>
        </w:rPr>
      </w:pPr>
      <w:r w:rsidRPr="006A2BF9">
        <w:rPr>
          <w:lang w:val="it-IT"/>
        </w:rPr>
        <w:t xml:space="preserve">Sono stati riportati rari casi di pazienti trattati con </w:t>
      </w:r>
      <w:r w:rsidR="00C70CB0" w:rsidRPr="006A2BF9">
        <w:rPr>
          <w:szCs w:val="22"/>
          <w:lang w:val="it-IT"/>
        </w:rPr>
        <w:t xml:space="preserve">bevacizumab </w:t>
      </w:r>
      <w:r w:rsidRPr="006A2BF9">
        <w:rPr>
          <w:lang w:val="it-IT"/>
        </w:rPr>
        <w:t>che hanno manifestato segni e sintomi</w:t>
      </w:r>
      <w:r w:rsidRPr="00330A40">
        <w:rPr>
          <w:lang w:val="it-IT"/>
        </w:rPr>
        <w:t xml:space="preserve"> correlati con la</w:t>
      </w:r>
      <w:r w:rsidR="00E55E2F" w:rsidRPr="00330A40">
        <w:rPr>
          <w:lang w:val="it-IT"/>
        </w:rPr>
        <w:t xml:space="preserve"> PRES</w:t>
      </w:r>
      <w:r w:rsidRPr="00330A40">
        <w:rPr>
          <w:lang w:val="it-IT"/>
        </w:rPr>
        <w:t>, una rara</w:t>
      </w:r>
      <w:r w:rsidRPr="00330A40">
        <w:rPr>
          <w:iCs/>
          <w:lang w:val="it-IT"/>
        </w:rPr>
        <w:t xml:space="preserve"> malattia neurologica che si può manifestare, tra gli altri, con i seguenti se</w:t>
      </w:r>
      <w:r w:rsidRPr="006A2BF9">
        <w:rPr>
          <w:iCs/>
          <w:lang w:val="it-IT"/>
        </w:rPr>
        <w:t xml:space="preserve">gni e sintomi: </w:t>
      </w:r>
      <w:r w:rsidR="00B41A47" w:rsidRPr="006A2BF9">
        <w:rPr>
          <w:iCs/>
          <w:lang w:val="it-IT"/>
        </w:rPr>
        <w:t>crisi convulsive</w:t>
      </w:r>
      <w:r w:rsidRPr="006A2BF9">
        <w:rPr>
          <w:iCs/>
          <w:lang w:val="it-IT"/>
        </w:rPr>
        <w:t xml:space="preserve">, cefalea, alterazione dello stato mentale, disturbo </w:t>
      </w:r>
      <w:r w:rsidR="00B41A47" w:rsidRPr="006A2BF9">
        <w:rPr>
          <w:iCs/>
          <w:lang w:val="it-IT"/>
        </w:rPr>
        <w:t>visivo</w:t>
      </w:r>
      <w:r w:rsidRPr="006A2BF9">
        <w:rPr>
          <w:iCs/>
          <w:lang w:val="it-IT"/>
        </w:rPr>
        <w:t xml:space="preserve"> o cecità corticale, associati o meno a ipertensione. La diagnosi di </w:t>
      </w:r>
      <w:r w:rsidR="00E55E2F" w:rsidRPr="006A2BF9">
        <w:rPr>
          <w:iCs/>
          <w:lang w:val="it-IT"/>
        </w:rPr>
        <w:t>PRES</w:t>
      </w:r>
      <w:r w:rsidRPr="006A2BF9">
        <w:rPr>
          <w:iCs/>
          <w:lang w:val="it-IT"/>
        </w:rPr>
        <w:t xml:space="preserve"> richiede la conferma mediante esami radiologici del cervello</w:t>
      </w:r>
      <w:r w:rsidR="00E55E2F" w:rsidRPr="006A2BF9">
        <w:rPr>
          <w:iCs/>
          <w:lang w:val="it-IT"/>
        </w:rPr>
        <w:t xml:space="preserve">, preferibilmente </w:t>
      </w:r>
      <w:r w:rsidR="00B41A47" w:rsidRPr="006A2BF9">
        <w:rPr>
          <w:iCs/>
          <w:lang w:val="it-IT"/>
        </w:rPr>
        <w:t xml:space="preserve">imaging </w:t>
      </w:r>
      <w:r w:rsidR="00E55E2F" w:rsidRPr="006A2BF9">
        <w:rPr>
          <w:iCs/>
          <w:lang w:val="it-IT"/>
        </w:rPr>
        <w:t xml:space="preserve">a </w:t>
      </w:r>
      <w:r w:rsidR="00922ADE" w:rsidRPr="006A2BF9">
        <w:rPr>
          <w:iCs/>
          <w:lang w:val="it-IT"/>
        </w:rPr>
        <w:t>risonanza magnetica (</w:t>
      </w:r>
      <w:r w:rsidR="00E55E2F" w:rsidRPr="006A2BF9">
        <w:rPr>
          <w:iCs/>
          <w:lang w:val="it-IT"/>
        </w:rPr>
        <w:t>R</w:t>
      </w:r>
      <w:r w:rsidR="00922ADE" w:rsidRPr="006A2BF9">
        <w:rPr>
          <w:iCs/>
          <w:lang w:val="it-IT"/>
        </w:rPr>
        <w:t>M</w:t>
      </w:r>
      <w:r w:rsidR="00E55E2F" w:rsidRPr="006A2BF9">
        <w:rPr>
          <w:iCs/>
          <w:lang w:val="it-IT"/>
        </w:rPr>
        <w:t>I)</w:t>
      </w:r>
      <w:r w:rsidRPr="006A2BF9">
        <w:rPr>
          <w:iCs/>
          <w:lang w:val="it-IT"/>
        </w:rPr>
        <w:t xml:space="preserve">. Nei pazienti che manifestano la </w:t>
      </w:r>
      <w:r w:rsidR="00E55E2F" w:rsidRPr="006A2BF9">
        <w:rPr>
          <w:iCs/>
          <w:lang w:val="it-IT"/>
        </w:rPr>
        <w:t>PRES</w:t>
      </w:r>
      <w:r w:rsidRPr="006A2BF9">
        <w:rPr>
          <w:iCs/>
          <w:lang w:val="it-IT"/>
        </w:rPr>
        <w:t xml:space="preserve">, si raccomanda il trattamento dei sintomi specifici incluso il controllo dell’ipertensione e l’interruzione di </w:t>
      </w:r>
      <w:r w:rsidR="00AD624B" w:rsidRPr="006A2BF9">
        <w:rPr>
          <w:szCs w:val="22"/>
          <w:lang w:val="it-IT"/>
        </w:rPr>
        <w:t>Aybintio</w:t>
      </w:r>
      <w:r w:rsidRPr="006A2BF9">
        <w:rPr>
          <w:iCs/>
          <w:lang w:val="it-IT"/>
        </w:rPr>
        <w:t xml:space="preserve">. Non è nota la sicurezza </w:t>
      </w:r>
      <w:r w:rsidR="00465925" w:rsidRPr="006A2BF9">
        <w:rPr>
          <w:iCs/>
          <w:lang w:val="it-IT"/>
        </w:rPr>
        <w:t>associata alla ripresa del</w:t>
      </w:r>
      <w:r w:rsidRPr="006A2BF9">
        <w:rPr>
          <w:iCs/>
          <w:lang w:val="it-IT"/>
        </w:rPr>
        <w:t xml:space="preserve">la terapia con </w:t>
      </w:r>
      <w:r w:rsidR="00C70CB0" w:rsidRPr="006A2BF9">
        <w:rPr>
          <w:szCs w:val="22"/>
          <w:lang w:val="it-IT"/>
        </w:rPr>
        <w:t xml:space="preserve">bevacizumab </w:t>
      </w:r>
      <w:r w:rsidRPr="006A2BF9">
        <w:rPr>
          <w:iCs/>
          <w:lang w:val="it-IT"/>
        </w:rPr>
        <w:t xml:space="preserve">in pazienti che abbiano precedentemente manifestato la </w:t>
      </w:r>
      <w:r w:rsidR="00E55E2F" w:rsidRPr="006A2BF9">
        <w:rPr>
          <w:iCs/>
          <w:lang w:val="it-IT"/>
        </w:rPr>
        <w:t>PRES</w:t>
      </w:r>
      <w:r w:rsidRPr="006A2BF9">
        <w:rPr>
          <w:iCs/>
          <w:lang w:val="it-IT"/>
        </w:rPr>
        <w:t>.</w:t>
      </w:r>
    </w:p>
    <w:p w14:paraId="0C9BD401" w14:textId="77777777" w:rsidR="009C0666" w:rsidRPr="006A2BF9" w:rsidRDefault="009C0666" w:rsidP="009C0666">
      <w:pPr>
        <w:rPr>
          <w:iCs/>
          <w:lang w:val="it-IT"/>
        </w:rPr>
      </w:pPr>
    </w:p>
    <w:p w14:paraId="5120F4EB" w14:textId="77777777" w:rsidR="009C0666" w:rsidRPr="006A2BF9" w:rsidRDefault="009C0666" w:rsidP="00A339FF">
      <w:pPr>
        <w:rPr>
          <w:iCs/>
          <w:u w:val="single"/>
          <w:lang w:val="it-IT"/>
        </w:rPr>
      </w:pPr>
      <w:r w:rsidRPr="006A2BF9">
        <w:rPr>
          <w:iCs/>
          <w:u w:val="single"/>
          <w:lang w:val="it-IT"/>
        </w:rPr>
        <w:t>Proteinuria (</w:t>
      </w:r>
      <w:r w:rsidRPr="006A2BF9">
        <w:rPr>
          <w:u w:val="single"/>
          <w:lang w:val="it-IT"/>
        </w:rPr>
        <w:t>vedere</w:t>
      </w:r>
      <w:r w:rsidRPr="006A2BF9">
        <w:rPr>
          <w:iCs/>
          <w:u w:val="single"/>
          <w:lang w:val="it-IT"/>
        </w:rPr>
        <w:t xml:space="preserve"> </w:t>
      </w:r>
      <w:r w:rsidRPr="006A2BF9">
        <w:rPr>
          <w:u w:val="single"/>
          <w:lang w:val="it-IT"/>
        </w:rPr>
        <w:t>paragrafo</w:t>
      </w:r>
      <w:r w:rsidR="009D24AB" w:rsidRPr="006A2BF9">
        <w:rPr>
          <w:u w:val="single"/>
          <w:lang w:val="it-IT"/>
        </w:rPr>
        <w:t> </w:t>
      </w:r>
      <w:r w:rsidRPr="006A2BF9">
        <w:rPr>
          <w:iCs/>
          <w:u w:val="single"/>
          <w:lang w:val="it-IT"/>
        </w:rPr>
        <w:t>4.8)</w:t>
      </w:r>
    </w:p>
    <w:p w14:paraId="7860AAF1" w14:textId="77777777" w:rsidR="009C0666" w:rsidRPr="007049D6" w:rsidRDefault="009C0666" w:rsidP="00A339FF">
      <w:pPr>
        <w:rPr>
          <w:lang w:val="it-IT"/>
        </w:rPr>
      </w:pPr>
      <w:r w:rsidRPr="006A2BF9">
        <w:rPr>
          <w:lang w:val="it-IT"/>
        </w:rPr>
        <w:t xml:space="preserve">I pazienti con una storia di ipertensione possono avere un rischio maggiore di sviluppare proteinuria, se trattati con </w:t>
      </w:r>
      <w:r w:rsidR="009D24AB" w:rsidRPr="006A2BF9">
        <w:rPr>
          <w:szCs w:val="22"/>
          <w:lang w:val="it-IT"/>
        </w:rPr>
        <w:t>bevacizumab</w:t>
      </w:r>
      <w:r w:rsidRPr="006A2BF9">
        <w:rPr>
          <w:lang w:val="it-IT"/>
        </w:rPr>
        <w:t xml:space="preserve">. Alcuni dati indicano che </w:t>
      </w:r>
      <w:r w:rsidR="00F02542" w:rsidRPr="006A2BF9">
        <w:rPr>
          <w:lang w:val="it-IT"/>
        </w:rPr>
        <w:t>la</w:t>
      </w:r>
      <w:r w:rsidR="00B62C52" w:rsidRPr="006A2BF9">
        <w:rPr>
          <w:lang w:val="it-IT"/>
        </w:rPr>
        <w:t xml:space="preserve"> </w:t>
      </w:r>
      <w:r w:rsidRPr="006A2BF9">
        <w:rPr>
          <w:lang w:val="it-IT"/>
        </w:rPr>
        <w:t xml:space="preserve">proteinuria di </w:t>
      </w:r>
      <w:r w:rsidR="0034432B" w:rsidRPr="006A2BF9">
        <w:rPr>
          <w:lang w:val="it-IT"/>
        </w:rPr>
        <w:t>tutti i gradi</w:t>
      </w:r>
      <w:r w:rsidRPr="006A2BF9">
        <w:rPr>
          <w:lang w:val="it-IT"/>
        </w:rPr>
        <w:t xml:space="preserve"> </w:t>
      </w:r>
      <w:r w:rsidR="00B9590D" w:rsidRPr="006A2BF9">
        <w:rPr>
          <w:lang w:val="it-IT"/>
        </w:rPr>
        <w:t>(</w:t>
      </w:r>
      <w:r w:rsidRPr="006A2BF9">
        <w:rPr>
          <w:lang w:val="it-IT"/>
        </w:rPr>
        <w:t xml:space="preserve">secondo i criteri comuni di </w:t>
      </w:r>
      <w:r w:rsidR="00612CE0" w:rsidRPr="006A2BF9">
        <w:rPr>
          <w:lang w:val="it-IT"/>
        </w:rPr>
        <w:t xml:space="preserve">terminologia per gli eventi avversi </w:t>
      </w:r>
      <w:r w:rsidRPr="006A2BF9">
        <w:rPr>
          <w:lang w:val="it-IT"/>
        </w:rPr>
        <w:t xml:space="preserve">del </w:t>
      </w:r>
      <w:r w:rsidRPr="006A2BF9">
        <w:rPr>
          <w:iCs/>
          <w:lang w:val="it-IT"/>
        </w:rPr>
        <w:t>National Cancer Institute</w:t>
      </w:r>
      <w:r w:rsidR="00612CE0" w:rsidRPr="006A2BF9">
        <w:rPr>
          <w:iCs/>
          <w:lang w:val="it-IT"/>
        </w:rPr>
        <w:t xml:space="preserve"> degli USA</w:t>
      </w:r>
      <w:r w:rsidRPr="006A2BF9">
        <w:rPr>
          <w:lang w:val="it-IT"/>
        </w:rPr>
        <w:t xml:space="preserve"> </w:t>
      </w:r>
      <w:r w:rsidR="00B9590D" w:rsidRPr="006A2BF9">
        <w:rPr>
          <w:lang w:val="it-IT"/>
        </w:rPr>
        <w:t>[</w:t>
      </w:r>
      <w:r w:rsidRPr="006A2BF9">
        <w:rPr>
          <w:lang w:val="it-IT"/>
        </w:rPr>
        <w:t>NCI-CTC</w:t>
      </w:r>
      <w:r w:rsidR="00612CE0" w:rsidRPr="006A2BF9">
        <w:rPr>
          <w:lang w:val="it-IT"/>
        </w:rPr>
        <w:t>AE</w:t>
      </w:r>
      <w:r w:rsidR="00B9590D" w:rsidRPr="006A2BF9">
        <w:rPr>
          <w:lang w:val="it-IT"/>
        </w:rPr>
        <w:t xml:space="preserve"> v.3]) </w:t>
      </w:r>
      <w:r w:rsidRPr="006A2BF9">
        <w:rPr>
          <w:lang w:val="it-IT"/>
        </w:rPr>
        <w:t xml:space="preserve">può essere correlata alla dose. Prima di iniziare la terapia e nel corso della stessa è raccomandabile effettuare un monitoraggio della proteinuria mediante analisi delle urine con strisce reattive. </w:t>
      </w:r>
      <w:r w:rsidR="001178BE" w:rsidRPr="006A2BF9">
        <w:rPr>
          <w:lang w:val="it-IT"/>
        </w:rPr>
        <w:t>Proteinuria di Grado</w:t>
      </w:r>
      <w:r w:rsidR="009D24AB" w:rsidRPr="006A2BF9">
        <w:rPr>
          <w:lang w:val="it-IT"/>
        </w:rPr>
        <w:t> </w:t>
      </w:r>
      <w:r w:rsidR="001178BE" w:rsidRPr="006A2BF9">
        <w:rPr>
          <w:lang w:val="it-IT"/>
        </w:rPr>
        <w:t xml:space="preserve">4 (sindrome nefrosica) è stata osservata </w:t>
      </w:r>
      <w:r w:rsidR="00D74FEA" w:rsidRPr="006A2BF9">
        <w:rPr>
          <w:lang w:val="it-IT"/>
        </w:rPr>
        <w:t>fino all’</w:t>
      </w:r>
      <w:r w:rsidR="001178BE" w:rsidRPr="006A2BF9">
        <w:rPr>
          <w:lang w:val="it-IT"/>
        </w:rPr>
        <w:t xml:space="preserve">1,4% dei pazienti trattati con </w:t>
      </w:r>
      <w:r w:rsidR="009D24AB" w:rsidRPr="006A2BF9">
        <w:rPr>
          <w:szCs w:val="22"/>
          <w:lang w:val="it-IT"/>
        </w:rPr>
        <w:t>bevacizumab</w:t>
      </w:r>
      <w:r w:rsidR="001178BE" w:rsidRPr="006A2BF9">
        <w:rPr>
          <w:lang w:val="it-IT"/>
        </w:rPr>
        <w:t xml:space="preserve">. </w:t>
      </w:r>
      <w:r w:rsidRPr="006A2BF9">
        <w:rPr>
          <w:lang w:val="it-IT"/>
        </w:rPr>
        <w:t>Nei pazienti che sviluppano sindrome nefrosica</w:t>
      </w:r>
      <w:r w:rsidR="005A78E7" w:rsidRPr="006A2BF9">
        <w:rPr>
          <w:lang w:val="it-IT"/>
        </w:rPr>
        <w:t xml:space="preserve"> </w:t>
      </w:r>
      <w:r w:rsidR="00091BFE" w:rsidRPr="006A2BF9">
        <w:rPr>
          <w:lang w:val="it-IT"/>
        </w:rPr>
        <w:t xml:space="preserve">(NCI-CTCAE v.3) </w:t>
      </w:r>
      <w:r w:rsidRPr="006A2BF9">
        <w:rPr>
          <w:lang w:val="it-IT"/>
        </w:rPr>
        <w:t xml:space="preserve">la terapia deve essere </w:t>
      </w:r>
      <w:r w:rsidRPr="007049D6">
        <w:rPr>
          <w:lang w:val="it-IT"/>
        </w:rPr>
        <w:t>interrotta in modo definitivo.</w:t>
      </w:r>
      <w:r w:rsidRPr="007049D6">
        <w:rPr>
          <w:i/>
          <w:iCs/>
          <w:lang w:val="it-IT"/>
        </w:rPr>
        <w:t xml:space="preserve"> </w:t>
      </w:r>
    </w:p>
    <w:p w14:paraId="2F8ADC02" w14:textId="77777777" w:rsidR="009C0666" w:rsidRPr="007049D6" w:rsidRDefault="009C0666" w:rsidP="00A339FF">
      <w:pPr>
        <w:rPr>
          <w:lang w:val="it-IT"/>
        </w:rPr>
      </w:pPr>
    </w:p>
    <w:p w14:paraId="7D270753" w14:textId="77777777" w:rsidR="009C0666" w:rsidRPr="00226862" w:rsidRDefault="009C0666" w:rsidP="00A339FF">
      <w:pPr>
        <w:rPr>
          <w:iCs/>
          <w:u w:val="single"/>
          <w:lang w:val="it-IT"/>
        </w:rPr>
      </w:pPr>
      <w:r w:rsidRPr="007049D6">
        <w:rPr>
          <w:iCs/>
          <w:u w:val="single"/>
          <w:lang w:val="it-IT"/>
        </w:rPr>
        <w:t>Tromboembolia arteriosa (</w:t>
      </w:r>
      <w:r w:rsidRPr="007049D6">
        <w:rPr>
          <w:u w:val="single"/>
          <w:lang w:val="it-IT"/>
        </w:rPr>
        <w:t>vedere</w:t>
      </w:r>
      <w:r w:rsidRPr="007049D6">
        <w:rPr>
          <w:iCs/>
          <w:u w:val="single"/>
          <w:lang w:val="it-IT"/>
        </w:rPr>
        <w:t xml:space="preserve"> </w:t>
      </w:r>
      <w:r w:rsidRPr="007049D6">
        <w:rPr>
          <w:u w:val="single"/>
          <w:lang w:val="it-IT"/>
        </w:rPr>
        <w:t>paragrafo</w:t>
      </w:r>
      <w:r w:rsidR="009D24AB" w:rsidRPr="007049D6">
        <w:rPr>
          <w:iCs/>
          <w:u w:val="single"/>
          <w:lang w:val="it-IT"/>
        </w:rPr>
        <w:t> </w:t>
      </w:r>
      <w:r w:rsidRPr="007049D6">
        <w:rPr>
          <w:iCs/>
          <w:u w:val="single"/>
          <w:lang w:val="it-IT"/>
        </w:rPr>
        <w:t>4.8)</w:t>
      </w:r>
    </w:p>
    <w:p w14:paraId="5D50E9BF" w14:textId="77777777" w:rsidR="009C0666" w:rsidRPr="00330A40" w:rsidRDefault="0034432B" w:rsidP="00A339FF">
      <w:pPr>
        <w:rPr>
          <w:lang w:val="it-IT"/>
        </w:rPr>
      </w:pPr>
      <w:r w:rsidRPr="00226862">
        <w:rPr>
          <w:lang w:val="it-IT"/>
        </w:rPr>
        <w:t>Negli</w:t>
      </w:r>
      <w:r w:rsidR="009C0666" w:rsidRPr="00226862">
        <w:rPr>
          <w:lang w:val="it-IT"/>
        </w:rPr>
        <w:t xml:space="preserve"> studi clinici, l’incidenza di </w:t>
      </w:r>
      <w:r w:rsidR="00091BFE" w:rsidRPr="00226862">
        <w:rPr>
          <w:lang w:val="it-IT"/>
        </w:rPr>
        <w:t xml:space="preserve">reazioni </w:t>
      </w:r>
      <w:r w:rsidR="009C0666" w:rsidRPr="00226862">
        <w:rPr>
          <w:lang w:val="it-IT"/>
        </w:rPr>
        <w:t>tromboemboli</w:t>
      </w:r>
      <w:r w:rsidR="00091BFE" w:rsidRPr="00226862">
        <w:rPr>
          <w:lang w:val="it-IT"/>
        </w:rPr>
        <w:t>che</w:t>
      </w:r>
      <w:r w:rsidR="009C0666" w:rsidRPr="00330A40">
        <w:rPr>
          <w:lang w:val="it-IT"/>
        </w:rPr>
        <w:t xml:space="preserve"> arterios</w:t>
      </w:r>
      <w:r w:rsidR="00091BFE" w:rsidRPr="00330A40">
        <w:rPr>
          <w:lang w:val="it-IT"/>
        </w:rPr>
        <w:t>e</w:t>
      </w:r>
      <w:r w:rsidR="009C0666" w:rsidRPr="00330A40">
        <w:rPr>
          <w:lang w:val="it-IT"/>
        </w:rPr>
        <w:t xml:space="preserve">, inclusi casi di ictus cerebrale (CVA), attacchi ischemici transitori (TIA) e infarti del miocardio (IM), è stata superiore nei pazienti trattati con </w:t>
      </w:r>
      <w:r w:rsidR="009D24AB" w:rsidRPr="00330A40">
        <w:rPr>
          <w:szCs w:val="22"/>
          <w:lang w:val="it-IT"/>
        </w:rPr>
        <w:t xml:space="preserve">bevacizumab </w:t>
      </w:r>
      <w:r w:rsidR="009C0666" w:rsidRPr="00330A40">
        <w:rPr>
          <w:lang w:val="it-IT"/>
        </w:rPr>
        <w:t>associato a chemioterapia rispetto ai pazienti sottoposti a chemioterapia da sola.</w:t>
      </w:r>
    </w:p>
    <w:p w14:paraId="04242220" w14:textId="77777777" w:rsidR="009C0666" w:rsidRPr="00330A40" w:rsidRDefault="009C0666" w:rsidP="00A339FF">
      <w:pPr>
        <w:rPr>
          <w:lang w:val="it-IT"/>
        </w:rPr>
      </w:pPr>
    </w:p>
    <w:p w14:paraId="793DE204" w14:textId="77777777" w:rsidR="009C0666" w:rsidRPr="006A2BF9" w:rsidRDefault="009C0666" w:rsidP="00A339FF">
      <w:pPr>
        <w:rPr>
          <w:lang w:val="it-IT"/>
        </w:rPr>
      </w:pPr>
      <w:r w:rsidRPr="00330A40">
        <w:rPr>
          <w:lang w:val="it-IT"/>
        </w:rPr>
        <w:t xml:space="preserve">Pazienti trattati con chemioterapia insieme a </w:t>
      </w:r>
      <w:r w:rsidR="009D24AB" w:rsidRPr="00330A40">
        <w:rPr>
          <w:szCs w:val="22"/>
          <w:lang w:val="it-IT"/>
        </w:rPr>
        <w:t>bevacizumab</w:t>
      </w:r>
      <w:r w:rsidRPr="00330A40">
        <w:rPr>
          <w:lang w:val="it-IT"/>
        </w:rPr>
        <w:t>, con una storia di tromboembolia arteriosa</w:t>
      </w:r>
      <w:r w:rsidR="00527A30" w:rsidRPr="00330A40">
        <w:rPr>
          <w:lang w:val="it-IT"/>
        </w:rPr>
        <w:t xml:space="preserve">, diabete </w:t>
      </w:r>
      <w:r w:rsidRPr="00330A40">
        <w:rPr>
          <w:lang w:val="it-IT"/>
        </w:rPr>
        <w:t>o con età superiore a 65</w:t>
      </w:r>
      <w:r w:rsidR="009D24AB" w:rsidRPr="00330A40">
        <w:rPr>
          <w:lang w:val="it-IT"/>
        </w:rPr>
        <w:t> </w:t>
      </w:r>
      <w:r w:rsidRPr="006A2BF9">
        <w:rPr>
          <w:lang w:val="it-IT"/>
        </w:rPr>
        <w:t xml:space="preserve">anni hanno un rischio maggiore di sviluppare </w:t>
      </w:r>
      <w:r w:rsidR="00B2165D" w:rsidRPr="006A2BF9">
        <w:rPr>
          <w:lang w:val="it-IT"/>
        </w:rPr>
        <w:t xml:space="preserve">reazioni </w:t>
      </w:r>
      <w:r w:rsidRPr="006A2BF9">
        <w:rPr>
          <w:lang w:val="it-IT"/>
        </w:rPr>
        <w:t>tromboemboli</w:t>
      </w:r>
      <w:r w:rsidR="00B2165D" w:rsidRPr="006A2BF9">
        <w:rPr>
          <w:lang w:val="it-IT"/>
        </w:rPr>
        <w:t xml:space="preserve">che </w:t>
      </w:r>
      <w:r w:rsidRPr="006A2BF9">
        <w:rPr>
          <w:lang w:val="it-IT"/>
        </w:rPr>
        <w:t>arterios</w:t>
      </w:r>
      <w:r w:rsidR="00B2165D" w:rsidRPr="006A2BF9">
        <w:rPr>
          <w:lang w:val="it-IT"/>
        </w:rPr>
        <w:t>e</w:t>
      </w:r>
      <w:r w:rsidRPr="006A2BF9">
        <w:rPr>
          <w:lang w:val="it-IT"/>
        </w:rPr>
        <w:t xml:space="preserve"> durante la terapia. È opportuno osservare una certa cautela nel trattare questi pazienti con </w:t>
      </w:r>
      <w:r w:rsidR="009D24AB" w:rsidRPr="006A2BF9">
        <w:rPr>
          <w:lang w:val="it-IT"/>
        </w:rPr>
        <w:t>Aybintio</w:t>
      </w:r>
      <w:r w:rsidRPr="006A2BF9">
        <w:rPr>
          <w:lang w:val="it-IT"/>
        </w:rPr>
        <w:t>.</w:t>
      </w:r>
    </w:p>
    <w:p w14:paraId="56149CBA" w14:textId="77777777" w:rsidR="009C0666" w:rsidRPr="006A2BF9" w:rsidRDefault="009C0666" w:rsidP="00A339FF">
      <w:pPr>
        <w:rPr>
          <w:lang w:val="it-IT"/>
        </w:rPr>
      </w:pPr>
    </w:p>
    <w:p w14:paraId="6FCD6D59" w14:textId="77777777" w:rsidR="009C0666" w:rsidRPr="006A2BF9" w:rsidRDefault="009C0666" w:rsidP="00A339FF">
      <w:pPr>
        <w:rPr>
          <w:lang w:val="it-IT"/>
        </w:rPr>
      </w:pPr>
      <w:r w:rsidRPr="006A2BF9">
        <w:rPr>
          <w:lang w:val="it-IT"/>
        </w:rPr>
        <w:t xml:space="preserve">Nei pazienti che manifestano </w:t>
      </w:r>
      <w:r w:rsidR="0092517A" w:rsidRPr="006A2BF9">
        <w:rPr>
          <w:lang w:val="it-IT"/>
        </w:rPr>
        <w:t xml:space="preserve">reazioni </w:t>
      </w:r>
      <w:r w:rsidRPr="006A2BF9">
        <w:rPr>
          <w:lang w:val="it-IT"/>
        </w:rPr>
        <w:t>tromboemboli</w:t>
      </w:r>
      <w:r w:rsidR="0092517A" w:rsidRPr="006A2BF9">
        <w:rPr>
          <w:lang w:val="it-IT"/>
        </w:rPr>
        <w:t>che</w:t>
      </w:r>
      <w:r w:rsidRPr="006A2BF9">
        <w:rPr>
          <w:lang w:val="it-IT"/>
        </w:rPr>
        <w:t xml:space="preserve"> arterios</w:t>
      </w:r>
      <w:r w:rsidR="0092517A" w:rsidRPr="006A2BF9">
        <w:rPr>
          <w:lang w:val="it-IT"/>
        </w:rPr>
        <w:t>e</w:t>
      </w:r>
      <w:r w:rsidRPr="006A2BF9">
        <w:rPr>
          <w:lang w:val="it-IT"/>
        </w:rPr>
        <w:t xml:space="preserve">, la terapia deve essere interrotta definitivamente. </w:t>
      </w:r>
    </w:p>
    <w:p w14:paraId="36E8F11C" w14:textId="77777777" w:rsidR="009C0666" w:rsidRPr="006A2BF9" w:rsidRDefault="009C0666" w:rsidP="00A339FF">
      <w:pPr>
        <w:rPr>
          <w:lang w:val="it-IT"/>
        </w:rPr>
      </w:pPr>
    </w:p>
    <w:p w14:paraId="217689BA" w14:textId="77777777" w:rsidR="009C0666" w:rsidRPr="006A2BF9" w:rsidRDefault="009C0666" w:rsidP="00C65E97">
      <w:pPr>
        <w:keepNext/>
        <w:rPr>
          <w:iCs/>
          <w:u w:val="single"/>
          <w:lang w:val="it-IT"/>
        </w:rPr>
      </w:pPr>
      <w:r w:rsidRPr="006A2BF9">
        <w:rPr>
          <w:u w:val="single"/>
          <w:lang w:val="it-IT"/>
        </w:rPr>
        <w:lastRenderedPageBreak/>
        <w:t xml:space="preserve">Tromboembolia venosa </w:t>
      </w:r>
      <w:r w:rsidRPr="006A2BF9">
        <w:rPr>
          <w:iCs/>
          <w:u w:val="single"/>
          <w:lang w:val="it-IT"/>
        </w:rPr>
        <w:t>(vedere paragrafo</w:t>
      </w:r>
      <w:r w:rsidR="009D24AB" w:rsidRPr="006A2BF9">
        <w:rPr>
          <w:iCs/>
          <w:u w:val="single"/>
          <w:lang w:val="it-IT"/>
        </w:rPr>
        <w:t> </w:t>
      </w:r>
      <w:r w:rsidRPr="006A2BF9">
        <w:rPr>
          <w:iCs/>
          <w:u w:val="single"/>
          <w:lang w:val="it-IT"/>
        </w:rPr>
        <w:t>4.8)</w:t>
      </w:r>
    </w:p>
    <w:p w14:paraId="5B8E7425" w14:textId="77777777" w:rsidR="00B9590D" w:rsidRPr="006A2BF9" w:rsidRDefault="009C0666" w:rsidP="00C65E97">
      <w:pPr>
        <w:keepNext/>
        <w:rPr>
          <w:iCs/>
          <w:lang w:val="it-IT"/>
        </w:rPr>
      </w:pPr>
      <w:r w:rsidRPr="006A2BF9">
        <w:rPr>
          <w:iCs/>
          <w:lang w:val="it-IT"/>
        </w:rPr>
        <w:t xml:space="preserve">I pazienti in trattamento con </w:t>
      </w:r>
      <w:r w:rsidR="009D24AB" w:rsidRPr="006A2BF9">
        <w:rPr>
          <w:szCs w:val="22"/>
          <w:lang w:val="it-IT"/>
        </w:rPr>
        <w:t>bevacizumab</w:t>
      </w:r>
      <w:r w:rsidR="00486353" w:rsidRPr="006A2BF9">
        <w:rPr>
          <w:szCs w:val="22"/>
          <w:lang w:val="it-IT"/>
        </w:rPr>
        <w:t xml:space="preserve"> </w:t>
      </w:r>
      <w:r w:rsidRPr="006A2BF9">
        <w:rPr>
          <w:iCs/>
          <w:lang w:val="it-IT"/>
        </w:rPr>
        <w:t>possono presentare rischi di eventi tromboembolici venosi, inclusa l</w:t>
      </w:r>
      <w:r w:rsidR="009D24AB" w:rsidRPr="006A2BF9">
        <w:rPr>
          <w:iCs/>
          <w:lang w:val="it-IT"/>
        </w:rPr>
        <w:t>’</w:t>
      </w:r>
      <w:r w:rsidRPr="006A2BF9">
        <w:rPr>
          <w:iCs/>
          <w:lang w:val="it-IT"/>
        </w:rPr>
        <w:t>embolia polmonare.</w:t>
      </w:r>
    </w:p>
    <w:p w14:paraId="030A858A" w14:textId="77777777" w:rsidR="009D24AB" w:rsidRPr="006A2BF9" w:rsidRDefault="009D24AB" w:rsidP="00C65E97">
      <w:pPr>
        <w:keepNext/>
        <w:rPr>
          <w:iCs/>
          <w:lang w:val="it-IT"/>
        </w:rPr>
      </w:pPr>
    </w:p>
    <w:p w14:paraId="45B1A74B" w14:textId="77777777" w:rsidR="00B9590D" w:rsidRPr="00330A40" w:rsidRDefault="00B9590D" w:rsidP="00A339FF">
      <w:pPr>
        <w:rPr>
          <w:iCs/>
          <w:lang w:val="it-IT"/>
        </w:rPr>
      </w:pPr>
      <w:r w:rsidRPr="006A2BF9">
        <w:rPr>
          <w:lang w:val="it-IT"/>
        </w:rPr>
        <w:t>Le paz</w:t>
      </w:r>
      <w:r w:rsidR="00956BD1" w:rsidRPr="006A2BF9">
        <w:rPr>
          <w:lang w:val="it-IT"/>
        </w:rPr>
        <w:t>ienti trattate</w:t>
      </w:r>
      <w:r w:rsidRPr="006A2BF9">
        <w:rPr>
          <w:lang w:val="it-IT"/>
        </w:rPr>
        <w:t xml:space="preserve"> con </w:t>
      </w:r>
      <w:r w:rsidR="009D24AB" w:rsidRPr="006A2BF9">
        <w:rPr>
          <w:szCs w:val="22"/>
          <w:lang w:val="it-IT"/>
        </w:rPr>
        <w:t>bevacizumab</w:t>
      </w:r>
      <w:r w:rsidR="00486353" w:rsidRPr="006A2BF9">
        <w:rPr>
          <w:szCs w:val="22"/>
          <w:lang w:val="it-IT"/>
        </w:rPr>
        <w:t xml:space="preserve"> </w:t>
      </w:r>
      <w:r w:rsidRPr="006A2BF9">
        <w:rPr>
          <w:lang w:val="it-IT"/>
        </w:rPr>
        <w:t>in associazi</w:t>
      </w:r>
      <w:r w:rsidR="002E7A16" w:rsidRPr="006A2BF9">
        <w:rPr>
          <w:lang w:val="it-IT"/>
        </w:rPr>
        <w:t xml:space="preserve">one </w:t>
      </w:r>
      <w:r w:rsidR="00C35913">
        <w:rPr>
          <w:lang w:val="it-IT"/>
        </w:rPr>
        <w:t>a</w:t>
      </w:r>
      <w:r w:rsidR="00C35913" w:rsidRPr="006A2BF9">
        <w:rPr>
          <w:lang w:val="it-IT"/>
        </w:rPr>
        <w:t xml:space="preserve"> </w:t>
      </w:r>
      <w:r w:rsidRPr="006A2BF9">
        <w:rPr>
          <w:lang w:val="it-IT"/>
        </w:rPr>
        <w:t xml:space="preserve">paclitaxel e cisplatino per </w:t>
      </w:r>
      <w:r w:rsidR="00FD1C5A" w:rsidRPr="006A2BF9">
        <w:rPr>
          <w:lang w:val="it-IT"/>
        </w:rPr>
        <w:t>c</w:t>
      </w:r>
      <w:r w:rsidR="00FD1C5A">
        <w:rPr>
          <w:lang w:val="it-IT"/>
        </w:rPr>
        <w:t>ancro</w:t>
      </w:r>
      <w:r w:rsidR="00FD1C5A" w:rsidRPr="00330A40">
        <w:rPr>
          <w:lang w:val="it-IT"/>
        </w:rPr>
        <w:t xml:space="preserve"> </w:t>
      </w:r>
      <w:r w:rsidRPr="00330A40">
        <w:rPr>
          <w:lang w:val="it-IT"/>
        </w:rPr>
        <w:t xml:space="preserve">della cervice persistente, </w:t>
      </w:r>
      <w:r w:rsidR="00053210" w:rsidRPr="00330A40">
        <w:rPr>
          <w:lang w:val="it-IT"/>
        </w:rPr>
        <w:t>ricorrente</w:t>
      </w:r>
      <w:r w:rsidRPr="00330A40">
        <w:rPr>
          <w:lang w:val="it-IT"/>
        </w:rPr>
        <w:t xml:space="preserve"> o metastatico possono essere esposte a maggior rischio di eventi tromboembolici</w:t>
      </w:r>
      <w:r w:rsidR="00956BD1" w:rsidRPr="00330A40">
        <w:rPr>
          <w:lang w:val="it-IT"/>
        </w:rPr>
        <w:t xml:space="preserve"> venosi</w:t>
      </w:r>
      <w:r w:rsidRPr="00330A40">
        <w:rPr>
          <w:lang w:val="it-IT"/>
        </w:rPr>
        <w:t>.</w:t>
      </w:r>
    </w:p>
    <w:p w14:paraId="4B6BCFE0" w14:textId="77777777" w:rsidR="009D24AB" w:rsidRPr="00330A40" w:rsidRDefault="009D24AB" w:rsidP="00A339FF">
      <w:pPr>
        <w:rPr>
          <w:iCs/>
          <w:lang w:val="it-IT"/>
        </w:rPr>
      </w:pPr>
    </w:p>
    <w:p w14:paraId="021296E0" w14:textId="77777777" w:rsidR="009C0666" w:rsidRPr="006A2BF9" w:rsidRDefault="009C0666" w:rsidP="00A339FF">
      <w:pPr>
        <w:rPr>
          <w:lang w:val="it-IT"/>
        </w:rPr>
      </w:pPr>
      <w:r w:rsidRPr="006A2BF9">
        <w:rPr>
          <w:iCs/>
          <w:lang w:val="it-IT"/>
        </w:rPr>
        <w:t xml:space="preserve">Il trattamento con </w:t>
      </w:r>
      <w:r w:rsidR="009D24AB" w:rsidRPr="006A2BF9">
        <w:rPr>
          <w:lang w:val="it-IT"/>
        </w:rPr>
        <w:t xml:space="preserve">Aybintio </w:t>
      </w:r>
      <w:r w:rsidRPr="006A2BF9">
        <w:rPr>
          <w:iCs/>
          <w:lang w:val="it-IT"/>
        </w:rPr>
        <w:t xml:space="preserve">deve essere interrotto nei pazienti con </w:t>
      </w:r>
      <w:r w:rsidR="0092517A" w:rsidRPr="006A2BF9">
        <w:rPr>
          <w:iCs/>
          <w:lang w:val="it-IT"/>
        </w:rPr>
        <w:t xml:space="preserve">reazioni </w:t>
      </w:r>
      <w:r w:rsidR="00A56E42" w:rsidRPr="006A2BF9">
        <w:rPr>
          <w:iCs/>
          <w:lang w:val="it-IT"/>
        </w:rPr>
        <w:t>tromboemboli</w:t>
      </w:r>
      <w:r w:rsidR="0092517A" w:rsidRPr="006A2BF9">
        <w:rPr>
          <w:iCs/>
          <w:lang w:val="it-IT"/>
        </w:rPr>
        <w:t>che</w:t>
      </w:r>
      <w:r w:rsidR="00F02542" w:rsidRPr="006A2BF9">
        <w:rPr>
          <w:iCs/>
          <w:lang w:val="it-IT"/>
        </w:rPr>
        <w:t xml:space="preserve"> potenzialmente fatali (Grado</w:t>
      </w:r>
      <w:r w:rsidR="009D24AB" w:rsidRPr="006A2BF9">
        <w:rPr>
          <w:iCs/>
          <w:lang w:val="it-IT"/>
        </w:rPr>
        <w:t> </w:t>
      </w:r>
      <w:r w:rsidR="00F02542" w:rsidRPr="006A2BF9">
        <w:rPr>
          <w:iCs/>
          <w:lang w:val="it-IT"/>
        </w:rPr>
        <w:t>4)</w:t>
      </w:r>
      <w:r w:rsidR="00A56E42" w:rsidRPr="006A2BF9">
        <w:rPr>
          <w:iCs/>
          <w:lang w:val="it-IT"/>
        </w:rPr>
        <w:t xml:space="preserve">, inclusa </w:t>
      </w:r>
      <w:r w:rsidRPr="006A2BF9">
        <w:rPr>
          <w:iCs/>
          <w:lang w:val="it-IT"/>
        </w:rPr>
        <w:t>embolia polmonare</w:t>
      </w:r>
      <w:r w:rsidR="0092517A" w:rsidRPr="006A2BF9">
        <w:rPr>
          <w:iCs/>
          <w:lang w:val="it-IT"/>
        </w:rPr>
        <w:t xml:space="preserve"> </w:t>
      </w:r>
      <w:r w:rsidR="0092517A" w:rsidRPr="006A2BF9">
        <w:rPr>
          <w:lang w:val="it-IT"/>
        </w:rPr>
        <w:t>(NCI-CTCAE v.3)</w:t>
      </w:r>
      <w:r w:rsidR="00A56E42" w:rsidRPr="006A2BF9">
        <w:rPr>
          <w:iCs/>
          <w:lang w:val="it-IT"/>
        </w:rPr>
        <w:t>. I</w:t>
      </w:r>
      <w:r w:rsidRPr="006A2BF9">
        <w:rPr>
          <w:iCs/>
          <w:lang w:val="it-IT"/>
        </w:rPr>
        <w:t xml:space="preserve"> pazienti con</w:t>
      </w:r>
      <w:r w:rsidR="00A56E42" w:rsidRPr="006A2BF9">
        <w:rPr>
          <w:lang w:val="it-IT"/>
        </w:rPr>
        <w:t xml:space="preserve"> </w:t>
      </w:r>
      <w:r w:rsidR="0092517A" w:rsidRPr="006A2BF9">
        <w:rPr>
          <w:iCs/>
          <w:lang w:val="it-IT"/>
        </w:rPr>
        <w:t xml:space="preserve">reazioni </w:t>
      </w:r>
      <w:r w:rsidR="00A56E42" w:rsidRPr="006A2BF9">
        <w:rPr>
          <w:iCs/>
          <w:lang w:val="it-IT"/>
        </w:rPr>
        <w:t>tromboemboli</w:t>
      </w:r>
      <w:r w:rsidR="0092517A" w:rsidRPr="006A2BF9">
        <w:rPr>
          <w:iCs/>
          <w:lang w:val="it-IT"/>
        </w:rPr>
        <w:t>che</w:t>
      </w:r>
      <w:r w:rsidR="00A56E42" w:rsidRPr="006A2BF9">
        <w:rPr>
          <w:iCs/>
          <w:lang w:val="it-IT"/>
        </w:rPr>
        <w:t xml:space="preserve"> di</w:t>
      </w:r>
      <w:r w:rsidRPr="006A2BF9">
        <w:rPr>
          <w:iCs/>
          <w:lang w:val="it-IT"/>
        </w:rPr>
        <w:t xml:space="preserve"> </w:t>
      </w:r>
      <w:r w:rsidR="002A7EAF" w:rsidRPr="006A2BF9">
        <w:rPr>
          <w:iCs/>
          <w:lang w:val="it-IT"/>
        </w:rPr>
        <w:t>G</w:t>
      </w:r>
      <w:r w:rsidRPr="006A2BF9">
        <w:rPr>
          <w:iCs/>
          <w:lang w:val="it-IT"/>
        </w:rPr>
        <w:t>rado</w:t>
      </w:r>
      <w:r w:rsidR="009D24AB" w:rsidRPr="006A2BF9">
        <w:rPr>
          <w:iCs/>
          <w:lang w:val="it-IT"/>
        </w:rPr>
        <w:t> </w:t>
      </w:r>
      <w:r w:rsidRPr="006A2BF9">
        <w:rPr>
          <w:lang w:val="it-IT"/>
        </w:rPr>
        <w:t>≤ 3 devono essere tenuti sotto stretto controllo</w:t>
      </w:r>
      <w:r w:rsidR="0092517A" w:rsidRPr="006A2BF9">
        <w:rPr>
          <w:lang w:val="it-IT"/>
        </w:rPr>
        <w:t xml:space="preserve"> (NCI-CTCAE v.3)</w:t>
      </w:r>
      <w:r w:rsidRPr="006A2BF9">
        <w:rPr>
          <w:lang w:val="it-IT"/>
        </w:rPr>
        <w:t>.</w:t>
      </w:r>
      <w:r w:rsidRPr="006A2BF9" w:rsidDel="000E28DF">
        <w:rPr>
          <w:lang w:val="it-IT"/>
        </w:rPr>
        <w:t xml:space="preserve"> </w:t>
      </w:r>
    </w:p>
    <w:p w14:paraId="1E32C254" w14:textId="77777777" w:rsidR="009C0666" w:rsidRPr="006A2BF9" w:rsidRDefault="009C0666" w:rsidP="00A339FF">
      <w:pPr>
        <w:rPr>
          <w:lang w:val="it-IT"/>
        </w:rPr>
      </w:pPr>
    </w:p>
    <w:p w14:paraId="1C55D7C7" w14:textId="77777777" w:rsidR="00112E2C" w:rsidRPr="006A2BF9" w:rsidRDefault="009C0666" w:rsidP="00A339FF">
      <w:pPr>
        <w:rPr>
          <w:u w:val="single"/>
          <w:lang w:val="it-IT"/>
        </w:rPr>
      </w:pPr>
      <w:r w:rsidRPr="006A2BF9">
        <w:rPr>
          <w:u w:val="single"/>
          <w:lang w:val="it-IT"/>
        </w:rPr>
        <w:t>Emorragia</w:t>
      </w:r>
    </w:p>
    <w:p w14:paraId="2443ADCF" w14:textId="77777777" w:rsidR="009C0666" w:rsidRPr="006A2BF9" w:rsidRDefault="009C0666" w:rsidP="00A339FF">
      <w:pPr>
        <w:rPr>
          <w:lang w:val="it-IT"/>
        </w:rPr>
      </w:pPr>
      <w:r w:rsidRPr="006A2BF9">
        <w:rPr>
          <w:lang w:val="it-IT"/>
        </w:rPr>
        <w:t xml:space="preserve">I pazienti trattati con </w:t>
      </w:r>
      <w:r w:rsidR="00486353" w:rsidRPr="006A2BF9">
        <w:rPr>
          <w:szCs w:val="22"/>
          <w:lang w:val="it-IT"/>
        </w:rPr>
        <w:t>bevacizumab</w:t>
      </w:r>
      <w:r w:rsidR="00486353" w:rsidRPr="006A2BF9">
        <w:rPr>
          <w:lang w:val="it-IT"/>
        </w:rPr>
        <w:t xml:space="preserve"> </w:t>
      </w:r>
      <w:r w:rsidRPr="006A2BF9">
        <w:rPr>
          <w:lang w:val="it-IT"/>
        </w:rPr>
        <w:t xml:space="preserve">hanno un rischio maggiore di emorragia, specialmente associata al tumore. La terapia con </w:t>
      </w:r>
      <w:r w:rsidR="009D24AB" w:rsidRPr="006A2BF9">
        <w:rPr>
          <w:lang w:val="it-IT"/>
        </w:rPr>
        <w:t xml:space="preserve">Aybintio </w:t>
      </w:r>
      <w:r w:rsidRPr="006A2BF9">
        <w:rPr>
          <w:lang w:val="it-IT"/>
        </w:rPr>
        <w:t xml:space="preserve">deve essere interrotta definitivamente nei pazienti che manifestano un’emorragia di </w:t>
      </w:r>
      <w:r w:rsidR="002A7EAF" w:rsidRPr="006A2BF9">
        <w:rPr>
          <w:lang w:val="it-IT"/>
        </w:rPr>
        <w:t>G</w:t>
      </w:r>
      <w:r w:rsidRPr="006A2BF9">
        <w:rPr>
          <w:lang w:val="it-IT"/>
        </w:rPr>
        <w:t>rado</w:t>
      </w:r>
      <w:r w:rsidR="009D24AB" w:rsidRPr="006A2BF9">
        <w:rPr>
          <w:lang w:val="it-IT"/>
        </w:rPr>
        <w:t> </w:t>
      </w:r>
      <w:r w:rsidRPr="006A2BF9">
        <w:rPr>
          <w:lang w:val="it-IT"/>
        </w:rPr>
        <w:t>3 o</w:t>
      </w:r>
      <w:r w:rsidR="009D24AB" w:rsidRPr="006A2BF9">
        <w:rPr>
          <w:lang w:val="it-IT"/>
        </w:rPr>
        <w:t> </w:t>
      </w:r>
      <w:r w:rsidRPr="006A2BF9">
        <w:rPr>
          <w:lang w:val="it-IT"/>
        </w:rPr>
        <w:t xml:space="preserve">4 nel corso della terapia con </w:t>
      </w:r>
      <w:r w:rsidR="00486353" w:rsidRPr="006A2BF9">
        <w:rPr>
          <w:szCs w:val="22"/>
          <w:lang w:val="it-IT"/>
        </w:rPr>
        <w:t>bevacizumab</w:t>
      </w:r>
      <w:r w:rsidR="00486353" w:rsidRPr="006A2BF9">
        <w:rPr>
          <w:lang w:val="it-IT"/>
        </w:rPr>
        <w:t xml:space="preserve"> </w:t>
      </w:r>
      <w:r w:rsidR="0092517A" w:rsidRPr="006A2BF9">
        <w:rPr>
          <w:lang w:val="it-IT"/>
        </w:rPr>
        <w:t xml:space="preserve">(NCI-CTCAE v.3) </w:t>
      </w:r>
      <w:r w:rsidRPr="006A2BF9">
        <w:rPr>
          <w:lang w:val="it-IT"/>
        </w:rPr>
        <w:t>(vedere paragrafo</w:t>
      </w:r>
      <w:r w:rsidR="009D24AB" w:rsidRPr="006A2BF9">
        <w:rPr>
          <w:lang w:val="it-IT"/>
        </w:rPr>
        <w:t> </w:t>
      </w:r>
      <w:r w:rsidRPr="006A2BF9">
        <w:rPr>
          <w:lang w:val="it-IT"/>
        </w:rPr>
        <w:t>4.8).</w:t>
      </w:r>
    </w:p>
    <w:p w14:paraId="536FA0BC" w14:textId="77777777" w:rsidR="00E53A1B" w:rsidRPr="006A2BF9" w:rsidRDefault="00E53A1B" w:rsidP="00A339FF">
      <w:pPr>
        <w:rPr>
          <w:lang w:val="it-IT"/>
        </w:rPr>
      </w:pPr>
    </w:p>
    <w:p w14:paraId="7C763186" w14:textId="77777777" w:rsidR="00E53A1B" w:rsidRPr="006A2BF9" w:rsidRDefault="00E53A1B" w:rsidP="00A339FF">
      <w:pPr>
        <w:rPr>
          <w:lang w:val="it-IT"/>
        </w:rPr>
      </w:pPr>
      <w:r w:rsidRPr="006A2BF9">
        <w:rPr>
          <w:lang w:val="it-IT"/>
        </w:rPr>
        <w:t>Pazienti con metastasi non pretrattate a livello del S</w:t>
      </w:r>
      <w:r w:rsidR="00EF7D4B" w:rsidRPr="006A2BF9">
        <w:rPr>
          <w:lang w:val="it-IT"/>
        </w:rPr>
        <w:t xml:space="preserve">istema </w:t>
      </w:r>
      <w:r w:rsidRPr="006A2BF9">
        <w:rPr>
          <w:lang w:val="it-IT"/>
        </w:rPr>
        <w:t>N</w:t>
      </w:r>
      <w:r w:rsidR="00EF7D4B" w:rsidRPr="006A2BF9">
        <w:rPr>
          <w:lang w:val="it-IT"/>
        </w:rPr>
        <w:t xml:space="preserve">ervoso </w:t>
      </w:r>
      <w:r w:rsidRPr="006A2BF9">
        <w:rPr>
          <w:lang w:val="it-IT"/>
        </w:rPr>
        <w:t>C</w:t>
      </w:r>
      <w:r w:rsidR="00EF7D4B" w:rsidRPr="006A2BF9">
        <w:rPr>
          <w:lang w:val="it-IT"/>
        </w:rPr>
        <w:t>entrale (SNC)</w:t>
      </w:r>
      <w:r w:rsidRPr="006A2BF9">
        <w:rPr>
          <w:lang w:val="it-IT"/>
        </w:rPr>
        <w:t xml:space="preserve"> sono stati regolarmente esclusi dagli studi clinici con </w:t>
      </w:r>
      <w:r w:rsidR="009D24AB" w:rsidRPr="006A2BF9">
        <w:rPr>
          <w:szCs w:val="22"/>
          <w:lang w:val="it-IT"/>
        </w:rPr>
        <w:t>bevacizumab</w:t>
      </w:r>
      <w:r w:rsidR="009D24AB" w:rsidRPr="006A2BF9">
        <w:rPr>
          <w:lang w:val="it-IT"/>
        </w:rPr>
        <w:t xml:space="preserve"> </w:t>
      </w:r>
      <w:r w:rsidRPr="006A2BF9">
        <w:rPr>
          <w:lang w:val="it-IT"/>
        </w:rPr>
        <w:t xml:space="preserve">sulla base degli esami </w:t>
      </w:r>
      <w:r w:rsidR="00465925" w:rsidRPr="006A2BF9">
        <w:rPr>
          <w:lang w:val="it-IT"/>
        </w:rPr>
        <w:t xml:space="preserve">radiologici </w:t>
      </w:r>
      <w:r w:rsidRPr="006A2BF9">
        <w:rPr>
          <w:lang w:val="it-IT"/>
        </w:rPr>
        <w:t>o dei segni e sintomi. Di conseguenza, il rischio di emorragie a livello del SNC in questa categoria di pazienti non è stato valutato prospetticamente in studi clinici randomizzati (vedere paragraf</w:t>
      </w:r>
      <w:r w:rsidR="003B6E1C" w:rsidRPr="006A2BF9">
        <w:rPr>
          <w:lang w:val="it-IT"/>
        </w:rPr>
        <w:t>o</w:t>
      </w:r>
      <w:r w:rsidR="00486353" w:rsidRPr="006A2BF9">
        <w:rPr>
          <w:lang w:val="it-IT"/>
        </w:rPr>
        <w:t> </w:t>
      </w:r>
      <w:r w:rsidRPr="006A2BF9">
        <w:rPr>
          <w:lang w:val="it-IT"/>
        </w:rPr>
        <w:t xml:space="preserve">4.8). I pazienti devono essere controllati per valutare la presenza di segni e sintomi di emorragie del SNC e </w:t>
      </w:r>
      <w:r w:rsidR="003B6E1C" w:rsidRPr="006A2BF9">
        <w:rPr>
          <w:lang w:val="it-IT"/>
        </w:rPr>
        <w:t xml:space="preserve">il trattamento con </w:t>
      </w:r>
      <w:r w:rsidR="00486353" w:rsidRPr="006A2BF9">
        <w:rPr>
          <w:lang w:val="it-IT"/>
        </w:rPr>
        <w:t xml:space="preserve">Aybintio </w:t>
      </w:r>
      <w:r w:rsidRPr="006A2BF9">
        <w:rPr>
          <w:lang w:val="it-IT"/>
        </w:rPr>
        <w:t>deve essere interrotto in caso di emorragia intracranica.</w:t>
      </w:r>
    </w:p>
    <w:p w14:paraId="5D56CABA" w14:textId="77777777" w:rsidR="009C0666" w:rsidRPr="006A2BF9" w:rsidRDefault="009C0666" w:rsidP="00F030E8">
      <w:pPr>
        <w:rPr>
          <w:lang w:val="it-IT"/>
        </w:rPr>
      </w:pPr>
    </w:p>
    <w:p w14:paraId="65AC34E2" w14:textId="77777777" w:rsidR="009C0666" w:rsidRPr="006A2BF9" w:rsidRDefault="009C0666" w:rsidP="008B3BC8">
      <w:pPr>
        <w:keepNext/>
        <w:keepLines/>
        <w:outlineLvl w:val="0"/>
        <w:rPr>
          <w:lang w:val="it-IT"/>
        </w:rPr>
      </w:pPr>
      <w:r w:rsidRPr="006A2BF9">
        <w:rPr>
          <w:lang w:val="it-IT"/>
        </w:rPr>
        <w:t xml:space="preserve">Non esistono dati sul profilo di sicurezza di </w:t>
      </w:r>
      <w:r w:rsidR="00486353" w:rsidRPr="006A2BF9">
        <w:rPr>
          <w:szCs w:val="22"/>
          <w:lang w:val="it-IT"/>
        </w:rPr>
        <w:t>bevacizumab</w:t>
      </w:r>
      <w:r w:rsidR="00486353" w:rsidRPr="006A2BF9">
        <w:rPr>
          <w:lang w:val="it-IT"/>
        </w:rPr>
        <w:t xml:space="preserve"> </w:t>
      </w:r>
      <w:r w:rsidRPr="006A2BF9">
        <w:rPr>
          <w:lang w:val="it-IT"/>
        </w:rPr>
        <w:t>nei pazienti con diatesi emorragica congenita, coagulopatia acquisita o nei pazienti trattati con anticoagulanti a dos</w:t>
      </w:r>
      <w:r w:rsidR="00D63F4D">
        <w:rPr>
          <w:lang w:val="it-IT"/>
        </w:rPr>
        <w:t>e</w:t>
      </w:r>
      <w:r w:rsidRPr="006A2BF9">
        <w:rPr>
          <w:lang w:val="it-IT"/>
        </w:rPr>
        <w:t xml:space="preserve"> pien</w:t>
      </w:r>
      <w:r w:rsidR="00D63F4D">
        <w:rPr>
          <w:lang w:val="it-IT"/>
        </w:rPr>
        <w:t>a</w:t>
      </w:r>
      <w:r w:rsidRPr="006A2BF9">
        <w:rPr>
          <w:lang w:val="it-IT"/>
        </w:rPr>
        <w:t xml:space="preserve"> per una tromboembolia prima dell’inizio della terapia con </w:t>
      </w:r>
      <w:r w:rsidR="00486353" w:rsidRPr="006A2BF9">
        <w:rPr>
          <w:szCs w:val="22"/>
          <w:lang w:val="it-IT"/>
        </w:rPr>
        <w:t>bevacizumab</w:t>
      </w:r>
      <w:r w:rsidRPr="006A2BF9">
        <w:rPr>
          <w:lang w:val="it-IT"/>
        </w:rPr>
        <w:t xml:space="preserve">, poiché tali pazienti sono stati esclusi dagli studi clinici. È quindi necessario osservare una certa cautela </w:t>
      </w:r>
      <w:r w:rsidR="00465925" w:rsidRPr="006A2BF9">
        <w:rPr>
          <w:lang w:val="it-IT"/>
        </w:rPr>
        <w:t xml:space="preserve">prima di </w:t>
      </w:r>
      <w:r w:rsidRPr="006A2BF9">
        <w:rPr>
          <w:lang w:val="it-IT"/>
        </w:rPr>
        <w:t xml:space="preserve">iniziare la terapia in questi pazienti. Comunque, non sembra che i pazienti che sviluppano una trombosi venosa nel corso della terapia abbiano un rischio maggiore di emorragia di </w:t>
      </w:r>
      <w:r w:rsidR="001E66A5" w:rsidRPr="006A2BF9">
        <w:rPr>
          <w:lang w:val="it-IT"/>
        </w:rPr>
        <w:t>G</w:t>
      </w:r>
      <w:r w:rsidRPr="006A2BF9">
        <w:rPr>
          <w:lang w:val="it-IT"/>
        </w:rPr>
        <w:t>rado</w:t>
      </w:r>
      <w:r w:rsidR="00486353" w:rsidRPr="006A2BF9">
        <w:rPr>
          <w:lang w:val="it-IT"/>
        </w:rPr>
        <w:t> </w:t>
      </w:r>
      <w:r w:rsidRPr="006A2BF9">
        <w:rPr>
          <w:lang w:val="it-IT"/>
        </w:rPr>
        <w:t>3 o superiore se trattati contemporaneamente con warfarin a dos</w:t>
      </w:r>
      <w:r w:rsidR="00D63F4D">
        <w:rPr>
          <w:lang w:val="it-IT"/>
        </w:rPr>
        <w:t>e</w:t>
      </w:r>
      <w:r w:rsidRPr="006A2BF9">
        <w:rPr>
          <w:lang w:val="it-IT"/>
        </w:rPr>
        <w:t xml:space="preserve"> pien</w:t>
      </w:r>
      <w:r w:rsidR="00D63F4D">
        <w:rPr>
          <w:lang w:val="it-IT"/>
        </w:rPr>
        <w:t>a</w:t>
      </w:r>
      <w:r w:rsidRPr="006A2BF9">
        <w:rPr>
          <w:lang w:val="it-IT"/>
        </w:rPr>
        <w:t xml:space="preserve"> e </w:t>
      </w:r>
      <w:r w:rsidR="00486353" w:rsidRPr="006A2BF9">
        <w:rPr>
          <w:szCs w:val="22"/>
          <w:lang w:val="it-IT"/>
        </w:rPr>
        <w:t>bevacizumab</w:t>
      </w:r>
      <w:r w:rsidR="00486353" w:rsidRPr="006A2BF9">
        <w:rPr>
          <w:lang w:val="it-IT"/>
        </w:rPr>
        <w:t xml:space="preserve"> </w:t>
      </w:r>
      <w:r w:rsidR="001E66A5" w:rsidRPr="006A2BF9">
        <w:rPr>
          <w:lang w:val="it-IT"/>
        </w:rPr>
        <w:t>(NCI</w:t>
      </w:r>
      <w:r w:rsidR="00DC4C6E" w:rsidRPr="006A2BF9">
        <w:rPr>
          <w:lang w:val="it-IT"/>
        </w:rPr>
        <w:noBreakHyphen/>
      </w:r>
      <w:r w:rsidR="001E66A5" w:rsidRPr="006A2BF9">
        <w:rPr>
          <w:lang w:val="it-IT"/>
        </w:rPr>
        <w:t>CTCAE v.3)</w:t>
      </w:r>
      <w:r w:rsidRPr="006A2BF9">
        <w:rPr>
          <w:lang w:val="it-IT"/>
        </w:rPr>
        <w:t>.</w:t>
      </w:r>
    </w:p>
    <w:p w14:paraId="1A75B0D9" w14:textId="77777777" w:rsidR="009C0666" w:rsidRPr="006A2BF9" w:rsidRDefault="009C0666" w:rsidP="008B3BC8">
      <w:pPr>
        <w:keepNext/>
        <w:keepLines/>
        <w:rPr>
          <w:lang w:val="it-IT"/>
        </w:rPr>
      </w:pPr>
    </w:p>
    <w:p w14:paraId="300E3A24" w14:textId="77777777" w:rsidR="009C0666" w:rsidRPr="006A2BF9" w:rsidRDefault="009C0666" w:rsidP="009C0666">
      <w:pPr>
        <w:outlineLvl w:val="0"/>
        <w:rPr>
          <w:u w:val="single"/>
          <w:lang w:val="it-IT"/>
        </w:rPr>
      </w:pPr>
      <w:r w:rsidRPr="006A2BF9">
        <w:rPr>
          <w:u w:val="single"/>
          <w:lang w:val="it-IT"/>
        </w:rPr>
        <w:t>Emorragia polmonare/</w:t>
      </w:r>
      <w:r w:rsidR="00AD4104" w:rsidRPr="006A2BF9">
        <w:rPr>
          <w:u w:val="single"/>
          <w:lang w:val="it-IT"/>
        </w:rPr>
        <w:t>e</w:t>
      </w:r>
      <w:r w:rsidRPr="006A2BF9">
        <w:rPr>
          <w:u w:val="single"/>
          <w:lang w:val="it-IT"/>
        </w:rPr>
        <w:t>mottisi</w:t>
      </w:r>
    </w:p>
    <w:p w14:paraId="2CD95198" w14:textId="77777777" w:rsidR="009C0666" w:rsidRPr="00330A40" w:rsidRDefault="009C0666" w:rsidP="009C0666">
      <w:pPr>
        <w:outlineLvl w:val="0"/>
        <w:rPr>
          <w:lang w:val="it-IT"/>
        </w:rPr>
      </w:pPr>
      <w:r w:rsidRPr="006A2BF9">
        <w:rPr>
          <w:lang w:val="it-IT"/>
        </w:rPr>
        <w:t xml:space="preserve">Pazienti con </w:t>
      </w:r>
      <w:r w:rsidR="00EB182B">
        <w:rPr>
          <w:lang w:val="it-IT"/>
        </w:rPr>
        <w:t>cancro del polmone</w:t>
      </w:r>
      <w:r w:rsidRPr="00330A40">
        <w:rPr>
          <w:lang w:val="it-IT"/>
        </w:rPr>
        <w:t xml:space="preserve"> non a piccole cellule, trattati con </w:t>
      </w:r>
      <w:r w:rsidR="00B94CA8" w:rsidRPr="00330A40">
        <w:rPr>
          <w:szCs w:val="22"/>
          <w:lang w:val="it-IT"/>
        </w:rPr>
        <w:t>bevacizumab</w:t>
      </w:r>
      <w:r w:rsidRPr="00330A40">
        <w:rPr>
          <w:lang w:val="it-IT"/>
        </w:rPr>
        <w:t>, possono essere a rischio di emorragie polmonari/emottisi gravi, e in alcuni casi ad esito fatale. Pazienti con emorragie polmonari/emottisi di recente insorgenza (&gt; 2,5 </w:t>
      </w:r>
      <w:r w:rsidR="00B64026" w:rsidRPr="00330A40">
        <w:rPr>
          <w:lang w:val="it-IT"/>
        </w:rPr>
        <w:t>mL</w:t>
      </w:r>
      <w:r w:rsidRPr="00330A40">
        <w:rPr>
          <w:lang w:val="it-IT"/>
        </w:rPr>
        <w:t xml:space="preserve"> di sangue rosso vivo) non devono essere trattati con </w:t>
      </w:r>
      <w:r w:rsidR="00486353" w:rsidRPr="00330A40">
        <w:rPr>
          <w:szCs w:val="22"/>
          <w:lang w:val="it-IT"/>
        </w:rPr>
        <w:t>bevacizumab</w:t>
      </w:r>
      <w:r w:rsidRPr="00330A40">
        <w:rPr>
          <w:lang w:val="it-IT"/>
        </w:rPr>
        <w:t>.</w:t>
      </w:r>
    </w:p>
    <w:p w14:paraId="281BF7E1" w14:textId="77777777" w:rsidR="00F05C05" w:rsidRPr="006A2BF9" w:rsidRDefault="00F05C05" w:rsidP="009C0666">
      <w:pPr>
        <w:outlineLvl w:val="0"/>
        <w:rPr>
          <w:lang w:val="it-IT"/>
        </w:rPr>
      </w:pPr>
    </w:p>
    <w:p w14:paraId="54014D67" w14:textId="77777777" w:rsidR="00FF3CE2" w:rsidRPr="006A2BF9" w:rsidRDefault="00FF3CE2" w:rsidP="009C0666">
      <w:pPr>
        <w:outlineLvl w:val="0"/>
        <w:rPr>
          <w:u w:val="single"/>
          <w:lang w:val="it-IT"/>
        </w:rPr>
      </w:pPr>
      <w:r w:rsidRPr="006A2BF9">
        <w:rPr>
          <w:u w:val="single"/>
          <w:lang w:val="it-IT"/>
        </w:rPr>
        <w:t>Aneurismi e dissezioni arteriose</w:t>
      </w:r>
    </w:p>
    <w:p w14:paraId="51033A04" w14:textId="77777777" w:rsidR="00FF3CE2" w:rsidRPr="006A2BF9" w:rsidRDefault="00FF3CE2" w:rsidP="009C0666">
      <w:pPr>
        <w:outlineLvl w:val="0"/>
        <w:rPr>
          <w:i/>
          <w:lang w:val="it-IT"/>
        </w:rPr>
      </w:pPr>
      <w:r w:rsidRPr="006A2BF9">
        <w:rPr>
          <w:lang w:val="it-IT"/>
        </w:rPr>
        <w:t xml:space="preserve">L’uso di inibitori del pathway del VEGF in pazienti con o senza ipertensione può favorire la formazione di aneurismi e/o dissezioni arteriose. Prima di iniziare </w:t>
      </w:r>
      <w:r w:rsidR="00B41A47" w:rsidRPr="006A2BF9">
        <w:rPr>
          <w:lang w:val="it-IT"/>
        </w:rPr>
        <w:t xml:space="preserve">il trattamento </w:t>
      </w:r>
      <w:r w:rsidRPr="006A2BF9">
        <w:rPr>
          <w:lang w:val="it-IT"/>
        </w:rPr>
        <w:t>con</w:t>
      </w:r>
      <w:r w:rsidR="001C6AF3" w:rsidRPr="006A2BF9">
        <w:rPr>
          <w:lang w:val="it-IT"/>
        </w:rPr>
        <w:t xml:space="preserve"> </w:t>
      </w:r>
      <w:r w:rsidR="00486353" w:rsidRPr="006A2BF9">
        <w:rPr>
          <w:lang w:val="it-IT"/>
        </w:rPr>
        <w:t>Aybintio</w:t>
      </w:r>
      <w:r w:rsidRPr="006A2BF9">
        <w:rPr>
          <w:lang w:val="it-IT"/>
        </w:rPr>
        <w:t>, questo rischio deve essere attentamente considerato in pazienti con fattori di rischio quali ipertensione o storia di aneurisma.</w:t>
      </w:r>
    </w:p>
    <w:p w14:paraId="03D57DE1" w14:textId="77777777" w:rsidR="009C0666" w:rsidRPr="006A2BF9" w:rsidRDefault="009C0666" w:rsidP="009C0666">
      <w:pPr>
        <w:rPr>
          <w:i/>
          <w:iCs/>
          <w:lang w:val="it-IT"/>
        </w:rPr>
      </w:pPr>
    </w:p>
    <w:p w14:paraId="304ACCB9" w14:textId="77777777" w:rsidR="009C0666" w:rsidRPr="006A2BF9" w:rsidRDefault="009C0666" w:rsidP="009C0666">
      <w:pPr>
        <w:rPr>
          <w:u w:val="single"/>
          <w:lang w:val="it-IT"/>
        </w:rPr>
      </w:pPr>
      <w:r w:rsidRPr="006A2BF9">
        <w:rPr>
          <w:iCs/>
          <w:u w:val="single"/>
          <w:lang w:val="it-IT"/>
        </w:rPr>
        <w:t xml:space="preserve">Insufficienza cardiaca congestizia (ICC) </w:t>
      </w:r>
      <w:r w:rsidRPr="006A2BF9">
        <w:rPr>
          <w:u w:val="single"/>
          <w:lang w:val="it-IT"/>
        </w:rPr>
        <w:t>(vedere paragrafo</w:t>
      </w:r>
      <w:r w:rsidR="00486353" w:rsidRPr="006A2BF9">
        <w:rPr>
          <w:u w:val="single"/>
          <w:lang w:val="it-IT"/>
        </w:rPr>
        <w:t> </w:t>
      </w:r>
      <w:r w:rsidRPr="006A2BF9">
        <w:rPr>
          <w:u w:val="single"/>
          <w:lang w:val="it-IT"/>
        </w:rPr>
        <w:t>4.8)</w:t>
      </w:r>
    </w:p>
    <w:p w14:paraId="409CA096" w14:textId="77777777" w:rsidR="004A057D" w:rsidRPr="006A2BF9" w:rsidRDefault="009C0666" w:rsidP="009C0666">
      <w:pPr>
        <w:rPr>
          <w:lang w:val="it-IT"/>
        </w:rPr>
      </w:pPr>
      <w:r w:rsidRPr="006A2BF9">
        <w:rPr>
          <w:lang w:val="it-IT"/>
        </w:rPr>
        <w:t>Negli studi clinici sono stat</w:t>
      </w:r>
      <w:r w:rsidR="00C20F1F" w:rsidRPr="006A2BF9">
        <w:rPr>
          <w:lang w:val="it-IT"/>
        </w:rPr>
        <w:t>e</w:t>
      </w:r>
      <w:r w:rsidRPr="006A2BF9">
        <w:rPr>
          <w:lang w:val="it-IT"/>
        </w:rPr>
        <w:t xml:space="preserve"> riportat</w:t>
      </w:r>
      <w:r w:rsidR="00C20F1F" w:rsidRPr="006A2BF9">
        <w:rPr>
          <w:lang w:val="it-IT"/>
        </w:rPr>
        <w:t>e</w:t>
      </w:r>
      <w:r w:rsidRPr="006A2BF9">
        <w:rPr>
          <w:lang w:val="it-IT"/>
        </w:rPr>
        <w:t xml:space="preserve"> </w:t>
      </w:r>
      <w:r w:rsidR="001E66A5" w:rsidRPr="006A2BF9">
        <w:rPr>
          <w:lang w:val="it-IT"/>
        </w:rPr>
        <w:t>reazioni</w:t>
      </w:r>
      <w:r w:rsidR="00A356DF" w:rsidRPr="006A2BF9">
        <w:rPr>
          <w:lang w:val="it-IT"/>
        </w:rPr>
        <w:t xml:space="preserve"> </w:t>
      </w:r>
      <w:r w:rsidR="00EF7D4B" w:rsidRPr="006A2BF9">
        <w:rPr>
          <w:lang w:val="it-IT"/>
        </w:rPr>
        <w:t xml:space="preserve">coerenti </w:t>
      </w:r>
      <w:r w:rsidRPr="006A2BF9">
        <w:rPr>
          <w:lang w:val="it-IT"/>
        </w:rPr>
        <w:t xml:space="preserve">con una diagnosi di ICC. I sintomi </w:t>
      </w:r>
      <w:r w:rsidR="004A057D" w:rsidRPr="006A2BF9">
        <w:rPr>
          <w:lang w:val="it-IT"/>
        </w:rPr>
        <w:t xml:space="preserve">riscontrati </w:t>
      </w:r>
      <w:r w:rsidRPr="006A2BF9">
        <w:rPr>
          <w:lang w:val="it-IT"/>
        </w:rPr>
        <w:t>variavano dalla riduzione asintomatica della frazione di eiezione ventricolare sinistra alla ICC sintomatica che ha richiesto trattamento o ricovero.</w:t>
      </w:r>
      <w:r w:rsidR="004A057D" w:rsidRPr="006A2BF9">
        <w:rPr>
          <w:lang w:val="it-IT"/>
        </w:rPr>
        <w:t xml:space="preserve"> </w:t>
      </w:r>
      <w:r w:rsidR="008A48B8" w:rsidRPr="006A2BF9">
        <w:rPr>
          <w:lang w:val="it-IT"/>
        </w:rPr>
        <w:t>Si deve esercitare</w:t>
      </w:r>
      <w:r w:rsidR="004A057D" w:rsidRPr="006A2BF9">
        <w:rPr>
          <w:lang w:val="it-IT"/>
        </w:rPr>
        <w:t xml:space="preserve"> cautela quando si trattano con </w:t>
      </w:r>
      <w:r w:rsidR="00B94CA8" w:rsidRPr="006A2BF9">
        <w:rPr>
          <w:szCs w:val="22"/>
          <w:lang w:val="it-IT"/>
        </w:rPr>
        <w:t>bevacizumab</w:t>
      </w:r>
      <w:r w:rsidR="00B94CA8" w:rsidRPr="006A2BF9">
        <w:rPr>
          <w:lang w:val="it-IT"/>
        </w:rPr>
        <w:t xml:space="preserve"> </w:t>
      </w:r>
      <w:r w:rsidR="004A057D" w:rsidRPr="006A2BF9">
        <w:rPr>
          <w:lang w:val="it-IT"/>
        </w:rPr>
        <w:t xml:space="preserve">pazienti con malattia cardiovascolare clinicamente significativa come una preesistente coronaropatia cardiaca o una </w:t>
      </w:r>
      <w:r w:rsidR="007312EF" w:rsidRPr="006A2BF9">
        <w:rPr>
          <w:lang w:val="it-IT"/>
        </w:rPr>
        <w:t>ICC</w:t>
      </w:r>
      <w:r w:rsidR="004A057D" w:rsidRPr="006A2BF9">
        <w:rPr>
          <w:lang w:val="it-IT"/>
        </w:rPr>
        <w:t>.</w:t>
      </w:r>
    </w:p>
    <w:p w14:paraId="53C969FD" w14:textId="77777777" w:rsidR="004A057D" w:rsidRPr="006A2BF9" w:rsidRDefault="004A057D" w:rsidP="009C0666">
      <w:pPr>
        <w:rPr>
          <w:lang w:val="it-IT"/>
        </w:rPr>
      </w:pPr>
    </w:p>
    <w:p w14:paraId="70F40465" w14:textId="77777777" w:rsidR="009C0666" w:rsidRPr="00330A40" w:rsidRDefault="009C0666" w:rsidP="009C0666">
      <w:pPr>
        <w:rPr>
          <w:lang w:val="it-IT"/>
        </w:rPr>
      </w:pPr>
      <w:r w:rsidRPr="006A2BF9">
        <w:rPr>
          <w:lang w:val="it-IT"/>
        </w:rPr>
        <w:t xml:space="preserve">La maggior parte dei pazienti che ha manifestato ICC aveva un </w:t>
      </w:r>
      <w:r w:rsidR="00EB182B">
        <w:rPr>
          <w:lang w:val="it-IT"/>
        </w:rPr>
        <w:t>cancro della mammella</w:t>
      </w:r>
      <w:r w:rsidRPr="00330A40">
        <w:rPr>
          <w:lang w:val="it-IT"/>
        </w:rPr>
        <w:t xml:space="preserve"> metastatico e aveva precedentemente ricevuto un trattamento con antracicline, una radioterapia alla parete toracica sinistra o presentava altri fattori di rischio per la ICC</w:t>
      </w:r>
      <w:r w:rsidR="00486353" w:rsidRPr="00330A40">
        <w:rPr>
          <w:lang w:val="it-IT"/>
        </w:rPr>
        <w:t>.</w:t>
      </w:r>
    </w:p>
    <w:p w14:paraId="5C598FB3" w14:textId="77777777" w:rsidR="009C0666" w:rsidRPr="00330A40" w:rsidRDefault="009C0666" w:rsidP="009C0666">
      <w:pPr>
        <w:rPr>
          <w:lang w:val="it-IT"/>
        </w:rPr>
      </w:pPr>
    </w:p>
    <w:p w14:paraId="72EAAD5A" w14:textId="77777777" w:rsidR="00BE6D38" w:rsidRPr="00330A40" w:rsidRDefault="004A057D" w:rsidP="009C0666">
      <w:pPr>
        <w:rPr>
          <w:lang w:val="it-IT"/>
        </w:rPr>
      </w:pPr>
      <w:r w:rsidRPr="00330A40">
        <w:rPr>
          <w:lang w:val="it-IT"/>
        </w:rPr>
        <w:lastRenderedPageBreak/>
        <w:t>Nei pazienti dello studio AVF3694g, che hanno ricevuto un trattamento con antracicline e che non avevano ricevuto antracicline in precedenza, non è stato osservato al</w:t>
      </w:r>
      <w:r w:rsidRPr="006A2BF9">
        <w:rPr>
          <w:lang w:val="it-IT"/>
        </w:rPr>
        <w:t xml:space="preserve">cun incremento dell’incidenza di ICC di tutti i </w:t>
      </w:r>
      <w:r w:rsidR="00F14A2A" w:rsidRPr="006A2BF9">
        <w:rPr>
          <w:lang w:val="it-IT"/>
        </w:rPr>
        <w:t>G</w:t>
      </w:r>
      <w:r w:rsidRPr="006A2BF9">
        <w:rPr>
          <w:lang w:val="it-IT"/>
        </w:rPr>
        <w:t>radi</w:t>
      </w:r>
      <w:r w:rsidRPr="006A2BF9" w:rsidDel="005C367B">
        <w:rPr>
          <w:lang w:val="it-IT"/>
        </w:rPr>
        <w:t xml:space="preserve"> nel gruppo trattat</w:t>
      </w:r>
      <w:r w:rsidRPr="006A2BF9">
        <w:rPr>
          <w:lang w:val="it-IT"/>
        </w:rPr>
        <w:t>o</w:t>
      </w:r>
      <w:r w:rsidRPr="006A2BF9" w:rsidDel="005C367B">
        <w:rPr>
          <w:lang w:val="it-IT"/>
        </w:rPr>
        <w:t xml:space="preserve"> con bevacizumab</w:t>
      </w:r>
      <w:r w:rsidR="003D4A0E" w:rsidRPr="006A2BF9">
        <w:rPr>
          <w:lang w:val="it-IT"/>
        </w:rPr>
        <w:t> </w:t>
      </w:r>
      <w:r w:rsidRPr="006A2BF9" w:rsidDel="005C367B">
        <w:rPr>
          <w:lang w:val="it-IT"/>
        </w:rPr>
        <w:t>+</w:t>
      </w:r>
      <w:r w:rsidR="003D4A0E" w:rsidRPr="006A2BF9">
        <w:rPr>
          <w:lang w:val="it-IT"/>
        </w:rPr>
        <w:t> </w:t>
      </w:r>
      <w:r w:rsidRPr="006A2BF9" w:rsidDel="005C367B">
        <w:rPr>
          <w:lang w:val="it-IT"/>
        </w:rPr>
        <w:t>antracicline</w:t>
      </w:r>
      <w:r w:rsidRPr="006A2BF9">
        <w:rPr>
          <w:lang w:val="it-IT"/>
        </w:rPr>
        <w:t xml:space="preserve"> rispetto al trattamento con sole antracicline. </w:t>
      </w:r>
      <w:r w:rsidR="007312EF" w:rsidRPr="006A2BF9">
        <w:rPr>
          <w:lang w:val="it-IT"/>
        </w:rPr>
        <w:t xml:space="preserve">L’insorgenza di </w:t>
      </w:r>
      <w:r w:rsidRPr="006A2BF9">
        <w:rPr>
          <w:lang w:val="it-IT"/>
        </w:rPr>
        <w:t xml:space="preserve">ICC di </w:t>
      </w:r>
      <w:r w:rsidR="001E66A5" w:rsidRPr="006A2BF9">
        <w:rPr>
          <w:lang w:val="it-IT"/>
        </w:rPr>
        <w:t>G</w:t>
      </w:r>
      <w:r w:rsidRPr="006A2BF9">
        <w:rPr>
          <w:lang w:val="it-IT"/>
        </w:rPr>
        <w:t>rado</w:t>
      </w:r>
      <w:r w:rsidR="00486353" w:rsidRPr="006A2BF9">
        <w:rPr>
          <w:lang w:val="it-IT"/>
        </w:rPr>
        <w:t> </w:t>
      </w:r>
      <w:r w:rsidRPr="006A2BF9">
        <w:rPr>
          <w:lang w:val="it-IT"/>
        </w:rPr>
        <w:t xml:space="preserve">3 o superiore </w:t>
      </w:r>
      <w:r w:rsidR="007312EF" w:rsidRPr="006A2BF9">
        <w:rPr>
          <w:lang w:val="it-IT"/>
        </w:rPr>
        <w:t xml:space="preserve">è </w:t>
      </w:r>
      <w:r w:rsidRPr="006A2BF9">
        <w:rPr>
          <w:lang w:val="it-IT"/>
        </w:rPr>
        <w:t>stat</w:t>
      </w:r>
      <w:r w:rsidR="007312EF" w:rsidRPr="006A2BF9">
        <w:rPr>
          <w:lang w:val="it-IT"/>
        </w:rPr>
        <w:t>a</w:t>
      </w:r>
      <w:r w:rsidRPr="006A2BF9">
        <w:rPr>
          <w:lang w:val="it-IT"/>
        </w:rPr>
        <w:t xml:space="preserve"> talvolta più frequent</w:t>
      </w:r>
      <w:r w:rsidR="007312EF" w:rsidRPr="006A2BF9">
        <w:rPr>
          <w:lang w:val="it-IT"/>
        </w:rPr>
        <w:t>e</w:t>
      </w:r>
      <w:r w:rsidRPr="006A2BF9">
        <w:rPr>
          <w:lang w:val="it-IT"/>
        </w:rPr>
        <w:t xml:space="preserve"> nei pazienti trattati con bevacizumab associato a chemioterapia rispetto ai pazienti che ricevevano la sola chemioterapia. Tale osservazione è in linea con i risultati osservati nei pazienti di altri studi condotti sul </w:t>
      </w:r>
      <w:r w:rsidR="005D5633">
        <w:rPr>
          <w:lang w:val="it-IT"/>
        </w:rPr>
        <w:t>cancro</w:t>
      </w:r>
      <w:r w:rsidRPr="00330A40">
        <w:rPr>
          <w:lang w:val="it-IT"/>
        </w:rPr>
        <w:t xml:space="preserve"> della mammella metastatico che non avevano ricevuto un trattamento concomitante con antracicline </w:t>
      </w:r>
      <w:r w:rsidR="001E66A5" w:rsidRPr="00330A40">
        <w:rPr>
          <w:lang w:val="it-IT"/>
        </w:rPr>
        <w:t xml:space="preserve">(NCI-CTCAE v.3) </w:t>
      </w:r>
      <w:r w:rsidRPr="00330A40">
        <w:rPr>
          <w:lang w:val="it-IT"/>
        </w:rPr>
        <w:t>(vedere paragrafo</w:t>
      </w:r>
      <w:r w:rsidR="00486353" w:rsidRPr="00330A40">
        <w:rPr>
          <w:lang w:val="it-IT"/>
        </w:rPr>
        <w:t> </w:t>
      </w:r>
      <w:r w:rsidRPr="00330A40">
        <w:rPr>
          <w:lang w:val="it-IT"/>
        </w:rPr>
        <w:t>4.8).</w:t>
      </w:r>
    </w:p>
    <w:p w14:paraId="3009420B" w14:textId="77777777" w:rsidR="009C0666" w:rsidRPr="00330A40" w:rsidRDefault="009C0666" w:rsidP="009C0666">
      <w:pPr>
        <w:rPr>
          <w:lang w:val="it-IT"/>
        </w:rPr>
      </w:pPr>
    </w:p>
    <w:p w14:paraId="6E376CA5" w14:textId="77777777" w:rsidR="009C0666" w:rsidRPr="006A2BF9" w:rsidRDefault="009C0666" w:rsidP="00185751">
      <w:pPr>
        <w:rPr>
          <w:u w:val="single"/>
          <w:lang w:val="it-IT"/>
        </w:rPr>
      </w:pPr>
      <w:r w:rsidRPr="00330A40">
        <w:rPr>
          <w:u w:val="single"/>
          <w:lang w:val="it-IT"/>
        </w:rPr>
        <w:t xml:space="preserve">Neutropenia </w:t>
      </w:r>
      <w:r w:rsidR="001056EF" w:rsidRPr="00330A40">
        <w:rPr>
          <w:u w:val="single"/>
          <w:lang w:val="it-IT"/>
        </w:rPr>
        <w:t xml:space="preserve">e infezioni </w:t>
      </w:r>
      <w:r w:rsidRPr="006A2BF9">
        <w:rPr>
          <w:u w:val="single"/>
          <w:lang w:val="it-IT"/>
        </w:rPr>
        <w:t>(vedere paragrafo</w:t>
      </w:r>
      <w:r w:rsidR="00486353" w:rsidRPr="006A2BF9">
        <w:rPr>
          <w:u w:val="single"/>
          <w:lang w:val="it-IT"/>
        </w:rPr>
        <w:t> </w:t>
      </w:r>
      <w:r w:rsidRPr="006A2BF9">
        <w:rPr>
          <w:u w:val="single"/>
          <w:lang w:val="it-IT"/>
        </w:rPr>
        <w:t>4.8)</w:t>
      </w:r>
    </w:p>
    <w:p w14:paraId="5F4FEF2C" w14:textId="77777777" w:rsidR="001056EF" w:rsidRPr="006A2BF9" w:rsidRDefault="009C0666" w:rsidP="001056EF">
      <w:pPr>
        <w:rPr>
          <w:lang w:val="it-IT"/>
        </w:rPr>
      </w:pPr>
      <w:r w:rsidRPr="00435A80">
        <w:rPr>
          <w:lang w:val="it-IT"/>
        </w:rPr>
        <w:t>In pazienti trattati con regimi chemioterapici mielotossici insieme a</w:t>
      </w:r>
      <w:r w:rsidR="00486353" w:rsidRPr="00435A80">
        <w:rPr>
          <w:lang w:val="it-IT"/>
        </w:rPr>
        <w:t xml:space="preserve"> </w:t>
      </w:r>
      <w:r w:rsidR="00486353" w:rsidRPr="00435A80">
        <w:rPr>
          <w:szCs w:val="22"/>
          <w:lang w:val="it-IT"/>
        </w:rPr>
        <w:t>bevacizumab</w:t>
      </w:r>
      <w:r w:rsidRPr="00435A80">
        <w:rPr>
          <w:lang w:val="it-IT"/>
        </w:rPr>
        <w:t>, in confronto alla chemioterapia da sola, s</w:t>
      </w:r>
      <w:r w:rsidRPr="006A2BF9">
        <w:rPr>
          <w:lang w:val="it-IT"/>
        </w:rPr>
        <w:t xml:space="preserve">i sono osservati tassi più elevati di neutropenia </w:t>
      </w:r>
      <w:r w:rsidR="001C1533" w:rsidRPr="006A2BF9">
        <w:rPr>
          <w:lang w:val="it-IT"/>
        </w:rPr>
        <w:t>severa</w:t>
      </w:r>
      <w:r w:rsidRPr="006A2BF9">
        <w:rPr>
          <w:lang w:val="it-IT"/>
        </w:rPr>
        <w:t xml:space="preserve">, neutropenia febbrile o infezione </w:t>
      </w:r>
      <w:r w:rsidR="001056EF" w:rsidRPr="006A2BF9">
        <w:rPr>
          <w:lang w:val="it-IT"/>
        </w:rPr>
        <w:t xml:space="preserve">associata o meno a </w:t>
      </w:r>
      <w:r w:rsidRPr="006A2BF9">
        <w:rPr>
          <w:lang w:val="it-IT"/>
        </w:rPr>
        <w:t xml:space="preserve">neutropenia </w:t>
      </w:r>
      <w:r w:rsidR="001C1533" w:rsidRPr="006A2BF9">
        <w:rPr>
          <w:lang w:val="it-IT"/>
        </w:rPr>
        <w:t xml:space="preserve">severa </w:t>
      </w:r>
      <w:r w:rsidRPr="006A2BF9">
        <w:rPr>
          <w:lang w:val="it-IT"/>
        </w:rPr>
        <w:t>(incluse alcune ad esito fatale).</w:t>
      </w:r>
      <w:r w:rsidR="001056EF" w:rsidRPr="006A2BF9">
        <w:rPr>
          <w:lang w:val="it-IT"/>
        </w:rPr>
        <w:t xml:space="preserve"> Questo si è osservato soprattutto in </w:t>
      </w:r>
      <w:r w:rsidR="00645F60" w:rsidRPr="006A2BF9">
        <w:rPr>
          <w:lang w:val="it-IT"/>
        </w:rPr>
        <w:t xml:space="preserve">associazione </w:t>
      </w:r>
      <w:r w:rsidR="001056EF" w:rsidRPr="006A2BF9">
        <w:rPr>
          <w:lang w:val="it-IT"/>
        </w:rPr>
        <w:t xml:space="preserve">a terapie a base di platino o taxani nel trattamento </w:t>
      </w:r>
      <w:r w:rsidR="001C5AC5" w:rsidRPr="006A2BF9">
        <w:rPr>
          <w:lang w:val="it-IT"/>
        </w:rPr>
        <w:t>del</w:t>
      </w:r>
      <w:r w:rsidR="00E42874" w:rsidRPr="006A2BF9">
        <w:rPr>
          <w:lang w:val="it-IT"/>
        </w:rPr>
        <w:t xml:space="preserve"> </w:t>
      </w:r>
      <w:r w:rsidR="001C5AC5" w:rsidRPr="006A2BF9">
        <w:rPr>
          <w:lang w:val="it-IT"/>
        </w:rPr>
        <w:t>NSCLC, del</w:t>
      </w:r>
      <w:r w:rsidR="006B4517" w:rsidRPr="006A2BF9">
        <w:rPr>
          <w:lang w:val="it-IT"/>
        </w:rPr>
        <w:t xml:space="preserve"> </w:t>
      </w:r>
      <w:r w:rsidR="001C5AC5" w:rsidRPr="006A2BF9">
        <w:rPr>
          <w:lang w:val="it-IT"/>
        </w:rPr>
        <w:t xml:space="preserve">mBC e in combinazione con paclitaxel e topotecan nel </w:t>
      </w:r>
      <w:r w:rsidR="005D5633" w:rsidRPr="006A2BF9">
        <w:rPr>
          <w:lang w:val="it-IT"/>
        </w:rPr>
        <w:t xml:space="preserve">cancro </w:t>
      </w:r>
      <w:r w:rsidR="001C5AC5" w:rsidRPr="006A2BF9">
        <w:rPr>
          <w:lang w:val="it-IT"/>
        </w:rPr>
        <w:t xml:space="preserve">della cervice persistente, </w:t>
      </w:r>
      <w:r w:rsidR="00053210" w:rsidRPr="006A2BF9">
        <w:rPr>
          <w:lang w:val="it-IT"/>
        </w:rPr>
        <w:t>ricorrente</w:t>
      </w:r>
      <w:r w:rsidR="001C5AC5" w:rsidRPr="006A2BF9">
        <w:rPr>
          <w:lang w:val="it-IT"/>
        </w:rPr>
        <w:t xml:space="preserve"> o metastatico</w:t>
      </w:r>
      <w:r w:rsidR="001056EF" w:rsidRPr="006A2BF9">
        <w:rPr>
          <w:lang w:val="it-IT"/>
        </w:rPr>
        <w:t>.</w:t>
      </w:r>
    </w:p>
    <w:p w14:paraId="1897674B" w14:textId="77777777" w:rsidR="0025370C" w:rsidRPr="006A2BF9" w:rsidRDefault="0025370C" w:rsidP="009C0666">
      <w:pPr>
        <w:rPr>
          <w:lang w:val="it-IT"/>
        </w:rPr>
      </w:pPr>
    </w:p>
    <w:p w14:paraId="036268D7" w14:textId="77777777" w:rsidR="0025370C" w:rsidRPr="006A2BF9" w:rsidRDefault="0025370C" w:rsidP="00197876">
      <w:pPr>
        <w:keepNext/>
        <w:keepLines/>
        <w:rPr>
          <w:u w:val="single"/>
          <w:lang w:val="it-IT"/>
        </w:rPr>
      </w:pPr>
      <w:r w:rsidRPr="006A2BF9">
        <w:rPr>
          <w:u w:val="single"/>
          <w:lang w:val="it-IT"/>
        </w:rPr>
        <w:t>Reazioni di ipersensibilità</w:t>
      </w:r>
      <w:r w:rsidR="00A01B02" w:rsidRPr="00A01B02">
        <w:rPr>
          <w:u w:val="single"/>
          <w:lang w:val="it-IT"/>
        </w:rPr>
        <w:t xml:space="preserve"> </w:t>
      </w:r>
      <w:r w:rsidR="00A01B02" w:rsidRPr="00B74D84">
        <w:rPr>
          <w:u w:val="single"/>
          <w:lang w:val="it-IT"/>
        </w:rPr>
        <w:t>(incluso shock anafilattico)</w:t>
      </w:r>
      <w:r w:rsidRPr="00B74D84">
        <w:rPr>
          <w:u w:val="single"/>
          <w:lang w:val="it-IT"/>
        </w:rPr>
        <w:t>/</w:t>
      </w:r>
      <w:r w:rsidRPr="006A2BF9">
        <w:rPr>
          <w:u w:val="single"/>
          <w:lang w:val="it-IT"/>
        </w:rPr>
        <w:t>reazioni all’infusione (vedere paragrafo</w:t>
      </w:r>
      <w:r w:rsidR="00486353" w:rsidRPr="006A2BF9">
        <w:rPr>
          <w:u w:val="single"/>
          <w:lang w:val="it-IT"/>
        </w:rPr>
        <w:t> </w:t>
      </w:r>
      <w:r w:rsidRPr="006A2BF9">
        <w:rPr>
          <w:u w:val="single"/>
          <w:lang w:val="it-IT"/>
        </w:rPr>
        <w:t>4.8)</w:t>
      </w:r>
    </w:p>
    <w:p w14:paraId="715CA33F" w14:textId="77777777" w:rsidR="00A1759C" w:rsidRPr="006A2BF9" w:rsidRDefault="0025370C" w:rsidP="00197876">
      <w:pPr>
        <w:keepNext/>
        <w:keepLines/>
        <w:rPr>
          <w:lang w:val="it-IT"/>
        </w:rPr>
      </w:pPr>
      <w:r w:rsidRPr="006A2BF9">
        <w:rPr>
          <w:lang w:val="it-IT"/>
        </w:rPr>
        <w:t xml:space="preserve">I pazienti </w:t>
      </w:r>
      <w:r w:rsidR="00465925" w:rsidRPr="006A2BF9">
        <w:rPr>
          <w:lang w:val="it-IT"/>
        </w:rPr>
        <w:t>possono essere</w:t>
      </w:r>
      <w:r w:rsidRPr="006A2BF9">
        <w:rPr>
          <w:lang w:val="it-IT"/>
        </w:rPr>
        <w:t xml:space="preserve"> a rischio di sviluppare reazioni all’infusione/di ipersensibilità</w:t>
      </w:r>
      <w:r w:rsidR="00A01B02">
        <w:rPr>
          <w:lang w:val="it-IT"/>
        </w:rPr>
        <w:t xml:space="preserve"> </w:t>
      </w:r>
      <w:r w:rsidR="00A01B02" w:rsidRPr="007B3ACC">
        <w:rPr>
          <w:lang w:val="it-IT"/>
        </w:rPr>
        <w:t>(</w:t>
      </w:r>
      <w:r w:rsidR="00A01B02">
        <w:rPr>
          <w:lang w:val="it-IT"/>
        </w:rPr>
        <w:t xml:space="preserve">incluso shock </w:t>
      </w:r>
      <w:r w:rsidR="00A01B02" w:rsidRPr="00280CFA">
        <w:rPr>
          <w:lang w:val="it-IT"/>
        </w:rPr>
        <w:t xml:space="preserve"> anaf</w:t>
      </w:r>
      <w:r w:rsidR="00A01B02">
        <w:rPr>
          <w:lang w:val="it-IT"/>
        </w:rPr>
        <w:t>ilattico</w:t>
      </w:r>
      <w:r w:rsidR="00A01B02" w:rsidRPr="007B3ACC">
        <w:rPr>
          <w:lang w:val="it-IT"/>
        </w:rPr>
        <w:t>)</w:t>
      </w:r>
      <w:r w:rsidRPr="006A2BF9">
        <w:rPr>
          <w:lang w:val="it-IT"/>
        </w:rPr>
        <w:t xml:space="preserve">. Un’attenta osservazione del paziente durante e dopo la somministrazione di bevacizumab è raccomandata come previsto per qualsiasi infusione di anticorpo monoclonale umanizzato. In caso si presenti una reazione, l’infusione deve essere interrotta </w:t>
      </w:r>
      <w:r w:rsidR="006C24AB" w:rsidRPr="006A2BF9">
        <w:rPr>
          <w:lang w:val="it-IT"/>
        </w:rPr>
        <w:t>e</w:t>
      </w:r>
      <w:r w:rsidRPr="006A2BF9">
        <w:rPr>
          <w:lang w:val="it-IT"/>
        </w:rPr>
        <w:t xml:space="preserve"> </w:t>
      </w:r>
      <w:r w:rsidR="00C349D8" w:rsidRPr="006A2BF9">
        <w:rPr>
          <w:lang w:val="it-IT"/>
        </w:rPr>
        <w:t xml:space="preserve">deve essere somministrata </w:t>
      </w:r>
      <w:r w:rsidRPr="006A2BF9">
        <w:rPr>
          <w:lang w:val="it-IT"/>
        </w:rPr>
        <w:t>la terapia medica appropriata.</w:t>
      </w:r>
      <w:r w:rsidR="0075041E" w:rsidRPr="006A2BF9">
        <w:rPr>
          <w:lang w:val="it-IT"/>
        </w:rPr>
        <w:t xml:space="preserve"> </w:t>
      </w:r>
      <w:r w:rsidRPr="006A2BF9">
        <w:rPr>
          <w:lang w:val="it-IT"/>
        </w:rPr>
        <w:t>Un</w:t>
      </w:r>
      <w:r w:rsidR="00C349D8" w:rsidRPr="006A2BF9">
        <w:rPr>
          <w:lang w:val="it-IT"/>
        </w:rPr>
        <w:t>a</w:t>
      </w:r>
      <w:r w:rsidRPr="006A2BF9">
        <w:rPr>
          <w:lang w:val="it-IT"/>
        </w:rPr>
        <w:t xml:space="preserve"> premedicazione si</w:t>
      </w:r>
      <w:r w:rsidR="00C349D8" w:rsidRPr="006A2BF9">
        <w:rPr>
          <w:lang w:val="it-IT"/>
        </w:rPr>
        <w:t>s</w:t>
      </w:r>
      <w:r w:rsidRPr="006A2BF9">
        <w:rPr>
          <w:lang w:val="it-IT"/>
        </w:rPr>
        <w:t>tematica non è giustificata.</w:t>
      </w:r>
    </w:p>
    <w:p w14:paraId="09EF88FF" w14:textId="77777777" w:rsidR="00126FED" w:rsidRPr="006A2BF9" w:rsidRDefault="00126FED" w:rsidP="0025370C">
      <w:pPr>
        <w:rPr>
          <w:lang w:val="it-IT"/>
        </w:rPr>
      </w:pPr>
    </w:p>
    <w:p w14:paraId="456761B3" w14:textId="77777777" w:rsidR="00126FED" w:rsidRPr="006A2BF9" w:rsidRDefault="00126FED" w:rsidP="00A32391">
      <w:pPr>
        <w:keepNext/>
        <w:keepLines/>
        <w:rPr>
          <w:color w:val="000000"/>
          <w:szCs w:val="22"/>
          <w:u w:val="single"/>
          <w:lang w:val="it-IT"/>
        </w:rPr>
      </w:pPr>
      <w:r w:rsidRPr="006A2BF9">
        <w:rPr>
          <w:u w:val="single"/>
          <w:lang w:val="it-IT"/>
        </w:rPr>
        <w:t>Osteonecrosi della mandibola</w:t>
      </w:r>
      <w:r w:rsidR="00B75F09" w:rsidRPr="006A2BF9">
        <w:rPr>
          <w:u w:val="single"/>
          <w:lang w:val="it-IT"/>
        </w:rPr>
        <w:t>/mascella</w:t>
      </w:r>
      <w:r w:rsidRPr="006A2BF9">
        <w:rPr>
          <w:u w:val="single"/>
          <w:lang w:val="it-IT"/>
        </w:rPr>
        <w:t xml:space="preserve"> </w:t>
      </w:r>
      <w:r w:rsidR="003C2E7B" w:rsidRPr="006A2BF9">
        <w:rPr>
          <w:u w:val="single"/>
          <w:lang w:val="it-IT"/>
        </w:rPr>
        <w:t xml:space="preserve">(ONM) </w:t>
      </w:r>
      <w:r w:rsidRPr="006A2BF9">
        <w:rPr>
          <w:u w:val="single"/>
          <w:lang w:val="it-IT"/>
        </w:rPr>
        <w:t>(vedere paragrafo</w:t>
      </w:r>
      <w:r w:rsidR="00486353" w:rsidRPr="006A2BF9">
        <w:rPr>
          <w:u w:val="single"/>
          <w:lang w:val="it-IT"/>
        </w:rPr>
        <w:t> </w:t>
      </w:r>
      <w:r w:rsidRPr="006A2BF9">
        <w:rPr>
          <w:u w:val="single"/>
          <w:lang w:val="it-IT"/>
        </w:rPr>
        <w:t>4.8)</w:t>
      </w:r>
    </w:p>
    <w:p w14:paraId="2A1BD94F" w14:textId="77777777" w:rsidR="00126FED" w:rsidRPr="006A2BF9" w:rsidRDefault="00B029DE" w:rsidP="00C65E97">
      <w:pPr>
        <w:keepNext/>
        <w:keepLines/>
        <w:rPr>
          <w:lang w:val="it-IT"/>
        </w:rPr>
      </w:pPr>
      <w:r w:rsidRPr="006A2BF9">
        <w:rPr>
          <w:lang w:val="it-IT"/>
        </w:rPr>
        <w:t xml:space="preserve">Casi di </w:t>
      </w:r>
      <w:r w:rsidR="003C2E7B" w:rsidRPr="006A2BF9">
        <w:rPr>
          <w:lang w:val="it-IT"/>
        </w:rPr>
        <w:t>ONM</w:t>
      </w:r>
      <w:r w:rsidRPr="006A2BF9">
        <w:rPr>
          <w:lang w:val="it-IT"/>
        </w:rPr>
        <w:t xml:space="preserve"> sono stati segnalati i</w:t>
      </w:r>
      <w:r w:rsidR="00126FED" w:rsidRPr="006A2BF9">
        <w:rPr>
          <w:lang w:val="it-IT"/>
        </w:rPr>
        <w:t xml:space="preserve">n pazienti </w:t>
      </w:r>
      <w:r w:rsidR="00B75F09" w:rsidRPr="006A2BF9">
        <w:rPr>
          <w:lang w:val="it-IT"/>
        </w:rPr>
        <w:t>oncologici</w:t>
      </w:r>
      <w:r w:rsidR="00126FED" w:rsidRPr="006A2BF9">
        <w:rPr>
          <w:lang w:val="it-IT"/>
        </w:rPr>
        <w:t xml:space="preserve"> trattati con </w:t>
      </w:r>
      <w:r w:rsidR="00486353" w:rsidRPr="006A2BF9">
        <w:rPr>
          <w:szCs w:val="22"/>
          <w:lang w:val="it-IT"/>
        </w:rPr>
        <w:t>bevacizumab</w:t>
      </w:r>
      <w:r w:rsidR="00126FED" w:rsidRPr="006A2BF9">
        <w:rPr>
          <w:lang w:val="it-IT"/>
        </w:rPr>
        <w:t xml:space="preserve">, la maggior parte dei quali aveva ricevuto </w:t>
      </w:r>
      <w:r w:rsidR="00B75F09" w:rsidRPr="006A2BF9">
        <w:rPr>
          <w:lang w:val="it-IT"/>
        </w:rPr>
        <w:t>precedentemente</w:t>
      </w:r>
      <w:r w:rsidR="00126FED" w:rsidRPr="006A2BF9">
        <w:rPr>
          <w:lang w:val="it-IT"/>
        </w:rPr>
        <w:t xml:space="preserve"> o </w:t>
      </w:r>
      <w:r w:rsidR="00B75F09" w:rsidRPr="006A2BF9">
        <w:rPr>
          <w:lang w:val="it-IT"/>
        </w:rPr>
        <w:t>contemporaneamente</w:t>
      </w:r>
      <w:r w:rsidR="00126FED" w:rsidRPr="006A2BF9">
        <w:rPr>
          <w:lang w:val="it-IT"/>
        </w:rPr>
        <w:t xml:space="preserve"> </w:t>
      </w:r>
      <w:r w:rsidR="00B75F09" w:rsidRPr="006A2BF9">
        <w:rPr>
          <w:lang w:val="it-IT"/>
        </w:rPr>
        <w:t xml:space="preserve">una </w:t>
      </w:r>
      <w:r w:rsidR="00126FED" w:rsidRPr="006A2BF9">
        <w:rPr>
          <w:lang w:val="it-IT"/>
        </w:rPr>
        <w:t>terapi</w:t>
      </w:r>
      <w:r w:rsidR="00B75F09" w:rsidRPr="006A2BF9">
        <w:rPr>
          <w:lang w:val="it-IT"/>
        </w:rPr>
        <w:t>a</w:t>
      </w:r>
      <w:r w:rsidR="00126FED" w:rsidRPr="006A2BF9">
        <w:rPr>
          <w:lang w:val="it-IT"/>
        </w:rPr>
        <w:t xml:space="preserve"> endovenos</w:t>
      </w:r>
      <w:r w:rsidR="00B75F09" w:rsidRPr="006A2BF9">
        <w:rPr>
          <w:lang w:val="it-IT"/>
        </w:rPr>
        <w:t>a</w:t>
      </w:r>
      <w:r w:rsidR="00126FED" w:rsidRPr="006A2BF9">
        <w:rPr>
          <w:lang w:val="it-IT"/>
        </w:rPr>
        <w:t xml:space="preserve"> con bifosfonati, per i quali l’</w:t>
      </w:r>
      <w:r w:rsidR="003C2E7B" w:rsidRPr="006A2BF9">
        <w:rPr>
          <w:lang w:val="it-IT"/>
        </w:rPr>
        <w:t>ONM</w:t>
      </w:r>
      <w:r w:rsidR="00126FED" w:rsidRPr="006A2BF9">
        <w:rPr>
          <w:lang w:val="it-IT"/>
        </w:rPr>
        <w:t xml:space="preserve"> è un rischio </w:t>
      </w:r>
      <w:r w:rsidR="00B75F09" w:rsidRPr="006A2BF9">
        <w:rPr>
          <w:lang w:val="it-IT"/>
        </w:rPr>
        <w:t>noto</w:t>
      </w:r>
      <w:r w:rsidRPr="006A2BF9">
        <w:rPr>
          <w:lang w:val="it-IT"/>
        </w:rPr>
        <w:t>.</w:t>
      </w:r>
      <w:r w:rsidR="00486353" w:rsidRPr="006A2BF9">
        <w:rPr>
          <w:lang w:val="it-IT"/>
        </w:rPr>
        <w:t xml:space="preserve"> </w:t>
      </w:r>
      <w:r w:rsidR="00126FED" w:rsidRPr="006A2BF9">
        <w:rPr>
          <w:lang w:val="it-IT"/>
        </w:rPr>
        <w:t xml:space="preserve">Si deve usare cautela quando si somministrano </w:t>
      </w:r>
      <w:r w:rsidR="00486353" w:rsidRPr="006A2BF9">
        <w:rPr>
          <w:szCs w:val="22"/>
          <w:lang w:val="it-IT"/>
        </w:rPr>
        <w:t>bevacizumab</w:t>
      </w:r>
      <w:r w:rsidR="00486353" w:rsidRPr="006A2BF9">
        <w:rPr>
          <w:lang w:val="it-IT"/>
        </w:rPr>
        <w:t xml:space="preserve"> </w:t>
      </w:r>
      <w:r w:rsidR="00126FED" w:rsidRPr="006A2BF9">
        <w:rPr>
          <w:lang w:val="it-IT"/>
        </w:rPr>
        <w:t>e bifosfonati</w:t>
      </w:r>
      <w:r w:rsidR="00565AFB" w:rsidRPr="006A2BF9">
        <w:rPr>
          <w:lang w:val="it-IT"/>
        </w:rPr>
        <w:t xml:space="preserve"> per</w:t>
      </w:r>
      <w:r w:rsidRPr="006A2BF9">
        <w:rPr>
          <w:lang w:val="it-IT"/>
        </w:rPr>
        <w:t xml:space="preserve"> </w:t>
      </w:r>
      <w:r w:rsidR="00DA5C4C" w:rsidRPr="006A2BF9">
        <w:rPr>
          <w:lang w:val="it-IT"/>
        </w:rPr>
        <w:t xml:space="preserve">via endovenosa </w:t>
      </w:r>
      <w:r w:rsidR="00126FED" w:rsidRPr="006A2BF9">
        <w:rPr>
          <w:lang w:val="it-IT"/>
        </w:rPr>
        <w:t>in maniera simultanea o sequenziale.</w:t>
      </w:r>
    </w:p>
    <w:p w14:paraId="096C77E8" w14:textId="77777777" w:rsidR="00486353" w:rsidRPr="006A2BF9" w:rsidRDefault="00486353" w:rsidP="00C65E97">
      <w:pPr>
        <w:keepNext/>
        <w:keepLines/>
        <w:rPr>
          <w:lang w:val="it-IT"/>
        </w:rPr>
      </w:pPr>
    </w:p>
    <w:p w14:paraId="2140A858" w14:textId="77777777" w:rsidR="00126FED" w:rsidRPr="006A2BF9" w:rsidRDefault="00465925" w:rsidP="00B029DE">
      <w:pPr>
        <w:rPr>
          <w:lang w:val="it-IT"/>
        </w:rPr>
      </w:pPr>
      <w:r w:rsidRPr="006A2BF9">
        <w:rPr>
          <w:lang w:val="it-IT"/>
        </w:rPr>
        <w:t>Anche l</w:t>
      </w:r>
      <w:r w:rsidR="00126FED" w:rsidRPr="006A2BF9">
        <w:rPr>
          <w:lang w:val="it-IT"/>
        </w:rPr>
        <w:t xml:space="preserve">e procedure </w:t>
      </w:r>
      <w:r w:rsidR="00B75F09" w:rsidRPr="006A2BF9">
        <w:rPr>
          <w:lang w:val="it-IT"/>
        </w:rPr>
        <w:t>odontoiatriche</w:t>
      </w:r>
      <w:r w:rsidR="00126FED" w:rsidRPr="006A2BF9">
        <w:rPr>
          <w:lang w:val="it-IT"/>
        </w:rPr>
        <w:t xml:space="preserve"> invasive sono stat</w:t>
      </w:r>
      <w:r w:rsidR="00B75F09" w:rsidRPr="006A2BF9">
        <w:rPr>
          <w:lang w:val="it-IT"/>
        </w:rPr>
        <w:t>e</w:t>
      </w:r>
      <w:r w:rsidR="00126FED" w:rsidRPr="006A2BF9">
        <w:rPr>
          <w:lang w:val="it-IT"/>
        </w:rPr>
        <w:t xml:space="preserve"> identificate come </w:t>
      </w:r>
      <w:r w:rsidR="00B75F09" w:rsidRPr="006A2BF9">
        <w:rPr>
          <w:lang w:val="it-IT"/>
        </w:rPr>
        <w:t xml:space="preserve">un </w:t>
      </w:r>
      <w:r w:rsidR="00126FED" w:rsidRPr="006A2BF9">
        <w:rPr>
          <w:lang w:val="it-IT"/>
        </w:rPr>
        <w:t>fattore di rischio.</w:t>
      </w:r>
      <w:r w:rsidR="0044625A" w:rsidRPr="006A2BF9">
        <w:rPr>
          <w:lang w:val="it-IT"/>
        </w:rPr>
        <w:t xml:space="preserve"> </w:t>
      </w:r>
      <w:r w:rsidR="00B75F09" w:rsidRPr="006A2BF9">
        <w:rPr>
          <w:lang w:val="it-IT"/>
        </w:rPr>
        <w:t xml:space="preserve">Prima del trattamento con </w:t>
      </w:r>
      <w:r w:rsidR="00486353" w:rsidRPr="006A2BF9">
        <w:rPr>
          <w:lang w:val="it-IT"/>
        </w:rPr>
        <w:t xml:space="preserve">Aybintio </w:t>
      </w:r>
      <w:r w:rsidR="00B75F09" w:rsidRPr="006A2BF9">
        <w:rPr>
          <w:lang w:val="it-IT"/>
        </w:rPr>
        <w:t>devono essere considerati il ricorso a u</w:t>
      </w:r>
      <w:r w:rsidR="00126FED" w:rsidRPr="006A2BF9">
        <w:rPr>
          <w:lang w:val="it-IT"/>
        </w:rPr>
        <w:t xml:space="preserve">na valutazione </w:t>
      </w:r>
      <w:r w:rsidR="00B75F09" w:rsidRPr="006A2BF9">
        <w:rPr>
          <w:lang w:val="it-IT"/>
        </w:rPr>
        <w:t>odontoiatrica</w:t>
      </w:r>
      <w:r w:rsidR="00126FED" w:rsidRPr="006A2BF9">
        <w:rPr>
          <w:lang w:val="it-IT"/>
        </w:rPr>
        <w:t xml:space="preserve"> e</w:t>
      </w:r>
      <w:r w:rsidR="00B029DE" w:rsidRPr="006A2BF9">
        <w:rPr>
          <w:lang w:val="it-IT"/>
        </w:rPr>
        <w:t xml:space="preserve"> un’appropriata prevenzione </w:t>
      </w:r>
      <w:r w:rsidR="00B75F09" w:rsidRPr="006A2BF9">
        <w:rPr>
          <w:lang w:val="it-IT"/>
        </w:rPr>
        <w:t>odontoiatrica</w:t>
      </w:r>
      <w:r w:rsidR="00126FED" w:rsidRPr="006A2BF9">
        <w:rPr>
          <w:lang w:val="it-IT"/>
        </w:rPr>
        <w:t xml:space="preserve">. </w:t>
      </w:r>
      <w:r w:rsidR="00B75F09" w:rsidRPr="006A2BF9">
        <w:rPr>
          <w:lang w:val="it-IT"/>
        </w:rPr>
        <w:t>Se possibile, l</w:t>
      </w:r>
      <w:r w:rsidR="00B029DE" w:rsidRPr="006A2BF9">
        <w:rPr>
          <w:lang w:val="it-IT"/>
        </w:rPr>
        <w:t>e procedure</w:t>
      </w:r>
      <w:r w:rsidR="00B029DE" w:rsidRPr="00330A40">
        <w:rPr>
          <w:lang w:val="it-IT"/>
        </w:rPr>
        <w:t xml:space="preserve"> </w:t>
      </w:r>
      <w:r w:rsidR="00B75F09" w:rsidRPr="00330A40">
        <w:rPr>
          <w:lang w:val="it-IT"/>
        </w:rPr>
        <w:t xml:space="preserve">odontoiatriche </w:t>
      </w:r>
      <w:r w:rsidR="00B029DE" w:rsidRPr="00330A40">
        <w:rPr>
          <w:lang w:val="it-IT"/>
        </w:rPr>
        <w:t>invasive devono essere evitate i</w:t>
      </w:r>
      <w:r w:rsidR="00126FED" w:rsidRPr="006A2BF9">
        <w:rPr>
          <w:lang w:val="it-IT"/>
        </w:rPr>
        <w:t xml:space="preserve">n pazienti che hanno ricevuto precedentemente o </w:t>
      </w:r>
      <w:r w:rsidR="00B75F09" w:rsidRPr="006A2BF9">
        <w:rPr>
          <w:lang w:val="it-IT"/>
        </w:rPr>
        <w:t>che sono in trattamento con</w:t>
      </w:r>
      <w:r w:rsidR="00126FED" w:rsidRPr="006A2BF9">
        <w:rPr>
          <w:lang w:val="it-IT"/>
        </w:rPr>
        <w:t xml:space="preserve"> bifosfonati</w:t>
      </w:r>
      <w:r w:rsidR="00F25A8E" w:rsidRPr="006A2BF9">
        <w:rPr>
          <w:lang w:val="it-IT"/>
        </w:rPr>
        <w:t xml:space="preserve"> per via endovenosa</w:t>
      </w:r>
      <w:r w:rsidR="00486353" w:rsidRPr="006A2BF9">
        <w:rPr>
          <w:lang w:val="it-IT"/>
        </w:rPr>
        <w:t>.</w:t>
      </w:r>
    </w:p>
    <w:p w14:paraId="48870020" w14:textId="77777777" w:rsidR="00A1759C" w:rsidRPr="006A2BF9" w:rsidRDefault="00A1759C" w:rsidP="0025370C">
      <w:pPr>
        <w:rPr>
          <w:lang w:val="it-IT"/>
        </w:rPr>
      </w:pPr>
    </w:p>
    <w:p w14:paraId="7E1CA263" w14:textId="77777777" w:rsidR="00F14A2A" w:rsidRPr="006A2BF9" w:rsidRDefault="00F14A2A" w:rsidP="00F14A2A">
      <w:pPr>
        <w:rPr>
          <w:u w:val="single"/>
          <w:lang w:val="it-IT"/>
        </w:rPr>
      </w:pPr>
      <w:r w:rsidRPr="006A2BF9">
        <w:rPr>
          <w:u w:val="single"/>
          <w:lang w:val="it-IT"/>
        </w:rPr>
        <w:t>Uso intravitre</w:t>
      </w:r>
      <w:r w:rsidR="00D1752A" w:rsidRPr="006A2BF9">
        <w:rPr>
          <w:u w:val="single"/>
          <w:lang w:val="it-IT"/>
        </w:rPr>
        <w:t>o</w:t>
      </w:r>
    </w:p>
    <w:p w14:paraId="2B8EBD35" w14:textId="77777777" w:rsidR="00F14A2A" w:rsidRPr="006A2BF9" w:rsidRDefault="00486353" w:rsidP="00F14A2A">
      <w:pPr>
        <w:rPr>
          <w:lang w:val="it-IT"/>
        </w:rPr>
      </w:pPr>
      <w:r w:rsidRPr="006A2BF9">
        <w:rPr>
          <w:lang w:val="it-IT"/>
        </w:rPr>
        <w:t xml:space="preserve">Aybintio </w:t>
      </w:r>
      <w:r w:rsidR="00F14A2A" w:rsidRPr="006A2BF9">
        <w:rPr>
          <w:lang w:val="it-IT"/>
        </w:rPr>
        <w:t>non è formulato per l’uso intravitre</w:t>
      </w:r>
      <w:r w:rsidR="00D1752A" w:rsidRPr="006A2BF9">
        <w:rPr>
          <w:lang w:val="it-IT"/>
        </w:rPr>
        <w:t>o</w:t>
      </w:r>
      <w:r w:rsidR="002F3FBA" w:rsidRPr="006A2BF9">
        <w:rPr>
          <w:lang w:val="it-IT"/>
        </w:rPr>
        <w:t>.</w:t>
      </w:r>
    </w:p>
    <w:p w14:paraId="1DFD5CDE" w14:textId="77777777" w:rsidR="00F14A2A" w:rsidRPr="006A2BF9" w:rsidRDefault="00F14A2A" w:rsidP="0025370C">
      <w:pPr>
        <w:rPr>
          <w:i/>
          <w:lang w:val="it-IT"/>
        </w:rPr>
      </w:pPr>
    </w:p>
    <w:p w14:paraId="1BE0767C" w14:textId="77777777" w:rsidR="00A1759C" w:rsidRPr="006A2BF9" w:rsidRDefault="00A1759C" w:rsidP="0025370C">
      <w:pPr>
        <w:rPr>
          <w:u w:val="single"/>
          <w:lang w:val="it-IT"/>
        </w:rPr>
      </w:pPr>
      <w:r w:rsidRPr="006A2BF9">
        <w:rPr>
          <w:u w:val="single"/>
          <w:lang w:val="it-IT"/>
        </w:rPr>
        <w:t>Patologie dell’occhio</w:t>
      </w:r>
    </w:p>
    <w:p w14:paraId="0D2E319E" w14:textId="77777777" w:rsidR="00A1759C" w:rsidRPr="006A2BF9" w:rsidRDefault="00F14A2A" w:rsidP="0025370C">
      <w:pPr>
        <w:rPr>
          <w:lang w:val="it-IT"/>
        </w:rPr>
      </w:pPr>
      <w:r w:rsidRPr="006A2BF9">
        <w:rPr>
          <w:lang w:val="it-IT"/>
        </w:rPr>
        <w:t>In seguito all’uso intravitre</w:t>
      </w:r>
      <w:r w:rsidR="00C924D2" w:rsidRPr="006A2BF9">
        <w:rPr>
          <w:lang w:val="it-IT"/>
        </w:rPr>
        <w:t>o</w:t>
      </w:r>
      <w:r w:rsidRPr="006A2BF9">
        <w:rPr>
          <w:lang w:val="it-IT"/>
        </w:rPr>
        <w:t xml:space="preserve"> non approvato di </w:t>
      </w:r>
      <w:r w:rsidR="00486353" w:rsidRPr="006A2BF9">
        <w:rPr>
          <w:szCs w:val="22"/>
          <w:lang w:val="it-IT"/>
        </w:rPr>
        <w:t>bevacizumab</w:t>
      </w:r>
      <w:r w:rsidRPr="006A2BF9">
        <w:rPr>
          <w:lang w:val="it-IT"/>
        </w:rPr>
        <w:t>, co</w:t>
      </w:r>
      <w:r w:rsidR="003A243B" w:rsidRPr="006A2BF9">
        <w:rPr>
          <w:lang w:val="it-IT"/>
        </w:rPr>
        <w:t>stituito</w:t>
      </w:r>
      <w:r w:rsidRPr="006A2BF9">
        <w:rPr>
          <w:lang w:val="it-IT"/>
        </w:rPr>
        <w:t xml:space="preserve"> da flaconcini approvati per somministrazione endovenosa in pazienti oncologici, sono state segnalate gravi reazioni avverse oculari sia individuali che in gruppi di pazienti</w:t>
      </w:r>
      <w:r w:rsidR="00D8046E" w:rsidRPr="006A2BF9">
        <w:rPr>
          <w:lang w:val="it-IT"/>
        </w:rPr>
        <w:t>.</w:t>
      </w:r>
      <w:r w:rsidRPr="006A2BF9">
        <w:rPr>
          <w:lang w:val="it-IT"/>
        </w:rPr>
        <w:t xml:space="preserve"> </w:t>
      </w:r>
      <w:r w:rsidR="00A1759C" w:rsidRPr="006A2BF9">
        <w:rPr>
          <w:lang w:val="it-IT"/>
        </w:rPr>
        <w:t>Queste reazioni includono endoftalmite infettiva, infiammazione intraoculare come endoftalmite sterile, uveite, vitre</w:t>
      </w:r>
      <w:r w:rsidR="00D764D0" w:rsidRPr="006A2BF9">
        <w:rPr>
          <w:lang w:val="it-IT"/>
        </w:rPr>
        <w:t>ite</w:t>
      </w:r>
      <w:r w:rsidR="00A1759C" w:rsidRPr="006A2BF9">
        <w:rPr>
          <w:lang w:val="it-IT"/>
        </w:rPr>
        <w:t xml:space="preserve">, distacco di retina, </w:t>
      </w:r>
      <w:r w:rsidR="00D764D0" w:rsidRPr="006A2BF9">
        <w:rPr>
          <w:lang w:val="it-IT"/>
        </w:rPr>
        <w:t xml:space="preserve">lacerazione </w:t>
      </w:r>
      <w:r w:rsidR="002F3FBA" w:rsidRPr="006A2BF9">
        <w:rPr>
          <w:lang w:val="it-IT"/>
        </w:rPr>
        <w:t xml:space="preserve">epiteliale del </w:t>
      </w:r>
      <w:r w:rsidR="00A1759C" w:rsidRPr="006A2BF9">
        <w:rPr>
          <w:lang w:val="it-IT"/>
        </w:rPr>
        <w:t xml:space="preserve">pigmento </w:t>
      </w:r>
      <w:r w:rsidR="002F3FBA" w:rsidRPr="006A2BF9">
        <w:rPr>
          <w:lang w:val="it-IT"/>
        </w:rPr>
        <w:t>retinico</w:t>
      </w:r>
      <w:r w:rsidR="00A1759C" w:rsidRPr="006A2BF9">
        <w:rPr>
          <w:lang w:val="it-IT"/>
        </w:rPr>
        <w:t>, pressione intraoculare</w:t>
      </w:r>
      <w:r w:rsidR="002F3FBA" w:rsidRPr="006A2BF9">
        <w:rPr>
          <w:lang w:val="it-IT"/>
        </w:rPr>
        <w:t xml:space="preserve"> aumentata</w:t>
      </w:r>
      <w:r w:rsidR="00A1759C" w:rsidRPr="006A2BF9">
        <w:rPr>
          <w:lang w:val="it-IT"/>
        </w:rPr>
        <w:t xml:space="preserve">, emorragie intraoculari come </w:t>
      </w:r>
      <w:r w:rsidR="002F3FBA" w:rsidRPr="006A2BF9">
        <w:rPr>
          <w:lang w:val="it-IT"/>
        </w:rPr>
        <w:t xml:space="preserve">emorragia vitreale </w:t>
      </w:r>
      <w:r w:rsidR="00A1759C" w:rsidRPr="006A2BF9">
        <w:rPr>
          <w:lang w:val="it-IT"/>
        </w:rPr>
        <w:t xml:space="preserve">o </w:t>
      </w:r>
      <w:r w:rsidR="002F3FBA" w:rsidRPr="006A2BF9">
        <w:rPr>
          <w:lang w:val="it-IT"/>
        </w:rPr>
        <w:t xml:space="preserve">emorragia retinica </w:t>
      </w:r>
      <w:r w:rsidR="00A1759C" w:rsidRPr="006A2BF9">
        <w:rPr>
          <w:lang w:val="it-IT"/>
        </w:rPr>
        <w:t>e</w:t>
      </w:r>
      <w:r w:rsidR="006C24AB" w:rsidRPr="006A2BF9">
        <w:rPr>
          <w:lang w:val="it-IT"/>
        </w:rPr>
        <w:t>d</w:t>
      </w:r>
      <w:r w:rsidR="00A1759C" w:rsidRPr="006A2BF9">
        <w:rPr>
          <w:lang w:val="it-IT"/>
        </w:rPr>
        <w:t xml:space="preserve"> </w:t>
      </w:r>
      <w:r w:rsidR="002F3FBA" w:rsidRPr="006A2BF9">
        <w:rPr>
          <w:lang w:val="it-IT"/>
        </w:rPr>
        <w:t>emorragia congiuntivale</w:t>
      </w:r>
      <w:r w:rsidR="00A1759C" w:rsidRPr="006A2BF9">
        <w:rPr>
          <w:lang w:val="it-IT"/>
        </w:rPr>
        <w:t>. Alcun</w:t>
      </w:r>
      <w:r w:rsidR="00B332BE" w:rsidRPr="006A2BF9">
        <w:rPr>
          <w:lang w:val="it-IT"/>
        </w:rPr>
        <w:t>e</w:t>
      </w:r>
      <w:r w:rsidR="00A1759C" w:rsidRPr="006A2BF9">
        <w:rPr>
          <w:lang w:val="it-IT"/>
        </w:rPr>
        <w:t xml:space="preserve"> di queste </w:t>
      </w:r>
      <w:r w:rsidRPr="006A2BF9">
        <w:rPr>
          <w:lang w:val="it-IT"/>
        </w:rPr>
        <w:t>reazioni hanno portato a vari gradi di perdita della vista, inclusa cecità permanente.</w:t>
      </w:r>
    </w:p>
    <w:p w14:paraId="40322136" w14:textId="77777777" w:rsidR="00A33F1A" w:rsidRPr="006A2BF9" w:rsidRDefault="00A33F1A" w:rsidP="0025370C">
      <w:pPr>
        <w:rPr>
          <w:lang w:val="it-IT"/>
        </w:rPr>
      </w:pPr>
    </w:p>
    <w:p w14:paraId="5E30F1E7" w14:textId="77777777" w:rsidR="00F14A2A" w:rsidRPr="006A2BF9" w:rsidRDefault="00F14A2A" w:rsidP="00F14A2A">
      <w:pPr>
        <w:rPr>
          <w:u w:val="single"/>
          <w:lang w:val="it-IT"/>
        </w:rPr>
      </w:pPr>
      <w:r w:rsidRPr="006A2BF9">
        <w:rPr>
          <w:u w:val="single"/>
          <w:lang w:val="it-IT"/>
        </w:rPr>
        <w:t>Effetti sistemici a seguito dell</w:t>
      </w:r>
      <w:r w:rsidR="00486353" w:rsidRPr="006A2BF9">
        <w:rPr>
          <w:u w:val="single"/>
          <w:lang w:val="it-IT"/>
        </w:rPr>
        <w:t>’</w:t>
      </w:r>
      <w:r w:rsidRPr="006A2BF9">
        <w:rPr>
          <w:u w:val="single"/>
          <w:lang w:val="it-IT"/>
        </w:rPr>
        <w:t>uso intravitre</w:t>
      </w:r>
      <w:r w:rsidR="00B332BE" w:rsidRPr="006A2BF9">
        <w:rPr>
          <w:u w:val="single"/>
          <w:lang w:val="it-IT"/>
        </w:rPr>
        <w:t>o</w:t>
      </w:r>
    </w:p>
    <w:p w14:paraId="16BD0A3B" w14:textId="77777777" w:rsidR="00F14A2A" w:rsidRPr="006A2BF9" w:rsidRDefault="00F14A2A" w:rsidP="00F14A2A">
      <w:pPr>
        <w:rPr>
          <w:lang w:val="it-IT"/>
        </w:rPr>
      </w:pPr>
      <w:r w:rsidRPr="006A2BF9">
        <w:rPr>
          <w:lang w:val="it-IT"/>
        </w:rPr>
        <w:t>Una riduzione della concentrazione di VEGF in circolo è stata dimostrata in seguito a terapia intravitreale anti-VEGF. Sono state segnalate reazioni avverse di tipo sistemico quali emorragie non oculari e reazioni tromboemboliche arteriose in seguito ad iniezione intr</w:t>
      </w:r>
      <w:r w:rsidR="00D8046E" w:rsidRPr="006A2BF9">
        <w:rPr>
          <w:lang w:val="it-IT"/>
        </w:rPr>
        <w:t>avitreale di inibitori di VEGF</w:t>
      </w:r>
      <w:r w:rsidRPr="006A2BF9">
        <w:rPr>
          <w:lang w:val="it-IT"/>
        </w:rPr>
        <w:t>.</w:t>
      </w:r>
    </w:p>
    <w:p w14:paraId="6D3E2EB5" w14:textId="77777777" w:rsidR="00F14A2A" w:rsidRPr="006A2BF9" w:rsidRDefault="00F14A2A" w:rsidP="0025370C">
      <w:pPr>
        <w:rPr>
          <w:lang w:val="it-IT"/>
        </w:rPr>
      </w:pPr>
    </w:p>
    <w:p w14:paraId="0592B537" w14:textId="77777777" w:rsidR="00A33F1A" w:rsidRPr="006A2BF9" w:rsidRDefault="00A33F1A" w:rsidP="0025370C">
      <w:pPr>
        <w:rPr>
          <w:u w:val="single"/>
          <w:lang w:val="it-IT"/>
        </w:rPr>
      </w:pPr>
      <w:r w:rsidRPr="006A2BF9">
        <w:rPr>
          <w:u w:val="single"/>
          <w:lang w:val="it-IT"/>
        </w:rPr>
        <w:t>Insufficienza ovarica/fertilità</w:t>
      </w:r>
    </w:p>
    <w:p w14:paraId="683EC257" w14:textId="77777777" w:rsidR="00A33F1A" w:rsidRPr="006A2BF9" w:rsidRDefault="00BE2B20" w:rsidP="0025370C">
      <w:pPr>
        <w:rPr>
          <w:lang w:val="it-IT"/>
        </w:rPr>
      </w:pPr>
      <w:r w:rsidRPr="006A2BF9">
        <w:rPr>
          <w:szCs w:val="22"/>
          <w:lang w:val="it-IT"/>
        </w:rPr>
        <w:t>Bevacizumab</w:t>
      </w:r>
      <w:r w:rsidRPr="006A2BF9">
        <w:rPr>
          <w:lang w:val="it-IT"/>
        </w:rPr>
        <w:t xml:space="preserve"> </w:t>
      </w:r>
      <w:r w:rsidR="00A33F1A" w:rsidRPr="006A2BF9">
        <w:rPr>
          <w:lang w:val="it-IT"/>
        </w:rPr>
        <w:t xml:space="preserve">può </w:t>
      </w:r>
      <w:r w:rsidR="00FF6FDE" w:rsidRPr="006A2BF9">
        <w:rPr>
          <w:lang w:val="it-IT"/>
        </w:rPr>
        <w:t xml:space="preserve">compromettere </w:t>
      </w:r>
      <w:r w:rsidR="00A33F1A" w:rsidRPr="006A2BF9">
        <w:rPr>
          <w:lang w:val="it-IT"/>
        </w:rPr>
        <w:t>la fertilità femminile (vedere paragrafi</w:t>
      </w:r>
      <w:r w:rsidR="00FF3041" w:rsidRPr="006A2BF9">
        <w:rPr>
          <w:lang w:val="it-IT"/>
        </w:rPr>
        <w:t> </w:t>
      </w:r>
      <w:r w:rsidR="00A33F1A" w:rsidRPr="006A2BF9">
        <w:rPr>
          <w:lang w:val="it-IT"/>
        </w:rPr>
        <w:t>4.6 e</w:t>
      </w:r>
      <w:r w:rsidR="00FF3041" w:rsidRPr="006A2BF9">
        <w:rPr>
          <w:lang w:val="it-IT"/>
        </w:rPr>
        <w:t> </w:t>
      </w:r>
      <w:r w:rsidR="00A33F1A" w:rsidRPr="006A2BF9">
        <w:rPr>
          <w:lang w:val="it-IT"/>
        </w:rPr>
        <w:t>4.8). Pertanto</w:t>
      </w:r>
      <w:r w:rsidR="00013109" w:rsidRPr="006A2BF9">
        <w:rPr>
          <w:lang w:val="it-IT"/>
        </w:rPr>
        <w:t>,</w:t>
      </w:r>
      <w:r w:rsidR="00FF6FDE" w:rsidRPr="006A2BF9">
        <w:rPr>
          <w:lang w:val="it-IT"/>
        </w:rPr>
        <w:t xml:space="preserve"> </w:t>
      </w:r>
      <w:r w:rsidR="00013109" w:rsidRPr="006A2BF9">
        <w:rPr>
          <w:lang w:val="it-IT"/>
        </w:rPr>
        <w:t xml:space="preserve">prima di iniziare un trattamento con </w:t>
      </w:r>
      <w:r w:rsidRPr="006A2BF9">
        <w:rPr>
          <w:szCs w:val="22"/>
          <w:lang w:val="it-IT"/>
        </w:rPr>
        <w:t>bevacizumab</w:t>
      </w:r>
      <w:r w:rsidR="00013109" w:rsidRPr="006A2BF9">
        <w:rPr>
          <w:lang w:val="it-IT"/>
        </w:rPr>
        <w:t xml:space="preserve">, </w:t>
      </w:r>
      <w:r w:rsidR="00FF6FDE" w:rsidRPr="006A2BF9">
        <w:rPr>
          <w:lang w:val="it-IT"/>
        </w:rPr>
        <w:t>dev</w:t>
      </w:r>
      <w:r w:rsidR="0022568E" w:rsidRPr="006A2BF9">
        <w:rPr>
          <w:lang w:val="it-IT"/>
        </w:rPr>
        <w:t>ono</w:t>
      </w:r>
      <w:r w:rsidR="00FF6FDE" w:rsidRPr="006A2BF9">
        <w:rPr>
          <w:lang w:val="it-IT"/>
        </w:rPr>
        <w:t xml:space="preserve"> essere discuss</w:t>
      </w:r>
      <w:r w:rsidR="0022568E" w:rsidRPr="006A2BF9">
        <w:rPr>
          <w:lang w:val="it-IT"/>
        </w:rPr>
        <w:t>e</w:t>
      </w:r>
      <w:r w:rsidR="00FF6FDE" w:rsidRPr="006A2BF9">
        <w:rPr>
          <w:lang w:val="it-IT"/>
        </w:rPr>
        <w:t xml:space="preserve"> </w:t>
      </w:r>
      <w:r w:rsidR="0022568E" w:rsidRPr="006A2BF9">
        <w:rPr>
          <w:lang w:val="it-IT"/>
        </w:rPr>
        <w:t xml:space="preserve">con le pazienti </w:t>
      </w:r>
      <w:r w:rsidR="007A73D6" w:rsidRPr="006A2BF9">
        <w:rPr>
          <w:lang w:val="it-IT"/>
        </w:rPr>
        <w:t xml:space="preserve">potenzialmente </w:t>
      </w:r>
      <w:r w:rsidR="0022568E" w:rsidRPr="006A2BF9">
        <w:rPr>
          <w:lang w:val="it-IT"/>
        </w:rPr>
        <w:t>fertil</w:t>
      </w:r>
      <w:r w:rsidR="007A73D6" w:rsidRPr="006A2BF9">
        <w:rPr>
          <w:lang w:val="it-IT"/>
        </w:rPr>
        <w:t>i</w:t>
      </w:r>
      <w:r w:rsidR="00FF6FDE" w:rsidRPr="006A2BF9">
        <w:rPr>
          <w:lang w:val="it-IT"/>
        </w:rPr>
        <w:t xml:space="preserve"> strategi</w:t>
      </w:r>
      <w:r w:rsidR="0022568E" w:rsidRPr="006A2BF9">
        <w:rPr>
          <w:lang w:val="it-IT"/>
        </w:rPr>
        <w:t>e</w:t>
      </w:r>
      <w:r w:rsidR="00FF6FDE" w:rsidRPr="006A2BF9">
        <w:rPr>
          <w:lang w:val="it-IT"/>
        </w:rPr>
        <w:t xml:space="preserve"> terapeutic</w:t>
      </w:r>
      <w:r w:rsidR="0022568E" w:rsidRPr="006A2BF9">
        <w:rPr>
          <w:lang w:val="it-IT"/>
        </w:rPr>
        <w:t>he</w:t>
      </w:r>
      <w:r w:rsidR="00FF6FDE" w:rsidRPr="006A2BF9">
        <w:rPr>
          <w:lang w:val="it-IT"/>
        </w:rPr>
        <w:t xml:space="preserve"> per preservarne</w:t>
      </w:r>
      <w:r w:rsidR="00A33F1A" w:rsidRPr="006A2BF9">
        <w:rPr>
          <w:lang w:val="it-IT"/>
        </w:rPr>
        <w:t xml:space="preserve"> la fertilità.</w:t>
      </w:r>
    </w:p>
    <w:p w14:paraId="4AB268C2" w14:textId="77777777" w:rsidR="00D63F4D" w:rsidRDefault="00D63F4D" w:rsidP="00D63F4D">
      <w:pPr>
        <w:rPr>
          <w:lang w:val="it-IT"/>
        </w:rPr>
      </w:pPr>
    </w:p>
    <w:p w14:paraId="3969BC8F" w14:textId="090A5AEE" w:rsidR="00D63F4D" w:rsidRDefault="000A793E" w:rsidP="00D63F4D">
      <w:pPr>
        <w:keepNext/>
        <w:rPr>
          <w:u w:val="single"/>
          <w:lang w:val="it-IT"/>
        </w:rPr>
      </w:pPr>
      <w:r>
        <w:rPr>
          <w:u w:val="single"/>
          <w:lang w:val="it-IT"/>
        </w:rPr>
        <w:t>Eccipienti</w:t>
      </w:r>
    </w:p>
    <w:p w14:paraId="28738AE0" w14:textId="77777777" w:rsidR="00D63F4D" w:rsidRDefault="00D63F4D" w:rsidP="00D63F4D">
      <w:pPr>
        <w:numPr>
          <w:ilvl w:val="12"/>
          <w:numId w:val="0"/>
        </w:numPr>
        <w:ind w:right="-29"/>
        <w:outlineLvl w:val="0"/>
        <w:rPr>
          <w:lang w:val="it-IT"/>
        </w:rPr>
      </w:pPr>
      <w:r>
        <w:rPr>
          <w:lang w:val="it-IT"/>
        </w:rPr>
        <w:t xml:space="preserve">Questo medicinale contiene meno di 1 mmol di sodio (23 mg) per flaconcino, </w:t>
      </w:r>
      <w:r w:rsidR="00A66094">
        <w:rPr>
          <w:lang w:val="it-IT"/>
        </w:rPr>
        <w:t>cio</w:t>
      </w:r>
      <w:r>
        <w:rPr>
          <w:lang w:val="it-IT"/>
        </w:rPr>
        <w:t xml:space="preserve">è </w:t>
      </w:r>
      <w:r w:rsidR="00A66094">
        <w:rPr>
          <w:lang w:val="it-IT"/>
        </w:rPr>
        <w:t xml:space="preserve">essenzialmente </w:t>
      </w:r>
      <w:r>
        <w:rPr>
          <w:lang w:val="it-IT"/>
        </w:rPr>
        <w:t>“</w:t>
      </w:r>
      <w:r w:rsidR="00A66094">
        <w:rPr>
          <w:lang w:val="it-IT"/>
        </w:rPr>
        <w:t xml:space="preserve">senza </w:t>
      </w:r>
      <w:r>
        <w:rPr>
          <w:lang w:val="it-IT"/>
        </w:rPr>
        <w:t>sodio”.</w:t>
      </w:r>
    </w:p>
    <w:p w14:paraId="73A36D71" w14:textId="77777777" w:rsidR="009C0666" w:rsidRDefault="009C0666" w:rsidP="009C0666">
      <w:pPr>
        <w:rPr>
          <w:lang w:val="it-IT"/>
        </w:rPr>
      </w:pPr>
    </w:p>
    <w:p w14:paraId="25CEF24C" w14:textId="2DAE8C02" w:rsidR="000A793E" w:rsidRDefault="000A793E" w:rsidP="009C0666">
      <w:pPr>
        <w:rPr>
          <w:lang w:val="it-IT"/>
        </w:rPr>
      </w:pPr>
      <w:r w:rsidRPr="00DF43F1">
        <w:rPr>
          <w:lang w:val="it-IT"/>
        </w:rPr>
        <w:t xml:space="preserve">Questo medicinale contiene 1,6 mg di polisorbato 20 per ogni flaconcino da 100 mg/4 ml e 6,4 mg in ogni flaconcino da 400 mg/16 ml, equivalenti a 0,4 mg/ml. </w:t>
      </w:r>
      <w:r w:rsidRPr="00DF43F1">
        <w:t>I polisorbati possono causare reazioni allergiche</w:t>
      </w:r>
      <w:r>
        <w:t>.</w:t>
      </w:r>
    </w:p>
    <w:p w14:paraId="098DAE56" w14:textId="77777777" w:rsidR="000A793E" w:rsidRPr="006A2BF9" w:rsidRDefault="000A793E" w:rsidP="009C0666">
      <w:pPr>
        <w:rPr>
          <w:lang w:val="it-IT"/>
        </w:rPr>
      </w:pPr>
    </w:p>
    <w:p w14:paraId="5FAA7F7C" w14:textId="77777777" w:rsidR="009C0666" w:rsidRPr="00330A40" w:rsidRDefault="009C0666" w:rsidP="00185751">
      <w:pPr>
        <w:ind w:left="567" w:hanging="567"/>
        <w:outlineLvl w:val="0"/>
        <w:rPr>
          <w:lang w:val="it-IT"/>
        </w:rPr>
      </w:pPr>
      <w:r w:rsidRPr="006A2BF9">
        <w:rPr>
          <w:b/>
          <w:bCs/>
          <w:lang w:val="it-IT"/>
        </w:rPr>
        <w:t>4.5</w:t>
      </w:r>
      <w:r w:rsidRPr="006A2BF9">
        <w:rPr>
          <w:b/>
          <w:bCs/>
          <w:lang w:val="it-IT"/>
        </w:rPr>
        <w:tab/>
        <w:t>Interazioni con altri medicinali ed altre forme d</w:t>
      </w:r>
      <w:r w:rsidR="00E4154F" w:rsidRPr="006A2BF9">
        <w:rPr>
          <w:b/>
          <w:bCs/>
          <w:lang w:val="it-IT"/>
        </w:rPr>
        <w:t>’</w:t>
      </w:r>
      <w:r w:rsidRPr="006A2BF9">
        <w:rPr>
          <w:b/>
          <w:bCs/>
          <w:lang w:val="it-IT"/>
        </w:rPr>
        <w:t>interazione</w:t>
      </w:r>
    </w:p>
    <w:p w14:paraId="2AE9A691" w14:textId="77777777" w:rsidR="009C0666" w:rsidRPr="00330A40" w:rsidRDefault="009C0666" w:rsidP="009C0666">
      <w:pPr>
        <w:rPr>
          <w:lang w:val="it-IT"/>
        </w:rPr>
      </w:pPr>
    </w:p>
    <w:p w14:paraId="60A7DF71" w14:textId="77777777" w:rsidR="001D0C4F" w:rsidRPr="00330A40" w:rsidRDefault="009C0666" w:rsidP="009C0666">
      <w:pPr>
        <w:rPr>
          <w:u w:val="single"/>
          <w:lang w:val="it-IT"/>
        </w:rPr>
      </w:pPr>
      <w:r w:rsidRPr="00330A40">
        <w:rPr>
          <w:u w:val="single"/>
          <w:lang w:val="it-IT"/>
        </w:rPr>
        <w:t>Effetto degli agenti antineoplastici sulla farmacocinetica di bevacizumab</w:t>
      </w:r>
    </w:p>
    <w:p w14:paraId="2333D8EE" w14:textId="77777777" w:rsidR="009C0666" w:rsidRPr="006A2BF9" w:rsidRDefault="009C0666" w:rsidP="00DE54D6">
      <w:pPr>
        <w:rPr>
          <w:lang w:val="it-IT"/>
        </w:rPr>
      </w:pPr>
      <w:r w:rsidRPr="006A2BF9">
        <w:rPr>
          <w:lang w:val="it-IT"/>
        </w:rPr>
        <w:t>Sulla base dei risultati ottenuti da analisi farmacocinetic</w:t>
      </w:r>
      <w:r w:rsidR="00BB195D" w:rsidRPr="006A2BF9">
        <w:rPr>
          <w:lang w:val="it-IT"/>
        </w:rPr>
        <w:t>he</w:t>
      </w:r>
      <w:r w:rsidRPr="006A2BF9">
        <w:rPr>
          <w:lang w:val="it-IT"/>
        </w:rPr>
        <w:t xml:space="preserve"> di popolazione non sono state osservate interazioni clinicamente rilevanti della chemioterapia concomitante sulla </w:t>
      </w:r>
      <w:r w:rsidR="00DE54D6" w:rsidRPr="006A2BF9">
        <w:rPr>
          <w:lang w:val="it-IT"/>
        </w:rPr>
        <w:t xml:space="preserve">farmacocinetica </w:t>
      </w:r>
      <w:r w:rsidRPr="006A2BF9">
        <w:rPr>
          <w:lang w:val="it-IT"/>
        </w:rPr>
        <w:t xml:space="preserve">di </w:t>
      </w:r>
      <w:r w:rsidR="00BB195D" w:rsidRPr="006A2BF9">
        <w:rPr>
          <w:lang w:val="it-IT"/>
        </w:rPr>
        <w:t>bevacizumab</w:t>
      </w:r>
      <w:r w:rsidRPr="006A2BF9">
        <w:rPr>
          <w:lang w:val="it-IT"/>
        </w:rPr>
        <w:t xml:space="preserve">. </w:t>
      </w:r>
      <w:r w:rsidR="00DE54D6" w:rsidRPr="006A2BF9">
        <w:rPr>
          <w:lang w:val="it-IT"/>
        </w:rPr>
        <w:t>Non sono</w:t>
      </w:r>
      <w:r w:rsidR="004011BA" w:rsidRPr="006A2BF9">
        <w:rPr>
          <w:lang w:val="it-IT"/>
        </w:rPr>
        <w:t xml:space="preserve"> s</w:t>
      </w:r>
      <w:r w:rsidR="004011BA" w:rsidRPr="00330A40">
        <w:rPr>
          <w:lang w:val="it-IT"/>
        </w:rPr>
        <w:t>tate</w:t>
      </w:r>
      <w:r w:rsidR="00DE54D6" w:rsidRPr="00330A40">
        <w:rPr>
          <w:lang w:val="it-IT"/>
        </w:rPr>
        <w:t xml:space="preserve"> rilevate né differenze statisticamente significative né differenze clinicamente rilevanti nella clearance di </w:t>
      </w:r>
      <w:r w:rsidR="00BB195D" w:rsidRPr="006A2BF9">
        <w:rPr>
          <w:lang w:val="it-IT"/>
        </w:rPr>
        <w:t>bevacizumab</w:t>
      </w:r>
      <w:r w:rsidR="00DE54D6" w:rsidRPr="006A2BF9">
        <w:rPr>
          <w:lang w:val="it-IT"/>
        </w:rPr>
        <w:t xml:space="preserve"> in pazienti che hanno ricevuto </w:t>
      </w:r>
      <w:r w:rsidR="00BE2B20" w:rsidRPr="006A2BF9">
        <w:rPr>
          <w:szCs w:val="22"/>
          <w:lang w:val="it-IT"/>
        </w:rPr>
        <w:t>bevacizumab</w:t>
      </w:r>
      <w:r w:rsidR="00BE2B20" w:rsidRPr="006A2BF9">
        <w:rPr>
          <w:lang w:val="it-IT"/>
        </w:rPr>
        <w:t xml:space="preserve"> </w:t>
      </w:r>
      <w:r w:rsidR="00DE54D6" w:rsidRPr="006A2BF9">
        <w:rPr>
          <w:lang w:val="it-IT"/>
        </w:rPr>
        <w:t xml:space="preserve">in monoterapia rispetto a pazienti che hanno ricevuto </w:t>
      </w:r>
      <w:r w:rsidR="00BE2B20" w:rsidRPr="006A2BF9">
        <w:rPr>
          <w:szCs w:val="22"/>
          <w:lang w:val="it-IT"/>
        </w:rPr>
        <w:t>bevacizumab</w:t>
      </w:r>
      <w:r w:rsidR="00BE2B20" w:rsidRPr="006A2BF9">
        <w:rPr>
          <w:lang w:val="it-IT"/>
        </w:rPr>
        <w:t xml:space="preserve"> </w:t>
      </w:r>
      <w:r w:rsidR="00DE54D6" w:rsidRPr="006A2BF9">
        <w:rPr>
          <w:lang w:val="it-IT"/>
        </w:rPr>
        <w:t xml:space="preserve">in associazione ad </w:t>
      </w:r>
      <w:r w:rsidR="00AD4104" w:rsidRPr="006A2BF9">
        <w:rPr>
          <w:lang w:val="it-IT"/>
        </w:rPr>
        <w:t>i</w:t>
      </w:r>
      <w:r w:rsidR="00DE54D6" w:rsidRPr="006A2BF9">
        <w:rPr>
          <w:lang w:val="it-IT"/>
        </w:rPr>
        <w:t>nterferone alfa</w:t>
      </w:r>
      <w:r w:rsidR="00AD4104" w:rsidRPr="006A2BF9">
        <w:rPr>
          <w:lang w:val="it-IT"/>
        </w:rPr>
        <w:t>-</w:t>
      </w:r>
      <w:r w:rsidR="00DE54D6" w:rsidRPr="006A2BF9">
        <w:rPr>
          <w:lang w:val="it-IT"/>
        </w:rPr>
        <w:t>2</w:t>
      </w:r>
      <w:r w:rsidR="006B4517" w:rsidRPr="006A2BF9">
        <w:rPr>
          <w:lang w:val="it-IT"/>
        </w:rPr>
        <w:t>a</w:t>
      </w:r>
      <w:r w:rsidR="00BB195D" w:rsidRPr="006A2BF9">
        <w:rPr>
          <w:lang w:val="it-IT"/>
        </w:rPr>
        <w:t>, erlotinib</w:t>
      </w:r>
      <w:r w:rsidR="00DE54D6" w:rsidRPr="006A2BF9">
        <w:rPr>
          <w:lang w:val="it-IT"/>
        </w:rPr>
        <w:t xml:space="preserve"> o </w:t>
      </w:r>
      <w:r w:rsidR="00BB195D" w:rsidRPr="006A2BF9">
        <w:rPr>
          <w:lang w:val="it-IT"/>
        </w:rPr>
        <w:t xml:space="preserve">agenti chemioterapici </w:t>
      </w:r>
      <w:r w:rsidR="00DE54D6" w:rsidRPr="006A2BF9">
        <w:rPr>
          <w:lang w:val="it-IT"/>
        </w:rPr>
        <w:t>(IFL, 5-FU/LV, carboplatino</w:t>
      </w:r>
      <w:r w:rsidR="0075041E" w:rsidRPr="006A2BF9">
        <w:rPr>
          <w:lang w:val="it-IT"/>
        </w:rPr>
        <w:t>/</w:t>
      </w:r>
      <w:r w:rsidR="00DE54D6" w:rsidRPr="006A2BF9">
        <w:rPr>
          <w:lang w:val="it-IT"/>
        </w:rPr>
        <w:t>paclitaxel, cap</w:t>
      </w:r>
      <w:r w:rsidR="00730B72" w:rsidRPr="006A2BF9">
        <w:rPr>
          <w:lang w:val="it-IT"/>
        </w:rPr>
        <w:t>e</w:t>
      </w:r>
      <w:r w:rsidR="00DE54D6" w:rsidRPr="006A2BF9">
        <w:rPr>
          <w:lang w:val="it-IT"/>
        </w:rPr>
        <w:t>citabina, doxorubicina o cisplatino/gemcitabina).</w:t>
      </w:r>
    </w:p>
    <w:p w14:paraId="1715E500" w14:textId="77777777" w:rsidR="009C0666" w:rsidRPr="006A2BF9" w:rsidRDefault="009C0666" w:rsidP="009C0666">
      <w:pPr>
        <w:rPr>
          <w:lang w:val="it-IT"/>
        </w:rPr>
      </w:pPr>
    </w:p>
    <w:p w14:paraId="3DFEEFDE" w14:textId="77777777" w:rsidR="009C0666" w:rsidRPr="006A2BF9" w:rsidRDefault="009C0666" w:rsidP="009C0666">
      <w:pPr>
        <w:rPr>
          <w:u w:val="single"/>
          <w:lang w:val="it-IT"/>
        </w:rPr>
      </w:pPr>
      <w:r w:rsidRPr="006A2BF9">
        <w:rPr>
          <w:u w:val="single"/>
          <w:lang w:val="it-IT"/>
        </w:rPr>
        <w:t>Effetto di bevacizumab sulla farmacocinetica di altri agenti antineoplastici</w:t>
      </w:r>
    </w:p>
    <w:p w14:paraId="7844DA55" w14:textId="77777777" w:rsidR="00BB195D" w:rsidRPr="00330A40" w:rsidRDefault="00BB195D" w:rsidP="00BB195D">
      <w:pPr>
        <w:rPr>
          <w:lang w:val="it-IT"/>
        </w:rPr>
      </w:pPr>
      <w:r w:rsidRPr="006A2BF9">
        <w:rPr>
          <w:lang w:val="it-IT"/>
        </w:rPr>
        <w:t>Non sono state osservate interazioni clinicamente rilevanti di bevacizumab sulla farmacocinetica di interferone alfa-2a, erlotinib (e del suo metabolita attivo OSI-420) o degli agenti chemioterapici irinotecan (e relativo metabolita attivo SN38), capecitabina, oxaliplatino (in base a quanto stabilito mediante misurazione del platino libero e totale) e cisplatino somministrati in concomitanza. Non è possibile trarre conclusioni sull’effetto eserc</w:t>
      </w:r>
      <w:r w:rsidRPr="00330A40">
        <w:rPr>
          <w:lang w:val="it-IT"/>
        </w:rPr>
        <w:t>itato da bevacizumab sulla farmacocinetica di gemcitabina.</w:t>
      </w:r>
    </w:p>
    <w:p w14:paraId="0478E20C" w14:textId="77777777" w:rsidR="00B8681F" w:rsidRPr="00330A40" w:rsidRDefault="00B8681F" w:rsidP="00F17F75">
      <w:pPr>
        <w:keepNext/>
        <w:keepLines/>
        <w:rPr>
          <w:bCs/>
          <w:i/>
          <w:iCs/>
          <w:lang w:val="it-IT"/>
        </w:rPr>
      </w:pPr>
    </w:p>
    <w:p w14:paraId="2C84A0E1" w14:textId="77777777" w:rsidR="003463C1" w:rsidRPr="00330A40" w:rsidRDefault="003463C1" w:rsidP="00F17F75">
      <w:pPr>
        <w:keepNext/>
        <w:keepLines/>
        <w:rPr>
          <w:u w:val="single"/>
          <w:lang w:val="it-IT"/>
        </w:rPr>
      </w:pPr>
      <w:r w:rsidRPr="00330A40">
        <w:rPr>
          <w:bCs/>
          <w:iCs/>
          <w:u w:val="single"/>
          <w:lang w:val="it-IT"/>
        </w:rPr>
        <w:t>Associazione di bevacizumab e sunitinib malato</w:t>
      </w:r>
    </w:p>
    <w:p w14:paraId="771CAC41" w14:textId="77777777" w:rsidR="003463C1" w:rsidRPr="00330A40" w:rsidRDefault="003463C1" w:rsidP="00F17F75">
      <w:pPr>
        <w:keepNext/>
        <w:keepLines/>
        <w:rPr>
          <w:lang w:val="it-IT"/>
        </w:rPr>
      </w:pPr>
      <w:r w:rsidRPr="00330A40">
        <w:rPr>
          <w:lang w:val="it-IT"/>
        </w:rPr>
        <w:t>In due studi clinici sul carcinoma renale metastatico, in 7 dei 19</w:t>
      </w:r>
      <w:r w:rsidR="00BE2B20" w:rsidRPr="00330A40">
        <w:rPr>
          <w:lang w:val="it-IT"/>
        </w:rPr>
        <w:t> </w:t>
      </w:r>
      <w:r w:rsidRPr="00330A40">
        <w:rPr>
          <w:lang w:val="it-IT"/>
        </w:rPr>
        <w:t>pazienti trattati con l’associazione di bevacizumab (10</w:t>
      </w:r>
      <w:r w:rsidR="003D1FA8" w:rsidRPr="00330A40">
        <w:rPr>
          <w:lang w:val="it-IT"/>
        </w:rPr>
        <w:t> </w:t>
      </w:r>
      <w:r w:rsidRPr="00330A40">
        <w:rPr>
          <w:lang w:val="it-IT"/>
        </w:rPr>
        <w:t>mg/kg ogni due se</w:t>
      </w:r>
      <w:r w:rsidR="003D1FA8" w:rsidRPr="00330A40">
        <w:rPr>
          <w:lang w:val="it-IT"/>
        </w:rPr>
        <w:t>ttimane) e sunitinib malato (50 </w:t>
      </w:r>
      <w:r w:rsidRPr="00330A40">
        <w:rPr>
          <w:lang w:val="it-IT"/>
        </w:rPr>
        <w:t>mg/die) è stata segnalata anemia emolitica microangi</w:t>
      </w:r>
      <w:r w:rsidR="003D1FA8" w:rsidRPr="00330A40">
        <w:rPr>
          <w:lang w:val="it-IT"/>
        </w:rPr>
        <w:t>opatica (MAHA</w:t>
      </w:r>
      <w:r w:rsidRPr="00330A40">
        <w:rPr>
          <w:lang w:val="it-IT"/>
        </w:rPr>
        <w:t>).</w:t>
      </w:r>
    </w:p>
    <w:p w14:paraId="2209359F" w14:textId="77777777" w:rsidR="003463C1" w:rsidRPr="00330A40" w:rsidRDefault="003463C1" w:rsidP="003463C1">
      <w:pPr>
        <w:rPr>
          <w:lang w:val="it-IT"/>
        </w:rPr>
      </w:pPr>
    </w:p>
    <w:p w14:paraId="565ADFEA" w14:textId="77777777" w:rsidR="003463C1" w:rsidRPr="00330A40" w:rsidRDefault="003463C1" w:rsidP="002F077D">
      <w:pPr>
        <w:rPr>
          <w:lang w:val="it-IT"/>
        </w:rPr>
      </w:pPr>
      <w:r w:rsidRPr="00330A40">
        <w:rPr>
          <w:lang w:val="it-IT"/>
        </w:rPr>
        <w:t xml:space="preserve">La MAHA è una malattia emolitica che </w:t>
      </w:r>
      <w:r w:rsidR="00344D22" w:rsidRPr="00330A40">
        <w:rPr>
          <w:lang w:val="it-IT"/>
        </w:rPr>
        <w:t>si può presentare</w:t>
      </w:r>
      <w:r w:rsidRPr="00330A40">
        <w:rPr>
          <w:lang w:val="it-IT"/>
        </w:rPr>
        <w:t xml:space="preserve"> con frammentazione dei globuli rossi, anemia e trombocitopenia. </w:t>
      </w:r>
      <w:r w:rsidR="00344D22" w:rsidRPr="00330A40">
        <w:rPr>
          <w:lang w:val="it-IT"/>
        </w:rPr>
        <w:t>Inoltre, i</w:t>
      </w:r>
      <w:r w:rsidRPr="00330A40">
        <w:rPr>
          <w:lang w:val="it-IT"/>
        </w:rPr>
        <w:t>n alcuni di questi pazi</w:t>
      </w:r>
      <w:r w:rsidR="00344D22" w:rsidRPr="00330A40">
        <w:rPr>
          <w:lang w:val="it-IT"/>
        </w:rPr>
        <w:t xml:space="preserve">enti sono stati osservati </w:t>
      </w:r>
      <w:r w:rsidRPr="00330A40">
        <w:rPr>
          <w:lang w:val="it-IT"/>
        </w:rPr>
        <w:t xml:space="preserve">ipertensione (comprese crisi ipertensive), </w:t>
      </w:r>
      <w:r w:rsidR="007A73D6" w:rsidRPr="006A2BF9">
        <w:rPr>
          <w:lang w:val="it-IT"/>
        </w:rPr>
        <w:t>creatinina</w:t>
      </w:r>
      <w:r w:rsidR="00831F5D" w:rsidRPr="006A2BF9">
        <w:rPr>
          <w:lang w:val="it-IT"/>
        </w:rPr>
        <w:t xml:space="preserve"> </w:t>
      </w:r>
      <w:r w:rsidRPr="006A2BF9">
        <w:rPr>
          <w:lang w:val="it-IT"/>
        </w:rPr>
        <w:t xml:space="preserve">elevata e sintomi neurologici. Tutte queste manifestazioni sono risultate reversibili alla sospensione di bevacizumab e sunitinib </w:t>
      </w:r>
      <w:r w:rsidRPr="00330A40">
        <w:rPr>
          <w:lang w:val="it-IT"/>
        </w:rPr>
        <w:t xml:space="preserve">malato (vedere </w:t>
      </w:r>
      <w:r w:rsidRPr="00330A40">
        <w:rPr>
          <w:i/>
          <w:lang w:val="it-IT"/>
        </w:rPr>
        <w:t xml:space="preserve">Ipertensione, Proteinuria e </w:t>
      </w:r>
      <w:r w:rsidR="003952DD" w:rsidRPr="00330A40">
        <w:rPr>
          <w:i/>
          <w:lang w:val="it-IT"/>
        </w:rPr>
        <w:t>PRES</w:t>
      </w:r>
      <w:r w:rsidRPr="00330A40">
        <w:rPr>
          <w:lang w:val="it-IT"/>
        </w:rPr>
        <w:t xml:space="preserve"> al paragrafo</w:t>
      </w:r>
      <w:r w:rsidR="00BE2B20" w:rsidRPr="00330A40">
        <w:rPr>
          <w:lang w:val="it-IT"/>
        </w:rPr>
        <w:t> </w:t>
      </w:r>
      <w:r w:rsidRPr="00330A40">
        <w:rPr>
          <w:lang w:val="it-IT"/>
        </w:rPr>
        <w:t>4.4).</w:t>
      </w:r>
    </w:p>
    <w:p w14:paraId="774CF4F6" w14:textId="77777777" w:rsidR="007A0553" w:rsidRPr="00330A40" w:rsidRDefault="007A0553" w:rsidP="002F077D">
      <w:pPr>
        <w:rPr>
          <w:lang w:val="it-IT"/>
        </w:rPr>
      </w:pPr>
    </w:p>
    <w:p w14:paraId="5E5E8337" w14:textId="77777777" w:rsidR="007A0553" w:rsidRPr="00330A40" w:rsidRDefault="003A32A4" w:rsidP="00F030E8">
      <w:pPr>
        <w:keepNext/>
        <w:keepLines/>
        <w:rPr>
          <w:u w:val="single"/>
          <w:lang w:val="it-IT"/>
        </w:rPr>
      </w:pPr>
      <w:r w:rsidRPr="00330A40">
        <w:rPr>
          <w:u w:val="single"/>
          <w:lang w:val="it-IT"/>
        </w:rPr>
        <w:t xml:space="preserve">Associazione </w:t>
      </w:r>
      <w:r w:rsidR="007A0553" w:rsidRPr="00330A40">
        <w:rPr>
          <w:u w:val="single"/>
          <w:lang w:val="it-IT"/>
        </w:rPr>
        <w:t>con terapie a base di platino o taxani (vedere paragrafi</w:t>
      </w:r>
      <w:r w:rsidR="00BE2B20" w:rsidRPr="00330A40">
        <w:rPr>
          <w:u w:val="single"/>
          <w:lang w:val="it-IT"/>
        </w:rPr>
        <w:t> </w:t>
      </w:r>
      <w:r w:rsidR="007A0553" w:rsidRPr="00330A40">
        <w:rPr>
          <w:u w:val="single"/>
          <w:lang w:val="it-IT"/>
        </w:rPr>
        <w:t>4.4 e</w:t>
      </w:r>
      <w:r w:rsidR="00BE2B20" w:rsidRPr="00330A40">
        <w:rPr>
          <w:u w:val="single"/>
          <w:lang w:val="it-IT"/>
        </w:rPr>
        <w:t> </w:t>
      </w:r>
      <w:r w:rsidR="007A0553" w:rsidRPr="00330A40">
        <w:rPr>
          <w:u w:val="single"/>
          <w:lang w:val="it-IT"/>
        </w:rPr>
        <w:t>4.8)</w:t>
      </w:r>
    </w:p>
    <w:p w14:paraId="6ADCCCF0" w14:textId="77777777" w:rsidR="007A0553" w:rsidRPr="00330A40" w:rsidRDefault="007A0553" w:rsidP="00F030E8">
      <w:pPr>
        <w:keepNext/>
        <w:keepLines/>
        <w:rPr>
          <w:lang w:val="it-IT"/>
        </w:rPr>
      </w:pPr>
      <w:r w:rsidRPr="00330A40">
        <w:rPr>
          <w:lang w:val="it-IT"/>
        </w:rPr>
        <w:t xml:space="preserve">Percentuali maggiori di neutropenia </w:t>
      </w:r>
      <w:r w:rsidR="00243287" w:rsidRPr="00330A40">
        <w:rPr>
          <w:lang w:val="it-IT"/>
        </w:rPr>
        <w:t>severa</w:t>
      </w:r>
      <w:r w:rsidRPr="00330A40">
        <w:rPr>
          <w:lang w:val="it-IT"/>
        </w:rPr>
        <w:t xml:space="preserve">, neutropenia febbrile o infezione associata o meno a neutropenia </w:t>
      </w:r>
      <w:r w:rsidR="00243287" w:rsidRPr="00330A40">
        <w:rPr>
          <w:lang w:val="it-IT"/>
        </w:rPr>
        <w:t>severa</w:t>
      </w:r>
      <w:r w:rsidRPr="00330A40">
        <w:rPr>
          <w:lang w:val="it-IT"/>
        </w:rPr>
        <w:t xml:space="preserve"> (incluse alcune ad esito fatale) si sono osservate soprattutto nei pazienti trattati con terapie a base di platino o taxani nel trattamento del NSCLC e del m</w:t>
      </w:r>
      <w:r w:rsidR="008C43DE" w:rsidRPr="00330A40">
        <w:rPr>
          <w:lang w:val="it-IT"/>
        </w:rPr>
        <w:t>BC</w:t>
      </w:r>
      <w:r w:rsidRPr="00330A40">
        <w:rPr>
          <w:lang w:val="it-IT"/>
        </w:rPr>
        <w:t>.</w:t>
      </w:r>
    </w:p>
    <w:p w14:paraId="33AF0BF9" w14:textId="77777777" w:rsidR="003463C1" w:rsidRPr="00330A40" w:rsidRDefault="003463C1" w:rsidP="003463C1">
      <w:pPr>
        <w:rPr>
          <w:lang w:val="it-IT"/>
        </w:rPr>
      </w:pPr>
    </w:p>
    <w:p w14:paraId="5D6B21CD" w14:textId="77777777" w:rsidR="003463C1" w:rsidRPr="00330A40" w:rsidRDefault="003463C1" w:rsidP="006F2C5D">
      <w:pPr>
        <w:keepNext/>
        <w:rPr>
          <w:u w:val="single"/>
          <w:lang w:val="it-IT"/>
        </w:rPr>
      </w:pPr>
      <w:r w:rsidRPr="00330A40">
        <w:rPr>
          <w:bCs/>
          <w:iCs/>
          <w:u w:val="single"/>
          <w:lang w:val="it-IT"/>
        </w:rPr>
        <w:t>Radioterapia</w:t>
      </w:r>
    </w:p>
    <w:p w14:paraId="71FCA736" w14:textId="77777777" w:rsidR="009C0666" w:rsidRPr="006A2BF9" w:rsidRDefault="000C507E" w:rsidP="009C0666">
      <w:pPr>
        <w:rPr>
          <w:lang w:val="it-IT"/>
        </w:rPr>
      </w:pPr>
      <w:r w:rsidRPr="006A2BF9">
        <w:rPr>
          <w:lang w:val="it-IT"/>
        </w:rPr>
        <w:t>L</w:t>
      </w:r>
      <w:r w:rsidR="009C0666" w:rsidRPr="006A2BF9">
        <w:rPr>
          <w:lang w:val="it-IT"/>
        </w:rPr>
        <w:t xml:space="preserve">a sicurezza e l'efficacia della somministrazione concomitante di radioterapia e </w:t>
      </w:r>
      <w:r w:rsidR="00BE2B20" w:rsidRPr="006A2BF9">
        <w:rPr>
          <w:szCs w:val="22"/>
          <w:lang w:val="it-IT"/>
        </w:rPr>
        <w:t>bevacizumab</w:t>
      </w:r>
      <w:r w:rsidRPr="006A2BF9">
        <w:rPr>
          <w:szCs w:val="22"/>
          <w:lang w:val="it-IT"/>
        </w:rPr>
        <w:t xml:space="preserve"> non sono state stabilite</w:t>
      </w:r>
      <w:r w:rsidR="009C0666" w:rsidRPr="006A2BF9">
        <w:rPr>
          <w:lang w:val="it-IT"/>
        </w:rPr>
        <w:t>.</w:t>
      </w:r>
    </w:p>
    <w:p w14:paraId="04A7B87C" w14:textId="77777777" w:rsidR="009C7015" w:rsidRPr="006A2BF9" w:rsidRDefault="009C7015" w:rsidP="009C0666">
      <w:pPr>
        <w:rPr>
          <w:lang w:val="it-IT"/>
        </w:rPr>
      </w:pPr>
    </w:p>
    <w:p w14:paraId="315D15E2" w14:textId="77777777" w:rsidR="009C7015" w:rsidRPr="006A2BF9" w:rsidRDefault="009C7015" w:rsidP="009C7015">
      <w:pPr>
        <w:rPr>
          <w:iCs/>
          <w:u w:val="single"/>
          <w:lang w:val="it-IT"/>
        </w:rPr>
      </w:pPr>
      <w:r w:rsidRPr="006A2BF9">
        <w:rPr>
          <w:iCs/>
          <w:u w:val="single"/>
          <w:lang w:val="it-IT"/>
        </w:rPr>
        <w:t>Anticorpi monoclonali</w:t>
      </w:r>
      <w:r w:rsidR="00CE702F" w:rsidRPr="006A2BF9">
        <w:rPr>
          <w:iCs/>
          <w:u w:val="single"/>
          <w:lang w:val="it-IT"/>
        </w:rPr>
        <w:t xml:space="preserve"> anti</w:t>
      </w:r>
      <w:r w:rsidRPr="006A2BF9">
        <w:rPr>
          <w:iCs/>
          <w:u w:val="single"/>
          <w:lang w:val="it-IT"/>
        </w:rPr>
        <w:t xml:space="preserve">EGFR, in </w:t>
      </w:r>
      <w:r w:rsidR="00645F60" w:rsidRPr="006A2BF9">
        <w:rPr>
          <w:iCs/>
          <w:u w:val="single"/>
          <w:lang w:val="it-IT"/>
        </w:rPr>
        <w:t xml:space="preserve">associazione </w:t>
      </w:r>
      <w:r w:rsidR="000C507E" w:rsidRPr="006A2BF9">
        <w:rPr>
          <w:iCs/>
          <w:u w:val="single"/>
          <w:lang w:val="it-IT"/>
        </w:rPr>
        <w:t xml:space="preserve">a </w:t>
      </w:r>
      <w:r w:rsidRPr="006A2BF9">
        <w:rPr>
          <w:iCs/>
          <w:u w:val="single"/>
          <w:lang w:val="it-IT"/>
        </w:rPr>
        <w:t xml:space="preserve">regimi chemioterapici contenenti </w:t>
      </w:r>
      <w:r w:rsidR="00702A24" w:rsidRPr="006A2BF9">
        <w:rPr>
          <w:iCs/>
          <w:u w:val="single"/>
          <w:lang w:val="it-IT"/>
        </w:rPr>
        <w:t>bevacizumab</w:t>
      </w:r>
    </w:p>
    <w:p w14:paraId="5B1D58B7" w14:textId="77777777" w:rsidR="009C7015" w:rsidRPr="006A2BF9" w:rsidRDefault="009C7015" w:rsidP="009C0666">
      <w:pPr>
        <w:rPr>
          <w:lang w:val="it-IT"/>
        </w:rPr>
      </w:pPr>
      <w:r w:rsidRPr="006A2BF9">
        <w:rPr>
          <w:lang w:val="it-IT"/>
        </w:rPr>
        <w:t>Non sono stati effettuati studi d</w:t>
      </w:r>
      <w:r w:rsidR="00E4154F" w:rsidRPr="006A2BF9">
        <w:rPr>
          <w:lang w:val="it-IT"/>
        </w:rPr>
        <w:t>’</w:t>
      </w:r>
      <w:r w:rsidRPr="006A2BF9">
        <w:rPr>
          <w:lang w:val="it-IT"/>
        </w:rPr>
        <w:t xml:space="preserve">interazione. Anticorpi monoclonali </w:t>
      </w:r>
      <w:r w:rsidR="00CE702F" w:rsidRPr="006A2BF9">
        <w:rPr>
          <w:lang w:val="it-IT"/>
        </w:rPr>
        <w:t>anti</w:t>
      </w:r>
      <w:r w:rsidR="002C6FB8" w:rsidRPr="006A2BF9">
        <w:rPr>
          <w:lang w:val="it-IT"/>
        </w:rPr>
        <w:t xml:space="preserve"> </w:t>
      </w:r>
      <w:r w:rsidRPr="006A2BF9">
        <w:rPr>
          <w:lang w:val="it-IT"/>
        </w:rPr>
        <w:t xml:space="preserve">EGFR non devono essere somministrati per il trattamento di </w:t>
      </w:r>
      <w:r w:rsidR="009E0073" w:rsidRPr="006A2BF9">
        <w:rPr>
          <w:lang w:val="it-IT"/>
        </w:rPr>
        <w:t xml:space="preserve">mCRC </w:t>
      </w:r>
      <w:r w:rsidRPr="006A2BF9">
        <w:rPr>
          <w:lang w:val="it-IT"/>
        </w:rPr>
        <w:t xml:space="preserve">in </w:t>
      </w:r>
      <w:r w:rsidR="003A32A4" w:rsidRPr="006A2BF9">
        <w:rPr>
          <w:lang w:val="it-IT"/>
        </w:rPr>
        <w:t xml:space="preserve">associazione </w:t>
      </w:r>
      <w:r w:rsidR="000C507E" w:rsidRPr="006A2BF9">
        <w:rPr>
          <w:lang w:val="it-IT"/>
        </w:rPr>
        <w:t xml:space="preserve">a </w:t>
      </w:r>
      <w:r w:rsidRPr="006A2BF9">
        <w:rPr>
          <w:lang w:val="it-IT"/>
        </w:rPr>
        <w:t xml:space="preserve">regimi chemioterapici contenenti bevacizumab. I risultati degli studi randomizzati di fase III, PACCE e CAIRO-2, nei pazienti con </w:t>
      </w:r>
      <w:r w:rsidR="009E0073" w:rsidRPr="006A2BF9">
        <w:rPr>
          <w:lang w:val="it-IT"/>
        </w:rPr>
        <w:t xml:space="preserve">mCRC </w:t>
      </w:r>
      <w:r w:rsidRPr="006A2BF9">
        <w:rPr>
          <w:lang w:val="it-IT"/>
        </w:rPr>
        <w:t>suggeriscono che l'uso di anticorpi monoclonali anti</w:t>
      </w:r>
      <w:r w:rsidR="00DC4C6E" w:rsidRPr="006A2BF9">
        <w:rPr>
          <w:lang w:val="it-IT"/>
        </w:rPr>
        <w:noBreakHyphen/>
      </w:r>
      <w:r w:rsidRPr="006A2BF9">
        <w:rPr>
          <w:lang w:val="it-IT"/>
        </w:rPr>
        <w:t xml:space="preserve">EGFR panitumumab e cetuximab, rispettivamente, in </w:t>
      </w:r>
      <w:r w:rsidR="00645F60" w:rsidRPr="006A2BF9">
        <w:rPr>
          <w:lang w:val="it-IT"/>
        </w:rPr>
        <w:t xml:space="preserve">associazione </w:t>
      </w:r>
      <w:r w:rsidR="000C507E" w:rsidRPr="006A2BF9">
        <w:rPr>
          <w:lang w:val="it-IT"/>
        </w:rPr>
        <w:t xml:space="preserve">a </w:t>
      </w:r>
      <w:r w:rsidRPr="006A2BF9">
        <w:rPr>
          <w:lang w:val="it-IT"/>
        </w:rPr>
        <w:t xml:space="preserve">bevacizumab </w:t>
      </w:r>
      <w:r w:rsidR="00CE702F" w:rsidRPr="006A2BF9">
        <w:rPr>
          <w:lang w:val="it-IT"/>
        </w:rPr>
        <w:t xml:space="preserve">insieme a </w:t>
      </w:r>
      <w:r w:rsidRPr="006A2BF9">
        <w:rPr>
          <w:lang w:val="it-IT"/>
        </w:rPr>
        <w:t xml:space="preserve">chemioterapia, è associato a una riduzione della </w:t>
      </w:r>
      <w:r w:rsidR="007B3DB3" w:rsidRPr="006A2BF9">
        <w:rPr>
          <w:lang w:val="it-IT"/>
        </w:rPr>
        <w:t>sopravvivenza libera da progressione (</w:t>
      </w:r>
      <w:r w:rsidRPr="006A2BF9">
        <w:rPr>
          <w:lang w:val="it-IT"/>
        </w:rPr>
        <w:t>PFS</w:t>
      </w:r>
      <w:r w:rsidR="007B3DB3" w:rsidRPr="006A2BF9">
        <w:rPr>
          <w:lang w:val="it-IT"/>
        </w:rPr>
        <w:t>)</w:t>
      </w:r>
      <w:r w:rsidRPr="006A2BF9">
        <w:rPr>
          <w:lang w:val="it-IT"/>
        </w:rPr>
        <w:t xml:space="preserve"> e/o della sopravvivenza globale</w:t>
      </w:r>
      <w:r w:rsidR="007B3DB3" w:rsidRPr="006A2BF9">
        <w:rPr>
          <w:lang w:val="it-IT"/>
        </w:rPr>
        <w:t xml:space="preserve"> (OS)</w:t>
      </w:r>
      <w:r w:rsidRPr="006A2BF9">
        <w:rPr>
          <w:lang w:val="it-IT"/>
        </w:rPr>
        <w:t xml:space="preserve">, e a tossicità maggiore rispetto a bevacizumab </w:t>
      </w:r>
      <w:r w:rsidR="00562366" w:rsidRPr="006A2BF9">
        <w:rPr>
          <w:lang w:val="it-IT"/>
        </w:rPr>
        <w:t xml:space="preserve">insieme a </w:t>
      </w:r>
      <w:r w:rsidRPr="006A2BF9">
        <w:rPr>
          <w:lang w:val="it-IT"/>
        </w:rPr>
        <w:t>chemioterapia da sola.</w:t>
      </w:r>
    </w:p>
    <w:p w14:paraId="0FE1479D" w14:textId="77777777" w:rsidR="009C0666" w:rsidRPr="006A2BF9" w:rsidRDefault="009C0666" w:rsidP="009C0666">
      <w:pPr>
        <w:rPr>
          <w:lang w:val="it-IT"/>
        </w:rPr>
      </w:pPr>
    </w:p>
    <w:p w14:paraId="5085116C" w14:textId="77777777" w:rsidR="009C0666" w:rsidRPr="006A2BF9" w:rsidRDefault="009C0666" w:rsidP="00F17CD3">
      <w:pPr>
        <w:keepNext/>
        <w:ind w:left="567" w:hanging="567"/>
        <w:outlineLvl w:val="0"/>
        <w:rPr>
          <w:b/>
          <w:bCs/>
          <w:lang w:val="it-IT"/>
        </w:rPr>
      </w:pPr>
      <w:r w:rsidRPr="006A2BF9">
        <w:rPr>
          <w:b/>
          <w:bCs/>
          <w:lang w:val="it-IT"/>
        </w:rPr>
        <w:lastRenderedPageBreak/>
        <w:t>4.6</w:t>
      </w:r>
      <w:r w:rsidRPr="006A2BF9">
        <w:rPr>
          <w:b/>
          <w:bCs/>
          <w:lang w:val="it-IT"/>
        </w:rPr>
        <w:tab/>
      </w:r>
      <w:r w:rsidR="001056EF" w:rsidRPr="006A2BF9">
        <w:rPr>
          <w:b/>
          <w:bCs/>
          <w:lang w:val="it-IT"/>
        </w:rPr>
        <w:t>Fertilità, g</w:t>
      </w:r>
      <w:r w:rsidRPr="006A2BF9">
        <w:rPr>
          <w:b/>
          <w:bCs/>
          <w:lang w:val="it-IT"/>
        </w:rPr>
        <w:t>ravidanza e allattamento</w:t>
      </w:r>
    </w:p>
    <w:p w14:paraId="1BFA4FB4" w14:textId="77777777" w:rsidR="0025370C" w:rsidRPr="006A2BF9" w:rsidRDefault="0025370C" w:rsidP="0025370C">
      <w:pPr>
        <w:keepNext/>
        <w:rPr>
          <w:lang w:val="it-IT"/>
        </w:rPr>
      </w:pPr>
    </w:p>
    <w:p w14:paraId="6CD05C58" w14:textId="77777777" w:rsidR="001056EF" w:rsidRPr="006A2BF9" w:rsidRDefault="001056EF" w:rsidP="001056EF">
      <w:pPr>
        <w:keepNext/>
        <w:outlineLvl w:val="0"/>
        <w:rPr>
          <w:u w:val="single"/>
          <w:lang w:val="it-IT"/>
        </w:rPr>
      </w:pPr>
      <w:r w:rsidRPr="006A2BF9">
        <w:rPr>
          <w:bCs/>
          <w:iCs/>
          <w:u w:val="single"/>
          <w:lang w:val="it-IT"/>
        </w:rPr>
        <w:t>Donne</w:t>
      </w:r>
      <w:r w:rsidRPr="006A2BF9">
        <w:rPr>
          <w:u w:val="single"/>
          <w:lang w:val="it-IT"/>
        </w:rPr>
        <w:t xml:space="preserve"> potenzialmente fertili</w:t>
      </w:r>
    </w:p>
    <w:p w14:paraId="10737F67" w14:textId="77777777" w:rsidR="001056EF" w:rsidRPr="006A2BF9" w:rsidRDefault="001056EF" w:rsidP="001056EF">
      <w:pPr>
        <w:keepNext/>
        <w:outlineLvl w:val="0"/>
        <w:rPr>
          <w:bCs/>
          <w:i/>
          <w:iCs/>
          <w:lang w:val="it-IT"/>
        </w:rPr>
      </w:pPr>
      <w:r w:rsidRPr="006A2BF9">
        <w:rPr>
          <w:lang w:val="it-IT"/>
        </w:rPr>
        <w:t xml:space="preserve">Le donne </w:t>
      </w:r>
      <w:r w:rsidR="007A73D6" w:rsidRPr="006A2BF9">
        <w:rPr>
          <w:lang w:val="it-IT"/>
        </w:rPr>
        <w:t>potenzialmente fertili</w:t>
      </w:r>
      <w:r w:rsidRPr="006A2BF9">
        <w:rPr>
          <w:lang w:val="it-IT"/>
        </w:rPr>
        <w:t xml:space="preserve"> devono usare misure contraccettive efficaci durante (e fino a 6</w:t>
      </w:r>
      <w:r w:rsidR="00BE2B20" w:rsidRPr="006A2BF9">
        <w:rPr>
          <w:lang w:val="it-IT"/>
        </w:rPr>
        <w:t> </w:t>
      </w:r>
      <w:r w:rsidRPr="006A2BF9">
        <w:rPr>
          <w:lang w:val="it-IT"/>
        </w:rPr>
        <w:t>mesi dopo) il trattamento.</w:t>
      </w:r>
    </w:p>
    <w:p w14:paraId="39EB4765" w14:textId="77777777" w:rsidR="001056EF" w:rsidRPr="006A2BF9" w:rsidRDefault="001056EF" w:rsidP="0025370C">
      <w:pPr>
        <w:keepNext/>
        <w:rPr>
          <w:lang w:val="it-IT"/>
        </w:rPr>
      </w:pPr>
    </w:p>
    <w:p w14:paraId="121EB148" w14:textId="77777777" w:rsidR="009C0666" w:rsidRPr="006A2BF9" w:rsidRDefault="009C0666" w:rsidP="00185751">
      <w:pPr>
        <w:keepNext/>
        <w:outlineLvl w:val="0"/>
        <w:rPr>
          <w:bCs/>
          <w:iCs/>
          <w:u w:val="single"/>
          <w:lang w:val="it-IT"/>
        </w:rPr>
      </w:pPr>
      <w:r w:rsidRPr="006A2BF9">
        <w:rPr>
          <w:bCs/>
          <w:iCs/>
          <w:u w:val="single"/>
          <w:lang w:val="it-IT"/>
        </w:rPr>
        <w:t>Gravidanza</w:t>
      </w:r>
    </w:p>
    <w:p w14:paraId="3E83C47D" w14:textId="77777777" w:rsidR="003C28DD" w:rsidRPr="006A2BF9" w:rsidRDefault="00A66094" w:rsidP="009C0666">
      <w:pPr>
        <w:rPr>
          <w:lang w:val="it-IT"/>
        </w:rPr>
      </w:pPr>
      <w:r w:rsidRPr="00827650">
        <w:rPr>
          <w:lang w:val="it-IT"/>
        </w:rPr>
        <w:t xml:space="preserve">I dati provenienti da </w:t>
      </w:r>
      <w:r w:rsidR="009C0666" w:rsidRPr="00330A40">
        <w:rPr>
          <w:lang w:val="it-IT"/>
        </w:rPr>
        <w:t xml:space="preserve">dati </w:t>
      </w:r>
      <w:r w:rsidR="00547A6F" w:rsidRPr="00330A40">
        <w:rPr>
          <w:lang w:val="it-IT"/>
        </w:rPr>
        <w:t xml:space="preserve">di studi clinici </w:t>
      </w:r>
      <w:r w:rsidRPr="00827650">
        <w:rPr>
          <w:lang w:val="it-IT"/>
        </w:rPr>
        <w:t xml:space="preserve">e relativi </w:t>
      </w:r>
      <w:r w:rsidR="009C0666" w:rsidRPr="00330A40">
        <w:rPr>
          <w:lang w:val="it-IT"/>
        </w:rPr>
        <w:t>all’uso d</w:t>
      </w:r>
      <w:r w:rsidR="00967C68" w:rsidRPr="00330A40">
        <w:rPr>
          <w:lang w:val="it-IT"/>
        </w:rPr>
        <w:t>i</w:t>
      </w:r>
      <w:r w:rsidR="009C0666" w:rsidRPr="00330A40">
        <w:rPr>
          <w:lang w:val="it-IT"/>
        </w:rPr>
        <w:t xml:space="preserve"> bevacizumab in donne in gravidanza</w:t>
      </w:r>
      <w:r w:rsidRPr="00827650">
        <w:rPr>
          <w:lang w:val="it-IT"/>
        </w:rPr>
        <w:t xml:space="preserve"> non esistono</w:t>
      </w:r>
      <w:r w:rsidR="009C0666" w:rsidRPr="00330A40">
        <w:rPr>
          <w:lang w:val="it-IT"/>
        </w:rPr>
        <w:t xml:space="preserve">. Gli studi </w:t>
      </w:r>
      <w:r w:rsidR="000C507E" w:rsidRPr="00330A40">
        <w:rPr>
          <w:lang w:val="it-IT"/>
        </w:rPr>
        <w:t>sugli animali</w:t>
      </w:r>
      <w:r w:rsidR="009C0666" w:rsidRPr="00330A40">
        <w:rPr>
          <w:lang w:val="it-IT"/>
        </w:rPr>
        <w:t xml:space="preserve"> hanno mostrato una tossicità </w:t>
      </w:r>
      <w:r w:rsidR="000C507E" w:rsidRPr="00330A40">
        <w:rPr>
          <w:lang w:val="it-IT"/>
        </w:rPr>
        <w:t>riproduttiva</w:t>
      </w:r>
      <w:r w:rsidR="009C0666" w:rsidRPr="00330A40">
        <w:rPr>
          <w:lang w:val="it-IT"/>
        </w:rPr>
        <w:t>, incluse malformazioni (vedere paragrafo</w:t>
      </w:r>
      <w:r w:rsidR="00BE2B20" w:rsidRPr="006A2BF9">
        <w:rPr>
          <w:lang w:val="it-IT"/>
        </w:rPr>
        <w:t> </w:t>
      </w:r>
      <w:r w:rsidR="009C0666" w:rsidRPr="006A2BF9">
        <w:rPr>
          <w:lang w:val="it-IT"/>
        </w:rPr>
        <w:t xml:space="preserve">5.3). È noto che le IgG attraversano la placenta, ed è prevedibile che </w:t>
      </w:r>
      <w:r w:rsidR="00BE2B20" w:rsidRPr="006A2BF9">
        <w:rPr>
          <w:szCs w:val="22"/>
          <w:lang w:val="it-IT"/>
        </w:rPr>
        <w:t>bevacizumab</w:t>
      </w:r>
      <w:r w:rsidR="00BE2B20" w:rsidRPr="006A2BF9">
        <w:rPr>
          <w:lang w:val="it-IT"/>
        </w:rPr>
        <w:t xml:space="preserve"> </w:t>
      </w:r>
      <w:r w:rsidR="009C0666" w:rsidRPr="006A2BF9">
        <w:rPr>
          <w:lang w:val="it-IT"/>
        </w:rPr>
        <w:t>inibisca l’angiogenesi fetale e quindi si ritiene possa causare gravi anomalie congenite se somministrato durante la gravidanza.</w:t>
      </w:r>
      <w:r w:rsidR="00547A6F" w:rsidRPr="006A2BF9">
        <w:rPr>
          <w:lang w:val="it-IT"/>
        </w:rPr>
        <w:t xml:space="preserve"> Dopo la commercializzazione, sono stati osservati casi di </w:t>
      </w:r>
      <w:r w:rsidR="00BD4013" w:rsidRPr="006A2BF9">
        <w:rPr>
          <w:lang w:val="it-IT"/>
        </w:rPr>
        <w:t>anomalie</w:t>
      </w:r>
      <w:r w:rsidR="00547A6F" w:rsidRPr="006A2BF9">
        <w:rPr>
          <w:lang w:val="it-IT"/>
        </w:rPr>
        <w:t xml:space="preserve"> fetal</w:t>
      </w:r>
      <w:r w:rsidR="0038188F" w:rsidRPr="006A2BF9">
        <w:rPr>
          <w:lang w:val="it-IT"/>
        </w:rPr>
        <w:t>i</w:t>
      </w:r>
      <w:r w:rsidR="00547A6F" w:rsidRPr="006A2BF9">
        <w:rPr>
          <w:lang w:val="it-IT"/>
        </w:rPr>
        <w:t xml:space="preserve"> in donne trattate con bevacizumab in monoterapia o in associazione </w:t>
      </w:r>
      <w:r w:rsidR="000C507E" w:rsidRPr="006A2BF9">
        <w:rPr>
          <w:lang w:val="it-IT"/>
        </w:rPr>
        <w:t xml:space="preserve">a </w:t>
      </w:r>
      <w:r w:rsidR="00547A6F" w:rsidRPr="006A2BF9">
        <w:rPr>
          <w:lang w:val="it-IT"/>
        </w:rPr>
        <w:t>noti chemioterapici embriotossici (vedere paragrafo</w:t>
      </w:r>
      <w:r w:rsidR="00BE2B20" w:rsidRPr="006A2BF9">
        <w:rPr>
          <w:lang w:val="it-IT"/>
        </w:rPr>
        <w:t> </w:t>
      </w:r>
      <w:r w:rsidR="00547A6F" w:rsidRPr="006A2BF9">
        <w:rPr>
          <w:lang w:val="it-IT"/>
        </w:rPr>
        <w:t xml:space="preserve">4.8). </w:t>
      </w:r>
      <w:r w:rsidR="00BE2B20" w:rsidRPr="006A2BF9">
        <w:rPr>
          <w:szCs w:val="22"/>
          <w:lang w:val="it-IT"/>
        </w:rPr>
        <w:t>Bevacizumab</w:t>
      </w:r>
      <w:r w:rsidR="00BE2B20" w:rsidRPr="006A2BF9">
        <w:rPr>
          <w:lang w:val="it-IT"/>
        </w:rPr>
        <w:t xml:space="preserve"> </w:t>
      </w:r>
      <w:r w:rsidR="009C0666" w:rsidRPr="006A2BF9">
        <w:rPr>
          <w:lang w:val="it-IT"/>
        </w:rPr>
        <w:t xml:space="preserve">è controindicato </w:t>
      </w:r>
      <w:r w:rsidR="00AD4104" w:rsidRPr="006A2BF9">
        <w:rPr>
          <w:lang w:val="it-IT"/>
        </w:rPr>
        <w:t xml:space="preserve">in gravidanza </w:t>
      </w:r>
      <w:r w:rsidR="009C0666" w:rsidRPr="006A2BF9">
        <w:rPr>
          <w:lang w:val="it-IT"/>
        </w:rPr>
        <w:t>(vedere paragrafo</w:t>
      </w:r>
      <w:r w:rsidR="00BE2B20" w:rsidRPr="006A2BF9">
        <w:rPr>
          <w:lang w:val="it-IT"/>
        </w:rPr>
        <w:t> </w:t>
      </w:r>
      <w:r w:rsidR="009C0666" w:rsidRPr="006A2BF9">
        <w:rPr>
          <w:lang w:val="it-IT"/>
        </w:rPr>
        <w:t>4.3).</w:t>
      </w:r>
    </w:p>
    <w:p w14:paraId="6015C520" w14:textId="77777777" w:rsidR="009C0666" w:rsidRPr="006A2BF9" w:rsidRDefault="009C0666" w:rsidP="00CF0780">
      <w:pPr>
        <w:keepNext/>
        <w:keepLines/>
        <w:rPr>
          <w:lang w:val="it-IT"/>
        </w:rPr>
      </w:pPr>
    </w:p>
    <w:p w14:paraId="3E385509" w14:textId="77777777" w:rsidR="009C0666" w:rsidRPr="006A2BF9" w:rsidRDefault="009C0666" w:rsidP="00CF0780">
      <w:pPr>
        <w:keepNext/>
        <w:keepLines/>
        <w:rPr>
          <w:bCs/>
          <w:iCs/>
          <w:u w:val="single"/>
          <w:lang w:val="it-IT"/>
        </w:rPr>
      </w:pPr>
      <w:r w:rsidRPr="006A2BF9">
        <w:rPr>
          <w:bCs/>
          <w:iCs/>
          <w:u w:val="single"/>
          <w:lang w:val="it-IT"/>
        </w:rPr>
        <w:t>Allattamento</w:t>
      </w:r>
    </w:p>
    <w:p w14:paraId="12231024" w14:textId="77777777" w:rsidR="0025370C" w:rsidRPr="006A2BF9" w:rsidRDefault="009C0666" w:rsidP="00CF0780">
      <w:pPr>
        <w:keepNext/>
        <w:keepLines/>
        <w:rPr>
          <w:lang w:val="it-IT"/>
        </w:rPr>
      </w:pPr>
      <w:r w:rsidRPr="006A2BF9">
        <w:rPr>
          <w:lang w:val="it-IT"/>
        </w:rPr>
        <w:t>Non è noto se bevacizumab sia escreto nel latte materno. Poiché le IgG materne vengono escrete nel latte e bevacizumab può danneggiare la crescita e lo sviluppo del bambino (vedere paragrafo</w:t>
      </w:r>
      <w:r w:rsidR="00BE2B20" w:rsidRPr="006A2BF9">
        <w:rPr>
          <w:lang w:val="it-IT"/>
        </w:rPr>
        <w:t> </w:t>
      </w:r>
      <w:r w:rsidRPr="006A2BF9">
        <w:rPr>
          <w:lang w:val="it-IT"/>
        </w:rPr>
        <w:t xml:space="preserve">5.3), le donne devono interrompere l’allattamento </w:t>
      </w:r>
      <w:r w:rsidR="00AC50B0" w:rsidRPr="006A2BF9">
        <w:rPr>
          <w:lang w:val="it-IT"/>
        </w:rPr>
        <w:t xml:space="preserve">con latte materno </w:t>
      </w:r>
      <w:r w:rsidRPr="006A2BF9">
        <w:rPr>
          <w:lang w:val="it-IT"/>
        </w:rPr>
        <w:t>durante la terapia ed evitare di allattare</w:t>
      </w:r>
      <w:r w:rsidR="00DE6A12" w:rsidRPr="006A2BF9">
        <w:rPr>
          <w:lang w:val="it-IT"/>
        </w:rPr>
        <w:t xml:space="preserve"> con latte materno</w:t>
      </w:r>
      <w:r w:rsidRPr="006A2BF9">
        <w:rPr>
          <w:lang w:val="it-IT"/>
        </w:rPr>
        <w:t xml:space="preserve"> per almeno sei mesi dopo l’assunzione dell’ultima dose di </w:t>
      </w:r>
      <w:r w:rsidR="00BE2B20" w:rsidRPr="006A2BF9">
        <w:rPr>
          <w:szCs w:val="22"/>
          <w:lang w:val="it-IT"/>
        </w:rPr>
        <w:t>bevacizumab</w:t>
      </w:r>
      <w:r w:rsidRPr="006A2BF9">
        <w:rPr>
          <w:lang w:val="it-IT"/>
        </w:rPr>
        <w:t>.</w:t>
      </w:r>
    </w:p>
    <w:p w14:paraId="662EEEB2" w14:textId="77777777" w:rsidR="009C0666" w:rsidRPr="006A2BF9" w:rsidRDefault="009C0666" w:rsidP="009C0666">
      <w:pPr>
        <w:rPr>
          <w:lang w:val="it-IT"/>
        </w:rPr>
      </w:pPr>
    </w:p>
    <w:p w14:paraId="318816A7" w14:textId="77777777" w:rsidR="001056EF" w:rsidRPr="006A2BF9" w:rsidRDefault="001056EF" w:rsidP="001056EF">
      <w:pPr>
        <w:rPr>
          <w:u w:val="single"/>
          <w:lang w:val="it-IT"/>
        </w:rPr>
      </w:pPr>
      <w:r w:rsidRPr="006A2BF9">
        <w:rPr>
          <w:u w:val="single"/>
          <w:lang w:val="it-IT"/>
        </w:rPr>
        <w:t>Fertilità</w:t>
      </w:r>
    </w:p>
    <w:p w14:paraId="4CD9E566" w14:textId="77777777" w:rsidR="001056EF" w:rsidRPr="006A2BF9" w:rsidRDefault="00013109" w:rsidP="001056EF">
      <w:pPr>
        <w:rPr>
          <w:lang w:val="it-IT"/>
        </w:rPr>
      </w:pPr>
      <w:r w:rsidRPr="006A2BF9">
        <w:rPr>
          <w:lang w:val="it-IT"/>
        </w:rPr>
        <w:t>S</w:t>
      </w:r>
      <w:r w:rsidR="001056EF" w:rsidRPr="006A2BF9">
        <w:rPr>
          <w:lang w:val="it-IT"/>
        </w:rPr>
        <w:t xml:space="preserve">tudi di tossicità </w:t>
      </w:r>
      <w:r w:rsidR="000C507E" w:rsidRPr="006A2BF9">
        <w:rPr>
          <w:lang w:val="it-IT"/>
        </w:rPr>
        <w:t xml:space="preserve">a dosi ripetute </w:t>
      </w:r>
      <w:r w:rsidR="001056EF" w:rsidRPr="006A2BF9">
        <w:rPr>
          <w:lang w:val="it-IT"/>
        </w:rPr>
        <w:t>sugli animali hanno mostrato che b</w:t>
      </w:r>
      <w:r w:rsidR="007E5CCD" w:rsidRPr="006A2BF9">
        <w:rPr>
          <w:lang w:val="it-IT"/>
        </w:rPr>
        <w:t>e</w:t>
      </w:r>
      <w:r w:rsidR="001056EF" w:rsidRPr="006A2BF9">
        <w:rPr>
          <w:lang w:val="it-IT"/>
        </w:rPr>
        <w:t xml:space="preserve">vacizumab </w:t>
      </w:r>
      <w:r w:rsidR="00A66094" w:rsidRPr="006A2BF9">
        <w:rPr>
          <w:lang w:val="it-IT"/>
        </w:rPr>
        <w:t>p</w:t>
      </w:r>
      <w:r w:rsidR="00A66094">
        <w:rPr>
          <w:lang w:val="it-IT"/>
        </w:rPr>
        <w:t>uò</w:t>
      </w:r>
      <w:r w:rsidR="00A66094" w:rsidRPr="006A2BF9">
        <w:rPr>
          <w:lang w:val="it-IT"/>
        </w:rPr>
        <w:t xml:space="preserve"> </w:t>
      </w:r>
      <w:r w:rsidR="001056EF" w:rsidRPr="006A2BF9">
        <w:rPr>
          <w:lang w:val="it-IT"/>
        </w:rPr>
        <w:t xml:space="preserve">avere un effetto avverso </w:t>
      </w:r>
      <w:r w:rsidR="007A73D6" w:rsidRPr="006A2BF9">
        <w:rPr>
          <w:lang w:val="it-IT"/>
        </w:rPr>
        <w:t>sulla</w:t>
      </w:r>
      <w:r w:rsidR="001056EF" w:rsidRPr="006A2BF9">
        <w:rPr>
          <w:lang w:val="it-IT"/>
        </w:rPr>
        <w:t xml:space="preserve"> fertilità femminile (vedere paragrafo</w:t>
      </w:r>
      <w:r w:rsidR="00BE2B20" w:rsidRPr="006A2BF9">
        <w:rPr>
          <w:lang w:val="it-IT"/>
        </w:rPr>
        <w:t> </w:t>
      </w:r>
      <w:r w:rsidR="001056EF" w:rsidRPr="006A2BF9">
        <w:rPr>
          <w:lang w:val="it-IT"/>
        </w:rPr>
        <w:t>5.3).</w:t>
      </w:r>
      <w:r w:rsidRPr="006A2BF9">
        <w:rPr>
          <w:lang w:val="it-IT"/>
        </w:rPr>
        <w:t xml:space="preserve"> In uno stu</w:t>
      </w:r>
      <w:r w:rsidR="003B2948" w:rsidRPr="006A2BF9">
        <w:rPr>
          <w:lang w:val="it-IT"/>
        </w:rPr>
        <w:t>dio di fase</w:t>
      </w:r>
      <w:r w:rsidR="00BE2B20" w:rsidRPr="006A2BF9">
        <w:rPr>
          <w:lang w:val="it-IT"/>
        </w:rPr>
        <w:t> </w:t>
      </w:r>
      <w:r w:rsidR="003B2948" w:rsidRPr="006A2BF9">
        <w:rPr>
          <w:lang w:val="it-IT"/>
        </w:rPr>
        <w:t>III sul trattamento</w:t>
      </w:r>
      <w:r w:rsidR="007E5CCD" w:rsidRPr="006A2BF9">
        <w:rPr>
          <w:lang w:val="it-IT"/>
        </w:rPr>
        <w:t xml:space="preserve"> </w:t>
      </w:r>
      <w:r w:rsidRPr="006A2BF9">
        <w:rPr>
          <w:lang w:val="it-IT"/>
        </w:rPr>
        <w:t xml:space="preserve">adiuvante condotto </w:t>
      </w:r>
      <w:r w:rsidR="0022568E" w:rsidRPr="006A2BF9">
        <w:rPr>
          <w:lang w:val="it-IT"/>
        </w:rPr>
        <w:t>in</w:t>
      </w:r>
      <w:r w:rsidRPr="006A2BF9">
        <w:rPr>
          <w:lang w:val="it-IT"/>
        </w:rPr>
        <w:t xml:space="preserve"> pazienti con </w:t>
      </w:r>
      <w:r w:rsidR="006970D8">
        <w:rPr>
          <w:lang w:val="it-IT"/>
        </w:rPr>
        <w:t>cancro</w:t>
      </w:r>
      <w:r w:rsidR="006970D8" w:rsidRPr="006A2BF9">
        <w:rPr>
          <w:lang w:val="it-IT"/>
        </w:rPr>
        <w:t xml:space="preserve"> </w:t>
      </w:r>
      <w:r w:rsidRPr="006A2BF9">
        <w:rPr>
          <w:lang w:val="it-IT"/>
        </w:rPr>
        <w:t xml:space="preserve">del colon, un’analisi parallela </w:t>
      </w:r>
      <w:r w:rsidR="0022568E" w:rsidRPr="006A2BF9">
        <w:rPr>
          <w:lang w:val="it-IT"/>
        </w:rPr>
        <w:t xml:space="preserve">nelle pazienti in premenopausa </w:t>
      </w:r>
      <w:r w:rsidRPr="006A2BF9">
        <w:rPr>
          <w:lang w:val="it-IT"/>
        </w:rPr>
        <w:t>ha evidenziato un’incidenza più elevata di</w:t>
      </w:r>
      <w:r w:rsidR="0022568E" w:rsidRPr="006A2BF9">
        <w:rPr>
          <w:lang w:val="it-IT"/>
        </w:rPr>
        <w:t xml:space="preserve"> </w:t>
      </w:r>
      <w:r w:rsidRPr="006A2BF9">
        <w:rPr>
          <w:lang w:val="it-IT"/>
        </w:rPr>
        <w:t>nuovi casi di insufficienza ovarica nel gruppo trattato con bevacizumab rispetto al gruppo di controllo</w:t>
      </w:r>
      <w:r w:rsidR="003C2354" w:rsidRPr="006A2BF9">
        <w:rPr>
          <w:lang w:val="it-IT"/>
        </w:rPr>
        <w:t>. La maggior parte delle</w:t>
      </w:r>
      <w:r w:rsidRPr="006A2BF9">
        <w:rPr>
          <w:lang w:val="it-IT"/>
        </w:rPr>
        <w:t xml:space="preserve"> pazienti</w:t>
      </w:r>
      <w:r w:rsidR="0022568E" w:rsidRPr="006A2BF9">
        <w:rPr>
          <w:lang w:val="it-IT"/>
        </w:rPr>
        <w:t xml:space="preserve"> ha recuperato la funzionalità ovarica</w:t>
      </w:r>
      <w:r w:rsidRPr="006A2BF9">
        <w:rPr>
          <w:lang w:val="it-IT"/>
        </w:rPr>
        <w:t xml:space="preserve"> dopo la sospensione </w:t>
      </w:r>
      <w:r w:rsidR="0022568E" w:rsidRPr="006A2BF9">
        <w:rPr>
          <w:lang w:val="it-IT"/>
        </w:rPr>
        <w:t>del trattamento con bevacizumab</w:t>
      </w:r>
      <w:r w:rsidRPr="006A2BF9">
        <w:rPr>
          <w:lang w:val="it-IT"/>
        </w:rPr>
        <w:t xml:space="preserve">. </w:t>
      </w:r>
      <w:r w:rsidR="003C2354" w:rsidRPr="006A2BF9">
        <w:rPr>
          <w:lang w:val="it-IT"/>
        </w:rPr>
        <w:t>Non sono noti g</w:t>
      </w:r>
      <w:r w:rsidRPr="006A2BF9">
        <w:rPr>
          <w:lang w:val="it-IT"/>
        </w:rPr>
        <w:t xml:space="preserve">li effetti a lungo termine del trattamento con bevacizumab sulla </w:t>
      </w:r>
      <w:r w:rsidR="003C2354" w:rsidRPr="006A2BF9">
        <w:rPr>
          <w:lang w:val="it-IT"/>
        </w:rPr>
        <w:t>fertilità</w:t>
      </w:r>
      <w:r w:rsidRPr="006A2BF9">
        <w:rPr>
          <w:lang w:val="it-IT"/>
        </w:rPr>
        <w:t>.</w:t>
      </w:r>
    </w:p>
    <w:p w14:paraId="5E426700" w14:textId="77777777" w:rsidR="001056EF" w:rsidRPr="006A2BF9" w:rsidRDefault="001056EF" w:rsidP="001056EF">
      <w:pPr>
        <w:rPr>
          <w:lang w:val="it-IT"/>
        </w:rPr>
      </w:pPr>
    </w:p>
    <w:p w14:paraId="347648E3" w14:textId="77777777" w:rsidR="009C0666" w:rsidRPr="006A2BF9" w:rsidRDefault="009C0666" w:rsidP="00C65E97">
      <w:pPr>
        <w:keepLines/>
        <w:ind w:left="567" w:hanging="567"/>
        <w:outlineLvl w:val="0"/>
        <w:rPr>
          <w:b/>
          <w:bCs/>
          <w:lang w:val="it-IT"/>
        </w:rPr>
      </w:pPr>
      <w:r w:rsidRPr="006A2BF9">
        <w:rPr>
          <w:b/>
          <w:bCs/>
          <w:lang w:val="it-IT"/>
        </w:rPr>
        <w:t>4.7</w:t>
      </w:r>
      <w:r w:rsidRPr="006A2BF9">
        <w:rPr>
          <w:b/>
          <w:bCs/>
          <w:lang w:val="it-IT"/>
        </w:rPr>
        <w:tab/>
        <w:t>Effetti sulla capacità di guidare veicoli e sull’uso di macchinari</w:t>
      </w:r>
    </w:p>
    <w:p w14:paraId="38D6F6CB" w14:textId="77777777" w:rsidR="009C0666" w:rsidRPr="006A2BF9" w:rsidRDefault="009C0666" w:rsidP="00C65E97">
      <w:pPr>
        <w:keepLines/>
        <w:rPr>
          <w:lang w:val="it-IT"/>
        </w:rPr>
      </w:pPr>
    </w:p>
    <w:p w14:paraId="29C6AAC8" w14:textId="77777777" w:rsidR="00522BB6" w:rsidRPr="006A2BF9" w:rsidRDefault="00BE2B20" w:rsidP="00C65E97">
      <w:pPr>
        <w:keepLines/>
        <w:suppressAutoHyphens/>
        <w:rPr>
          <w:szCs w:val="22"/>
          <w:lang w:val="it-IT" w:eastAsia="en-US"/>
        </w:rPr>
      </w:pPr>
      <w:r w:rsidRPr="006A2BF9">
        <w:rPr>
          <w:szCs w:val="22"/>
          <w:lang w:val="it-IT"/>
        </w:rPr>
        <w:t>Bevacizumab</w:t>
      </w:r>
      <w:r w:rsidRPr="006A2BF9">
        <w:rPr>
          <w:lang w:val="it-IT"/>
        </w:rPr>
        <w:t xml:space="preserve"> </w:t>
      </w:r>
      <w:r w:rsidR="00522BB6" w:rsidRPr="006A2BF9">
        <w:rPr>
          <w:szCs w:val="22"/>
          <w:lang w:val="it-IT" w:eastAsia="en-US"/>
        </w:rPr>
        <w:t xml:space="preserve">non altera o altera in modo trascurabile la capacità di guidare veicoli o di usare macchinari. Tuttavia, sonnolenza e sincope sono state </w:t>
      </w:r>
      <w:r w:rsidR="000C507E" w:rsidRPr="006A2BF9">
        <w:rPr>
          <w:szCs w:val="22"/>
          <w:lang w:val="it-IT" w:eastAsia="en-US"/>
        </w:rPr>
        <w:t xml:space="preserve">segnalate </w:t>
      </w:r>
      <w:r w:rsidR="00522BB6" w:rsidRPr="006A2BF9">
        <w:rPr>
          <w:szCs w:val="22"/>
          <w:lang w:val="it-IT" w:eastAsia="en-US"/>
        </w:rPr>
        <w:t>con l</w:t>
      </w:r>
      <w:r w:rsidRPr="006A2BF9">
        <w:rPr>
          <w:szCs w:val="22"/>
          <w:lang w:val="it-IT" w:eastAsia="en-US"/>
        </w:rPr>
        <w:t>’</w:t>
      </w:r>
      <w:r w:rsidR="00522BB6" w:rsidRPr="006A2BF9">
        <w:rPr>
          <w:szCs w:val="22"/>
          <w:lang w:val="it-IT" w:eastAsia="en-US"/>
        </w:rPr>
        <w:t xml:space="preserve">uso di </w:t>
      </w:r>
      <w:r w:rsidRPr="006A2BF9">
        <w:rPr>
          <w:szCs w:val="22"/>
          <w:lang w:val="it-IT"/>
        </w:rPr>
        <w:t>bevacizumab</w:t>
      </w:r>
      <w:r w:rsidRPr="006A2BF9">
        <w:rPr>
          <w:lang w:val="it-IT"/>
        </w:rPr>
        <w:t xml:space="preserve"> </w:t>
      </w:r>
      <w:r w:rsidR="00522BB6" w:rsidRPr="006A2BF9">
        <w:rPr>
          <w:szCs w:val="22"/>
          <w:lang w:val="it-IT" w:eastAsia="en-US"/>
        </w:rPr>
        <w:t>(ved</w:t>
      </w:r>
      <w:r w:rsidR="000C507E" w:rsidRPr="006A2BF9">
        <w:rPr>
          <w:szCs w:val="22"/>
          <w:lang w:val="it-IT" w:eastAsia="en-US"/>
        </w:rPr>
        <w:t>ere</w:t>
      </w:r>
      <w:r w:rsidR="00522BB6" w:rsidRPr="006A2BF9">
        <w:rPr>
          <w:szCs w:val="22"/>
          <w:lang w:val="it-IT" w:eastAsia="en-US"/>
        </w:rPr>
        <w:t xml:space="preserve"> tabella</w:t>
      </w:r>
      <w:r w:rsidRPr="006A2BF9">
        <w:rPr>
          <w:szCs w:val="22"/>
          <w:lang w:val="it-IT" w:eastAsia="en-US"/>
        </w:rPr>
        <w:t> </w:t>
      </w:r>
      <w:r w:rsidR="00522BB6" w:rsidRPr="006A2BF9">
        <w:rPr>
          <w:szCs w:val="22"/>
          <w:lang w:val="it-IT" w:eastAsia="en-US"/>
        </w:rPr>
        <w:t>1</w:t>
      </w:r>
      <w:r w:rsidR="000C507E" w:rsidRPr="006A2BF9">
        <w:rPr>
          <w:szCs w:val="22"/>
          <w:lang w:val="it-IT" w:eastAsia="en-US"/>
        </w:rPr>
        <w:t>,</w:t>
      </w:r>
      <w:r w:rsidR="00522BB6" w:rsidRPr="006A2BF9">
        <w:rPr>
          <w:szCs w:val="22"/>
          <w:lang w:val="it-IT" w:eastAsia="en-US"/>
        </w:rPr>
        <w:t xml:space="preserve"> paragrafo</w:t>
      </w:r>
      <w:r w:rsidRPr="006A2BF9">
        <w:rPr>
          <w:szCs w:val="22"/>
          <w:lang w:val="it-IT" w:eastAsia="en-US"/>
        </w:rPr>
        <w:t> </w:t>
      </w:r>
      <w:r w:rsidR="00522BB6" w:rsidRPr="006A2BF9">
        <w:rPr>
          <w:szCs w:val="22"/>
          <w:lang w:val="it-IT" w:eastAsia="en-US"/>
        </w:rPr>
        <w:t xml:space="preserve">4.8). </w:t>
      </w:r>
      <w:r w:rsidR="00625289" w:rsidRPr="006A2BF9">
        <w:rPr>
          <w:szCs w:val="22"/>
          <w:lang w:val="it-IT" w:eastAsia="en-US"/>
        </w:rPr>
        <w:t xml:space="preserve">Ai </w:t>
      </w:r>
      <w:r w:rsidR="00522BB6" w:rsidRPr="006A2BF9">
        <w:rPr>
          <w:szCs w:val="22"/>
          <w:lang w:val="it-IT" w:eastAsia="en-US"/>
        </w:rPr>
        <w:t xml:space="preserve">pazienti </w:t>
      </w:r>
      <w:r w:rsidR="00625289" w:rsidRPr="006A2BF9">
        <w:rPr>
          <w:szCs w:val="22"/>
          <w:lang w:val="it-IT" w:eastAsia="en-US"/>
        </w:rPr>
        <w:t xml:space="preserve">che </w:t>
      </w:r>
      <w:r w:rsidR="00F016A8" w:rsidRPr="006A2BF9">
        <w:rPr>
          <w:szCs w:val="22"/>
          <w:lang w:val="it-IT" w:eastAsia="en-US"/>
        </w:rPr>
        <w:t>manifestano</w:t>
      </w:r>
      <w:r w:rsidR="00522BB6" w:rsidRPr="006A2BF9">
        <w:rPr>
          <w:szCs w:val="22"/>
          <w:lang w:val="it-IT" w:eastAsia="en-US"/>
        </w:rPr>
        <w:t xml:space="preserve"> sintomi che </w:t>
      </w:r>
      <w:r w:rsidR="000C507E" w:rsidRPr="006A2BF9">
        <w:rPr>
          <w:szCs w:val="22"/>
          <w:lang w:val="it-IT" w:eastAsia="en-US"/>
        </w:rPr>
        <w:t xml:space="preserve">interessano </w:t>
      </w:r>
      <w:r w:rsidR="00522BB6" w:rsidRPr="006A2BF9">
        <w:rPr>
          <w:szCs w:val="22"/>
          <w:lang w:val="it-IT" w:eastAsia="en-US"/>
        </w:rPr>
        <w:t>la visione o</w:t>
      </w:r>
      <w:r w:rsidR="00F016A8" w:rsidRPr="006A2BF9">
        <w:rPr>
          <w:szCs w:val="22"/>
          <w:lang w:val="it-IT" w:eastAsia="en-US"/>
        </w:rPr>
        <w:t xml:space="preserve"> </w:t>
      </w:r>
      <w:r w:rsidR="00522BB6" w:rsidRPr="006A2BF9">
        <w:rPr>
          <w:szCs w:val="22"/>
          <w:lang w:val="it-IT" w:eastAsia="en-US"/>
        </w:rPr>
        <w:t>concentrazione, o la capacità di reagire,</w:t>
      </w:r>
      <w:r w:rsidR="00F016A8" w:rsidRPr="006A2BF9">
        <w:rPr>
          <w:szCs w:val="22"/>
          <w:lang w:val="it-IT" w:eastAsia="en-US"/>
        </w:rPr>
        <w:t xml:space="preserve"> </w:t>
      </w:r>
      <w:r w:rsidR="00625289" w:rsidRPr="006A2BF9">
        <w:rPr>
          <w:szCs w:val="22"/>
          <w:lang w:val="it-IT" w:eastAsia="en-US"/>
        </w:rPr>
        <w:t xml:space="preserve">deve essere consigliato di </w:t>
      </w:r>
      <w:r w:rsidR="00522BB6" w:rsidRPr="006A2BF9">
        <w:rPr>
          <w:szCs w:val="22"/>
          <w:lang w:val="it-IT" w:eastAsia="en-US"/>
        </w:rPr>
        <w:t xml:space="preserve">non guidare veicoli e </w:t>
      </w:r>
      <w:r w:rsidR="00625289" w:rsidRPr="006A2BF9">
        <w:rPr>
          <w:szCs w:val="22"/>
          <w:lang w:val="it-IT" w:eastAsia="en-US"/>
        </w:rPr>
        <w:t xml:space="preserve">di </w:t>
      </w:r>
      <w:r w:rsidR="00443EFD" w:rsidRPr="006A2BF9">
        <w:rPr>
          <w:szCs w:val="22"/>
          <w:lang w:val="it-IT" w:eastAsia="en-US"/>
        </w:rPr>
        <w:t xml:space="preserve">non </w:t>
      </w:r>
      <w:r w:rsidR="00625289" w:rsidRPr="006A2BF9">
        <w:rPr>
          <w:szCs w:val="22"/>
          <w:lang w:val="it-IT" w:eastAsia="en-US"/>
        </w:rPr>
        <w:t xml:space="preserve">usare </w:t>
      </w:r>
      <w:r w:rsidR="00522BB6" w:rsidRPr="006A2BF9">
        <w:rPr>
          <w:szCs w:val="22"/>
          <w:lang w:val="it-IT" w:eastAsia="en-US"/>
        </w:rPr>
        <w:t xml:space="preserve">macchinari fino </w:t>
      </w:r>
      <w:r w:rsidR="00625289" w:rsidRPr="006A2BF9">
        <w:rPr>
          <w:szCs w:val="22"/>
          <w:lang w:val="it-IT" w:eastAsia="en-US"/>
        </w:rPr>
        <w:t>alla scomparsa dei sintomi.</w:t>
      </w:r>
    </w:p>
    <w:p w14:paraId="459276C0" w14:textId="77777777" w:rsidR="009C0666" w:rsidRPr="006A2BF9" w:rsidRDefault="009C0666" w:rsidP="00C65E97">
      <w:pPr>
        <w:keepLines/>
        <w:rPr>
          <w:lang w:val="it-IT"/>
        </w:rPr>
      </w:pPr>
    </w:p>
    <w:p w14:paraId="1EE27127" w14:textId="77777777" w:rsidR="009C0666" w:rsidRPr="006A2BF9" w:rsidRDefault="009C0666" w:rsidP="00C65E97">
      <w:pPr>
        <w:keepLines/>
        <w:ind w:left="567" w:hanging="567"/>
        <w:outlineLvl w:val="0"/>
        <w:rPr>
          <w:b/>
          <w:bCs/>
          <w:lang w:val="it-IT"/>
        </w:rPr>
      </w:pPr>
      <w:r w:rsidRPr="006A2BF9">
        <w:rPr>
          <w:b/>
          <w:bCs/>
          <w:lang w:val="it-IT"/>
        </w:rPr>
        <w:t>4.8</w:t>
      </w:r>
      <w:r w:rsidRPr="006A2BF9">
        <w:rPr>
          <w:b/>
          <w:bCs/>
          <w:lang w:val="it-IT"/>
        </w:rPr>
        <w:tab/>
        <w:t>Effetti indesiderati</w:t>
      </w:r>
    </w:p>
    <w:p w14:paraId="701BB0FE" w14:textId="77777777" w:rsidR="00625289" w:rsidRPr="006A2BF9" w:rsidRDefault="00625289" w:rsidP="00C65E97">
      <w:pPr>
        <w:keepLines/>
        <w:ind w:left="567" w:hanging="567"/>
        <w:outlineLvl w:val="0"/>
        <w:rPr>
          <w:b/>
          <w:bCs/>
          <w:lang w:val="it-IT"/>
        </w:rPr>
      </w:pPr>
    </w:p>
    <w:p w14:paraId="7161F994" w14:textId="77777777" w:rsidR="006B4579" w:rsidRPr="006A2BF9" w:rsidRDefault="006B4579" w:rsidP="00C65E97">
      <w:pPr>
        <w:keepLines/>
        <w:rPr>
          <w:rFonts w:eastAsia="PMingLiU"/>
          <w:szCs w:val="22"/>
          <w:u w:val="single"/>
          <w:lang w:val="it-IT" w:eastAsia="zh-TW"/>
        </w:rPr>
      </w:pPr>
      <w:r w:rsidRPr="006A2BF9">
        <w:rPr>
          <w:rFonts w:eastAsia="SimSun"/>
          <w:szCs w:val="22"/>
          <w:u w:val="single"/>
          <w:lang w:val="it-IT" w:eastAsia="it-IT"/>
        </w:rPr>
        <w:t xml:space="preserve">Riassunto del profilo di sicurezza </w:t>
      </w:r>
    </w:p>
    <w:p w14:paraId="56B0A5F7" w14:textId="77777777" w:rsidR="009C0666" w:rsidRPr="006A2BF9" w:rsidRDefault="009C0666" w:rsidP="00C65E97">
      <w:pPr>
        <w:keepLines/>
        <w:rPr>
          <w:lang w:val="it-IT"/>
        </w:rPr>
      </w:pPr>
      <w:r w:rsidRPr="006A2BF9">
        <w:rPr>
          <w:lang w:val="it-IT"/>
        </w:rPr>
        <w:t xml:space="preserve">Il profilo di sicurezza globale di </w:t>
      </w:r>
      <w:r w:rsidR="00BE2B20" w:rsidRPr="006A2BF9">
        <w:rPr>
          <w:szCs w:val="22"/>
          <w:lang w:val="it-IT"/>
        </w:rPr>
        <w:t>bevacizumab</w:t>
      </w:r>
      <w:r w:rsidR="00BE2B20" w:rsidRPr="006A2BF9">
        <w:rPr>
          <w:lang w:val="it-IT"/>
        </w:rPr>
        <w:t xml:space="preserve"> </w:t>
      </w:r>
      <w:r w:rsidRPr="006A2BF9">
        <w:rPr>
          <w:lang w:val="it-IT"/>
        </w:rPr>
        <w:t xml:space="preserve">si basa sui dati raccolti nel corso di studi clinici effettuati su oltre </w:t>
      </w:r>
      <w:r w:rsidR="001C5AC5" w:rsidRPr="006A2BF9">
        <w:rPr>
          <w:lang w:val="it-IT"/>
        </w:rPr>
        <w:t>5</w:t>
      </w:r>
      <w:r w:rsidR="00E27130" w:rsidRPr="006A2BF9">
        <w:rPr>
          <w:lang w:val="it-IT"/>
        </w:rPr>
        <w:t>.</w:t>
      </w:r>
      <w:r w:rsidR="00AA687E" w:rsidRPr="006A2BF9">
        <w:rPr>
          <w:lang w:val="it-IT"/>
        </w:rPr>
        <w:t>7</w:t>
      </w:r>
      <w:r w:rsidR="001C5AC5" w:rsidRPr="006A2BF9">
        <w:rPr>
          <w:lang w:val="it-IT"/>
        </w:rPr>
        <w:t>00 </w:t>
      </w:r>
      <w:r w:rsidRPr="006A2BF9">
        <w:rPr>
          <w:lang w:val="it-IT"/>
        </w:rPr>
        <w:t xml:space="preserve">pazienti affetti da diversi tumori, trattati soprattutto con </w:t>
      </w:r>
      <w:r w:rsidR="00BE2B20" w:rsidRPr="006A2BF9">
        <w:rPr>
          <w:szCs w:val="22"/>
          <w:lang w:val="it-IT"/>
        </w:rPr>
        <w:t>bevacizumab</w:t>
      </w:r>
      <w:r w:rsidR="00BE2B20" w:rsidRPr="006A2BF9">
        <w:rPr>
          <w:lang w:val="it-IT"/>
        </w:rPr>
        <w:t xml:space="preserve"> </w:t>
      </w:r>
      <w:r w:rsidRPr="006A2BF9">
        <w:rPr>
          <w:lang w:val="it-IT"/>
        </w:rPr>
        <w:t xml:space="preserve">in </w:t>
      </w:r>
      <w:r w:rsidR="003A32A4" w:rsidRPr="006A2BF9">
        <w:rPr>
          <w:lang w:val="it-IT"/>
        </w:rPr>
        <w:t xml:space="preserve">associazione </w:t>
      </w:r>
      <w:r w:rsidR="000C507E" w:rsidRPr="006A2BF9">
        <w:rPr>
          <w:lang w:val="it-IT"/>
        </w:rPr>
        <w:t xml:space="preserve">a </w:t>
      </w:r>
      <w:r w:rsidRPr="006A2BF9">
        <w:rPr>
          <w:lang w:val="it-IT"/>
        </w:rPr>
        <w:t>chemioterapia.</w:t>
      </w:r>
    </w:p>
    <w:p w14:paraId="51DBD0AB" w14:textId="77777777" w:rsidR="009C0666" w:rsidRPr="006A2BF9" w:rsidRDefault="009C0666" w:rsidP="00C65E97">
      <w:pPr>
        <w:keepLines/>
        <w:rPr>
          <w:lang w:val="it-IT"/>
        </w:rPr>
      </w:pPr>
    </w:p>
    <w:p w14:paraId="78E10516" w14:textId="77777777" w:rsidR="009C0666" w:rsidRPr="006A2BF9" w:rsidRDefault="009C0666" w:rsidP="00C65E97">
      <w:pPr>
        <w:keepLines/>
        <w:rPr>
          <w:lang w:val="it-IT"/>
        </w:rPr>
      </w:pPr>
      <w:r w:rsidRPr="006A2BF9">
        <w:rPr>
          <w:lang w:val="it-IT"/>
        </w:rPr>
        <w:t xml:space="preserve">Le reazioni avverse più </w:t>
      </w:r>
      <w:r w:rsidR="00AA1F90" w:rsidRPr="006A2BF9">
        <w:rPr>
          <w:lang w:val="it-IT"/>
        </w:rPr>
        <w:t xml:space="preserve">gravi </w:t>
      </w:r>
      <w:r w:rsidRPr="006A2BF9">
        <w:rPr>
          <w:lang w:val="it-IT"/>
        </w:rPr>
        <w:t>sono state le seguenti:</w:t>
      </w:r>
    </w:p>
    <w:p w14:paraId="6B8D1C71" w14:textId="77777777" w:rsidR="009C0666" w:rsidRPr="006A2BF9" w:rsidRDefault="009C0666" w:rsidP="00C65E97">
      <w:pPr>
        <w:keepLines/>
        <w:rPr>
          <w:lang w:val="it-IT"/>
        </w:rPr>
      </w:pPr>
    </w:p>
    <w:p w14:paraId="1F891A35" w14:textId="77777777" w:rsidR="009C0666" w:rsidRPr="006A2BF9" w:rsidRDefault="009C0666" w:rsidP="00C65E97">
      <w:pPr>
        <w:keepLines/>
        <w:ind w:left="567" w:hanging="567"/>
        <w:rPr>
          <w:lang w:val="it-IT"/>
        </w:rPr>
      </w:pPr>
      <w:r w:rsidRPr="006A2BF9">
        <w:rPr>
          <w:lang w:val="it-IT"/>
        </w:rPr>
        <w:t>•</w:t>
      </w:r>
      <w:r w:rsidRPr="006A2BF9">
        <w:rPr>
          <w:lang w:val="it-IT"/>
        </w:rPr>
        <w:tab/>
        <w:t>perforazione gastrointestinale (vedere paragrafo</w:t>
      </w:r>
      <w:r w:rsidR="00BE2B20" w:rsidRPr="006A2BF9">
        <w:rPr>
          <w:lang w:val="it-IT"/>
        </w:rPr>
        <w:t> </w:t>
      </w:r>
      <w:r w:rsidRPr="006A2BF9">
        <w:rPr>
          <w:lang w:val="it-IT"/>
        </w:rPr>
        <w:t>4.4),</w:t>
      </w:r>
    </w:p>
    <w:p w14:paraId="69BF202B" w14:textId="77777777" w:rsidR="009C0666" w:rsidRPr="006A2BF9" w:rsidRDefault="009C0666" w:rsidP="00C65E97">
      <w:pPr>
        <w:keepLines/>
        <w:ind w:left="567" w:hanging="567"/>
        <w:rPr>
          <w:lang w:val="it-IT"/>
        </w:rPr>
      </w:pPr>
      <w:r w:rsidRPr="006A2BF9">
        <w:rPr>
          <w:lang w:val="it-IT"/>
        </w:rPr>
        <w:t>•</w:t>
      </w:r>
      <w:r w:rsidRPr="006A2BF9">
        <w:rPr>
          <w:lang w:val="it-IT"/>
        </w:rPr>
        <w:tab/>
        <w:t xml:space="preserve">emorragia, inclusa emorragia polmonare/emottisi, che è più comune nei pazienti con </w:t>
      </w:r>
      <w:r w:rsidR="00B82281">
        <w:rPr>
          <w:lang w:val="it-IT"/>
        </w:rPr>
        <w:t>cancro</w:t>
      </w:r>
      <w:r w:rsidR="00B82281" w:rsidRPr="006A2BF9">
        <w:rPr>
          <w:lang w:val="it-IT"/>
        </w:rPr>
        <w:t xml:space="preserve"> </w:t>
      </w:r>
      <w:r w:rsidRPr="006A2BF9">
        <w:rPr>
          <w:lang w:val="it-IT"/>
        </w:rPr>
        <w:t>del polmone non a piccole cellule (vedere paragrafo</w:t>
      </w:r>
      <w:r w:rsidR="00BE2B20" w:rsidRPr="006A2BF9">
        <w:rPr>
          <w:lang w:val="it-IT"/>
        </w:rPr>
        <w:t> </w:t>
      </w:r>
      <w:r w:rsidRPr="006A2BF9">
        <w:rPr>
          <w:lang w:val="it-IT"/>
        </w:rPr>
        <w:t>4.4),</w:t>
      </w:r>
    </w:p>
    <w:p w14:paraId="6442054F" w14:textId="77777777" w:rsidR="009C0666" w:rsidRPr="006A2BF9" w:rsidRDefault="009C0666" w:rsidP="00C65E97">
      <w:pPr>
        <w:keepLines/>
        <w:ind w:left="567" w:hanging="567"/>
        <w:rPr>
          <w:lang w:val="it-IT"/>
        </w:rPr>
      </w:pPr>
      <w:r w:rsidRPr="006A2BF9">
        <w:rPr>
          <w:lang w:val="it-IT"/>
        </w:rPr>
        <w:t>•</w:t>
      </w:r>
      <w:r w:rsidRPr="006A2BF9">
        <w:rPr>
          <w:lang w:val="it-IT"/>
        </w:rPr>
        <w:tab/>
        <w:t>tromboembolia arteriosa (vedere paragrafo</w:t>
      </w:r>
      <w:r w:rsidR="00BE2B20" w:rsidRPr="006A2BF9">
        <w:rPr>
          <w:lang w:val="it-IT"/>
        </w:rPr>
        <w:t> </w:t>
      </w:r>
      <w:r w:rsidRPr="006A2BF9">
        <w:rPr>
          <w:lang w:val="it-IT"/>
        </w:rPr>
        <w:t>4.4).</w:t>
      </w:r>
    </w:p>
    <w:p w14:paraId="53D292EC" w14:textId="77777777" w:rsidR="009C0666" w:rsidRPr="006A2BF9" w:rsidRDefault="009C0666" w:rsidP="00C65E97">
      <w:pPr>
        <w:keepLines/>
        <w:ind w:left="567" w:hanging="567"/>
        <w:rPr>
          <w:lang w:val="it-IT"/>
        </w:rPr>
      </w:pPr>
    </w:p>
    <w:p w14:paraId="505B3ECD" w14:textId="77777777" w:rsidR="009C0666" w:rsidRPr="006A2BF9" w:rsidRDefault="009C0666" w:rsidP="00C65E97">
      <w:pPr>
        <w:keepLines/>
        <w:rPr>
          <w:lang w:val="it-IT"/>
        </w:rPr>
      </w:pPr>
      <w:r w:rsidRPr="006A2BF9">
        <w:rPr>
          <w:lang w:val="it-IT"/>
        </w:rPr>
        <w:t xml:space="preserve">Le reazioni avverse più frequentemente osservate negli studi clinici effettuati su pazienti trattati con </w:t>
      </w:r>
      <w:r w:rsidR="00BE2B20" w:rsidRPr="006A2BF9">
        <w:rPr>
          <w:szCs w:val="22"/>
          <w:lang w:val="it-IT"/>
        </w:rPr>
        <w:t>bevacizumab</w:t>
      </w:r>
      <w:r w:rsidR="00BE2B20" w:rsidRPr="006A2BF9">
        <w:rPr>
          <w:lang w:val="it-IT"/>
        </w:rPr>
        <w:t xml:space="preserve"> </w:t>
      </w:r>
      <w:r w:rsidRPr="006A2BF9">
        <w:rPr>
          <w:lang w:val="it-IT"/>
        </w:rPr>
        <w:t>sono state ipertensione, affaticamento o astenia, diarrea e dolore addominale.</w:t>
      </w:r>
    </w:p>
    <w:p w14:paraId="57851ADC" w14:textId="77777777" w:rsidR="009C0666" w:rsidRPr="006A2BF9" w:rsidRDefault="009C0666" w:rsidP="008B3BC8">
      <w:pPr>
        <w:keepNext/>
        <w:keepLines/>
        <w:rPr>
          <w:lang w:val="it-IT"/>
        </w:rPr>
      </w:pPr>
    </w:p>
    <w:p w14:paraId="28644257" w14:textId="77777777" w:rsidR="009C0666" w:rsidRPr="006A2BF9" w:rsidRDefault="009C0666" w:rsidP="008B3BC8">
      <w:pPr>
        <w:keepNext/>
        <w:keepLines/>
        <w:rPr>
          <w:lang w:val="it-IT"/>
        </w:rPr>
      </w:pPr>
      <w:r w:rsidRPr="006A2BF9">
        <w:rPr>
          <w:lang w:val="it-IT"/>
        </w:rPr>
        <w:t xml:space="preserve">L’analisi dei dati di sicurezza clinica indica che </w:t>
      </w:r>
      <w:r w:rsidR="007A73D6" w:rsidRPr="006A2BF9">
        <w:rPr>
          <w:lang w:val="it-IT"/>
        </w:rPr>
        <w:t xml:space="preserve">l’insorgenza </w:t>
      </w:r>
      <w:r w:rsidRPr="006A2BF9">
        <w:rPr>
          <w:lang w:val="it-IT"/>
        </w:rPr>
        <w:t xml:space="preserve">di ipertensione e proteinuria associate alla terapia con </w:t>
      </w:r>
      <w:r w:rsidR="00BE2B20" w:rsidRPr="006A2BF9">
        <w:rPr>
          <w:szCs w:val="22"/>
          <w:lang w:val="it-IT"/>
        </w:rPr>
        <w:t>bevacizumab</w:t>
      </w:r>
      <w:r w:rsidR="00BE2B20" w:rsidRPr="006A2BF9">
        <w:rPr>
          <w:lang w:val="it-IT"/>
        </w:rPr>
        <w:t xml:space="preserve"> </w:t>
      </w:r>
      <w:r w:rsidRPr="006A2BF9">
        <w:rPr>
          <w:lang w:val="it-IT"/>
        </w:rPr>
        <w:t>è probabilmente dose-dipendente.</w:t>
      </w:r>
    </w:p>
    <w:p w14:paraId="2951C3F8" w14:textId="77777777" w:rsidR="006B4579" w:rsidRPr="006A2BF9" w:rsidRDefault="006B4579" w:rsidP="008B3BC8">
      <w:pPr>
        <w:keepNext/>
        <w:keepLines/>
        <w:rPr>
          <w:lang w:val="it-IT"/>
        </w:rPr>
      </w:pPr>
    </w:p>
    <w:p w14:paraId="40D7DC0F" w14:textId="77777777" w:rsidR="006B4579" w:rsidRPr="006A2BF9" w:rsidRDefault="000C507E" w:rsidP="006B4579">
      <w:pPr>
        <w:keepNext/>
        <w:keepLines/>
        <w:rPr>
          <w:u w:val="single"/>
          <w:lang w:val="it-IT"/>
        </w:rPr>
      </w:pPr>
      <w:r w:rsidRPr="006A2BF9">
        <w:rPr>
          <w:u w:val="single"/>
          <w:lang w:val="it-IT"/>
        </w:rPr>
        <w:t xml:space="preserve">Tabella </w:t>
      </w:r>
      <w:r w:rsidR="006B4579" w:rsidRPr="006A2BF9">
        <w:rPr>
          <w:u w:val="single"/>
          <w:lang w:val="it-IT"/>
        </w:rPr>
        <w:t>delle reazioni avverse</w:t>
      </w:r>
    </w:p>
    <w:p w14:paraId="3421F28F" w14:textId="77777777" w:rsidR="003952DD" w:rsidRPr="006A2BF9" w:rsidRDefault="003952DD" w:rsidP="008B3BC8">
      <w:pPr>
        <w:keepNext/>
        <w:keepLines/>
        <w:rPr>
          <w:lang w:val="it-IT"/>
        </w:rPr>
      </w:pPr>
    </w:p>
    <w:p w14:paraId="156319E4" w14:textId="77777777" w:rsidR="00D15D42" w:rsidRPr="006A2BF9" w:rsidRDefault="003952DD" w:rsidP="008B3BC8">
      <w:pPr>
        <w:keepNext/>
        <w:keepLines/>
        <w:rPr>
          <w:lang w:val="it-IT"/>
        </w:rPr>
      </w:pPr>
      <w:r w:rsidRPr="006A2BF9">
        <w:rPr>
          <w:lang w:val="it-IT"/>
        </w:rPr>
        <w:t>Le reazioni avverse elencate in questa sezione ricadono nelle seguenti categorie</w:t>
      </w:r>
      <w:r w:rsidR="0035148B" w:rsidRPr="006A2BF9">
        <w:rPr>
          <w:lang w:val="it-IT"/>
        </w:rPr>
        <w:t xml:space="preserve"> di frequenza</w:t>
      </w:r>
      <w:r w:rsidRPr="006A2BF9">
        <w:rPr>
          <w:lang w:val="it-IT"/>
        </w:rPr>
        <w:t xml:space="preserve">: </w:t>
      </w:r>
      <w:r w:rsidR="0002350F" w:rsidRPr="006A2BF9">
        <w:rPr>
          <w:lang w:val="it-IT"/>
        </w:rPr>
        <w:t>m</w:t>
      </w:r>
      <w:r w:rsidRPr="006A2BF9">
        <w:rPr>
          <w:lang w:val="it-IT"/>
        </w:rPr>
        <w:t>olto comune (≥1/10)</w:t>
      </w:r>
      <w:r w:rsidR="00A4711E" w:rsidRPr="006A2BF9">
        <w:rPr>
          <w:lang w:val="it-IT"/>
        </w:rPr>
        <w:t>;</w:t>
      </w:r>
      <w:r w:rsidRPr="006A2BF9">
        <w:rPr>
          <w:lang w:val="it-IT"/>
        </w:rPr>
        <w:t xml:space="preserve"> comune (≥1/100</w:t>
      </w:r>
      <w:r w:rsidR="000C507E" w:rsidRPr="006A2BF9">
        <w:rPr>
          <w:lang w:val="it-IT"/>
        </w:rPr>
        <w:t>,</w:t>
      </w:r>
      <w:r w:rsidRPr="006A2BF9">
        <w:rPr>
          <w:lang w:val="it-IT"/>
        </w:rPr>
        <w:t xml:space="preserve"> &lt;1/10)</w:t>
      </w:r>
      <w:r w:rsidR="00A4711E" w:rsidRPr="006A2BF9">
        <w:rPr>
          <w:lang w:val="it-IT"/>
        </w:rPr>
        <w:t>;</w:t>
      </w:r>
      <w:r w:rsidRPr="006A2BF9">
        <w:rPr>
          <w:lang w:val="it-IT"/>
        </w:rPr>
        <w:t xml:space="preserve"> non comune (≥1/1.000</w:t>
      </w:r>
      <w:r w:rsidR="000C507E" w:rsidRPr="006A2BF9">
        <w:rPr>
          <w:lang w:val="it-IT"/>
        </w:rPr>
        <w:t>,</w:t>
      </w:r>
      <w:r w:rsidRPr="006A2BF9">
        <w:rPr>
          <w:lang w:val="it-IT"/>
        </w:rPr>
        <w:t xml:space="preserve"> &lt;1/100)</w:t>
      </w:r>
      <w:r w:rsidR="00A4711E" w:rsidRPr="006A2BF9">
        <w:rPr>
          <w:lang w:val="it-IT"/>
        </w:rPr>
        <w:t>;</w:t>
      </w:r>
      <w:r w:rsidRPr="006A2BF9">
        <w:rPr>
          <w:lang w:val="it-IT"/>
        </w:rPr>
        <w:t xml:space="preserve"> raro (≥1/10.000</w:t>
      </w:r>
      <w:r w:rsidR="000C507E" w:rsidRPr="006A2BF9">
        <w:rPr>
          <w:lang w:val="it-IT"/>
        </w:rPr>
        <w:t>,</w:t>
      </w:r>
      <w:r w:rsidRPr="006A2BF9">
        <w:rPr>
          <w:lang w:val="it-IT"/>
        </w:rPr>
        <w:t xml:space="preserve"> &lt;1/1.000)</w:t>
      </w:r>
      <w:r w:rsidR="00A4711E" w:rsidRPr="006A2BF9">
        <w:rPr>
          <w:lang w:val="it-IT"/>
        </w:rPr>
        <w:t>;</w:t>
      </w:r>
      <w:r w:rsidRPr="006A2BF9">
        <w:rPr>
          <w:lang w:val="it-IT"/>
        </w:rPr>
        <w:t xml:space="preserve"> molto rar</w:t>
      </w:r>
      <w:r w:rsidR="007A73D6" w:rsidRPr="006A2BF9">
        <w:rPr>
          <w:lang w:val="it-IT"/>
        </w:rPr>
        <w:t>o</w:t>
      </w:r>
      <w:r w:rsidRPr="006A2BF9">
        <w:rPr>
          <w:lang w:val="it-IT"/>
        </w:rPr>
        <w:t xml:space="preserve"> (&lt;1/10.000)</w:t>
      </w:r>
      <w:r w:rsidR="00A4711E" w:rsidRPr="006A2BF9">
        <w:rPr>
          <w:lang w:val="it-IT"/>
        </w:rPr>
        <w:t>;</w:t>
      </w:r>
      <w:r w:rsidR="00D15D42" w:rsidRPr="006A2BF9">
        <w:rPr>
          <w:lang w:val="it-IT"/>
        </w:rPr>
        <w:t xml:space="preserve"> non nota (la frequenza non può essere definita sulla base dei dati disponibili).</w:t>
      </w:r>
    </w:p>
    <w:p w14:paraId="15E4ED50" w14:textId="77777777" w:rsidR="00640622" w:rsidRPr="006A2BF9" w:rsidRDefault="00640622" w:rsidP="008B3BC8">
      <w:pPr>
        <w:keepNext/>
        <w:keepLines/>
        <w:rPr>
          <w:lang w:val="it-IT"/>
        </w:rPr>
      </w:pPr>
    </w:p>
    <w:p w14:paraId="0A70D35C" w14:textId="77777777" w:rsidR="00201117" w:rsidRPr="006A2BF9" w:rsidRDefault="009C0666" w:rsidP="00BB2AD4">
      <w:pPr>
        <w:rPr>
          <w:lang w:val="it-IT"/>
        </w:rPr>
      </w:pPr>
      <w:r w:rsidRPr="006A2BF9">
        <w:rPr>
          <w:lang w:val="it-IT"/>
        </w:rPr>
        <w:t>L</w:t>
      </w:r>
      <w:r w:rsidR="00201117" w:rsidRPr="006A2BF9">
        <w:rPr>
          <w:lang w:val="it-IT"/>
        </w:rPr>
        <w:t>e</w:t>
      </w:r>
      <w:r w:rsidRPr="006A2BF9">
        <w:rPr>
          <w:lang w:val="it-IT"/>
        </w:rPr>
        <w:t xml:space="preserve"> tabell</w:t>
      </w:r>
      <w:r w:rsidR="000C1753" w:rsidRPr="006A2BF9">
        <w:rPr>
          <w:lang w:val="it-IT"/>
        </w:rPr>
        <w:t>e</w:t>
      </w:r>
      <w:r w:rsidR="00EC6075" w:rsidRPr="006A2BF9">
        <w:rPr>
          <w:lang w:val="it-IT"/>
        </w:rPr>
        <w:t> </w:t>
      </w:r>
      <w:r w:rsidRPr="006A2BF9">
        <w:rPr>
          <w:lang w:val="it-IT"/>
        </w:rPr>
        <w:t>1</w:t>
      </w:r>
      <w:r w:rsidR="000C1753" w:rsidRPr="006A2BF9">
        <w:rPr>
          <w:lang w:val="it-IT"/>
        </w:rPr>
        <w:t xml:space="preserve"> e</w:t>
      </w:r>
      <w:r w:rsidR="001B2D24" w:rsidRPr="006A2BF9">
        <w:rPr>
          <w:lang w:val="it-IT"/>
        </w:rPr>
        <w:t> </w:t>
      </w:r>
      <w:r w:rsidR="000C1753" w:rsidRPr="006A2BF9">
        <w:rPr>
          <w:lang w:val="it-IT"/>
        </w:rPr>
        <w:t>2</w:t>
      </w:r>
      <w:r w:rsidRPr="006A2BF9">
        <w:rPr>
          <w:lang w:val="it-IT"/>
        </w:rPr>
        <w:t xml:space="preserve"> elenca</w:t>
      </w:r>
      <w:r w:rsidR="000C1753" w:rsidRPr="006A2BF9">
        <w:rPr>
          <w:lang w:val="it-IT"/>
        </w:rPr>
        <w:t>no</w:t>
      </w:r>
      <w:r w:rsidRPr="006A2BF9">
        <w:rPr>
          <w:lang w:val="it-IT"/>
        </w:rPr>
        <w:t xml:space="preserve"> le reazioni avverse associate </w:t>
      </w:r>
      <w:r w:rsidR="000C507E" w:rsidRPr="006A2BF9">
        <w:rPr>
          <w:lang w:val="it-IT"/>
        </w:rPr>
        <w:t>al</w:t>
      </w:r>
      <w:r w:rsidRPr="006A2BF9">
        <w:rPr>
          <w:lang w:val="it-IT"/>
        </w:rPr>
        <w:t xml:space="preserve">l’impiego di </w:t>
      </w:r>
      <w:r w:rsidR="00BE2B20" w:rsidRPr="006A2BF9">
        <w:rPr>
          <w:szCs w:val="22"/>
          <w:lang w:val="it-IT"/>
        </w:rPr>
        <w:t>bevacizumab</w:t>
      </w:r>
      <w:r w:rsidR="00BE2B20" w:rsidRPr="006A2BF9">
        <w:rPr>
          <w:lang w:val="it-IT"/>
        </w:rPr>
        <w:t xml:space="preserve"> </w:t>
      </w:r>
      <w:r w:rsidRPr="006A2BF9">
        <w:rPr>
          <w:lang w:val="it-IT"/>
        </w:rPr>
        <w:t xml:space="preserve">in </w:t>
      </w:r>
      <w:r w:rsidR="003A32A4" w:rsidRPr="006A2BF9">
        <w:rPr>
          <w:lang w:val="it-IT"/>
        </w:rPr>
        <w:t xml:space="preserve">associazione </w:t>
      </w:r>
      <w:r w:rsidR="000C507E" w:rsidRPr="006A2BF9">
        <w:rPr>
          <w:lang w:val="it-IT"/>
        </w:rPr>
        <w:t xml:space="preserve">a </w:t>
      </w:r>
      <w:r w:rsidRPr="006A2BF9">
        <w:rPr>
          <w:lang w:val="it-IT"/>
        </w:rPr>
        <w:t>diversi regimi chemioterapici in indicazioni multiple</w:t>
      </w:r>
      <w:r w:rsidR="00F24FE2" w:rsidRPr="006A2BF9">
        <w:rPr>
          <w:lang w:val="it-IT"/>
        </w:rPr>
        <w:t xml:space="preserve"> in base alla classificazione per sistemi e organi</w:t>
      </w:r>
      <w:r w:rsidR="005B0876" w:rsidRPr="006A2BF9">
        <w:rPr>
          <w:lang w:val="it-IT"/>
        </w:rPr>
        <w:t xml:space="preserve"> secondo il Medical Dictionary for Regulatory Activities (MedDRA, dizionario medico per le attività di regolamentazione)</w:t>
      </w:r>
      <w:r w:rsidRPr="006A2BF9">
        <w:rPr>
          <w:lang w:val="it-IT"/>
        </w:rPr>
        <w:t xml:space="preserve">. </w:t>
      </w:r>
    </w:p>
    <w:p w14:paraId="256913DD" w14:textId="77777777" w:rsidR="00201117" w:rsidRPr="006A2BF9" w:rsidRDefault="00201117" w:rsidP="00BB2AD4">
      <w:pPr>
        <w:rPr>
          <w:lang w:val="it-IT"/>
        </w:rPr>
      </w:pPr>
    </w:p>
    <w:p w14:paraId="4B2BDBE7" w14:textId="77777777" w:rsidR="00201117" w:rsidRPr="006A2BF9" w:rsidRDefault="008F437E" w:rsidP="00BB2AD4">
      <w:pPr>
        <w:rPr>
          <w:lang w:val="it-IT"/>
        </w:rPr>
      </w:pPr>
      <w:r w:rsidRPr="006A2BF9">
        <w:rPr>
          <w:lang w:val="it-IT"/>
        </w:rPr>
        <w:t>La tabella</w:t>
      </w:r>
      <w:r w:rsidR="00BE2B20" w:rsidRPr="006A2BF9">
        <w:rPr>
          <w:lang w:val="it-IT"/>
        </w:rPr>
        <w:t> </w:t>
      </w:r>
      <w:r w:rsidRPr="006A2BF9">
        <w:rPr>
          <w:lang w:val="it-IT"/>
        </w:rPr>
        <w:t xml:space="preserve">1 presenta </w:t>
      </w:r>
      <w:r w:rsidR="0035148B" w:rsidRPr="006A2BF9">
        <w:rPr>
          <w:lang w:val="it-IT"/>
        </w:rPr>
        <w:t xml:space="preserve">tutte </w:t>
      </w:r>
      <w:r w:rsidRPr="006A2BF9">
        <w:rPr>
          <w:lang w:val="it-IT"/>
        </w:rPr>
        <w:t>le reazioni avverse classificate in base alla frequenza</w:t>
      </w:r>
      <w:r w:rsidR="0035148B" w:rsidRPr="006A2BF9">
        <w:rPr>
          <w:lang w:val="it-IT"/>
        </w:rPr>
        <w:t xml:space="preserve"> la cui</w:t>
      </w:r>
      <w:r w:rsidRPr="006A2BF9">
        <w:rPr>
          <w:lang w:val="it-IT"/>
        </w:rPr>
        <w:t xml:space="preserve"> relazione causale </w:t>
      </w:r>
      <w:r w:rsidR="0035148B" w:rsidRPr="006A2BF9">
        <w:rPr>
          <w:lang w:val="it-IT"/>
        </w:rPr>
        <w:t>con</w:t>
      </w:r>
      <w:r w:rsidRPr="006A2BF9">
        <w:rPr>
          <w:lang w:val="it-IT"/>
        </w:rPr>
        <w:t xml:space="preserve"> </w:t>
      </w:r>
      <w:r w:rsidR="00BE2B20" w:rsidRPr="006A2BF9">
        <w:rPr>
          <w:szCs w:val="22"/>
          <w:lang w:val="it-IT"/>
        </w:rPr>
        <w:t>bevacizumab</w:t>
      </w:r>
      <w:r w:rsidR="00BE2B20" w:rsidRPr="006A2BF9">
        <w:rPr>
          <w:lang w:val="it-IT"/>
        </w:rPr>
        <w:t xml:space="preserve"> </w:t>
      </w:r>
      <w:r w:rsidRPr="006A2BF9">
        <w:rPr>
          <w:lang w:val="it-IT"/>
        </w:rPr>
        <w:t xml:space="preserve">è stata determinata sulla base </w:t>
      </w:r>
      <w:r w:rsidR="009B4241" w:rsidRPr="006A2BF9">
        <w:rPr>
          <w:lang w:val="it-IT"/>
        </w:rPr>
        <w:t>di:</w:t>
      </w:r>
    </w:p>
    <w:p w14:paraId="6CA005DB" w14:textId="77777777" w:rsidR="00201117" w:rsidRPr="00330A40" w:rsidRDefault="00F352DB" w:rsidP="00C65E97">
      <w:pPr>
        <w:ind w:left="567" w:hanging="567"/>
        <w:rPr>
          <w:lang w:val="it-IT"/>
        </w:rPr>
      </w:pPr>
      <w:r w:rsidRPr="00330A40">
        <w:rPr>
          <w:position w:val="2"/>
          <w:szCs w:val="22"/>
          <w:lang w:val="it-IT"/>
        </w:rPr>
        <w:sym w:font="Symbol" w:char="F0B7"/>
      </w:r>
      <w:r w:rsidRPr="00330A40">
        <w:rPr>
          <w:lang w:val="it-IT"/>
        </w:rPr>
        <w:tab/>
      </w:r>
      <w:r w:rsidR="008F437E" w:rsidRPr="00330A40">
        <w:rPr>
          <w:lang w:val="it-IT"/>
        </w:rPr>
        <w:t>incidenze comparative individuate tra bracci di trattamento di studi clinici</w:t>
      </w:r>
      <w:r w:rsidR="009B4241" w:rsidRPr="00330A40">
        <w:rPr>
          <w:lang w:val="it-IT"/>
        </w:rPr>
        <w:t xml:space="preserve"> (con una differenza di almeno il 10% rispetto al braccio di controllo per le reazioni di Grado</w:t>
      </w:r>
      <w:r w:rsidR="004D3812" w:rsidRPr="00330A40">
        <w:rPr>
          <w:lang w:val="it-IT"/>
        </w:rPr>
        <w:t> </w:t>
      </w:r>
      <w:r w:rsidR="009B4241" w:rsidRPr="00330A40">
        <w:rPr>
          <w:lang w:val="it-IT"/>
        </w:rPr>
        <w:t>1-5 secondo l’NCI-CTCAE o una differenza di almeno il 2% rispetto al braccio di controllo per le reazioni di Grado</w:t>
      </w:r>
      <w:r w:rsidR="004D3812" w:rsidRPr="00330A40">
        <w:rPr>
          <w:lang w:val="it-IT"/>
        </w:rPr>
        <w:t> </w:t>
      </w:r>
      <w:r w:rsidR="009B4241" w:rsidRPr="00330A40">
        <w:rPr>
          <w:lang w:val="it-IT"/>
        </w:rPr>
        <w:t>3</w:t>
      </w:r>
      <w:r w:rsidR="001B2D24" w:rsidRPr="00330A40">
        <w:rPr>
          <w:lang w:val="it-IT"/>
        </w:rPr>
        <w:noBreakHyphen/>
      </w:r>
      <w:r w:rsidR="009B4241" w:rsidRPr="00330A40">
        <w:rPr>
          <w:lang w:val="it-IT"/>
        </w:rPr>
        <w:t>5 secondo l’NCI-CTCAE)</w:t>
      </w:r>
      <w:r w:rsidR="008F437E" w:rsidRPr="00330A40">
        <w:rPr>
          <w:lang w:val="it-IT"/>
        </w:rPr>
        <w:t xml:space="preserve">, </w:t>
      </w:r>
    </w:p>
    <w:p w14:paraId="520D93B3" w14:textId="77777777" w:rsidR="00201117" w:rsidRPr="00330A40" w:rsidRDefault="00F352DB" w:rsidP="00C65E97">
      <w:pPr>
        <w:ind w:left="567" w:hanging="567"/>
        <w:rPr>
          <w:lang w:val="it-IT"/>
        </w:rPr>
      </w:pPr>
      <w:r w:rsidRPr="00330A40">
        <w:rPr>
          <w:position w:val="2"/>
          <w:szCs w:val="22"/>
          <w:lang w:val="it-IT"/>
        </w:rPr>
        <w:sym w:font="Symbol" w:char="F0B7"/>
      </w:r>
      <w:r w:rsidRPr="00330A40">
        <w:rPr>
          <w:lang w:val="it-IT"/>
        </w:rPr>
        <w:tab/>
      </w:r>
      <w:r w:rsidR="008F437E" w:rsidRPr="00330A40">
        <w:rPr>
          <w:lang w:val="it-IT"/>
        </w:rPr>
        <w:t>studi di sicurezza post-autorizzazione,</w:t>
      </w:r>
    </w:p>
    <w:p w14:paraId="6DE81EA7" w14:textId="77777777" w:rsidR="00201117" w:rsidRPr="00330A40" w:rsidRDefault="00F352DB" w:rsidP="00C65E97">
      <w:pPr>
        <w:ind w:left="567" w:hanging="567"/>
        <w:rPr>
          <w:lang w:val="it-IT"/>
        </w:rPr>
      </w:pPr>
      <w:r w:rsidRPr="00330A40">
        <w:rPr>
          <w:position w:val="2"/>
          <w:szCs w:val="22"/>
          <w:lang w:val="it-IT"/>
        </w:rPr>
        <w:sym w:font="Symbol" w:char="F0B7"/>
      </w:r>
      <w:r w:rsidRPr="00330A40">
        <w:rPr>
          <w:lang w:val="it-IT"/>
        </w:rPr>
        <w:tab/>
      </w:r>
      <w:r w:rsidR="008F437E" w:rsidRPr="00330A40">
        <w:rPr>
          <w:lang w:val="it-IT"/>
        </w:rPr>
        <w:t>segnalazione spontanea,</w:t>
      </w:r>
    </w:p>
    <w:p w14:paraId="7CECEAB2" w14:textId="77777777" w:rsidR="002E2542" w:rsidRPr="00330A40" w:rsidRDefault="00F352DB" w:rsidP="00C65E97">
      <w:pPr>
        <w:ind w:left="567" w:hanging="567"/>
        <w:rPr>
          <w:lang w:val="it-IT"/>
        </w:rPr>
      </w:pPr>
      <w:r w:rsidRPr="00330A40">
        <w:rPr>
          <w:position w:val="2"/>
          <w:szCs w:val="22"/>
          <w:lang w:val="it-IT"/>
        </w:rPr>
        <w:sym w:font="Symbol" w:char="F0B7"/>
      </w:r>
      <w:r w:rsidRPr="00330A40">
        <w:rPr>
          <w:lang w:val="it-IT"/>
        </w:rPr>
        <w:tab/>
      </w:r>
      <w:r w:rsidR="008F437E" w:rsidRPr="00330A40">
        <w:rPr>
          <w:lang w:val="it-IT"/>
        </w:rPr>
        <w:t>studi epidemiologici/non interventistici od osservazionali,</w:t>
      </w:r>
    </w:p>
    <w:p w14:paraId="27F49C96" w14:textId="77777777" w:rsidR="008F437E" w:rsidRPr="00330A40" w:rsidRDefault="00F352DB" w:rsidP="00C65E97">
      <w:pPr>
        <w:ind w:left="567" w:hanging="567"/>
        <w:rPr>
          <w:lang w:val="it-IT"/>
        </w:rPr>
      </w:pPr>
      <w:r w:rsidRPr="00330A40">
        <w:rPr>
          <w:position w:val="2"/>
          <w:szCs w:val="22"/>
          <w:lang w:val="it-IT"/>
        </w:rPr>
        <w:sym w:font="Symbol" w:char="F0B7"/>
      </w:r>
      <w:r w:rsidRPr="00330A40">
        <w:rPr>
          <w:lang w:val="it-IT"/>
        </w:rPr>
        <w:tab/>
      </w:r>
      <w:r w:rsidR="008F437E" w:rsidRPr="00330A40">
        <w:rPr>
          <w:lang w:val="it-IT"/>
        </w:rPr>
        <w:t>o mediante una valutazione dei singoli casi.</w:t>
      </w:r>
    </w:p>
    <w:p w14:paraId="6E27EBF3" w14:textId="77777777" w:rsidR="00C85679" w:rsidRPr="00330A40" w:rsidRDefault="00C85679" w:rsidP="00F352DB">
      <w:pPr>
        <w:ind w:left="720" w:hanging="720"/>
        <w:rPr>
          <w:lang w:val="it-IT"/>
        </w:rPr>
      </w:pPr>
    </w:p>
    <w:p w14:paraId="0C93B1BB" w14:textId="77777777" w:rsidR="00C85679" w:rsidRPr="006A2BF9" w:rsidRDefault="00C85679" w:rsidP="00BB2AD4">
      <w:pPr>
        <w:rPr>
          <w:lang w:val="it-IT"/>
        </w:rPr>
      </w:pPr>
      <w:r w:rsidRPr="00330A40">
        <w:rPr>
          <w:lang w:val="it-IT"/>
        </w:rPr>
        <w:t xml:space="preserve">La </w:t>
      </w:r>
      <w:r w:rsidR="002E5D3A" w:rsidRPr="00330A40">
        <w:rPr>
          <w:lang w:val="it-IT"/>
        </w:rPr>
        <w:t>t</w:t>
      </w:r>
      <w:r w:rsidRPr="00330A40">
        <w:rPr>
          <w:lang w:val="it-IT"/>
        </w:rPr>
        <w:t>abella</w:t>
      </w:r>
      <w:r w:rsidR="009F44A8" w:rsidRPr="00330A40">
        <w:rPr>
          <w:lang w:val="it-IT"/>
        </w:rPr>
        <w:t> </w:t>
      </w:r>
      <w:r w:rsidRPr="00330A40">
        <w:rPr>
          <w:lang w:val="it-IT"/>
        </w:rPr>
        <w:t xml:space="preserve">2 indica la frequenza delle reazioni avverse </w:t>
      </w:r>
      <w:r w:rsidR="00322B38" w:rsidRPr="00330A40">
        <w:rPr>
          <w:lang w:val="it-IT"/>
        </w:rPr>
        <w:t>severe</w:t>
      </w:r>
      <w:r w:rsidR="00662DA5" w:rsidRPr="00330A40">
        <w:rPr>
          <w:lang w:val="it-IT"/>
        </w:rPr>
        <w:t xml:space="preserve">. </w:t>
      </w:r>
      <w:r w:rsidRPr="00330A40">
        <w:rPr>
          <w:lang w:val="it-IT"/>
        </w:rPr>
        <w:t xml:space="preserve">Le reazioni </w:t>
      </w:r>
      <w:r w:rsidR="00322B38" w:rsidRPr="00330A40">
        <w:rPr>
          <w:lang w:val="it-IT"/>
        </w:rPr>
        <w:t xml:space="preserve">severe </w:t>
      </w:r>
      <w:r w:rsidRPr="00330A40">
        <w:rPr>
          <w:lang w:val="it-IT"/>
        </w:rPr>
        <w:t xml:space="preserve">sono definite come </w:t>
      </w:r>
      <w:r w:rsidR="00D63F4D">
        <w:rPr>
          <w:lang w:val="it-IT"/>
        </w:rPr>
        <w:t>reazioni</w:t>
      </w:r>
      <w:r w:rsidRPr="00330A40">
        <w:rPr>
          <w:lang w:val="it-IT"/>
        </w:rPr>
        <w:t>avvers</w:t>
      </w:r>
      <w:r w:rsidR="00D63F4D">
        <w:rPr>
          <w:lang w:val="it-IT"/>
        </w:rPr>
        <w:t>e</w:t>
      </w:r>
      <w:r w:rsidR="00380756" w:rsidRPr="00330A40">
        <w:rPr>
          <w:lang w:val="it-IT"/>
        </w:rPr>
        <w:t xml:space="preserve"> con una differenza di almeno il 2% rispetto al braccio di controllo in studi clinici per le reazioni di Grado</w:t>
      </w:r>
      <w:r w:rsidR="009F44A8" w:rsidRPr="00330A40">
        <w:rPr>
          <w:lang w:val="it-IT"/>
        </w:rPr>
        <w:t> </w:t>
      </w:r>
      <w:r w:rsidR="00380756" w:rsidRPr="00330A40">
        <w:rPr>
          <w:lang w:val="it-IT"/>
        </w:rPr>
        <w:t>3</w:t>
      </w:r>
      <w:r w:rsidR="001B2D24" w:rsidRPr="00330A40">
        <w:rPr>
          <w:lang w:val="it-IT"/>
        </w:rPr>
        <w:noBreakHyphen/>
      </w:r>
      <w:r w:rsidR="00380756" w:rsidRPr="00330A40">
        <w:rPr>
          <w:lang w:val="it-IT"/>
        </w:rPr>
        <w:t xml:space="preserve">5 secondo l’NCI-CTCAE. La </w:t>
      </w:r>
      <w:r w:rsidR="002E5D3A" w:rsidRPr="006A2BF9">
        <w:rPr>
          <w:lang w:val="it-IT"/>
        </w:rPr>
        <w:t>t</w:t>
      </w:r>
      <w:r w:rsidR="00380756" w:rsidRPr="006A2BF9">
        <w:rPr>
          <w:lang w:val="it-IT"/>
        </w:rPr>
        <w:t>abella</w:t>
      </w:r>
      <w:r w:rsidR="009F44A8" w:rsidRPr="006A2BF9">
        <w:rPr>
          <w:lang w:val="it-IT"/>
        </w:rPr>
        <w:t> </w:t>
      </w:r>
      <w:r w:rsidR="00380756" w:rsidRPr="006A2BF9">
        <w:rPr>
          <w:lang w:val="it-IT"/>
        </w:rPr>
        <w:t xml:space="preserve">2 comprende anche le reazioni avverse che secondo il </w:t>
      </w:r>
      <w:r w:rsidR="0022298C" w:rsidRPr="006A2BF9">
        <w:rPr>
          <w:lang w:val="it-IT"/>
        </w:rPr>
        <w:t>titolare dell’</w:t>
      </w:r>
      <w:r w:rsidR="00380756" w:rsidRPr="006A2BF9">
        <w:rPr>
          <w:lang w:val="it-IT"/>
        </w:rPr>
        <w:t>AIC sono considera</w:t>
      </w:r>
      <w:r w:rsidR="00EF4712" w:rsidRPr="006A2BF9">
        <w:rPr>
          <w:lang w:val="it-IT"/>
        </w:rPr>
        <w:t>te</w:t>
      </w:r>
      <w:r w:rsidR="00380756" w:rsidRPr="006A2BF9">
        <w:rPr>
          <w:lang w:val="it-IT"/>
        </w:rPr>
        <w:t xml:space="preserve"> clinicamente significative o </w:t>
      </w:r>
      <w:r w:rsidR="00322B38" w:rsidRPr="006A2BF9">
        <w:rPr>
          <w:lang w:val="it-IT"/>
        </w:rPr>
        <w:t>severe</w:t>
      </w:r>
      <w:r w:rsidR="00380756" w:rsidRPr="006A2BF9">
        <w:rPr>
          <w:lang w:val="it-IT"/>
        </w:rPr>
        <w:t>.</w:t>
      </w:r>
    </w:p>
    <w:p w14:paraId="19160E81" w14:textId="77777777" w:rsidR="00380756" w:rsidRPr="006A2BF9" w:rsidRDefault="00380756" w:rsidP="00BB2AD4">
      <w:pPr>
        <w:rPr>
          <w:lang w:val="it-IT"/>
        </w:rPr>
      </w:pPr>
    </w:p>
    <w:p w14:paraId="7E372DD9" w14:textId="77777777" w:rsidR="00380756" w:rsidRPr="006A2BF9" w:rsidRDefault="00380756" w:rsidP="00BB2AD4">
      <w:pPr>
        <w:rPr>
          <w:lang w:val="it-IT"/>
        </w:rPr>
      </w:pPr>
      <w:r w:rsidRPr="006A2BF9">
        <w:rPr>
          <w:lang w:val="it-IT"/>
        </w:rPr>
        <w:t>Le reazioni avverse post-</w:t>
      </w:r>
      <w:r w:rsidR="009541AD" w:rsidRPr="006A2BF9">
        <w:rPr>
          <w:lang w:val="it-IT"/>
        </w:rPr>
        <w:t>commercializzazione</w:t>
      </w:r>
      <w:r w:rsidR="002E5D3A" w:rsidRPr="006A2BF9">
        <w:rPr>
          <w:lang w:val="it-IT"/>
        </w:rPr>
        <w:t xml:space="preserve"> sono incluse sia nella tabella</w:t>
      </w:r>
      <w:r w:rsidR="009F44A8" w:rsidRPr="006A2BF9">
        <w:rPr>
          <w:lang w:val="it-IT"/>
        </w:rPr>
        <w:t> </w:t>
      </w:r>
      <w:r w:rsidR="002E5D3A" w:rsidRPr="006A2BF9">
        <w:rPr>
          <w:lang w:val="it-IT"/>
        </w:rPr>
        <w:t>1 che nella t</w:t>
      </w:r>
      <w:r w:rsidRPr="006A2BF9">
        <w:rPr>
          <w:lang w:val="it-IT"/>
        </w:rPr>
        <w:t>abella</w:t>
      </w:r>
      <w:r w:rsidR="009F44A8" w:rsidRPr="006A2BF9">
        <w:rPr>
          <w:lang w:val="it-IT"/>
        </w:rPr>
        <w:t> </w:t>
      </w:r>
      <w:r w:rsidRPr="006A2BF9">
        <w:rPr>
          <w:lang w:val="it-IT"/>
        </w:rPr>
        <w:t xml:space="preserve">2, </w:t>
      </w:r>
      <w:r w:rsidR="0022298C" w:rsidRPr="006A2BF9">
        <w:rPr>
          <w:lang w:val="it-IT"/>
        </w:rPr>
        <w:t xml:space="preserve">ove </w:t>
      </w:r>
      <w:r w:rsidRPr="006A2BF9">
        <w:rPr>
          <w:lang w:val="it-IT"/>
        </w:rPr>
        <w:t>applicabile. Informazioni dettagliate su queste reazioni post-</w:t>
      </w:r>
      <w:r w:rsidR="009541AD" w:rsidRPr="006A2BF9">
        <w:rPr>
          <w:lang w:val="it-IT"/>
        </w:rPr>
        <w:t>commercializzazione</w:t>
      </w:r>
      <w:r w:rsidR="002E5D3A" w:rsidRPr="006A2BF9">
        <w:rPr>
          <w:lang w:val="it-IT"/>
        </w:rPr>
        <w:t xml:space="preserve"> sono riportate nella t</w:t>
      </w:r>
      <w:r w:rsidRPr="006A2BF9">
        <w:rPr>
          <w:lang w:val="it-IT"/>
        </w:rPr>
        <w:t>abella</w:t>
      </w:r>
      <w:r w:rsidR="009F44A8" w:rsidRPr="006A2BF9">
        <w:rPr>
          <w:lang w:val="it-IT"/>
        </w:rPr>
        <w:t> </w:t>
      </w:r>
      <w:r w:rsidRPr="006A2BF9">
        <w:rPr>
          <w:lang w:val="it-IT"/>
        </w:rPr>
        <w:t>3.</w:t>
      </w:r>
    </w:p>
    <w:p w14:paraId="25E6C682" w14:textId="77777777" w:rsidR="00AB2940" w:rsidRPr="006A2BF9" w:rsidRDefault="00AB2940" w:rsidP="00BB2AD4">
      <w:pPr>
        <w:rPr>
          <w:lang w:val="it-IT"/>
        </w:rPr>
      </w:pPr>
    </w:p>
    <w:p w14:paraId="215A39A0" w14:textId="77777777" w:rsidR="000571C8" w:rsidRPr="006A2BF9" w:rsidRDefault="009C0666" w:rsidP="00C65E97">
      <w:pPr>
        <w:keepLines/>
        <w:rPr>
          <w:lang w:val="it-IT"/>
        </w:rPr>
      </w:pPr>
      <w:r w:rsidRPr="006A2BF9">
        <w:rPr>
          <w:lang w:val="it-IT"/>
        </w:rPr>
        <w:t>Le reazioni avverse sono inserite nell</w:t>
      </w:r>
      <w:r w:rsidR="0022298C" w:rsidRPr="006A2BF9">
        <w:rPr>
          <w:lang w:val="it-IT"/>
        </w:rPr>
        <w:t xml:space="preserve">a </w:t>
      </w:r>
      <w:r w:rsidRPr="006A2BF9">
        <w:rPr>
          <w:lang w:val="it-IT"/>
        </w:rPr>
        <w:t>categoria</w:t>
      </w:r>
      <w:r w:rsidR="000C1753" w:rsidRPr="006A2BF9">
        <w:rPr>
          <w:lang w:val="it-IT"/>
        </w:rPr>
        <w:t xml:space="preserve"> di frequenza</w:t>
      </w:r>
      <w:r w:rsidRPr="006A2BF9">
        <w:rPr>
          <w:lang w:val="it-IT"/>
        </w:rPr>
        <w:t xml:space="preserve"> </w:t>
      </w:r>
      <w:r w:rsidR="0022298C" w:rsidRPr="006A2BF9">
        <w:rPr>
          <w:lang w:val="it-IT"/>
        </w:rPr>
        <w:t xml:space="preserve">appropriata </w:t>
      </w:r>
      <w:r w:rsidRPr="006A2BF9">
        <w:rPr>
          <w:lang w:val="it-IT"/>
        </w:rPr>
        <w:t>dell</w:t>
      </w:r>
      <w:r w:rsidR="000C1753" w:rsidRPr="006A2BF9">
        <w:rPr>
          <w:lang w:val="it-IT"/>
        </w:rPr>
        <w:t>e</w:t>
      </w:r>
      <w:r w:rsidRPr="006A2BF9">
        <w:rPr>
          <w:lang w:val="it-IT"/>
        </w:rPr>
        <w:t xml:space="preserve"> tabell</w:t>
      </w:r>
      <w:r w:rsidR="000C1753" w:rsidRPr="006A2BF9">
        <w:rPr>
          <w:lang w:val="it-IT"/>
        </w:rPr>
        <w:t>e</w:t>
      </w:r>
      <w:r w:rsidRPr="006A2BF9">
        <w:rPr>
          <w:lang w:val="it-IT"/>
        </w:rPr>
        <w:t xml:space="preserve"> sottostant</w:t>
      </w:r>
      <w:r w:rsidR="000C1753" w:rsidRPr="006A2BF9">
        <w:rPr>
          <w:lang w:val="it-IT"/>
        </w:rPr>
        <w:t>i</w:t>
      </w:r>
      <w:r w:rsidRPr="006A2BF9">
        <w:rPr>
          <w:lang w:val="it-IT"/>
        </w:rPr>
        <w:t xml:space="preserve"> in base all’incidenza più elevata osservata in qualsiasi </w:t>
      </w:r>
      <w:r w:rsidR="000C1753" w:rsidRPr="006A2BF9">
        <w:rPr>
          <w:lang w:val="it-IT"/>
        </w:rPr>
        <w:t>indicazione.</w:t>
      </w:r>
    </w:p>
    <w:p w14:paraId="1D618525" w14:textId="77777777" w:rsidR="0031467E" w:rsidRPr="006A2BF9" w:rsidRDefault="0022298C" w:rsidP="00C65E97">
      <w:pPr>
        <w:keepLines/>
        <w:rPr>
          <w:lang w:val="it-IT"/>
        </w:rPr>
      </w:pPr>
      <w:r w:rsidRPr="006A2BF9">
        <w:rPr>
          <w:lang w:val="it-IT"/>
        </w:rPr>
        <w:t xml:space="preserve">Nell’ambito di </w:t>
      </w:r>
      <w:r w:rsidR="009C0666" w:rsidRPr="006A2BF9">
        <w:rPr>
          <w:lang w:val="it-IT"/>
        </w:rPr>
        <w:t>ciascun</w:t>
      </w:r>
      <w:r w:rsidR="00EF4712" w:rsidRPr="006A2BF9">
        <w:rPr>
          <w:lang w:val="it-IT"/>
        </w:rPr>
        <w:t>a</w:t>
      </w:r>
      <w:r w:rsidR="009C0666" w:rsidRPr="006A2BF9">
        <w:rPr>
          <w:lang w:val="it-IT"/>
        </w:rPr>
        <w:t xml:space="preserve"> </w:t>
      </w:r>
      <w:r w:rsidR="0031467E" w:rsidRPr="006A2BF9">
        <w:rPr>
          <w:lang w:val="it-IT"/>
        </w:rPr>
        <w:t>categoria</w:t>
      </w:r>
      <w:r w:rsidR="00D00568" w:rsidRPr="006A2BF9">
        <w:rPr>
          <w:lang w:val="it-IT"/>
        </w:rPr>
        <w:t xml:space="preserve"> </w:t>
      </w:r>
      <w:r w:rsidR="009C0666" w:rsidRPr="006A2BF9">
        <w:rPr>
          <w:lang w:val="it-IT"/>
        </w:rPr>
        <w:t xml:space="preserve">di frequenza le reazioni avverse sono presentate in ordine di gravità decrescente. </w:t>
      </w:r>
    </w:p>
    <w:p w14:paraId="413DA400" w14:textId="77777777" w:rsidR="0031467E" w:rsidRPr="006A2BF9" w:rsidRDefault="0031467E" w:rsidP="00C65E97">
      <w:pPr>
        <w:keepLines/>
        <w:rPr>
          <w:lang w:val="it-IT"/>
        </w:rPr>
      </w:pPr>
    </w:p>
    <w:p w14:paraId="74C95961" w14:textId="77777777" w:rsidR="009C0666" w:rsidRPr="00330A40" w:rsidRDefault="009C0666" w:rsidP="00C65E97">
      <w:pPr>
        <w:keepLines/>
        <w:rPr>
          <w:lang w:val="it-IT"/>
        </w:rPr>
      </w:pPr>
      <w:r w:rsidRPr="006A2BF9">
        <w:rPr>
          <w:lang w:val="it-IT"/>
        </w:rPr>
        <w:t>Alcune delle reazioni avverse sono reazioni comunemente osservate con la chemioterapia</w:t>
      </w:r>
      <w:r w:rsidR="00436C24" w:rsidRPr="006A2BF9">
        <w:rPr>
          <w:lang w:val="it-IT"/>
        </w:rPr>
        <w:t xml:space="preserve">; tuttavia </w:t>
      </w:r>
      <w:r w:rsidR="009F44A8" w:rsidRPr="006A2BF9">
        <w:rPr>
          <w:szCs w:val="22"/>
          <w:lang w:val="it-IT"/>
        </w:rPr>
        <w:t>bevacizumab</w:t>
      </w:r>
      <w:r w:rsidR="009F44A8" w:rsidRPr="006A2BF9">
        <w:rPr>
          <w:lang w:val="it-IT"/>
        </w:rPr>
        <w:t xml:space="preserve"> </w:t>
      </w:r>
      <w:r w:rsidR="00242C84" w:rsidRPr="006A2BF9">
        <w:rPr>
          <w:lang w:val="it-IT"/>
        </w:rPr>
        <w:t>può</w:t>
      </w:r>
      <w:r w:rsidR="00436C24" w:rsidRPr="006A2BF9">
        <w:rPr>
          <w:lang w:val="it-IT"/>
        </w:rPr>
        <w:t xml:space="preserve"> esacerbare queste reazioni quando associato ad agenti chemioterapici. Esempi includono </w:t>
      </w:r>
      <w:r w:rsidR="0022298C" w:rsidRPr="006A2BF9">
        <w:rPr>
          <w:lang w:val="it-IT"/>
        </w:rPr>
        <w:t>l’</w:t>
      </w:r>
      <w:r w:rsidR="00436C24" w:rsidRPr="006A2BF9">
        <w:rPr>
          <w:lang w:val="it-IT"/>
        </w:rPr>
        <w:t>eritrodisestesia palmo</w:t>
      </w:r>
      <w:r w:rsidR="00DC4C6E" w:rsidRPr="006A2BF9">
        <w:rPr>
          <w:lang w:val="it-IT"/>
        </w:rPr>
        <w:noBreakHyphen/>
      </w:r>
      <w:r w:rsidR="00436C24" w:rsidRPr="006A2BF9">
        <w:rPr>
          <w:lang w:val="it-IT"/>
        </w:rPr>
        <w:t xml:space="preserve">plantare con doxorubicina liposomiale pegilata o capecitabina, la neuropatia sensoriale </w:t>
      </w:r>
      <w:r w:rsidR="0022298C" w:rsidRPr="006A2BF9">
        <w:rPr>
          <w:lang w:val="it-IT"/>
        </w:rPr>
        <w:t xml:space="preserve">periferica </w:t>
      </w:r>
      <w:r w:rsidR="00436C24" w:rsidRPr="00330A40">
        <w:rPr>
          <w:lang w:val="it-IT"/>
        </w:rPr>
        <w:t>con paclitaxel o oxaliplatino, disturbi alle unghie o alopecia con paclitaxel</w:t>
      </w:r>
      <w:r w:rsidR="00BB195D" w:rsidRPr="00330A40">
        <w:rPr>
          <w:lang w:val="it-IT"/>
        </w:rPr>
        <w:t xml:space="preserve">, e paronichia con erlotinib. </w:t>
      </w:r>
    </w:p>
    <w:p w14:paraId="6B76E615" w14:textId="77777777" w:rsidR="00B47AC4" w:rsidRPr="00330A40" w:rsidRDefault="00B47AC4" w:rsidP="00C65E97">
      <w:pPr>
        <w:keepLines/>
        <w:rPr>
          <w:lang w:val="it-IT"/>
        </w:rPr>
      </w:pPr>
    </w:p>
    <w:p w14:paraId="4B65999B" w14:textId="77777777" w:rsidR="000C1753" w:rsidRPr="00330A40" w:rsidRDefault="000C1753" w:rsidP="00B26F69">
      <w:pPr>
        <w:ind w:left="1411" w:hanging="1411"/>
        <w:rPr>
          <w:i/>
          <w:iCs/>
          <w:lang w:val="it-IT"/>
        </w:rPr>
      </w:pPr>
      <w:r w:rsidRPr="00330A40">
        <w:rPr>
          <w:rFonts w:eastAsia="MS Mincho"/>
          <w:b/>
          <w:bCs/>
          <w:lang w:val="it-IT"/>
        </w:rPr>
        <w:t>Tabella 1</w:t>
      </w:r>
      <w:r w:rsidRPr="00330A40">
        <w:rPr>
          <w:b/>
          <w:bCs/>
          <w:lang w:val="it-IT"/>
        </w:rPr>
        <w:tab/>
        <w:t>Reazioni avverse classificate in base alla frequenza</w:t>
      </w:r>
    </w:p>
    <w:tbl>
      <w:tblPr>
        <w:tblW w:w="9087" w:type="dxa"/>
        <w:tblInd w:w="93" w:type="dxa"/>
        <w:tblLayout w:type="fixed"/>
        <w:tblLook w:val="04A0" w:firstRow="1" w:lastRow="0" w:firstColumn="1" w:lastColumn="0" w:noHBand="0" w:noVBand="1"/>
      </w:tblPr>
      <w:tblGrid>
        <w:gridCol w:w="1291"/>
        <w:gridCol w:w="1559"/>
        <w:gridCol w:w="1701"/>
        <w:gridCol w:w="851"/>
        <w:gridCol w:w="1417"/>
        <w:gridCol w:w="851"/>
        <w:gridCol w:w="1417"/>
      </w:tblGrid>
      <w:tr w:rsidR="000C1753" w:rsidRPr="006A2BF9" w14:paraId="74D71510" w14:textId="77777777" w:rsidTr="00B26F69">
        <w:trPr>
          <w:cantSplit/>
          <w:trHeight w:val="510"/>
          <w:tblHeader/>
        </w:trPr>
        <w:tc>
          <w:tcPr>
            <w:tcW w:w="1291" w:type="dxa"/>
            <w:tcBorders>
              <w:top w:val="single" w:sz="8" w:space="0" w:color="auto"/>
              <w:left w:val="single" w:sz="8" w:space="0" w:color="auto"/>
              <w:bottom w:val="single" w:sz="4" w:space="0" w:color="auto"/>
              <w:right w:val="single" w:sz="4" w:space="0" w:color="auto"/>
            </w:tcBorders>
            <w:shd w:val="clear" w:color="auto" w:fill="auto"/>
          </w:tcPr>
          <w:p w14:paraId="13C2B165" w14:textId="77777777" w:rsidR="000C1753" w:rsidRPr="00330A40" w:rsidRDefault="000C1753" w:rsidP="00B26F69">
            <w:pPr>
              <w:jc w:val="center"/>
              <w:rPr>
                <w:rFonts w:cs="Arial"/>
                <w:b/>
                <w:sz w:val="19"/>
                <w:szCs w:val="19"/>
                <w:lang w:val="it-IT" w:eastAsia="zh-TW"/>
              </w:rPr>
            </w:pPr>
            <w:r w:rsidRPr="00330A40">
              <w:rPr>
                <w:rFonts w:cs="Arial"/>
                <w:b/>
                <w:sz w:val="19"/>
                <w:szCs w:val="19"/>
                <w:lang w:val="it-IT" w:eastAsia="zh-TW"/>
              </w:rPr>
              <w:t>Classificazione per sistemi e organi</w:t>
            </w:r>
          </w:p>
        </w:tc>
        <w:tc>
          <w:tcPr>
            <w:tcW w:w="1559" w:type="dxa"/>
            <w:tcBorders>
              <w:top w:val="single" w:sz="8" w:space="0" w:color="auto"/>
              <w:left w:val="nil"/>
              <w:bottom w:val="single" w:sz="4" w:space="0" w:color="auto"/>
              <w:right w:val="single" w:sz="4" w:space="0" w:color="auto"/>
            </w:tcBorders>
            <w:shd w:val="clear" w:color="auto" w:fill="auto"/>
            <w:vAlign w:val="center"/>
          </w:tcPr>
          <w:p w14:paraId="2F1C1A41" w14:textId="77777777" w:rsidR="000C1753" w:rsidRPr="00330A40" w:rsidRDefault="000C1753" w:rsidP="00B26F69">
            <w:pPr>
              <w:jc w:val="center"/>
              <w:rPr>
                <w:rFonts w:cs="Arial"/>
                <w:b/>
                <w:sz w:val="19"/>
                <w:szCs w:val="19"/>
                <w:lang w:val="it-IT" w:eastAsia="zh-TW"/>
              </w:rPr>
            </w:pPr>
            <w:r w:rsidRPr="00330A40">
              <w:rPr>
                <w:rFonts w:cs="Arial"/>
                <w:b/>
                <w:sz w:val="19"/>
                <w:szCs w:val="19"/>
                <w:lang w:val="it-IT" w:eastAsia="zh-TW"/>
              </w:rPr>
              <w:t>Molto comune</w:t>
            </w:r>
          </w:p>
        </w:tc>
        <w:tc>
          <w:tcPr>
            <w:tcW w:w="1701" w:type="dxa"/>
            <w:tcBorders>
              <w:top w:val="single" w:sz="8" w:space="0" w:color="auto"/>
              <w:left w:val="nil"/>
              <w:bottom w:val="single" w:sz="4" w:space="0" w:color="auto"/>
              <w:right w:val="single" w:sz="4" w:space="0" w:color="auto"/>
            </w:tcBorders>
            <w:shd w:val="clear" w:color="auto" w:fill="auto"/>
            <w:vAlign w:val="center"/>
          </w:tcPr>
          <w:p w14:paraId="6427E9AE" w14:textId="77777777" w:rsidR="000C1753" w:rsidRPr="00330A40" w:rsidRDefault="000C1753" w:rsidP="00B26F69">
            <w:pPr>
              <w:jc w:val="center"/>
              <w:rPr>
                <w:rFonts w:cs="Arial"/>
                <w:b/>
                <w:sz w:val="19"/>
                <w:szCs w:val="19"/>
                <w:lang w:val="it-IT" w:eastAsia="zh-TW"/>
              </w:rPr>
            </w:pPr>
            <w:r w:rsidRPr="00330A40">
              <w:rPr>
                <w:rFonts w:cs="Arial"/>
                <w:b/>
                <w:sz w:val="19"/>
                <w:szCs w:val="19"/>
                <w:lang w:val="it-IT" w:eastAsia="zh-TW"/>
              </w:rPr>
              <w:t>Comune</w:t>
            </w:r>
          </w:p>
        </w:tc>
        <w:tc>
          <w:tcPr>
            <w:tcW w:w="851" w:type="dxa"/>
            <w:tcBorders>
              <w:top w:val="single" w:sz="8" w:space="0" w:color="auto"/>
              <w:left w:val="nil"/>
              <w:bottom w:val="nil"/>
              <w:right w:val="single" w:sz="4" w:space="0" w:color="auto"/>
            </w:tcBorders>
            <w:shd w:val="clear" w:color="auto" w:fill="auto"/>
            <w:vAlign w:val="center"/>
          </w:tcPr>
          <w:p w14:paraId="6A3CAFA5" w14:textId="77777777" w:rsidR="000C1753" w:rsidRPr="00330A40" w:rsidRDefault="000C1753" w:rsidP="00B26F69">
            <w:pPr>
              <w:jc w:val="center"/>
              <w:rPr>
                <w:rFonts w:cs="Arial"/>
                <w:b/>
                <w:sz w:val="19"/>
                <w:szCs w:val="19"/>
                <w:lang w:val="it-IT" w:eastAsia="zh-TW"/>
              </w:rPr>
            </w:pPr>
            <w:r w:rsidRPr="00330A40">
              <w:rPr>
                <w:rFonts w:cs="Arial"/>
                <w:b/>
                <w:sz w:val="19"/>
                <w:szCs w:val="19"/>
                <w:lang w:val="it-IT" w:eastAsia="zh-TW"/>
              </w:rPr>
              <w:t>Non comune</w:t>
            </w:r>
          </w:p>
        </w:tc>
        <w:tc>
          <w:tcPr>
            <w:tcW w:w="1417" w:type="dxa"/>
            <w:tcBorders>
              <w:top w:val="single" w:sz="8" w:space="0" w:color="auto"/>
              <w:left w:val="nil"/>
              <w:bottom w:val="nil"/>
              <w:right w:val="single" w:sz="4" w:space="0" w:color="auto"/>
            </w:tcBorders>
            <w:shd w:val="clear" w:color="auto" w:fill="auto"/>
            <w:vAlign w:val="center"/>
          </w:tcPr>
          <w:p w14:paraId="352B3B50" w14:textId="77777777" w:rsidR="000C1753" w:rsidRPr="00330A40" w:rsidRDefault="000C1753" w:rsidP="00B26F69">
            <w:pPr>
              <w:jc w:val="center"/>
              <w:rPr>
                <w:rFonts w:cs="Arial"/>
                <w:b/>
                <w:sz w:val="19"/>
                <w:szCs w:val="19"/>
                <w:lang w:val="it-IT" w:eastAsia="zh-TW"/>
              </w:rPr>
            </w:pPr>
            <w:r w:rsidRPr="00330A40">
              <w:rPr>
                <w:rFonts w:cs="Arial"/>
                <w:b/>
                <w:sz w:val="19"/>
                <w:szCs w:val="19"/>
                <w:lang w:val="it-IT" w:eastAsia="zh-TW"/>
              </w:rPr>
              <w:t>Raro</w:t>
            </w:r>
          </w:p>
        </w:tc>
        <w:tc>
          <w:tcPr>
            <w:tcW w:w="851" w:type="dxa"/>
            <w:tcBorders>
              <w:top w:val="single" w:sz="8" w:space="0" w:color="auto"/>
              <w:left w:val="nil"/>
              <w:bottom w:val="nil"/>
              <w:right w:val="single" w:sz="4" w:space="0" w:color="auto"/>
            </w:tcBorders>
            <w:shd w:val="clear" w:color="auto" w:fill="auto"/>
            <w:vAlign w:val="center"/>
          </w:tcPr>
          <w:p w14:paraId="568F34E4" w14:textId="77777777" w:rsidR="000C1753" w:rsidRPr="006A2BF9" w:rsidRDefault="000C1753" w:rsidP="00B26F69">
            <w:pPr>
              <w:jc w:val="center"/>
              <w:rPr>
                <w:rFonts w:cs="Arial"/>
                <w:b/>
                <w:sz w:val="19"/>
                <w:szCs w:val="19"/>
                <w:lang w:val="it-IT" w:eastAsia="zh-TW"/>
              </w:rPr>
            </w:pPr>
            <w:r w:rsidRPr="006A2BF9">
              <w:rPr>
                <w:rFonts w:cs="Arial"/>
                <w:b/>
                <w:sz w:val="19"/>
                <w:szCs w:val="19"/>
                <w:lang w:val="it-IT" w:eastAsia="zh-TW"/>
              </w:rPr>
              <w:t>Molto raro</w:t>
            </w:r>
          </w:p>
        </w:tc>
        <w:tc>
          <w:tcPr>
            <w:tcW w:w="1417" w:type="dxa"/>
            <w:tcBorders>
              <w:top w:val="single" w:sz="8" w:space="0" w:color="auto"/>
              <w:left w:val="nil"/>
              <w:bottom w:val="nil"/>
              <w:right w:val="single" w:sz="8" w:space="0" w:color="auto"/>
            </w:tcBorders>
            <w:shd w:val="clear" w:color="auto" w:fill="auto"/>
            <w:vAlign w:val="center"/>
          </w:tcPr>
          <w:p w14:paraId="4EECFDF2" w14:textId="77777777" w:rsidR="000C1753" w:rsidRPr="006A2BF9" w:rsidRDefault="000C1753" w:rsidP="00B26F69">
            <w:pPr>
              <w:jc w:val="center"/>
              <w:rPr>
                <w:rFonts w:cs="Arial"/>
                <w:b/>
                <w:sz w:val="19"/>
                <w:szCs w:val="19"/>
                <w:lang w:val="it-IT" w:eastAsia="zh-TW"/>
              </w:rPr>
            </w:pPr>
            <w:r w:rsidRPr="006A2BF9">
              <w:rPr>
                <w:rFonts w:cs="Arial"/>
                <w:b/>
                <w:sz w:val="19"/>
                <w:szCs w:val="19"/>
                <w:lang w:val="it-IT" w:eastAsia="zh-TW"/>
              </w:rPr>
              <w:t>Frequenza non nota</w:t>
            </w:r>
          </w:p>
        </w:tc>
      </w:tr>
      <w:tr w:rsidR="000C1753" w:rsidRPr="006A2BF9" w14:paraId="56B93B21" w14:textId="77777777" w:rsidTr="006D575B">
        <w:trPr>
          <w:trHeight w:val="120"/>
        </w:trPr>
        <w:tc>
          <w:tcPr>
            <w:tcW w:w="1291" w:type="dxa"/>
            <w:tcBorders>
              <w:top w:val="nil"/>
              <w:left w:val="single" w:sz="8" w:space="0" w:color="auto"/>
              <w:bottom w:val="single" w:sz="4" w:space="0" w:color="000000"/>
              <w:right w:val="nil"/>
            </w:tcBorders>
            <w:shd w:val="clear" w:color="000000" w:fill="FFFFFF"/>
          </w:tcPr>
          <w:p w14:paraId="7A4FF315"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t>Infezioni e infestazioni</w:t>
            </w:r>
          </w:p>
        </w:tc>
        <w:tc>
          <w:tcPr>
            <w:tcW w:w="1559" w:type="dxa"/>
            <w:tcBorders>
              <w:top w:val="nil"/>
              <w:left w:val="single" w:sz="4" w:space="0" w:color="auto"/>
              <w:bottom w:val="single" w:sz="4" w:space="0" w:color="auto"/>
              <w:right w:val="single" w:sz="4" w:space="0" w:color="auto"/>
            </w:tcBorders>
            <w:shd w:val="clear" w:color="000000" w:fill="FFFFFF"/>
          </w:tcPr>
          <w:p w14:paraId="682D5899" w14:textId="77777777" w:rsidR="000C1753" w:rsidRPr="006A2BF9" w:rsidRDefault="000C1753" w:rsidP="00B26F69">
            <w:pPr>
              <w:jc w:val="center"/>
              <w:rPr>
                <w:rFonts w:cs="Arial"/>
                <w:sz w:val="19"/>
                <w:szCs w:val="19"/>
                <w:lang w:val="it-IT" w:eastAsia="zh-TW"/>
              </w:rPr>
            </w:pPr>
          </w:p>
        </w:tc>
        <w:tc>
          <w:tcPr>
            <w:tcW w:w="1701" w:type="dxa"/>
            <w:tcBorders>
              <w:top w:val="nil"/>
              <w:left w:val="nil"/>
              <w:right w:val="nil"/>
            </w:tcBorders>
            <w:shd w:val="clear" w:color="000000" w:fill="FFFFFF"/>
          </w:tcPr>
          <w:p w14:paraId="2EACDC0C" w14:textId="77777777" w:rsidR="0031467E" w:rsidRPr="006A2BF9" w:rsidRDefault="00E5085D" w:rsidP="00B26F69">
            <w:pPr>
              <w:jc w:val="center"/>
              <w:rPr>
                <w:rFonts w:cs="Arial"/>
                <w:bCs/>
                <w:sz w:val="19"/>
                <w:szCs w:val="19"/>
                <w:lang w:val="it-IT" w:eastAsia="zh-TW"/>
              </w:rPr>
            </w:pPr>
            <w:r w:rsidRPr="006A2BF9">
              <w:rPr>
                <w:rFonts w:cs="Arial"/>
                <w:bCs/>
                <w:sz w:val="19"/>
                <w:szCs w:val="19"/>
                <w:lang w:val="it-IT" w:eastAsia="zh-TW"/>
              </w:rPr>
              <w:t>Sepsi</w:t>
            </w:r>
            <w:r w:rsidR="00FE10D4" w:rsidRPr="006A2BF9">
              <w:rPr>
                <w:rFonts w:cs="Arial"/>
                <w:bCs/>
                <w:sz w:val="19"/>
                <w:szCs w:val="19"/>
                <w:lang w:val="it-IT" w:eastAsia="zh-TW"/>
              </w:rPr>
              <w:t>,</w:t>
            </w:r>
          </w:p>
          <w:p w14:paraId="38827281" w14:textId="77777777" w:rsidR="00E5085D" w:rsidRPr="006A2BF9" w:rsidRDefault="00E5085D" w:rsidP="00B26F69">
            <w:pPr>
              <w:jc w:val="center"/>
              <w:rPr>
                <w:rFonts w:cs="Arial"/>
                <w:bCs/>
                <w:sz w:val="19"/>
                <w:szCs w:val="19"/>
                <w:vertAlign w:val="superscript"/>
                <w:lang w:val="it-IT" w:eastAsia="zh-TW"/>
              </w:rPr>
            </w:pPr>
            <w:r w:rsidRPr="006A2BF9">
              <w:rPr>
                <w:rFonts w:cs="Arial"/>
                <w:bCs/>
                <w:sz w:val="19"/>
                <w:szCs w:val="19"/>
                <w:lang w:val="it-IT" w:eastAsia="zh-TW"/>
              </w:rPr>
              <w:t>Ascesso</w:t>
            </w:r>
            <w:r w:rsidR="00FE10D4" w:rsidRPr="006A2BF9">
              <w:rPr>
                <w:rFonts w:cs="Arial"/>
                <w:bCs/>
                <w:sz w:val="19"/>
                <w:szCs w:val="19"/>
                <w:vertAlign w:val="superscript"/>
                <w:lang w:val="it-IT" w:eastAsia="zh-TW"/>
              </w:rPr>
              <w:t>b,d</w:t>
            </w:r>
            <w:r w:rsidR="00FE10D4" w:rsidRPr="006A2BF9">
              <w:rPr>
                <w:rFonts w:cs="Arial"/>
                <w:bCs/>
                <w:sz w:val="19"/>
                <w:szCs w:val="19"/>
                <w:lang w:val="it-IT" w:eastAsia="zh-TW"/>
              </w:rPr>
              <w:t>,</w:t>
            </w:r>
            <w:r w:rsidRPr="006A2BF9">
              <w:rPr>
                <w:rFonts w:cs="Arial"/>
                <w:bCs/>
                <w:sz w:val="19"/>
                <w:szCs w:val="19"/>
                <w:lang w:val="it-IT" w:eastAsia="zh-TW"/>
              </w:rPr>
              <w:t xml:space="preserve"> </w:t>
            </w:r>
          </w:p>
          <w:p w14:paraId="7F6F96E7" w14:textId="77777777" w:rsidR="001C5AC5" w:rsidRPr="006A2BF9" w:rsidRDefault="001C5AC5" w:rsidP="00B26F69">
            <w:pPr>
              <w:jc w:val="center"/>
              <w:rPr>
                <w:rFonts w:cs="Arial"/>
                <w:bCs/>
                <w:sz w:val="19"/>
                <w:szCs w:val="19"/>
                <w:lang w:val="it-IT" w:eastAsia="zh-TW"/>
              </w:rPr>
            </w:pPr>
            <w:r w:rsidRPr="006A2BF9">
              <w:rPr>
                <w:rFonts w:cs="Arial"/>
                <w:bCs/>
                <w:sz w:val="19"/>
                <w:szCs w:val="19"/>
                <w:lang w:val="it-IT" w:eastAsia="zh-TW"/>
              </w:rPr>
              <w:t>Cellulite,</w:t>
            </w:r>
          </w:p>
          <w:p w14:paraId="76FD062A" w14:textId="77777777" w:rsidR="00E5085D" w:rsidRPr="006A2BF9" w:rsidRDefault="00E5085D" w:rsidP="00B26F69">
            <w:pPr>
              <w:jc w:val="center"/>
              <w:rPr>
                <w:rFonts w:cs="Arial"/>
                <w:bCs/>
                <w:sz w:val="19"/>
                <w:szCs w:val="19"/>
                <w:lang w:val="it-IT" w:eastAsia="zh-TW"/>
              </w:rPr>
            </w:pPr>
            <w:r w:rsidRPr="006A2BF9">
              <w:rPr>
                <w:rFonts w:cs="Arial"/>
                <w:bCs/>
                <w:sz w:val="19"/>
                <w:szCs w:val="19"/>
                <w:lang w:val="it-IT" w:eastAsia="zh-TW"/>
              </w:rPr>
              <w:t>I</w:t>
            </w:r>
            <w:r w:rsidR="00FE10D4" w:rsidRPr="006A2BF9">
              <w:rPr>
                <w:rFonts w:cs="Arial"/>
                <w:bCs/>
                <w:sz w:val="19"/>
                <w:szCs w:val="19"/>
                <w:lang w:val="it-IT" w:eastAsia="zh-TW"/>
              </w:rPr>
              <w:t>nfezione,</w:t>
            </w:r>
          </w:p>
          <w:p w14:paraId="63E268F9" w14:textId="77777777" w:rsidR="00E5085D" w:rsidRPr="006A2BF9" w:rsidRDefault="00E5085D" w:rsidP="00B26F69">
            <w:pPr>
              <w:jc w:val="center"/>
              <w:rPr>
                <w:rFonts w:cs="Arial"/>
                <w:bCs/>
                <w:sz w:val="19"/>
                <w:szCs w:val="19"/>
                <w:lang w:val="it-IT" w:eastAsia="zh-TW"/>
              </w:rPr>
            </w:pPr>
            <w:r w:rsidRPr="006A2BF9">
              <w:rPr>
                <w:rFonts w:cs="Arial"/>
                <w:bCs/>
                <w:sz w:val="19"/>
                <w:szCs w:val="19"/>
                <w:lang w:val="it-IT" w:eastAsia="zh-TW"/>
              </w:rPr>
              <w:t>I</w:t>
            </w:r>
            <w:r w:rsidR="00FE10D4" w:rsidRPr="006A2BF9">
              <w:rPr>
                <w:rFonts w:cs="Arial"/>
                <w:bCs/>
                <w:sz w:val="19"/>
                <w:szCs w:val="19"/>
                <w:lang w:val="it-IT" w:eastAsia="zh-TW"/>
              </w:rPr>
              <w:t>nfezione</w:t>
            </w:r>
            <w:r w:rsidRPr="006A2BF9">
              <w:rPr>
                <w:rFonts w:cs="Arial"/>
                <w:bCs/>
                <w:sz w:val="19"/>
                <w:szCs w:val="19"/>
                <w:lang w:val="it-IT" w:eastAsia="zh-TW"/>
              </w:rPr>
              <w:t xml:space="preserve"> del</w:t>
            </w:r>
            <w:r w:rsidR="009D4640" w:rsidRPr="006A2BF9">
              <w:rPr>
                <w:rFonts w:cs="Arial"/>
                <w:bCs/>
                <w:sz w:val="19"/>
                <w:szCs w:val="19"/>
                <w:lang w:val="it-IT" w:eastAsia="zh-TW"/>
              </w:rPr>
              <w:t xml:space="preserve"> tratto</w:t>
            </w:r>
            <w:r w:rsidRPr="006A2BF9">
              <w:rPr>
                <w:rFonts w:cs="Arial"/>
                <w:bCs/>
                <w:sz w:val="19"/>
                <w:szCs w:val="19"/>
                <w:lang w:val="it-IT" w:eastAsia="zh-TW"/>
              </w:rPr>
              <w:t xml:space="preserve"> urinario</w:t>
            </w:r>
          </w:p>
        </w:tc>
        <w:tc>
          <w:tcPr>
            <w:tcW w:w="851" w:type="dxa"/>
            <w:tcBorders>
              <w:top w:val="single" w:sz="4" w:space="0" w:color="auto"/>
              <w:left w:val="single" w:sz="4" w:space="0" w:color="auto"/>
              <w:right w:val="nil"/>
            </w:tcBorders>
            <w:shd w:val="clear" w:color="000000" w:fill="FFFFFF"/>
          </w:tcPr>
          <w:p w14:paraId="7FE21210"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single" w:sz="4" w:space="0" w:color="auto"/>
              <w:right w:val="nil"/>
            </w:tcBorders>
            <w:shd w:val="clear" w:color="000000" w:fill="FFFFFF"/>
          </w:tcPr>
          <w:p w14:paraId="1EDBE873" w14:textId="77777777" w:rsidR="000C1753" w:rsidRPr="006A2BF9" w:rsidRDefault="000C1753" w:rsidP="00B26F69">
            <w:pPr>
              <w:jc w:val="center"/>
              <w:rPr>
                <w:rFonts w:cs="Arial"/>
                <w:iCs/>
                <w:sz w:val="19"/>
                <w:szCs w:val="19"/>
                <w:vertAlign w:val="superscript"/>
                <w:lang w:val="it-IT" w:eastAsia="zh-TW"/>
              </w:rPr>
            </w:pPr>
            <w:r w:rsidRPr="006A2BF9">
              <w:rPr>
                <w:rFonts w:cs="Arial"/>
                <w:iCs/>
                <w:sz w:val="19"/>
                <w:szCs w:val="19"/>
                <w:lang w:val="it-IT" w:eastAsia="zh-TW"/>
              </w:rPr>
              <w:t>Fascite necrotizzante</w:t>
            </w:r>
            <w:r w:rsidRPr="006A2BF9">
              <w:rPr>
                <w:rFonts w:cs="Arial"/>
                <w:iCs/>
                <w:sz w:val="19"/>
                <w:szCs w:val="19"/>
                <w:vertAlign w:val="superscript"/>
                <w:lang w:val="it-IT" w:eastAsia="zh-TW"/>
              </w:rPr>
              <w:t>a</w:t>
            </w:r>
          </w:p>
        </w:tc>
        <w:tc>
          <w:tcPr>
            <w:tcW w:w="851" w:type="dxa"/>
            <w:tcBorders>
              <w:top w:val="single" w:sz="4" w:space="0" w:color="auto"/>
              <w:left w:val="single" w:sz="4" w:space="0" w:color="auto"/>
              <w:right w:val="nil"/>
            </w:tcBorders>
            <w:shd w:val="clear" w:color="000000" w:fill="FFFFFF"/>
          </w:tcPr>
          <w:p w14:paraId="75714855"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single" w:sz="4" w:space="0" w:color="auto"/>
              <w:right w:val="single" w:sz="8" w:space="0" w:color="auto"/>
            </w:tcBorders>
            <w:shd w:val="clear" w:color="000000" w:fill="FFFFFF"/>
          </w:tcPr>
          <w:p w14:paraId="15F0ECCD" w14:textId="77777777" w:rsidR="000C1753" w:rsidRPr="006A2BF9" w:rsidRDefault="000C1753" w:rsidP="00B26F69">
            <w:pPr>
              <w:jc w:val="center"/>
              <w:rPr>
                <w:rFonts w:cs="Arial"/>
                <w:sz w:val="19"/>
                <w:szCs w:val="19"/>
                <w:lang w:val="it-IT" w:eastAsia="zh-TW"/>
              </w:rPr>
            </w:pPr>
          </w:p>
        </w:tc>
      </w:tr>
      <w:tr w:rsidR="00FE10D4" w:rsidRPr="006A2BF9" w14:paraId="782C41A0" w14:textId="77777777" w:rsidTr="006D575B">
        <w:trPr>
          <w:trHeight w:val="510"/>
        </w:trPr>
        <w:tc>
          <w:tcPr>
            <w:tcW w:w="1291" w:type="dxa"/>
            <w:tcBorders>
              <w:top w:val="nil"/>
              <w:left w:val="single" w:sz="8" w:space="0" w:color="auto"/>
              <w:bottom w:val="single" w:sz="4" w:space="0" w:color="auto"/>
              <w:right w:val="single" w:sz="4" w:space="0" w:color="auto"/>
            </w:tcBorders>
            <w:shd w:val="clear" w:color="000000" w:fill="FFFFFF"/>
          </w:tcPr>
          <w:p w14:paraId="1B1E45D8" w14:textId="77777777" w:rsidR="00FE10D4" w:rsidRPr="00330A40" w:rsidRDefault="00FE10D4" w:rsidP="00B26F69">
            <w:pPr>
              <w:jc w:val="center"/>
              <w:rPr>
                <w:rFonts w:cs="Arial"/>
                <w:sz w:val="19"/>
                <w:szCs w:val="19"/>
                <w:lang w:val="it-IT" w:eastAsia="zh-TW"/>
              </w:rPr>
            </w:pPr>
            <w:r w:rsidRPr="00330A40">
              <w:rPr>
                <w:rFonts w:cs="Arial"/>
                <w:sz w:val="19"/>
                <w:szCs w:val="19"/>
                <w:lang w:val="it-IT" w:eastAsia="zh-TW"/>
              </w:rPr>
              <w:lastRenderedPageBreak/>
              <w:t>Patologie del sistema emolinfopoietico</w:t>
            </w:r>
          </w:p>
        </w:tc>
        <w:tc>
          <w:tcPr>
            <w:tcW w:w="1559" w:type="dxa"/>
            <w:tcBorders>
              <w:top w:val="single" w:sz="4" w:space="0" w:color="auto"/>
              <w:left w:val="nil"/>
              <w:bottom w:val="nil"/>
              <w:right w:val="single" w:sz="4" w:space="0" w:color="auto"/>
            </w:tcBorders>
            <w:shd w:val="clear" w:color="000000" w:fill="FFFFFF"/>
          </w:tcPr>
          <w:p w14:paraId="736A35AC" w14:textId="77777777" w:rsidR="00FE10D4" w:rsidRPr="00330A40" w:rsidRDefault="00FE10D4" w:rsidP="00B26F69">
            <w:pPr>
              <w:jc w:val="center"/>
              <w:rPr>
                <w:rFonts w:cs="Arial"/>
                <w:sz w:val="19"/>
                <w:szCs w:val="19"/>
                <w:lang w:val="it-IT" w:eastAsia="zh-TW"/>
              </w:rPr>
            </w:pPr>
            <w:r w:rsidRPr="00330A40">
              <w:rPr>
                <w:rFonts w:cs="Arial"/>
                <w:sz w:val="19"/>
                <w:szCs w:val="19"/>
                <w:lang w:val="it-IT" w:eastAsia="zh-TW"/>
              </w:rPr>
              <w:t>Neutropenia febbrile,</w:t>
            </w:r>
          </w:p>
          <w:p w14:paraId="4C9A0F41" w14:textId="77777777" w:rsidR="00FE10D4" w:rsidRPr="00330A40" w:rsidRDefault="00FE10D4" w:rsidP="00B26F69">
            <w:pPr>
              <w:jc w:val="center"/>
              <w:rPr>
                <w:rFonts w:cs="Arial"/>
                <w:sz w:val="19"/>
                <w:szCs w:val="19"/>
                <w:lang w:val="it-IT" w:eastAsia="zh-TW"/>
              </w:rPr>
            </w:pPr>
            <w:r w:rsidRPr="00330A40">
              <w:rPr>
                <w:rFonts w:cs="Arial"/>
                <w:sz w:val="19"/>
                <w:szCs w:val="19"/>
                <w:lang w:val="it-IT" w:eastAsia="zh-TW"/>
              </w:rPr>
              <w:t>Leucopenia,</w:t>
            </w:r>
          </w:p>
          <w:p w14:paraId="4D480F8C" w14:textId="77777777" w:rsidR="00FE10D4" w:rsidRPr="006A2BF9" w:rsidRDefault="00FE10D4" w:rsidP="00B26F69">
            <w:pPr>
              <w:jc w:val="center"/>
              <w:rPr>
                <w:rFonts w:cs="Arial"/>
                <w:sz w:val="19"/>
                <w:szCs w:val="19"/>
                <w:lang w:val="it-IT" w:eastAsia="zh-TW"/>
              </w:rPr>
            </w:pPr>
            <w:r w:rsidRPr="00330A40">
              <w:rPr>
                <w:rFonts w:cs="Arial"/>
                <w:sz w:val="19"/>
                <w:szCs w:val="19"/>
                <w:lang w:val="it-IT" w:eastAsia="zh-TW"/>
              </w:rPr>
              <w:t>Neutropenia</w:t>
            </w:r>
            <w:r w:rsidRPr="006A2BF9">
              <w:rPr>
                <w:rFonts w:cs="Arial"/>
                <w:sz w:val="19"/>
                <w:szCs w:val="19"/>
                <w:vertAlign w:val="superscript"/>
                <w:lang w:val="it-IT" w:eastAsia="zh-TW"/>
              </w:rPr>
              <w:t>b</w:t>
            </w:r>
            <w:r w:rsidRPr="006A2BF9">
              <w:rPr>
                <w:rFonts w:cs="Arial"/>
                <w:sz w:val="19"/>
                <w:szCs w:val="19"/>
                <w:lang w:val="it-IT" w:eastAsia="zh-TW"/>
              </w:rPr>
              <w:t>,</w:t>
            </w:r>
          </w:p>
          <w:p w14:paraId="60894D04" w14:textId="77777777" w:rsidR="00FE10D4" w:rsidRPr="006A2BF9" w:rsidRDefault="00FE10D4" w:rsidP="00B26F69">
            <w:pPr>
              <w:jc w:val="center"/>
              <w:rPr>
                <w:rFonts w:cs="Arial"/>
                <w:sz w:val="19"/>
                <w:szCs w:val="19"/>
                <w:lang w:val="it-IT" w:eastAsia="zh-TW"/>
              </w:rPr>
            </w:pPr>
            <w:r w:rsidRPr="006A2BF9">
              <w:rPr>
                <w:rFonts w:cs="Arial"/>
                <w:sz w:val="19"/>
                <w:szCs w:val="19"/>
                <w:lang w:val="it-IT" w:eastAsia="zh-TW"/>
              </w:rPr>
              <w:t>Trombocitopenia</w:t>
            </w:r>
          </w:p>
        </w:tc>
        <w:tc>
          <w:tcPr>
            <w:tcW w:w="1701" w:type="dxa"/>
            <w:tcBorders>
              <w:top w:val="single" w:sz="4" w:space="0" w:color="auto"/>
              <w:left w:val="nil"/>
              <w:bottom w:val="nil"/>
              <w:right w:val="single" w:sz="4" w:space="0" w:color="auto"/>
            </w:tcBorders>
            <w:shd w:val="clear" w:color="000000" w:fill="FFFFFF"/>
          </w:tcPr>
          <w:p w14:paraId="0E5C8685" w14:textId="77777777" w:rsidR="001C5AC5" w:rsidRPr="006A2BF9" w:rsidRDefault="00FE10D4" w:rsidP="00B26F69">
            <w:pPr>
              <w:jc w:val="center"/>
              <w:rPr>
                <w:rFonts w:cs="Arial"/>
                <w:iCs/>
                <w:sz w:val="19"/>
                <w:szCs w:val="19"/>
                <w:lang w:val="it-IT" w:eastAsia="zh-TW"/>
              </w:rPr>
            </w:pPr>
            <w:r w:rsidRPr="006A2BF9">
              <w:rPr>
                <w:rFonts w:cs="Arial"/>
                <w:iCs/>
                <w:sz w:val="19"/>
                <w:szCs w:val="19"/>
                <w:lang w:val="it-IT" w:eastAsia="zh-TW"/>
              </w:rPr>
              <w:t>Anemia</w:t>
            </w:r>
            <w:r w:rsidR="001C5AC5" w:rsidRPr="006A2BF9">
              <w:rPr>
                <w:rFonts w:cs="Arial"/>
                <w:iCs/>
                <w:sz w:val="19"/>
                <w:szCs w:val="19"/>
                <w:lang w:val="it-IT" w:eastAsia="zh-TW"/>
              </w:rPr>
              <w:t>,</w:t>
            </w:r>
          </w:p>
          <w:p w14:paraId="0EA15DA8" w14:textId="77777777" w:rsidR="00FE10D4" w:rsidRPr="006A2BF9" w:rsidRDefault="001C5AC5" w:rsidP="00B26F69">
            <w:pPr>
              <w:jc w:val="center"/>
              <w:rPr>
                <w:rFonts w:cs="Arial"/>
                <w:iCs/>
                <w:sz w:val="19"/>
                <w:szCs w:val="19"/>
                <w:lang w:val="it-IT" w:eastAsia="zh-TW"/>
              </w:rPr>
            </w:pPr>
            <w:r w:rsidRPr="006A2BF9">
              <w:rPr>
                <w:rFonts w:cs="Arial"/>
                <w:iCs/>
                <w:sz w:val="19"/>
                <w:szCs w:val="19"/>
                <w:lang w:val="it-IT" w:eastAsia="zh-TW"/>
              </w:rPr>
              <w:t>Linfocitopenia</w:t>
            </w:r>
            <w:r w:rsidR="00FE10D4" w:rsidRPr="006A2BF9">
              <w:rPr>
                <w:rFonts w:cs="Arial"/>
                <w:iCs/>
                <w:sz w:val="19"/>
                <w:szCs w:val="19"/>
                <w:lang w:val="it-IT" w:eastAsia="zh-TW"/>
              </w:rPr>
              <w:t xml:space="preserve"> </w:t>
            </w:r>
          </w:p>
        </w:tc>
        <w:tc>
          <w:tcPr>
            <w:tcW w:w="851" w:type="dxa"/>
            <w:tcBorders>
              <w:top w:val="single" w:sz="4" w:space="0" w:color="auto"/>
              <w:left w:val="nil"/>
              <w:bottom w:val="nil"/>
              <w:right w:val="single" w:sz="4" w:space="0" w:color="auto"/>
            </w:tcBorders>
            <w:shd w:val="clear" w:color="000000" w:fill="FFFFFF"/>
          </w:tcPr>
          <w:p w14:paraId="5F92B87E" w14:textId="77777777" w:rsidR="00FE10D4" w:rsidRPr="006A2BF9" w:rsidRDefault="00FE10D4" w:rsidP="00B26F69">
            <w:pPr>
              <w:jc w:val="center"/>
              <w:rPr>
                <w:rFonts w:cs="Arial"/>
                <w:sz w:val="19"/>
                <w:szCs w:val="19"/>
                <w:lang w:val="it-IT" w:eastAsia="zh-TW"/>
              </w:rPr>
            </w:pPr>
          </w:p>
        </w:tc>
        <w:tc>
          <w:tcPr>
            <w:tcW w:w="1417" w:type="dxa"/>
            <w:tcBorders>
              <w:top w:val="single" w:sz="4" w:space="0" w:color="auto"/>
              <w:left w:val="nil"/>
              <w:bottom w:val="nil"/>
              <w:right w:val="single" w:sz="4" w:space="0" w:color="auto"/>
            </w:tcBorders>
            <w:shd w:val="clear" w:color="000000" w:fill="FFFFFF"/>
          </w:tcPr>
          <w:p w14:paraId="1ABC9809" w14:textId="77777777" w:rsidR="00FE10D4" w:rsidRPr="006A2BF9" w:rsidRDefault="00FE10D4" w:rsidP="00B26F69">
            <w:pPr>
              <w:jc w:val="center"/>
              <w:rPr>
                <w:rFonts w:cs="Arial"/>
                <w:sz w:val="19"/>
                <w:szCs w:val="19"/>
                <w:lang w:val="it-IT" w:eastAsia="zh-TW"/>
              </w:rPr>
            </w:pPr>
          </w:p>
        </w:tc>
        <w:tc>
          <w:tcPr>
            <w:tcW w:w="851" w:type="dxa"/>
            <w:tcBorders>
              <w:top w:val="single" w:sz="4" w:space="0" w:color="auto"/>
              <w:left w:val="nil"/>
              <w:bottom w:val="nil"/>
              <w:right w:val="single" w:sz="4" w:space="0" w:color="auto"/>
            </w:tcBorders>
            <w:shd w:val="clear" w:color="000000" w:fill="FFFFFF"/>
          </w:tcPr>
          <w:p w14:paraId="50215813" w14:textId="77777777" w:rsidR="00FE10D4" w:rsidRPr="006A2BF9" w:rsidRDefault="00FE10D4" w:rsidP="00B26F69">
            <w:pPr>
              <w:jc w:val="center"/>
              <w:rPr>
                <w:rFonts w:cs="Arial"/>
                <w:sz w:val="19"/>
                <w:szCs w:val="19"/>
                <w:lang w:val="it-IT" w:eastAsia="zh-TW"/>
              </w:rPr>
            </w:pPr>
          </w:p>
        </w:tc>
        <w:tc>
          <w:tcPr>
            <w:tcW w:w="1417" w:type="dxa"/>
            <w:tcBorders>
              <w:top w:val="single" w:sz="4" w:space="0" w:color="auto"/>
              <w:left w:val="nil"/>
              <w:bottom w:val="nil"/>
              <w:right w:val="single" w:sz="8" w:space="0" w:color="auto"/>
            </w:tcBorders>
            <w:shd w:val="clear" w:color="000000" w:fill="FFFFFF"/>
          </w:tcPr>
          <w:p w14:paraId="2A3CC3B2" w14:textId="77777777" w:rsidR="00FE10D4" w:rsidRPr="006A2BF9" w:rsidRDefault="00FE10D4" w:rsidP="00B26F69">
            <w:pPr>
              <w:jc w:val="center"/>
              <w:rPr>
                <w:rFonts w:cs="Arial"/>
                <w:i/>
                <w:iCs/>
                <w:sz w:val="19"/>
                <w:szCs w:val="19"/>
                <w:lang w:val="it-IT" w:eastAsia="zh-TW"/>
              </w:rPr>
            </w:pPr>
          </w:p>
        </w:tc>
      </w:tr>
      <w:tr w:rsidR="000C1753" w:rsidRPr="006A2BF9" w14:paraId="2F750D5E" w14:textId="77777777" w:rsidTr="006D575B">
        <w:trPr>
          <w:trHeight w:val="510"/>
        </w:trPr>
        <w:tc>
          <w:tcPr>
            <w:tcW w:w="1291" w:type="dxa"/>
            <w:tcBorders>
              <w:top w:val="nil"/>
              <w:left w:val="single" w:sz="8" w:space="0" w:color="auto"/>
              <w:bottom w:val="single" w:sz="4" w:space="0" w:color="auto"/>
              <w:right w:val="single" w:sz="4" w:space="0" w:color="auto"/>
            </w:tcBorders>
            <w:shd w:val="clear" w:color="000000" w:fill="FFFFFF"/>
          </w:tcPr>
          <w:p w14:paraId="54DE9FA5"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t>Disturbi del sistema immunitario</w:t>
            </w:r>
          </w:p>
        </w:tc>
        <w:tc>
          <w:tcPr>
            <w:tcW w:w="1559" w:type="dxa"/>
            <w:tcBorders>
              <w:top w:val="single" w:sz="4" w:space="0" w:color="auto"/>
              <w:left w:val="nil"/>
              <w:bottom w:val="nil"/>
              <w:right w:val="single" w:sz="4" w:space="0" w:color="auto"/>
            </w:tcBorders>
            <w:shd w:val="clear" w:color="000000" w:fill="FFFFFF"/>
          </w:tcPr>
          <w:p w14:paraId="7B9F54FB" w14:textId="77777777" w:rsidR="000C1753" w:rsidRPr="006A2BF9" w:rsidRDefault="000C1753" w:rsidP="00B26F69">
            <w:pPr>
              <w:jc w:val="center"/>
              <w:rPr>
                <w:rFonts w:cs="Arial"/>
                <w:sz w:val="19"/>
                <w:szCs w:val="19"/>
                <w:lang w:val="it-IT" w:eastAsia="zh-TW"/>
              </w:rPr>
            </w:pPr>
          </w:p>
        </w:tc>
        <w:tc>
          <w:tcPr>
            <w:tcW w:w="1701" w:type="dxa"/>
            <w:tcBorders>
              <w:top w:val="single" w:sz="4" w:space="0" w:color="auto"/>
              <w:left w:val="nil"/>
              <w:bottom w:val="nil"/>
              <w:right w:val="single" w:sz="4" w:space="0" w:color="auto"/>
            </w:tcBorders>
            <w:shd w:val="clear" w:color="000000" w:fill="FFFFFF"/>
          </w:tcPr>
          <w:p w14:paraId="2A8C0B6F"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 xml:space="preserve">Ipersensibilità, </w:t>
            </w:r>
          </w:p>
          <w:p w14:paraId="599F6AAE" w14:textId="77777777" w:rsidR="000C1753" w:rsidRPr="006A2BF9" w:rsidRDefault="000C1753" w:rsidP="00B26F69">
            <w:pPr>
              <w:jc w:val="center"/>
              <w:rPr>
                <w:rFonts w:cs="Arial"/>
                <w:sz w:val="19"/>
                <w:szCs w:val="19"/>
                <w:lang w:val="it-IT" w:eastAsia="zh-TW"/>
              </w:rPr>
            </w:pPr>
            <w:r w:rsidRPr="006A2BF9">
              <w:rPr>
                <w:rFonts w:cs="Arial"/>
                <w:iCs/>
                <w:sz w:val="19"/>
                <w:szCs w:val="19"/>
                <w:lang w:val="it-IT" w:eastAsia="zh-TW"/>
              </w:rPr>
              <w:t>Reazioni all’infusione</w:t>
            </w:r>
            <w:r w:rsidRPr="006A2BF9">
              <w:rPr>
                <w:rFonts w:cs="Arial"/>
                <w:iCs/>
                <w:sz w:val="19"/>
                <w:szCs w:val="19"/>
                <w:vertAlign w:val="superscript"/>
                <w:lang w:val="it-IT" w:eastAsia="zh-TW"/>
              </w:rPr>
              <w:t>a,b,d</w:t>
            </w:r>
          </w:p>
        </w:tc>
        <w:tc>
          <w:tcPr>
            <w:tcW w:w="851" w:type="dxa"/>
            <w:tcBorders>
              <w:top w:val="single" w:sz="4" w:space="0" w:color="auto"/>
              <w:left w:val="nil"/>
              <w:bottom w:val="nil"/>
              <w:right w:val="single" w:sz="4" w:space="0" w:color="auto"/>
            </w:tcBorders>
            <w:shd w:val="clear" w:color="000000" w:fill="FFFFFF"/>
          </w:tcPr>
          <w:p w14:paraId="53CC6861"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nil"/>
              <w:bottom w:val="nil"/>
              <w:right w:val="single" w:sz="4" w:space="0" w:color="auto"/>
            </w:tcBorders>
            <w:shd w:val="clear" w:color="000000" w:fill="FFFFFF"/>
          </w:tcPr>
          <w:p w14:paraId="63CD42E7" w14:textId="77777777" w:rsidR="00A01B02" w:rsidRDefault="00A01B02" w:rsidP="00D9162B">
            <w:pPr>
              <w:jc w:val="center"/>
              <w:rPr>
                <w:rFonts w:cs="Arial"/>
                <w:sz w:val="19"/>
                <w:szCs w:val="19"/>
                <w:lang w:val="it-IT" w:eastAsia="zh-TW"/>
              </w:rPr>
            </w:pPr>
            <w:r>
              <w:rPr>
                <w:rFonts w:cs="Arial"/>
                <w:sz w:val="19"/>
                <w:szCs w:val="19"/>
                <w:lang w:val="it-IT" w:eastAsia="zh-TW"/>
              </w:rPr>
              <w:t>Shock</w:t>
            </w:r>
          </w:p>
          <w:p w14:paraId="548C86D0" w14:textId="77777777" w:rsidR="000C1753" w:rsidRPr="006A2BF9" w:rsidRDefault="00A01B02" w:rsidP="00B26F69">
            <w:pPr>
              <w:jc w:val="center"/>
              <w:rPr>
                <w:rFonts w:cs="Arial"/>
                <w:sz w:val="19"/>
                <w:szCs w:val="19"/>
                <w:lang w:val="it-IT" w:eastAsia="zh-TW"/>
              </w:rPr>
            </w:pPr>
            <w:r>
              <w:rPr>
                <w:rFonts w:cs="Arial"/>
                <w:sz w:val="19"/>
                <w:szCs w:val="19"/>
                <w:lang w:val="it-IT" w:eastAsia="zh-TW"/>
              </w:rPr>
              <w:t>anafilattico</w:t>
            </w:r>
          </w:p>
        </w:tc>
        <w:tc>
          <w:tcPr>
            <w:tcW w:w="851" w:type="dxa"/>
            <w:tcBorders>
              <w:top w:val="single" w:sz="4" w:space="0" w:color="auto"/>
              <w:left w:val="nil"/>
              <w:bottom w:val="nil"/>
              <w:right w:val="single" w:sz="4" w:space="0" w:color="auto"/>
            </w:tcBorders>
            <w:shd w:val="clear" w:color="000000" w:fill="FFFFFF"/>
          </w:tcPr>
          <w:p w14:paraId="2E1CACCF"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nil"/>
              <w:bottom w:val="nil"/>
              <w:right w:val="single" w:sz="8" w:space="0" w:color="auto"/>
            </w:tcBorders>
            <w:shd w:val="clear" w:color="000000" w:fill="FFFFFF"/>
          </w:tcPr>
          <w:p w14:paraId="1D1E5379" w14:textId="77777777" w:rsidR="000C1753" w:rsidRPr="006A2BF9" w:rsidRDefault="000C1753" w:rsidP="00B26F69">
            <w:pPr>
              <w:jc w:val="center"/>
              <w:rPr>
                <w:rFonts w:cs="Arial"/>
                <w:i/>
                <w:iCs/>
                <w:sz w:val="19"/>
                <w:szCs w:val="19"/>
                <w:lang w:val="it-IT" w:eastAsia="zh-TW"/>
              </w:rPr>
            </w:pPr>
          </w:p>
        </w:tc>
      </w:tr>
      <w:tr w:rsidR="000C1753" w:rsidRPr="006A2BF9" w14:paraId="3578C4C1" w14:textId="77777777" w:rsidTr="006D575B">
        <w:trPr>
          <w:trHeight w:val="60"/>
        </w:trPr>
        <w:tc>
          <w:tcPr>
            <w:tcW w:w="1291" w:type="dxa"/>
            <w:tcBorders>
              <w:top w:val="nil"/>
              <w:left w:val="single" w:sz="8" w:space="0" w:color="auto"/>
              <w:bottom w:val="single" w:sz="4" w:space="0" w:color="auto"/>
              <w:right w:val="nil"/>
            </w:tcBorders>
            <w:shd w:val="clear" w:color="000000" w:fill="FFFFFF"/>
          </w:tcPr>
          <w:p w14:paraId="388EA2C5"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t>Disturbi del metabolismo e della nutrizione</w:t>
            </w:r>
          </w:p>
        </w:tc>
        <w:tc>
          <w:tcPr>
            <w:tcW w:w="1559" w:type="dxa"/>
            <w:tcBorders>
              <w:top w:val="single" w:sz="4" w:space="0" w:color="auto"/>
              <w:left w:val="single" w:sz="4" w:space="0" w:color="auto"/>
              <w:bottom w:val="single" w:sz="4" w:space="0" w:color="auto"/>
              <w:right w:val="nil"/>
            </w:tcBorders>
            <w:shd w:val="clear" w:color="000000" w:fill="FFFFFF"/>
          </w:tcPr>
          <w:p w14:paraId="53072E51"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Anoressia</w:t>
            </w:r>
            <w:r w:rsidR="00002CA8" w:rsidRPr="006A2BF9">
              <w:rPr>
                <w:rFonts w:cs="Arial"/>
                <w:iCs/>
                <w:sz w:val="19"/>
                <w:szCs w:val="19"/>
                <w:lang w:val="it-IT" w:eastAsia="zh-TW"/>
              </w:rPr>
              <w:t>,</w:t>
            </w:r>
          </w:p>
          <w:p w14:paraId="5588AF98" w14:textId="77777777" w:rsidR="00AA687E" w:rsidRPr="006A2BF9" w:rsidRDefault="00AA687E" w:rsidP="00B26F69">
            <w:pPr>
              <w:jc w:val="center"/>
              <w:rPr>
                <w:rFonts w:cs="Arial"/>
                <w:iCs/>
                <w:sz w:val="19"/>
                <w:szCs w:val="19"/>
                <w:lang w:val="it-IT" w:eastAsia="zh-TW"/>
              </w:rPr>
            </w:pPr>
            <w:r w:rsidRPr="006A2BF9">
              <w:rPr>
                <w:rFonts w:cs="Arial"/>
                <w:iCs/>
                <w:sz w:val="19"/>
                <w:szCs w:val="19"/>
                <w:lang w:val="it-IT" w:eastAsia="zh-TW"/>
              </w:rPr>
              <w:t>Ipomagnes</w:t>
            </w:r>
            <w:r w:rsidR="00440C68" w:rsidRPr="006A2BF9">
              <w:rPr>
                <w:rFonts w:cs="Arial"/>
                <w:iCs/>
                <w:sz w:val="19"/>
                <w:szCs w:val="19"/>
                <w:lang w:val="it-IT" w:eastAsia="zh-TW"/>
              </w:rPr>
              <w:t>i</w:t>
            </w:r>
            <w:r w:rsidRPr="006A2BF9">
              <w:rPr>
                <w:rFonts w:cs="Arial"/>
                <w:iCs/>
                <w:sz w:val="19"/>
                <w:szCs w:val="19"/>
                <w:lang w:val="it-IT" w:eastAsia="zh-TW"/>
              </w:rPr>
              <w:t>emia</w:t>
            </w:r>
            <w:r w:rsidR="00002CA8" w:rsidRPr="006A2BF9">
              <w:rPr>
                <w:rFonts w:cs="Arial"/>
                <w:iCs/>
                <w:sz w:val="19"/>
                <w:szCs w:val="19"/>
                <w:lang w:val="it-IT" w:eastAsia="zh-TW"/>
              </w:rPr>
              <w:t>,</w:t>
            </w:r>
          </w:p>
          <w:p w14:paraId="77C52FB5" w14:textId="77777777" w:rsidR="00AA687E" w:rsidRPr="006A2BF9" w:rsidRDefault="00AA687E" w:rsidP="00B26F69">
            <w:pPr>
              <w:jc w:val="center"/>
              <w:rPr>
                <w:rFonts w:cs="Arial"/>
                <w:i/>
                <w:iCs/>
                <w:sz w:val="19"/>
                <w:szCs w:val="19"/>
                <w:lang w:val="it-IT" w:eastAsia="zh-TW"/>
              </w:rPr>
            </w:pPr>
            <w:r w:rsidRPr="006A2BF9">
              <w:rPr>
                <w:rFonts w:cs="Arial"/>
                <w:iCs/>
                <w:sz w:val="19"/>
                <w:szCs w:val="19"/>
                <w:lang w:val="it-IT" w:eastAsia="zh-TW"/>
              </w:rPr>
              <w:t>Iponatremia</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2C43C9F" w14:textId="77777777" w:rsidR="000C1753" w:rsidRPr="006A2BF9" w:rsidRDefault="00352EF0" w:rsidP="00B26F69">
            <w:pPr>
              <w:jc w:val="center"/>
              <w:rPr>
                <w:rFonts w:cs="Arial"/>
                <w:bCs/>
                <w:sz w:val="19"/>
                <w:szCs w:val="19"/>
                <w:lang w:val="it-IT" w:eastAsia="zh-TW"/>
              </w:rPr>
            </w:pPr>
            <w:r w:rsidRPr="006A2BF9">
              <w:rPr>
                <w:rFonts w:cs="Arial"/>
                <w:bCs/>
                <w:sz w:val="19"/>
                <w:szCs w:val="19"/>
                <w:lang w:val="it-IT" w:eastAsia="zh-TW"/>
              </w:rPr>
              <w:t>Disidratazione</w:t>
            </w:r>
          </w:p>
        </w:tc>
        <w:tc>
          <w:tcPr>
            <w:tcW w:w="851" w:type="dxa"/>
            <w:tcBorders>
              <w:top w:val="single" w:sz="4" w:space="0" w:color="auto"/>
              <w:left w:val="nil"/>
              <w:right w:val="nil"/>
            </w:tcBorders>
            <w:shd w:val="clear" w:color="000000" w:fill="FFFFFF"/>
          </w:tcPr>
          <w:p w14:paraId="1D5681FF"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single" w:sz="4" w:space="0" w:color="auto"/>
              <w:right w:val="nil"/>
            </w:tcBorders>
            <w:shd w:val="clear" w:color="000000" w:fill="FFFFFF"/>
          </w:tcPr>
          <w:p w14:paraId="1AC5CC23" w14:textId="77777777" w:rsidR="000C1753" w:rsidRPr="006A2BF9" w:rsidRDefault="000C1753" w:rsidP="00B26F69">
            <w:pPr>
              <w:jc w:val="center"/>
              <w:rPr>
                <w:rFonts w:cs="Arial"/>
                <w:sz w:val="19"/>
                <w:szCs w:val="19"/>
                <w:lang w:val="it-IT" w:eastAsia="zh-TW"/>
              </w:rPr>
            </w:pPr>
          </w:p>
        </w:tc>
        <w:tc>
          <w:tcPr>
            <w:tcW w:w="851" w:type="dxa"/>
            <w:tcBorders>
              <w:top w:val="single" w:sz="4" w:space="0" w:color="auto"/>
              <w:left w:val="single" w:sz="4" w:space="0" w:color="auto"/>
              <w:right w:val="nil"/>
            </w:tcBorders>
            <w:shd w:val="clear" w:color="000000" w:fill="FFFFFF"/>
          </w:tcPr>
          <w:p w14:paraId="31350C8B"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single" w:sz="4" w:space="0" w:color="auto"/>
              <w:right w:val="single" w:sz="8" w:space="0" w:color="auto"/>
            </w:tcBorders>
            <w:shd w:val="clear" w:color="000000" w:fill="FFFFFF"/>
          </w:tcPr>
          <w:p w14:paraId="5B2F0251" w14:textId="77777777" w:rsidR="000C1753" w:rsidRPr="006A2BF9" w:rsidRDefault="000C1753" w:rsidP="00B26F69">
            <w:pPr>
              <w:jc w:val="center"/>
              <w:rPr>
                <w:rFonts w:cs="Arial"/>
                <w:sz w:val="19"/>
                <w:szCs w:val="19"/>
                <w:lang w:val="it-IT" w:eastAsia="zh-TW"/>
              </w:rPr>
            </w:pPr>
          </w:p>
        </w:tc>
      </w:tr>
      <w:tr w:rsidR="000C1753" w:rsidRPr="006A2BF9" w14:paraId="3A1CA38B" w14:textId="77777777" w:rsidTr="006D575B">
        <w:trPr>
          <w:trHeight w:val="923"/>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7520E618"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t>Patologie del sistema nervoso</w:t>
            </w:r>
          </w:p>
        </w:tc>
        <w:tc>
          <w:tcPr>
            <w:tcW w:w="1559" w:type="dxa"/>
            <w:tcBorders>
              <w:top w:val="single" w:sz="4" w:space="0" w:color="auto"/>
              <w:left w:val="nil"/>
              <w:bottom w:val="single" w:sz="4" w:space="0" w:color="auto"/>
              <w:right w:val="single" w:sz="4" w:space="0" w:color="auto"/>
            </w:tcBorders>
            <w:shd w:val="clear" w:color="000000" w:fill="FFFFFF"/>
          </w:tcPr>
          <w:p w14:paraId="0A281996" w14:textId="77777777" w:rsidR="00352EF0" w:rsidRPr="006A2BF9" w:rsidRDefault="00352EF0" w:rsidP="00B26F69">
            <w:pPr>
              <w:jc w:val="center"/>
              <w:rPr>
                <w:rFonts w:cs="Arial"/>
                <w:iCs/>
                <w:sz w:val="19"/>
                <w:szCs w:val="19"/>
                <w:lang w:val="it-IT" w:eastAsia="zh-TW"/>
              </w:rPr>
            </w:pPr>
            <w:r w:rsidRPr="006A2BF9">
              <w:rPr>
                <w:rFonts w:cs="Arial"/>
                <w:iCs/>
                <w:sz w:val="19"/>
                <w:szCs w:val="19"/>
                <w:lang w:val="it-IT" w:eastAsia="zh-TW"/>
              </w:rPr>
              <w:t>Neuropatia sensoriale periferica</w:t>
            </w:r>
            <w:r w:rsidRPr="006A2BF9">
              <w:rPr>
                <w:rFonts w:cs="Arial"/>
                <w:iCs/>
                <w:sz w:val="19"/>
                <w:szCs w:val="19"/>
                <w:vertAlign w:val="superscript"/>
                <w:lang w:val="it-IT" w:eastAsia="zh-TW"/>
              </w:rPr>
              <w:t>b</w:t>
            </w:r>
            <w:r w:rsidRPr="006A2BF9">
              <w:rPr>
                <w:rFonts w:cs="Arial"/>
                <w:iCs/>
                <w:sz w:val="19"/>
                <w:szCs w:val="19"/>
                <w:lang w:val="it-IT" w:eastAsia="zh-TW"/>
              </w:rPr>
              <w:t>,</w:t>
            </w:r>
          </w:p>
          <w:p w14:paraId="3F6A5480"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Disartria,</w:t>
            </w:r>
          </w:p>
          <w:p w14:paraId="6D389780"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Cefalea,</w:t>
            </w:r>
          </w:p>
          <w:p w14:paraId="2F190402" w14:textId="77777777" w:rsidR="000C1753" w:rsidRPr="006A2BF9" w:rsidRDefault="000C1753" w:rsidP="00B26F69">
            <w:pPr>
              <w:jc w:val="center"/>
              <w:rPr>
                <w:rFonts w:cs="Arial"/>
                <w:b/>
                <w:bCs/>
                <w:sz w:val="19"/>
                <w:szCs w:val="19"/>
                <w:lang w:val="it-IT" w:eastAsia="zh-TW"/>
              </w:rPr>
            </w:pPr>
            <w:r w:rsidRPr="006A2BF9">
              <w:rPr>
                <w:rFonts w:cs="Arial"/>
                <w:iCs/>
                <w:sz w:val="19"/>
                <w:szCs w:val="19"/>
                <w:lang w:val="it-IT" w:eastAsia="zh-TW"/>
              </w:rPr>
              <w:t>Disgeusia</w:t>
            </w:r>
          </w:p>
        </w:tc>
        <w:tc>
          <w:tcPr>
            <w:tcW w:w="1701" w:type="dxa"/>
            <w:tcBorders>
              <w:top w:val="single" w:sz="4" w:space="0" w:color="auto"/>
              <w:left w:val="nil"/>
              <w:bottom w:val="single" w:sz="4" w:space="0" w:color="auto"/>
              <w:right w:val="single" w:sz="4" w:space="0" w:color="auto"/>
            </w:tcBorders>
            <w:shd w:val="clear" w:color="000000" w:fill="FFFFFF"/>
          </w:tcPr>
          <w:p w14:paraId="6DBB99F7" w14:textId="77777777" w:rsidR="009E43B9" w:rsidRPr="006A2BF9" w:rsidRDefault="00352EF0" w:rsidP="00B26F69">
            <w:pPr>
              <w:jc w:val="center"/>
              <w:rPr>
                <w:rFonts w:cs="Arial"/>
                <w:bCs/>
                <w:sz w:val="19"/>
                <w:szCs w:val="19"/>
                <w:lang w:val="it-IT" w:eastAsia="zh-TW"/>
              </w:rPr>
            </w:pPr>
            <w:r w:rsidRPr="006A2BF9">
              <w:rPr>
                <w:rFonts w:cs="Arial"/>
                <w:bCs/>
                <w:sz w:val="19"/>
                <w:szCs w:val="19"/>
                <w:lang w:val="it-IT" w:eastAsia="zh-TW"/>
              </w:rPr>
              <w:t>Accidente cerebrovascolare,</w:t>
            </w:r>
          </w:p>
          <w:p w14:paraId="510E7F62" w14:textId="77777777" w:rsidR="00352EF0" w:rsidRPr="006A2BF9" w:rsidRDefault="00352EF0" w:rsidP="00B26F69">
            <w:pPr>
              <w:jc w:val="center"/>
              <w:rPr>
                <w:rFonts w:cs="Arial"/>
                <w:bCs/>
                <w:sz w:val="19"/>
                <w:szCs w:val="19"/>
                <w:lang w:val="it-IT" w:eastAsia="zh-TW"/>
              </w:rPr>
            </w:pPr>
            <w:r w:rsidRPr="006A2BF9">
              <w:rPr>
                <w:rFonts w:cs="Arial"/>
                <w:bCs/>
                <w:sz w:val="19"/>
                <w:szCs w:val="19"/>
                <w:lang w:val="it-IT" w:eastAsia="zh-TW"/>
              </w:rPr>
              <w:t>Sincope,</w:t>
            </w:r>
          </w:p>
          <w:p w14:paraId="3439A6BF" w14:textId="77777777" w:rsidR="00352EF0" w:rsidRPr="006A2BF9" w:rsidRDefault="00352EF0" w:rsidP="00B26F69">
            <w:pPr>
              <w:jc w:val="center"/>
              <w:rPr>
                <w:rFonts w:cs="Arial"/>
                <w:b/>
                <w:bCs/>
                <w:sz w:val="19"/>
                <w:szCs w:val="19"/>
                <w:lang w:val="it-IT" w:eastAsia="zh-TW"/>
              </w:rPr>
            </w:pPr>
            <w:r w:rsidRPr="006A2BF9">
              <w:rPr>
                <w:rFonts w:cs="Arial"/>
                <w:bCs/>
                <w:sz w:val="19"/>
                <w:szCs w:val="19"/>
                <w:lang w:val="it-IT" w:eastAsia="zh-TW"/>
              </w:rPr>
              <w:t>Sonnolenza</w:t>
            </w:r>
          </w:p>
        </w:tc>
        <w:tc>
          <w:tcPr>
            <w:tcW w:w="851" w:type="dxa"/>
            <w:tcBorders>
              <w:top w:val="single" w:sz="4" w:space="0" w:color="auto"/>
              <w:left w:val="nil"/>
              <w:bottom w:val="single" w:sz="4" w:space="0" w:color="auto"/>
              <w:right w:val="single" w:sz="4" w:space="0" w:color="auto"/>
            </w:tcBorders>
            <w:shd w:val="clear" w:color="000000" w:fill="FFFFFF"/>
          </w:tcPr>
          <w:p w14:paraId="22BEC68E"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nil"/>
              <w:bottom w:val="single" w:sz="4" w:space="0" w:color="auto"/>
              <w:right w:val="single" w:sz="4" w:space="0" w:color="auto"/>
            </w:tcBorders>
            <w:shd w:val="clear" w:color="000000" w:fill="FFFFFF"/>
          </w:tcPr>
          <w:p w14:paraId="0BD3EEE9" w14:textId="77777777" w:rsidR="000C1753" w:rsidRPr="006A2BF9" w:rsidRDefault="000C1753" w:rsidP="00B26F69">
            <w:pPr>
              <w:jc w:val="center"/>
              <w:rPr>
                <w:rFonts w:cs="Arial"/>
                <w:i/>
                <w:iCs/>
                <w:sz w:val="19"/>
                <w:szCs w:val="19"/>
                <w:lang w:val="it-IT" w:eastAsia="zh-TW"/>
              </w:rPr>
            </w:pPr>
            <w:r w:rsidRPr="006A2BF9">
              <w:rPr>
                <w:rFonts w:cs="Arial"/>
                <w:iCs/>
                <w:sz w:val="19"/>
                <w:szCs w:val="19"/>
                <w:lang w:val="it-IT" w:eastAsia="zh-TW"/>
              </w:rPr>
              <w:t>Sindrome da encefalopatia posteriore reversibile</w:t>
            </w:r>
            <w:r w:rsidRPr="006A2BF9">
              <w:rPr>
                <w:rFonts w:cs="Arial"/>
                <w:iCs/>
                <w:sz w:val="19"/>
                <w:szCs w:val="19"/>
                <w:vertAlign w:val="superscript"/>
                <w:lang w:val="it-IT" w:eastAsia="zh-TW"/>
              </w:rPr>
              <w:t>a,b,d</w:t>
            </w:r>
          </w:p>
        </w:tc>
        <w:tc>
          <w:tcPr>
            <w:tcW w:w="851" w:type="dxa"/>
            <w:tcBorders>
              <w:top w:val="single" w:sz="4" w:space="0" w:color="auto"/>
              <w:left w:val="nil"/>
              <w:bottom w:val="single" w:sz="4" w:space="0" w:color="auto"/>
              <w:right w:val="single" w:sz="4" w:space="0" w:color="auto"/>
            </w:tcBorders>
            <w:shd w:val="clear" w:color="000000" w:fill="FFFFFF"/>
          </w:tcPr>
          <w:p w14:paraId="5C811265" w14:textId="77777777" w:rsidR="000C1753" w:rsidRPr="006A2BF9" w:rsidRDefault="000C1753" w:rsidP="00B26F69">
            <w:pPr>
              <w:jc w:val="center"/>
              <w:rPr>
                <w:rFonts w:cs="Arial"/>
                <w:i/>
                <w:iCs/>
                <w:sz w:val="19"/>
                <w:szCs w:val="19"/>
                <w:lang w:val="it-IT" w:eastAsia="zh-TW"/>
              </w:rPr>
            </w:pPr>
            <w:r w:rsidRPr="006A2BF9">
              <w:rPr>
                <w:rFonts w:cs="Arial"/>
                <w:iCs/>
                <w:sz w:val="19"/>
                <w:szCs w:val="19"/>
                <w:lang w:val="it-IT" w:eastAsia="zh-TW"/>
              </w:rPr>
              <w:t>Encefalopatia ipertensiva</w:t>
            </w:r>
            <w:r w:rsidRPr="006A2BF9">
              <w:rPr>
                <w:rFonts w:cs="Arial"/>
                <w:iCs/>
                <w:sz w:val="19"/>
                <w:szCs w:val="19"/>
                <w:vertAlign w:val="superscript"/>
                <w:lang w:val="it-IT" w:eastAsia="zh-TW"/>
              </w:rPr>
              <w:t>a</w:t>
            </w:r>
          </w:p>
          <w:p w14:paraId="5EAB9DE8"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78D5B8BA" w14:textId="77777777" w:rsidR="000C1753" w:rsidRPr="006A2BF9" w:rsidRDefault="000C1753" w:rsidP="00B26F69">
            <w:pPr>
              <w:jc w:val="center"/>
              <w:rPr>
                <w:rFonts w:cs="Arial"/>
                <w:sz w:val="19"/>
                <w:szCs w:val="19"/>
                <w:lang w:val="it-IT" w:eastAsia="zh-TW"/>
              </w:rPr>
            </w:pPr>
          </w:p>
        </w:tc>
      </w:tr>
      <w:tr w:rsidR="000C1753" w:rsidRPr="006A2BF9" w14:paraId="681F89DD" w14:textId="77777777" w:rsidTr="006D575B">
        <w:trPr>
          <w:trHeight w:val="782"/>
        </w:trPr>
        <w:tc>
          <w:tcPr>
            <w:tcW w:w="1291" w:type="dxa"/>
            <w:tcBorders>
              <w:top w:val="single" w:sz="4" w:space="0" w:color="auto"/>
              <w:left w:val="single" w:sz="8" w:space="0" w:color="auto"/>
              <w:bottom w:val="single" w:sz="4" w:space="0" w:color="000000"/>
              <w:right w:val="single" w:sz="4" w:space="0" w:color="auto"/>
            </w:tcBorders>
            <w:shd w:val="clear" w:color="000000" w:fill="FFFFFF"/>
          </w:tcPr>
          <w:p w14:paraId="77BADB97"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t>Patologie dell'occhio</w:t>
            </w:r>
          </w:p>
        </w:tc>
        <w:tc>
          <w:tcPr>
            <w:tcW w:w="1559" w:type="dxa"/>
            <w:tcBorders>
              <w:top w:val="single" w:sz="4" w:space="0" w:color="auto"/>
              <w:left w:val="nil"/>
              <w:right w:val="nil"/>
            </w:tcBorders>
            <w:shd w:val="clear" w:color="000000" w:fill="FFFFFF"/>
          </w:tcPr>
          <w:p w14:paraId="568736BA"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Disturb</w:t>
            </w:r>
            <w:r w:rsidR="0022298C" w:rsidRPr="006A2BF9">
              <w:rPr>
                <w:rFonts w:cs="Arial"/>
                <w:iCs/>
                <w:sz w:val="19"/>
                <w:szCs w:val="19"/>
                <w:lang w:val="it-IT" w:eastAsia="zh-TW"/>
              </w:rPr>
              <w:t>o dell’occhio</w:t>
            </w:r>
            <w:r w:rsidRPr="006A2BF9">
              <w:rPr>
                <w:rFonts w:cs="Arial"/>
                <w:iCs/>
                <w:sz w:val="19"/>
                <w:szCs w:val="19"/>
                <w:lang w:val="it-IT" w:eastAsia="zh-TW"/>
              </w:rPr>
              <w:t>,</w:t>
            </w:r>
          </w:p>
          <w:p w14:paraId="1C4B559D" w14:textId="77777777" w:rsidR="000C1753" w:rsidRPr="006A2BF9" w:rsidRDefault="0022298C" w:rsidP="00B26F69">
            <w:pPr>
              <w:jc w:val="center"/>
              <w:rPr>
                <w:rFonts w:cs="Arial"/>
                <w:iCs/>
                <w:sz w:val="19"/>
                <w:szCs w:val="19"/>
                <w:lang w:val="it-IT" w:eastAsia="zh-TW"/>
              </w:rPr>
            </w:pPr>
            <w:r w:rsidRPr="006A2BF9">
              <w:rPr>
                <w:rFonts w:cs="Arial"/>
                <w:iCs/>
                <w:sz w:val="19"/>
                <w:szCs w:val="19"/>
                <w:lang w:val="it-IT" w:eastAsia="zh-TW"/>
              </w:rPr>
              <w:t>Lacrimazione aumentata</w:t>
            </w:r>
          </w:p>
          <w:p w14:paraId="11202BEC" w14:textId="77777777" w:rsidR="000C1753" w:rsidRPr="006A2BF9" w:rsidRDefault="000C1753" w:rsidP="00B26F69">
            <w:pPr>
              <w:jc w:val="center"/>
              <w:rPr>
                <w:rFonts w:cs="Arial"/>
                <w:i/>
                <w:iCs/>
                <w:sz w:val="19"/>
                <w:szCs w:val="19"/>
                <w:lang w:val="it-IT" w:eastAsia="zh-TW"/>
              </w:rPr>
            </w:pPr>
          </w:p>
        </w:tc>
        <w:tc>
          <w:tcPr>
            <w:tcW w:w="1701" w:type="dxa"/>
            <w:tcBorders>
              <w:top w:val="single" w:sz="4" w:space="0" w:color="auto"/>
              <w:left w:val="single" w:sz="4" w:space="0" w:color="auto"/>
              <w:right w:val="single" w:sz="4" w:space="0" w:color="auto"/>
            </w:tcBorders>
            <w:shd w:val="clear" w:color="000000" w:fill="FFFFFF"/>
          </w:tcPr>
          <w:p w14:paraId="1A41C5F1" w14:textId="77777777" w:rsidR="000C1753" w:rsidRPr="006A2BF9" w:rsidRDefault="000C1753" w:rsidP="00B26F69">
            <w:pPr>
              <w:jc w:val="center"/>
              <w:rPr>
                <w:rFonts w:cs="Arial"/>
                <w:sz w:val="19"/>
                <w:szCs w:val="19"/>
                <w:lang w:val="it-IT" w:eastAsia="zh-TW"/>
              </w:rPr>
            </w:pPr>
          </w:p>
        </w:tc>
        <w:tc>
          <w:tcPr>
            <w:tcW w:w="851" w:type="dxa"/>
            <w:tcBorders>
              <w:top w:val="single" w:sz="4" w:space="0" w:color="auto"/>
              <w:left w:val="nil"/>
              <w:right w:val="nil"/>
            </w:tcBorders>
            <w:shd w:val="clear" w:color="000000" w:fill="FFFFFF"/>
          </w:tcPr>
          <w:p w14:paraId="685373C8"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single" w:sz="4" w:space="0" w:color="auto"/>
              <w:right w:val="single" w:sz="4" w:space="0" w:color="auto"/>
            </w:tcBorders>
            <w:shd w:val="clear" w:color="000000" w:fill="FFFFFF"/>
          </w:tcPr>
          <w:p w14:paraId="648DB990" w14:textId="77777777" w:rsidR="000C1753" w:rsidRPr="006A2BF9" w:rsidRDefault="000C1753" w:rsidP="00B26F69">
            <w:pPr>
              <w:jc w:val="center"/>
              <w:rPr>
                <w:rFonts w:cs="Arial"/>
                <w:sz w:val="19"/>
                <w:szCs w:val="19"/>
                <w:lang w:val="it-IT" w:eastAsia="zh-TW"/>
              </w:rPr>
            </w:pPr>
          </w:p>
        </w:tc>
        <w:tc>
          <w:tcPr>
            <w:tcW w:w="851" w:type="dxa"/>
            <w:tcBorders>
              <w:top w:val="single" w:sz="4" w:space="0" w:color="auto"/>
              <w:left w:val="nil"/>
              <w:right w:val="nil"/>
            </w:tcBorders>
            <w:shd w:val="clear" w:color="000000" w:fill="FFFFFF"/>
          </w:tcPr>
          <w:p w14:paraId="2C14B775"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single" w:sz="4" w:space="0" w:color="auto"/>
              <w:right w:val="single" w:sz="8" w:space="0" w:color="auto"/>
            </w:tcBorders>
            <w:shd w:val="clear" w:color="000000" w:fill="FFFFFF"/>
            <w:noWrap/>
          </w:tcPr>
          <w:p w14:paraId="31CEDDCB" w14:textId="77777777" w:rsidR="000C1753" w:rsidRPr="006A2BF9" w:rsidRDefault="000C1753" w:rsidP="00B26F69">
            <w:pPr>
              <w:jc w:val="center"/>
              <w:rPr>
                <w:rFonts w:cs="Arial"/>
                <w:sz w:val="19"/>
                <w:szCs w:val="19"/>
                <w:lang w:val="it-IT" w:eastAsia="zh-TW"/>
              </w:rPr>
            </w:pPr>
          </w:p>
        </w:tc>
      </w:tr>
      <w:tr w:rsidR="00352EF0" w:rsidRPr="006A2BF9" w14:paraId="660AB1F7" w14:textId="77777777" w:rsidTr="00214FBA">
        <w:trPr>
          <w:trHeight w:val="782"/>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1CF8CA50" w14:textId="77777777" w:rsidR="00352EF0" w:rsidRPr="006A2BF9" w:rsidRDefault="00352EF0" w:rsidP="00B26F69">
            <w:pPr>
              <w:jc w:val="center"/>
              <w:rPr>
                <w:rFonts w:cs="Arial"/>
                <w:sz w:val="19"/>
                <w:szCs w:val="19"/>
                <w:lang w:val="it-IT" w:eastAsia="zh-TW"/>
              </w:rPr>
            </w:pPr>
            <w:r w:rsidRPr="006A2BF9">
              <w:rPr>
                <w:rFonts w:cs="Arial"/>
                <w:sz w:val="19"/>
                <w:szCs w:val="19"/>
                <w:lang w:val="it-IT" w:eastAsia="zh-TW"/>
              </w:rPr>
              <w:t>Patologie cardiache</w:t>
            </w:r>
          </w:p>
        </w:tc>
        <w:tc>
          <w:tcPr>
            <w:tcW w:w="1559" w:type="dxa"/>
            <w:tcBorders>
              <w:top w:val="single" w:sz="4" w:space="0" w:color="auto"/>
              <w:left w:val="nil"/>
              <w:bottom w:val="single" w:sz="4" w:space="0" w:color="auto"/>
              <w:right w:val="nil"/>
            </w:tcBorders>
            <w:shd w:val="clear" w:color="000000" w:fill="FFFFFF"/>
          </w:tcPr>
          <w:p w14:paraId="0F762F8A" w14:textId="77777777" w:rsidR="00352EF0" w:rsidRPr="006A2BF9" w:rsidRDefault="00352EF0" w:rsidP="00B26F69">
            <w:pPr>
              <w:jc w:val="center"/>
              <w:rPr>
                <w:rFonts w:cs="Arial"/>
                <w:iCs/>
                <w:sz w:val="19"/>
                <w:szCs w:val="19"/>
                <w:lang w:val="it-IT" w:eastAsia="zh-TW"/>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40A77C1" w14:textId="77777777" w:rsidR="00352EF0" w:rsidRPr="006A2BF9" w:rsidRDefault="00352EF0" w:rsidP="00B26F69">
            <w:pPr>
              <w:jc w:val="center"/>
              <w:rPr>
                <w:rFonts w:cs="Arial"/>
                <w:sz w:val="19"/>
                <w:szCs w:val="19"/>
                <w:lang w:val="it-IT" w:eastAsia="zh-TW"/>
              </w:rPr>
            </w:pPr>
            <w:r w:rsidRPr="006A2BF9">
              <w:rPr>
                <w:rFonts w:cs="Arial"/>
                <w:sz w:val="19"/>
                <w:szCs w:val="19"/>
                <w:lang w:val="it-IT" w:eastAsia="zh-TW"/>
              </w:rPr>
              <w:t>Insufficienza cardiaca congestizia</w:t>
            </w:r>
            <w:r w:rsidRPr="006A2BF9">
              <w:rPr>
                <w:rFonts w:cs="Arial"/>
                <w:sz w:val="19"/>
                <w:szCs w:val="19"/>
                <w:vertAlign w:val="superscript"/>
                <w:lang w:val="it-IT" w:eastAsia="zh-TW"/>
              </w:rPr>
              <w:t>b,d</w:t>
            </w:r>
            <w:r w:rsidRPr="006A2BF9">
              <w:rPr>
                <w:rFonts w:cs="Arial"/>
                <w:sz w:val="19"/>
                <w:szCs w:val="19"/>
                <w:lang w:val="it-IT" w:eastAsia="zh-TW"/>
              </w:rPr>
              <w:t>,</w:t>
            </w:r>
          </w:p>
          <w:p w14:paraId="60A110E9" w14:textId="77777777" w:rsidR="00352EF0" w:rsidRPr="006A2BF9" w:rsidRDefault="00352EF0" w:rsidP="00B26F69">
            <w:pPr>
              <w:jc w:val="center"/>
              <w:rPr>
                <w:rFonts w:cs="Arial"/>
                <w:sz w:val="19"/>
                <w:szCs w:val="19"/>
                <w:lang w:val="it-IT" w:eastAsia="zh-TW"/>
              </w:rPr>
            </w:pPr>
            <w:r w:rsidRPr="006A2BF9">
              <w:rPr>
                <w:rFonts w:cs="Arial"/>
                <w:sz w:val="19"/>
                <w:szCs w:val="19"/>
                <w:lang w:val="it-IT" w:eastAsia="zh-TW"/>
              </w:rPr>
              <w:t>Tachicardia sopraventricolare</w:t>
            </w:r>
          </w:p>
        </w:tc>
        <w:tc>
          <w:tcPr>
            <w:tcW w:w="851" w:type="dxa"/>
            <w:tcBorders>
              <w:top w:val="single" w:sz="4" w:space="0" w:color="auto"/>
              <w:left w:val="nil"/>
              <w:bottom w:val="single" w:sz="4" w:space="0" w:color="auto"/>
              <w:right w:val="nil"/>
            </w:tcBorders>
            <w:shd w:val="clear" w:color="000000" w:fill="FFFFFF"/>
          </w:tcPr>
          <w:p w14:paraId="1E12A6C5" w14:textId="77777777" w:rsidR="00352EF0" w:rsidRPr="006A2BF9" w:rsidRDefault="00352EF0" w:rsidP="00B26F69">
            <w:pPr>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C948B2A" w14:textId="77777777" w:rsidR="00352EF0" w:rsidRPr="006A2BF9" w:rsidRDefault="00352EF0" w:rsidP="00B26F69">
            <w:pPr>
              <w:jc w:val="center"/>
              <w:rPr>
                <w:rFonts w:cs="Arial"/>
                <w:sz w:val="19"/>
                <w:szCs w:val="19"/>
                <w:lang w:val="it-IT" w:eastAsia="zh-TW"/>
              </w:rPr>
            </w:pPr>
          </w:p>
        </w:tc>
        <w:tc>
          <w:tcPr>
            <w:tcW w:w="851" w:type="dxa"/>
            <w:tcBorders>
              <w:top w:val="single" w:sz="4" w:space="0" w:color="auto"/>
              <w:left w:val="nil"/>
              <w:bottom w:val="single" w:sz="4" w:space="0" w:color="auto"/>
              <w:right w:val="nil"/>
            </w:tcBorders>
            <w:shd w:val="clear" w:color="000000" w:fill="FFFFFF"/>
          </w:tcPr>
          <w:p w14:paraId="79AB9B8D" w14:textId="77777777" w:rsidR="00352EF0" w:rsidRPr="006A2BF9" w:rsidRDefault="00352EF0" w:rsidP="00B26F69">
            <w:pPr>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noWrap/>
          </w:tcPr>
          <w:p w14:paraId="477B737F" w14:textId="77777777" w:rsidR="00352EF0" w:rsidRPr="006A2BF9" w:rsidRDefault="00352EF0" w:rsidP="00B26F69">
            <w:pPr>
              <w:jc w:val="center"/>
              <w:rPr>
                <w:rFonts w:cs="Arial"/>
                <w:sz w:val="19"/>
                <w:szCs w:val="19"/>
                <w:lang w:val="it-IT" w:eastAsia="zh-TW"/>
              </w:rPr>
            </w:pPr>
          </w:p>
        </w:tc>
      </w:tr>
      <w:tr w:rsidR="000C1753" w:rsidRPr="006A2BF9" w14:paraId="73297942" w14:textId="77777777" w:rsidTr="00214FBA">
        <w:trPr>
          <w:trHeight w:val="1034"/>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435A40F9"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t>Patologie vascolari</w:t>
            </w:r>
          </w:p>
        </w:tc>
        <w:tc>
          <w:tcPr>
            <w:tcW w:w="1559" w:type="dxa"/>
            <w:tcBorders>
              <w:top w:val="single" w:sz="4" w:space="0" w:color="auto"/>
              <w:left w:val="nil"/>
              <w:bottom w:val="single" w:sz="4" w:space="0" w:color="auto"/>
              <w:right w:val="nil"/>
            </w:tcBorders>
            <w:shd w:val="clear" w:color="000000" w:fill="FFFFFF"/>
          </w:tcPr>
          <w:p w14:paraId="787B6E0A" w14:textId="77777777" w:rsidR="000C1753" w:rsidRPr="006A2BF9" w:rsidRDefault="000C1753" w:rsidP="00B26F69">
            <w:pPr>
              <w:jc w:val="center"/>
              <w:rPr>
                <w:rFonts w:cs="Arial"/>
                <w:bCs/>
                <w:iCs/>
                <w:sz w:val="19"/>
                <w:szCs w:val="19"/>
                <w:lang w:val="it-IT" w:eastAsia="zh-TW"/>
              </w:rPr>
            </w:pPr>
            <w:r w:rsidRPr="006A2BF9">
              <w:rPr>
                <w:rFonts w:cs="Arial"/>
                <w:bCs/>
                <w:iCs/>
                <w:sz w:val="19"/>
                <w:szCs w:val="19"/>
                <w:lang w:val="it-IT" w:eastAsia="zh-TW"/>
              </w:rPr>
              <w:t>Ipertensione</w:t>
            </w:r>
            <w:r w:rsidRPr="006A2BF9">
              <w:rPr>
                <w:rFonts w:cs="Arial"/>
                <w:bCs/>
                <w:iCs/>
                <w:sz w:val="19"/>
                <w:szCs w:val="19"/>
                <w:vertAlign w:val="superscript"/>
                <w:lang w:val="it-IT" w:eastAsia="zh-TW"/>
              </w:rPr>
              <w:t>b,d</w:t>
            </w:r>
            <w:r w:rsidRPr="006A2BF9">
              <w:rPr>
                <w:rFonts w:cs="Arial"/>
                <w:bCs/>
                <w:iCs/>
                <w:sz w:val="19"/>
                <w:szCs w:val="19"/>
                <w:lang w:val="it-IT" w:eastAsia="zh-TW"/>
              </w:rPr>
              <w:t>,</w:t>
            </w:r>
          </w:p>
          <w:p w14:paraId="323970D1"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Tromboembolia</w:t>
            </w:r>
          </w:p>
          <w:p w14:paraId="60A9CD14"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(venosa)</w:t>
            </w:r>
            <w:r w:rsidRPr="006A2BF9">
              <w:rPr>
                <w:rFonts w:cs="Arial"/>
                <w:iCs/>
                <w:sz w:val="19"/>
                <w:szCs w:val="19"/>
                <w:vertAlign w:val="superscript"/>
                <w:lang w:val="it-IT" w:eastAsia="zh-TW"/>
              </w:rPr>
              <w:t>b,d</w:t>
            </w:r>
          </w:p>
          <w:p w14:paraId="6D2D5938" w14:textId="77777777" w:rsidR="000C1753" w:rsidRPr="006A2BF9" w:rsidRDefault="000C1753" w:rsidP="00B26F69">
            <w:pPr>
              <w:jc w:val="center"/>
              <w:rPr>
                <w:rFonts w:cs="Arial"/>
                <w:sz w:val="19"/>
                <w:szCs w:val="19"/>
                <w:lang w:val="it-IT" w:eastAsia="zh-TW"/>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FC4BB31" w14:textId="77777777" w:rsidR="00352EF0" w:rsidRPr="006A2BF9" w:rsidRDefault="00352EF0" w:rsidP="00B26F69">
            <w:pPr>
              <w:jc w:val="center"/>
              <w:rPr>
                <w:rFonts w:cs="Arial"/>
                <w:bCs/>
                <w:sz w:val="19"/>
                <w:szCs w:val="19"/>
                <w:lang w:val="it-IT" w:eastAsia="zh-TW"/>
              </w:rPr>
            </w:pPr>
            <w:r w:rsidRPr="006A2BF9">
              <w:rPr>
                <w:rFonts w:cs="Arial"/>
                <w:bCs/>
                <w:sz w:val="19"/>
                <w:szCs w:val="19"/>
                <w:lang w:val="it-IT" w:eastAsia="zh-TW"/>
              </w:rPr>
              <w:t>Tromboembolia (arteriosa)</w:t>
            </w:r>
            <w:r w:rsidRPr="006A2BF9">
              <w:rPr>
                <w:rFonts w:cs="Arial"/>
                <w:bCs/>
                <w:sz w:val="19"/>
                <w:szCs w:val="19"/>
                <w:vertAlign w:val="superscript"/>
                <w:lang w:val="it-IT" w:eastAsia="zh-TW"/>
              </w:rPr>
              <w:t>b,d</w:t>
            </w:r>
            <w:r w:rsidRPr="006A2BF9">
              <w:rPr>
                <w:rFonts w:cs="Arial"/>
                <w:bCs/>
                <w:sz w:val="19"/>
                <w:szCs w:val="19"/>
                <w:lang w:val="it-IT" w:eastAsia="zh-TW"/>
              </w:rPr>
              <w:t>,</w:t>
            </w:r>
          </w:p>
          <w:p w14:paraId="394E3EC3" w14:textId="77777777" w:rsidR="00352EF0" w:rsidRPr="006A2BF9" w:rsidRDefault="00352EF0" w:rsidP="00B26F69">
            <w:pPr>
              <w:jc w:val="center"/>
              <w:rPr>
                <w:rFonts w:cs="Arial"/>
                <w:bCs/>
                <w:sz w:val="19"/>
                <w:szCs w:val="19"/>
                <w:lang w:val="it-IT" w:eastAsia="zh-TW"/>
              </w:rPr>
            </w:pPr>
            <w:r w:rsidRPr="006A2BF9">
              <w:rPr>
                <w:rFonts w:cs="Arial"/>
                <w:bCs/>
                <w:sz w:val="19"/>
                <w:szCs w:val="19"/>
                <w:lang w:val="it-IT" w:eastAsia="zh-TW"/>
              </w:rPr>
              <w:t>Emorragia</w:t>
            </w:r>
            <w:r w:rsidRPr="006A2BF9">
              <w:rPr>
                <w:rFonts w:cs="Arial"/>
                <w:bCs/>
                <w:sz w:val="19"/>
                <w:szCs w:val="19"/>
                <w:vertAlign w:val="superscript"/>
                <w:lang w:val="it-IT" w:eastAsia="zh-TW"/>
              </w:rPr>
              <w:t>b,d</w:t>
            </w:r>
            <w:r w:rsidRPr="006A2BF9">
              <w:rPr>
                <w:rFonts w:cs="Arial"/>
                <w:bCs/>
                <w:sz w:val="19"/>
                <w:szCs w:val="19"/>
                <w:lang w:val="it-IT" w:eastAsia="zh-TW"/>
              </w:rPr>
              <w:t>,</w:t>
            </w:r>
          </w:p>
          <w:p w14:paraId="09CA9157" w14:textId="77777777" w:rsidR="009E43B9" w:rsidRPr="006A2BF9" w:rsidRDefault="00352EF0" w:rsidP="00B26F69">
            <w:pPr>
              <w:jc w:val="center"/>
              <w:rPr>
                <w:rFonts w:cs="Arial"/>
                <w:b/>
                <w:bCs/>
                <w:sz w:val="19"/>
                <w:szCs w:val="19"/>
                <w:lang w:val="it-IT" w:eastAsia="zh-TW"/>
              </w:rPr>
            </w:pPr>
            <w:r w:rsidRPr="006A2BF9">
              <w:rPr>
                <w:rFonts w:cs="Arial"/>
                <w:bCs/>
                <w:sz w:val="19"/>
                <w:szCs w:val="19"/>
                <w:lang w:val="it-IT" w:eastAsia="zh-TW"/>
              </w:rPr>
              <w:t>Tr</w:t>
            </w:r>
            <w:r w:rsidR="00BE48B0" w:rsidRPr="006A2BF9">
              <w:rPr>
                <w:rFonts w:cs="Arial"/>
                <w:bCs/>
                <w:sz w:val="19"/>
                <w:szCs w:val="19"/>
                <w:lang w:val="it-IT" w:eastAsia="zh-TW"/>
              </w:rPr>
              <w:t>o</w:t>
            </w:r>
            <w:r w:rsidRPr="006A2BF9">
              <w:rPr>
                <w:rFonts w:cs="Arial"/>
                <w:bCs/>
                <w:sz w:val="19"/>
                <w:szCs w:val="19"/>
                <w:lang w:val="it-IT" w:eastAsia="zh-TW"/>
              </w:rPr>
              <w:t>mbosi venosa profonda</w:t>
            </w:r>
            <w:r w:rsidR="009E43B9" w:rsidRPr="006A2BF9">
              <w:rPr>
                <w:rFonts w:cs="Arial"/>
                <w:b/>
                <w:bCs/>
                <w:sz w:val="19"/>
                <w:szCs w:val="19"/>
                <w:lang w:val="it-IT" w:eastAsia="zh-TW"/>
              </w:rPr>
              <w:t xml:space="preserve"> </w:t>
            </w:r>
          </w:p>
        </w:tc>
        <w:tc>
          <w:tcPr>
            <w:tcW w:w="851" w:type="dxa"/>
            <w:tcBorders>
              <w:top w:val="single" w:sz="4" w:space="0" w:color="auto"/>
              <w:left w:val="nil"/>
              <w:bottom w:val="single" w:sz="4" w:space="0" w:color="auto"/>
              <w:right w:val="nil"/>
            </w:tcBorders>
            <w:shd w:val="clear" w:color="000000" w:fill="FFFFFF"/>
          </w:tcPr>
          <w:p w14:paraId="3B36698F"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17C5A35" w14:textId="77777777" w:rsidR="000C1753" w:rsidRPr="006A2BF9" w:rsidRDefault="000C1753" w:rsidP="00B26F69">
            <w:pPr>
              <w:jc w:val="center"/>
              <w:rPr>
                <w:rFonts w:cs="Arial"/>
                <w:sz w:val="19"/>
                <w:szCs w:val="19"/>
                <w:lang w:val="it-IT" w:eastAsia="zh-TW"/>
              </w:rPr>
            </w:pPr>
          </w:p>
        </w:tc>
        <w:tc>
          <w:tcPr>
            <w:tcW w:w="851" w:type="dxa"/>
            <w:tcBorders>
              <w:top w:val="single" w:sz="4" w:space="0" w:color="auto"/>
              <w:left w:val="nil"/>
              <w:bottom w:val="single" w:sz="4" w:space="0" w:color="auto"/>
              <w:right w:val="nil"/>
            </w:tcBorders>
            <w:shd w:val="clear" w:color="000000" w:fill="FFFFFF"/>
          </w:tcPr>
          <w:p w14:paraId="0A9D7322" w14:textId="77777777" w:rsidR="000C1753" w:rsidRPr="006A2BF9" w:rsidRDefault="000C1753" w:rsidP="00D9162B">
            <w:pPr>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55568497" w14:textId="77777777" w:rsidR="000C1753" w:rsidRPr="006A2BF9" w:rsidRDefault="000C1753" w:rsidP="00D9162B">
            <w:pPr>
              <w:jc w:val="center"/>
              <w:rPr>
                <w:rFonts w:cs="Arial"/>
                <w:sz w:val="19"/>
                <w:szCs w:val="19"/>
                <w:lang w:val="it-IT" w:eastAsia="zh-TW"/>
              </w:rPr>
            </w:pPr>
            <w:r w:rsidRPr="006A2BF9">
              <w:rPr>
                <w:rFonts w:cs="Arial"/>
                <w:iCs/>
                <w:sz w:val="19"/>
                <w:szCs w:val="19"/>
                <w:lang w:val="it-IT" w:eastAsia="zh-TW"/>
              </w:rPr>
              <w:t>Microangiopatia trombotica renale</w:t>
            </w:r>
            <w:r w:rsidRPr="006A2BF9">
              <w:rPr>
                <w:rFonts w:cs="Arial"/>
                <w:iCs/>
                <w:sz w:val="19"/>
                <w:szCs w:val="19"/>
                <w:vertAlign w:val="superscript"/>
                <w:lang w:val="it-IT" w:eastAsia="zh-TW"/>
              </w:rPr>
              <w:t>a,b</w:t>
            </w:r>
            <w:r w:rsidR="00A16E6C" w:rsidRPr="006A2BF9">
              <w:rPr>
                <w:sz w:val="18"/>
                <w:szCs w:val="18"/>
                <w:lang w:val="it-IT"/>
              </w:rPr>
              <w:t>,</w:t>
            </w:r>
            <w:r w:rsidR="00A16E6C" w:rsidRPr="006A2BF9">
              <w:rPr>
                <w:color w:val="FF0000"/>
                <w:sz w:val="18"/>
                <w:szCs w:val="18"/>
                <w:lang w:val="it-IT"/>
              </w:rPr>
              <w:t xml:space="preserve"> </w:t>
            </w:r>
            <w:r w:rsidR="00A16E6C" w:rsidRPr="006A2BF9">
              <w:rPr>
                <w:color w:val="000000"/>
                <w:sz w:val="18"/>
                <w:szCs w:val="18"/>
                <w:lang w:val="it-IT"/>
              </w:rPr>
              <w:t xml:space="preserve">Aneurismi e dissezioni </w:t>
            </w:r>
            <w:r w:rsidR="0000197F" w:rsidRPr="006A2BF9">
              <w:rPr>
                <w:color w:val="000000"/>
                <w:sz w:val="18"/>
                <w:szCs w:val="18"/>
                <w:lang w:val="it-IT"/>
              </w:rPr>
              <w:t xml:space="preserve">arteriose </w:t>
            </w:r>
          </w:p>
        </w:tc>
      </w:tr>
      <w:tr w:rsidR="000C1753" w:rsidRPr="006A2BF9" w14:paraId="15A53CB4" w14:textId="77777777" w:rsidTr="00F82298">
        <w:trPr>
          <w:trHeight w:val="1152"/>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191DC21B"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t>Patologie respiratorie, toraciche e mediastiniche</w:t>
            </w:r>
          </w:p>
        </w:tc>
        <w:tc>
          <w:tcPr>
            <w:tcW w:w="1559" w:type="dxa"/>
            <w:tcBorders>
              <w:top w:val="single" w:sz="4" w:space="0" w:color="auto"/>
              <w:left w:val="nil"/>
              <w:bottom w:val="single" w:sz="4" w:space="0" w:color="auto"/>
              <w:right w:val="nil"/>
            </w:tcBorders>
            <w:shd w:val="clear" w:color="000000" w:fill="FFFFFF"/>
          </w:tcPr>
          <w:p w14:paraId="25AC334B"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Dispnea,</w:t>
            </w:r>
          </w:p>
          <w:p w14:paraId="5A388189"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Rinite</w:t>
            </w:r>
            <w:r w:rsidR="00AA687E" w:rsidRPr="006A2BF9">
              <w:rPr>
                <w:rFonts w:cs="Arial"/>
                <w:iCs/>
                <w:sz w:val="19"/>
                <w:szCs w:val="19"/>
                <w:lang w:val="it-IT" w:eastAsia="zh-TW"/>
              </w:rPr>
              <w:t>,</w:t>
            </w:r>
          </w:p>
          <w:p w14:paraId="44CE54F0" w14:textId="77777777" w:rsidR="00AA687E" w:rsidRPr="006A2BF9" w:rsidRDefault="00AA687E" w:rsidP="00B26F69">
            <w:pPr>
              <w:jc w:val="center"/>
              <w:rPr>
                <w:rFonts w:cs="Arial"/>
                <w:iCs/>
                <w:sz w:val="19"/>
                <w:szCs w:val="19"/>
                <w:lang w:val="it-IT" w:eastAsia="zh-TW"/>
              </w:rPr>
            </w:pPr>
            <w:r w:rsidRPr="006A2BF9">
              <w:rPr>
                <w:rFonts w:cs="Arial"/>
                <w:iCs/>
                <w:sz w:val="19"/>
                <w:szCs w:val="19"/>
                <w:lang w:val="it-IT" w:eastAsia="zh-TW"/>
              </w:rPr>
              <w:t>Epistassi,</w:t>
            </w:r>
          </w:p>
          <w:p w14:paraId="3A9D51CE" w14:textId="77777777" w:rsidR="00AA687E" w:rsidRPr="006A2BF9" w:rsidRDefault="00AA687E" w:rsidP="00B26F69">
            <w:pPr>
              <w:jc w:val="center"/>
              <w:rPr>
                <w:rFonts w:cs="Arial"/>
                <w:iCs/>
                <w:sz w:val="19"/>
                <w:szCs w:val="19"/>
                <w:lang w:val="it-IT" w:eastAsia="zh-TW"/>
              </w:rPr>
            </w:pPr>
            <w:r w:rsidRPr="006A2BF9">
              <w:rPr>
                <w:rFonts w:cs="Arial"/>
                <w:iCs/>
                <w:sz w:val="19"/>
                <w:szCs w:val="19"/>
                <w:lang w:val="it-IT" w:eastAsia="zh-TW"/>
              </w:rPr>
              <w:t>Tosse</w:t>
            </w:r>
          </w:p>
          <w:p w14:paraId="405824C7" w14:textId="77777777" w:rsidR="000C1753" w:rsidRPr="006A2BF9" w:rsidRDefault="000C1753" w:rsidP="00B26F69">
            <w:pPr>
              <w:jc w:val="center"/>
              <w:rPr>
                <w:rFonts w:cs="Arial"/>
                <w:iCs/>
                <w:sz w:val="19"/>
                <w:szCs w:val="19"/>
                <w:lang w:val="it-IT" w:eastAsia="zh-TW"/>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087B113" w14:textId="77777777" w:rsidR="000C1753" w:rsidRPr="006A2BF9" w:rsidRDefault="000C1753" w:rsidP="00B26F69">
            <w:pPr>
              <w:jc w:val="center"/>
              <w:rPr>
                <w:rFonts w:cs="Arial"/>
                <w:bCs/>
                <w:iCs/>
                <w:sz w:val="19"/>
                <w:szCs w:val="19"/>
                <w:lang w:val="it-IT" w:eastAsia="zh-TW"/>
              </w:rPr>
            </w:pPr>
            <w:r w:rsidRPr="006A2BF9">
              <w:rPr>
                <w:rFonts w:cs="Arial"/>
                <w:bCs/>
                <w:iCs/>
                <w:sz w:val="19"/>
                <w:szCs w:val="19"/>
                <w:lang w:val="it-IT" w:eastAsia="zh-TW"/>
              </w:rPr>
              <w:t>Emorragia polmonare/</w:t>
            </w:r>
          </w:p>
          <w:p w14:paraId="40A0E405" w14:textId="77777777" w:rsidR="000C1753" w:rsidRPr="006A2BF9" w:rsidRDefault="000C1753" w:rsidP="00B26F69">
            <w:pPr>
              <w:jc w:val="center"/>
              <w:rPr>
                <w:rFonts w:cs="Arial"/>
                <w:bCs/>
                <w:iCs/>
                <w:sz w:val="19"/>
                <w:szCs w:val="19"/>
                <w:lang w:val="it-IT" w:eastAsia="zh-TW"/>
              </w:rPr>
            </w:pPr>
            <w:r w:rsidRPr="006A2BF9">
              <w:rPr>
                <w:rFonts w:cs="Arial"/>
                <w:bCs/>
                <w:iCs/>
                <w:sz w:val="19"/>
                <w:szCs w:val="19"/>
                <w:lang w:val="it-IT" w:eastAsia="zh-TW"/>
              </w:rPr>
              <w:t>Emottisi</w:t>
            </w:r>
            <w:r w:rsidRPr="006A2BF9">
              <w:rPr>
                <w:rFonts w:cs="Arial"/>
                <w:bCs/>
                <w:iCs/>
                <w:sz w:val="19"/>
                <w:szCs w:val="19"/>
                <w:vertAlign w:val="superscript"/>
                <w:lang w:val="it-IT" w:eastAsia="zh-TW"/>
              </w:rPr>
              <w:t>b,d</w:t>
            </w:r>
            <w:r w:rsidRPr="006A2BF9">
              <w:rPr>
                <w:rFonts w:cs="Arial"/>
                <w:bCs/>
                <w:iCs/>
                <w:sz w:val="19"/>
                <w:szCs w:val="19"/>
                <w:lang w:val="it-IT" w:eastAsia="zh-TW"/>
              </w:rPr>
              <w:t xml:space="preserve">, </w:t>
            </w:r>
          </w:p>
          <w:p w14:paraId="77585D8B" w14:textId="77777777" w:rsidR="00352EF0" w:rsidRPr="006A2BF9" w:rsidRDefault="00352EF0" w:rsidP="00B26F69">
            <w:pPr>
              <w:jc w:val="center"/>
              <w:rPr>
                <w:rFonts w:cs="Arial"/>
                <w:bCs/>
                <w:iCs/>
                <w:sz w:val="19"/>
                <w:szCs w:val="19"/>
                <w:lang w:val="it-IT" w:eastAsia="zh-TW"/>
              </w:rPr>
            </w:pPr>
            <w:r w:rsidRPr="006A2BF9">
              <w:rPr>
                <w:rFonts w:cs="Arial"/>
                <w:bCs/>
                <w:iCs/>
                <w:sz w:val="19"/>
                <w:szCs w:val="19"/>
                <w:lang w:val="it-IT" w:eastAsia="zh-TW"/>
              </w:rPr>
              <w:t>Embolia polmonare,</w:t>
            </w:r>
          </w:p>
          <w:p w14:paraId="14099383" w14:textId="77777777" w:rsidR="00352EF0" w:rsidRPr="006A2BF9" w:rsidRDefault="00352EF0" w:rsidP="00B26F69">
            <w:pPr>
              <w:jc w:val="center"/>
              <w:rPr>
                <w:rFonts w:cs="Arial"/>
                <w:bCs/>
                <w:iCs/>
                <w:sz w:val="19"/>
                <w:szCs w:val="19"/>
                <w:lang w:val="it-IT" w:eastAsia="zh-TW"/>
              </w:rPr>
            </w:pPr>
            <w:r w:rsidRPr="006A2BF9">
              <w:rPr>
                <w:rFonts w:cs="Arial"/>
                <w:bCs/>
                <w:iCs/>
                <w:sz w:val="19"/>
                <w:szCs w:val="19"/>
                <w:lang w:val="it-IT" w:eastAsia="zh-TW"/>
              </w:rPr>
              <w:t>Ipossia,</w:t>
            </w:r>
          </w:p>
          <w:p w14:paraId="4E6CBF5D" w14:textId="77777777" w:rsidR="000C1753" w:rsidRPr="006A2BF9" w:rsidRDefault="000C1753" w:rsidP="00B26F69">
            <w:pPr>
              <w:jc w:val="center"/>
              <w:rPr>
                <w:rFonts w:cs="Arial"/>
                <w:b/>
                <w:bCs/>
                <w:iCs/>
                <w:sz w:val="19"/>
                <w:szCs w:val="19"/>
                <w:vertAlign w:val="superscript"/>
                <w:lang w:val="it-IT" w:eastAsia="zh-TW"/>
              </w:rPr>
            </w:pPr>
            <w:r w:rsidRPr="006A2BF9">
              <w:rPr>
                <w:rFonts w:cs="Arial"/>
                <w:iCs/>
                <w:sz w:val="19"/>
                <w:szCs w:val="19"/>
                <w:lang w:val="it-IT" w:eastAsia="zh-TW"/>
              </w:rPr>
              <w:t>Disfonia</w:t>
            </w:r>
            <w:r w:rsidRPr="006A2BF9">
              <w:rPr>
                <w:rFonts w:cs="Arial"/>
                <w:iCs/>
                <w:sz w:val="19"/>
                <w:szCs w:val="19"/>
                <w:vertAlign w:val="superscript"/>
                <w:lang w:val="it-IT" w:eastAsia="zh-TW"/>
              </w:rPr>
              <w:t>a</w:t>
            </w:r>
          </w:p>
        </w:tc>
        <w:tc>
          <w:tcPr>
            <w:tcW w:w="851" w:type="dxa"/>
            <w:tcBorders>
              <w:top w:val="single" w:sz="4" w:space="0" w:color="auto"/>
              <w:left w:val="nil"/>
              <w:bottom w:val="single" w:sz="4" w:space="0" w:color="auto"/>
              <w:right w:val="nil"/>
            </w:tcBorders>
            <w:shd w:val="clear" w:color="000000" w:fill="FFFFFF"/>
          </w:tcPr>
          <w:p w14:paraId="3CF62428"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9D5F669" w14:textId="77777777" w:rsidR="000C1753" w:rsidRPr="006A2BF9" w:rsidRDefault="000C1753" w:rsidP="00B26F69">
            <w:pPr>
              <w:jc w:val="center"/>
              <w:rPr>
                <w:rFonts w:cs="Arial"/>
                <w:sz w:val="19"/>
                <w:szCs w:val="19"/>
                <w:lang w:val="it-IT" w:eastAsia="zh-TW"/>
              </w:rPr>
            </w:pPr>
          </w:p>
        </w:tc>
        <w:tc>
          <w:tcPr>
            <w:tcW w:w="851" w:type="dxa"/>
            <w:tcBorders>
              <w:top w:val="single" w:sz="4" w:space="0" w:color="auto"/>
              <w:left w:val="nil"/>
              <w:bottom w:val="single" w:sz="4" w:space="0" w:color="auto"/>
              <w:right w:val="nil"/>
            </w:tcBorders>
            <w:shd w:val="clear" w:color="000000" w:fill="FFFFFF"/>
          </w:tcPr>
          <w:p w14:paraId="305AF8DB" w14:textId="77777777" w:rsidR="000C1753" w:rsidRPr="006A2BF9" w:rsidRDefault="000C1753" w:rsidP="00D9162B">
            <w:pPr>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2D09B3D0" w14:textId="77777777" w:rsidR="000C1753" w:rsidRPr="006A2BF9" w:rsidRDefault="000C1753" w:rsidP="00D9162B">
            <w:pPr>
              <w:jc w:val="center"/>
              <w:rPr>
                <w:rFonts w:cs="Arial"/>
                <w:iCs/>
                <w:sz w:val="19"/>
                <w:szCs w:val="19"/>
                <w:lang w:val="it-IT" w:eastAsia="zh-TW"/>
              </w:rPr>
            </w:pPr>
            <w:r w:rsidRPr="006A2BF9">
              <w:rPr>
                <w:rFonts w:cs="Arial"/>
                <w:iCs/>
                <w:sz w:val="19"/>
                <w:szCs w:val="19"/>
                <w:lang w:val="it-IT" w:eastAsia="zh-TW"/>
              </w:rPr>
              <w:t>Ipertensione polmonare</w:t>
            </w:r>
            <w:r w:rsidRPr="006A2BF9">
              <w:rPr>
                <w:rFonts w:cs="Arial"/>
                <w:iCs/>
                <w:sz w:val="19"/>
                <w:szCs w:val="19"/>
                <w:vertAlign w:val="superscript"/>
                <w:lang w:val="it-IT" w:eastAsia="zh-TW"/>
              </w:rPr>
              <w:t>a</w:t>
            </w:r>
            <w:r w:rsidRPr="006A2BF9">
              <w:rPr>
                <w:rFonts w:cs="Arial"/>
                <w:iCs/>
                <w:sz w:val="19"/>
                <w:szCs w:val="19"/>
                <w:lang w:val="it-IT" w:eastAsia="zh-TW"/>
              </w:rPr>
              <w:t>,</w:t>
            </w:r>
          </w:p>
          <w:p w14:paraId="68440CA0" w14:textId="77777777" w:rsidR="000C1753" w:rsidRPr="006A2BF9" w:rsidRDefault="000C1753" w:rsidP="00D9162B">
            <w:pPr>
              <w:jc w:val="center"/>
              <w:rPr>
                <w:rFonts w:cs="Arial"/>
                <w:iCs/>
                <w:sz w:val="19"/>
                <w:szCs w:val="19"/>
                <w:lang w:val="it-IT" w:eastAsia="zh-TW"/>
              </w:rPr>
            </w:pPr>
            <w:r w:rsidRPr="006A2BF9">
              <w:rPr>
                <w:rFonts w:cs="Arial"/>
                <w:iCs/>
                <w:sz w:val="19"/>
                <w:szCs w:val="19"/>
                <w:lang w:val="it-IT" w:eastAsia="zh-TW"/>
              </w:rPr>
              <w:t>Perforazione del setto nasale</w:t>
            </w:r>
            <w:r w:rsidRPr="006A2BF9">
              <w:rPr>
                <w:rFonts w:cs="Arial"/>
                <w:iCs/>
                <w:sz w:val="19"/>
                <w:szCs w:val="19"/>
                <w:vertAlign w:val="superscript"/>
                <w:lang w:val="it-IT" w:eastAsia="zh-TW"/>
              </w:rPr>
              <w:t>a</w:t>
            </w:r>
          </w:p>
        </w:tc>
      </w:tr>
      <w:tr w:rsidR="000C1753" w:rsidRPr="006A2BF9" w14:paraId="032076DC" w14:textId="77777777" w:rsidTr="00F82298">
        <w:trPr>
          <w:trHeight w:val="1167"/>
        </w:trPr>
        <w:tc>
          <w:tcPr>
            <w:tcW w:w="1291" w:type="dxa"/>
            <w:tcBorders>
              <w:top w:val="single" w:sz="4" w:space="0" w:color="auto"/>
              <w:left w:val="single" w:sz="4" w:space="0" w:color="auto"/>
              <w:bottom w:val="single" w:sz="4" w:space="0" w:color="auto"/>
              <w:right w:val="single" w:sz="4" w:space="0" w:color="auto"/>
            </w:tcBorders>
            <w:shd w:val="clear" w:color="000000" w:fill="FFFFFF"/>
          </w:tcPr>
          <w:p w14:paraId="7F16926A"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t>Patologie gastrointestinali</w:t>
            </w:r>
          </w:p>
        </w:tc>
        <w:tc>
          <w:tcPr>
            <w:tcW w:w="1559" w:type="dxa"/>
            <w:tcBorders>
              <w:top w:val="single" w:sz="4" w:space="0" w:color="auto"/>
              <w:left w:val="nil"/>
              <w:bottom w:val="single" w:sz="4" w:space="0" w:color="auto"/>
              <w:right w:val="single" w:sz="4" w:space="0" w:color="auto"/>
            </w:tcBorders>
            <w:shd w:val="clear" w:color="000000" w:fill="FFFFFF"/>
          </w:tcPr>
          <w:p w14:paraId="1FFBE239"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Emorragia rettale,</w:t>
            </w:r>
          </w:p>
          <w:p w14:paraId="1D2265F9"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Stomatite,</w:t>
            </w:r>
          </w:p>
          <w:p w14:paraId="4BAEBCF3"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Costipazione,</w:t>
            </w:r>
          </w:p>
          <w:p w14:paraId="099398A9" w14:textId="77777777" w:rsidR="000C1753" w:rsidRPr="006A2BF9" w:rsidRDefault="000C1753" w:rsidP="00B26F69">
            <w:pPr>
              <w:jc w:val="center"/>
              <w:rPr>
                <w:rFonts w:cs="Arial"/>
                <w:bCs/>
                <w:iCs/>
                <w:sz w:val="19"/>
                <w:szCs w:val="19"/>
                <w:lang w:val="it-IT" w:eastAsia="zh-TW"/>
              </w:rPr>
            </w:pPr>
            <w:r w:rsidRPr="006A2BF9">
              <w:rPr>
                <w:rFonts w:cs="Arial"/>
                <w:bCs/>
                <w:iCs/>
                <w:sz w:val="19"/>
                <w:szCs w:val="19"/>
                <w:lang w:val="it-IT" w:eastAsia="zh-TW"/>
              </w:rPr>
              <w:t>Diarrea</w:t>
            </w:r>
            <w:r w:rsidR="009E43B9" w:rsidRPr="006A2BF9">
              <w:rPr>
                <w:rFonts w:cs="Arial"/>
                <w:bCs/>
                <w:iCs/>
                <w:sz w:val="19"/>
                <w:szCs w:val="19"/>
                <w:lang w:val="it-IT" w:eastAsia="zh-TW"/>
              </w:rPr>
              <w:t xml:space="preserve">, </w:t>
            </w:r>
          </w:p>
          <w:p w14:paraId="7E5451D3" w14:textId="77777777" w:rsidR="00352EF0" w:rsidRPr="006A2BF9" w:rsidRDefault="00352EF0" w:rsidP="00B26F69">
            <w:pPr>
              <w:jc w:val="center"/>
              <w:rPr>
                <w:rFonts w:cs="Arial"/>
                <w:bCs/>
                <w:iCs/>
                <w:sz w:val="19"/>
                <w:szCs w:val="19"/>
                <w:lang w:val="it-IT" w:eastAsia="zh-TW"/>
              </w:rPr>
            </w:pPr>
            <w:r w:rsidRPr="006A2BF9">
              <w:rPr>
                <w:rFonts w:cs="Arial"/>
                <w:bCs/>
                <w:iCs/>
                <w:sz w:val="19"/>
                <w:szCs w:val="19"/>
                <w:lang w:val="it-IT" w:eastAsia="zh-TW"/>
              </w:rPr>
              <w:t>Nausea,</w:t>
            </w:r>
          </w:p>
          <w:p w14:paraId="03D401F8" w14:textId="77777777" w:rsidR="00352EF0" w:rsidRPr="006A2BF9" w:rsidRDefault="00352EF0" w:rsidP="00B26F69">
            <w:pPr>
              <w:jc w:val="center"/>
              <w:rPr>
                <w:rFonts w:cs="Arial"/>
                <w:bCs/>
                <w:iCs/>
                <w:sz w:val="19"/>
                <w:szCs w:val="19"/>
                <w:lang w:val="it-IT" w:eastAsia="zh-TW"/>
              </w:rPr>
            </w:pPr>
            <w:r w:rsidRPr="006A2BF9">
              <w:rPr>
                <w:rFonts w:cs="Arial"/>
                <w:bCs/>
                <w:iCs/>
                <w:sz w:val="19"/>
                <w:szCs w:val="19"/>
                <w:lang w:val="it-IT" w:eastAsia="zh-TW"/>
              </w:rPr>
              <w:t>Vomito</w:t>
            </w:r>
            <w:r w:rsidR="001C5AC5" w:rsidRPr="006A2BF9">
              <w:rPr>
                <w:rFonts w:cs="Arial"/>
                <w:bCs/>
                <w:iCs/>
                <w:sz w:val="19"/>
                <w:szCs w:val="19"/>
                <w:lang w:val="it-IT" w:eastAsia="zh-TW"/>
              </w:rPr>
              <w:t>,</w:t>
            </w:r>
          </w:p>
          <w:p w14:paraId="775C3360" w14:textId="77777777" w:rsidR="001C5AC5" w:rsidRPr="006A2BF9" w:rsidRDefault="001C5AC5" w:rsidP="00B26F69">
            <w:pPr>
              <w:jc w:val="center"/>
              <w:rPr>
                <w:rFonts w:cs="Arial"/>
                <w:bCs/>
                <w:iCs/>
                <w:sz w:val="19"/>
                <w:szCs w:val="19"/>
                <w:lang w:val="it-IT" w:eastAsia="zh-TW"/>
              </w:rPr>
            </w:pPr>
            <w:r w:rsidRPr="006A2BF9">
              <w:rPr>
                <w:rFonts w:cs="Arial"/>
                <w:bCs/>
                <w:iCs/>
                <w:sz w:val="19"/>
                <w:szCs w:val="19"/>
                <w:lang w:val="it-IT" w:eastAsia="zh-TW"/>
              </w:rPr>
              <w:t>Dolore addominale</w:t>
            </w:r>
          </w:p>
          <w:p w14:paraId="272BD121" w14:textId="77777777" w:rsidR="009E43B9" w:rsidRPr="006A2BF9" w:rsidRDefault="009E43B9" w:rsidP="00B26F69">
            <w:pPr>
              <w:jc w:val="center"/>
              <w:rPr>
                <w:rFonts w:cs="Arial"/>
                <w:iCs/>
                <w:sz w:val="19"/>
                <w:szCs w:val="19"/>
                <w:lang w:val="it-IT" w:eastAsia="zh-TW"/>
              </w:rPr>
            </w:pPr>
          </w:p>
        </w:tc>
        <w:tc>
          <w:tcPr>
            <w:tcW w:w="1701" w:type="dxa"/>
            <w:tcBorders>
              <w:top w:val="single" w:sz="4" w:space="0" w:color="auto"/>
              <w:left w:val="nil"/>
              <w:bottom w:val="single" w:sz="4" w:space="0" w:color="auto"/>
              <w:right w:val="single" w:sz="4" w:space="0" w:color="auto"/>
            </w:tcBorders>
            <w:shd w:val="clear" w:color="000000" w:fill="FFFFFF"/>
          </w:tcPr>
          <w:p w14:paraId="57029E27" w14:textId="77777777" w:rsidR="000C1753" w:rsidRPr="006A2BF9" w:rsidRDefault="000C1753" w:rsidP="00B26F69">
            <w:pPr>
              <w:jc w:val="center"/>
              <w:rPr>
                <w:rFonts w:cs="Arial"/>
                <w:iCs/>
                <w:sz w:val="19"/>
                <w:szCs w:val="19"/>
                <w:vertAlign w:val="superscript"/>
                <w:lang w:val="it-IT" w:eastAsia="zh-TW"/>
              </w:rPr>
            </w:pPr>
            <w:r w:rsidRPr="006A2BF9">
              <w:rPr>
                <w:rFonts w:cs="Arial"/>
                <w:iCs/>
                <w:sz w:val="19"/>
                <w:szCs w:val="19"/>
                <w:lang w:val="it-IT" w:eastAsia="zh-TW"/>
              </w:rPr>
              <w:t>Perforazione gastrointestinale</w:t>
            </w:r>
            <w:r w:rsidRPr="006A2BF9">
              <w:rPr>
                <w:rFonts w:cs="Arial"/>
                <w:iCs/>
                <w:sz w:val="19"/>
                <w:szCs w:val="19"/>
                <w:vertAlign w:val="superscript"/>
                <w:lang w:val="it-IT" w:eastAsia="zh-TW"/>
              </w:rPr>
              <w:t>b,d</w:t>
            </w:r>
          </w:p>
          <w:p w14:paraId="1A7A1CBB" w14:textId="77777777" w:rsidR="00352EF0" w:rsidRPr="006A2BF9" w:rsidRDefault="00352EF0" w:rsidP="00B26F69">
            <w:pPr>
              <w:jc w:val="center"/>
              <w:rPr>
                <w:rFonts w:cs="Arial"/>
                <w:iCs/>
                <w:sz w:val="19"/>
                <w:szCs w:val="19"/>
                <w:lang w:val="it-IT" w:eastAsia="zh-TW"/>
              </w:rPr>
            </w:pPr>
            <w:r w:rsidRPr="006A2BF9">
              <w:rPr>
                <w:rFonts w:cs="Arial"/>
                <w:iCs/>
                <w:sz w:val="19"/>
                <w:szCs w:val="19"/>
                <w:lang w:val="it-IT" w:eastAsia="zh-TW"/>
              </w:rPr>
              <w:t>Perforazione intestinale,</w:t>
            </w:r>
          </w:p>
          <w:p w14:paraId="59ACEE40" w14:textId="77777777" w:rsidR="00352EF0" w:rsidRPr="006A2BF9" w:rsidRDefault="00352EF0" w:rsidP="00B26F69">
            <w:pPr>
              <w:jc w:val="center"/>
              <w:rPr>
                <w:rFonts w:cs="Arial"/>
                <w:iCs/>
                <w:sz w:val="19"/>
                <w:szCs w:val="19"/>
                <w:lang w:val="it-IT" w:eastAsia="zh-TW"/>
              </w:rPr>
            </w:pPr>
            <w:r w:rsidRPr="006A2BF9">
              <w:rPr>
                <w:rFonts w:cs="Arial"/>
                <w:iCs/>
                <w:sz w:val="19"/>
                <w:szCs w:val="19"/>
                <w:lang w:val="it-IT" w:eastAsia="zh-TW"/>
              </w:rPr>
              <w:t>Ileo,</w:t>
            </w:r>
          </w:p>
          <w:p w14:paraId="5A3CEF8E" w14:textId="77777777" w:rsidR="00352EF0" w:rsidRPr="006A2BF9" w:rsidRDefault="00352EF0" w:rsidP="00B26F69">
            <w:pPr>
              <w:jc w:val="center"/>
              <w:rPr>
                <w:rFonts w:cs="Arial"/>
                <w:iCs/>
                <w:sz w:val="19"/>
                <w:szCs w:val="19"/>
                <w:lang w:val="it-IT" w:eastAsia="zh-TW"/>
              </w:rPr>
            </w:pPr>
            <w:r w:rsidRPr="006A2BF9">
              <w:rPr>
                <w:rFonts w:cs="Arial"/>
                <w:iCs/>
                <w:sz w:val="19"/>
                <w:szCs w:val="19"/>
                <w:lang w:val="it-IT" w:eastAsia="zh-TW"/>
              </w:rPr>
              <w:t>Ostruzione intestinale,</w:t>
            </w:r>
          </w:p>
          <w:p w14:paraId="6EBF0069" w14:textId="77777777" w:rsidR="00352EF0" w:rsidRPr="006A2BF9" w:rsidRDefault="001C5AC5" w:rsidP="00B26F69">
            <w:pPr>
              <w:jc w:val="center"/>
              <w:rPr>
                <w:rFonts w:cs="Arial"/>
                <w:iCs/>
                <w:sz w:val="19"/>
                <w:szCs w:val="19"/>
                <w:lang w:val="it-IT" w:eastAsia="zh-TW"/>
              </w:rPr>
            </w:pPr>
            <w:r w:rsidRPr="006A2BF9">
              <w:rPr>
                <w:rFonts w:cs="Arial"/>
                <w:iCs/>
                <w:sz w:val="19"/>
                <w:szCs w:val="19"/>
                <w:lang w:val="it-IT" w:eastAsia="zh-TW"/>
              </w:rPr>
              <w:t>Fistole</w:t>
            </w:r>
            <w:r w:rsidR="0059507F" w:rsidRPr="006A2BF9">
              <w:rPr>
                <w:rFonts w:cs="Arial"/>
                <w:iCs/>
                <w:sz w:val="19"/>
                <w:szCs w:val="19"/>
                <w:lang w:val="it-IT" w:eastAsia="zh-TW"/>
              </w:rPr>
              <w:t xml:space="preserve"> retto-vaginali</w:t>
            </w:r>
            <w:r w:rsidR="0059507F" w:rsidRPr="006A2BF9">
              <w:rPr>
                <w:rFonts w:cs="Arial"/>
                <w:bCs/>
                <w:iCs/>
                <w:sz w:val="19"/>
                <w:szCs w:val="19"/>
                <w:vertAlign w:val="superscript"/>
                <w:lang w:val="it-IT" w:eastAsia="zh-TW"/>
              </w:rPr>
              <w:t>d,e</w:t>
            </w:r>
            <w:r w:rsidR="00352EF0" w:rsidRPr="006A2BF9">
              <w:rPr>
                <w:rFonts w:cs="Arial"/>
                <w:iCs/>
                <w:sz w:val="19"/>
                <w:szCs w:val="19"/>
                <w:lang w:val="it-IT" w:eastAsia="zh-TW"/>
              </w:rPr>
              <w:t>,</w:t>
            </w:r>
          </w:p>
          <w:p w14:paraId="307FB694" w14:textId="77777777" w:rsidR="00352EF0" w:rsidRPr="006A2BF9" w:rsidRDefault="00352EF0" w:rsidP="00B26F69">
            <w:pPr>
              <w:jc w:val="center"/>
              <w:rPr>
                <w:rFonts w:cs="Arial"/>
                <w:iCs/>
                <w:sz w:val="19"/>
                <w:szCs w:val="19"/>
                <w:lang w:val="it-IT" w:eastAsia="zh-TW"/>
              </w:rPr>
            </w:pPr>
            <w:r w:rsidRPr="006A2BF9">
              <w:rPr>
                <w:rFonts w:cs="Arial"/>
                <w:iCs/>
                <w:sz w:val="19"/>
                <w:szCs w:val="19"/>
                <w:lang w:val="it-IT" w:eastAsia="zh-TW"/>
              </w:rPr>
              <w:t>Disturbo gastrointestinale</w:t>
            </w:r>
            <w:r w:rsidR="0059507F" w:rsidRPr="006A2BF9">
              <w:rPr>
                <w:rFonts w:cs="Arial"/>
                <w:iCs/>
                <w:sz w:val="19"/>
                <w:szCs w:val="19"/>
                <w:lang w:val="it-IT" w:eastAsia="zh-TW"/>
              </w:rPr>
              <w:t>,</w:t>
            </w:r>
          </w:p>
          <w:p w14:paraId="2E8C1E1D" w14:textId="77777777" w:rsidR="000C1753" w:rsidRPr="006A2BF9" w:rsidRDefault="0059507F" w:rsidP="00B26F69">
            <w:pPr>
              <w:jc w:val="center"/>
              <w:rPr>
                <w:rFonts w:cs="Arial"/>
                <w:iCs/>
                <w:sz w:val="19"/>
                <w:szCs w:val="19"/>
                <w:lang w:val="it-IT" w:eastAsia="zh-TW"/>
              </w:rPr>
            </w:pPr>
            <w:r w:rsidRPr="006A2BF9">
              <w:rPr>
                <w:rFonts w:cs="Arial"/>
                <w:iCs/>
                <w:sz w:val="19"/>
                <w:szCs w:val="19"/>
                <w:lang w:val="it-IT" w:eastAsia="zh-TW"/>
              </w:rPr>
              <w:t>Proctalgia</w:t>
            </w:r>
          </w:p>
        </w:tc>
        <w:tc>
          <w:tcPr>
            <w:tcW w:w="851" w:type="dxa"/>
            <w:tcBorders>
              <w:top w:val="single" w:sz="4" w:space="0" w:color="auto"/>
              <w:left w:val="nil"/>
              <w:bottom w:val="single" w:sz="4" w:space="0" w:color="auto"/>
              <w:right w:val="nil"/>
            </w:tcBorders>
            <w:shd w:val="clear" w:color="000000" w:fill="FFFFFF"/>
          </w:tcPr>
          <w:p w14:paraId="506C09EA"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BC52581" w14:textId="77777777" w:rsidR="000C1753" w:rsidRPr="006A2BF9" w:rsidRDefault="000C1753" w:rsidP="00B26F69">
            <w:pPr>
              <w:jc w:val="center"/>
              <w:rPr>
                <w:rFonts w:cs="Arial"/>
                <w:sz w:val="19"/>
                <w:szCs w:val="19"/>
                <w:lang w:val="it-IT" w:eastAsia="zh-TW"/>
              </w:rPr>
            </w:pPr>
          </w:p>
        </w:tc>
        <w:tc>
          <w:tcPr>
            <w:tcW w:w="851" w:type="dxa"/>
            <w:tcBorders>
              <w:top w:val="single" w:sz="4" w:space="0" w:color="auto"/>
              <w:left w:val="nil"/>
              <w:bottom w:val="single" w:sz="4" w:space="0" w:color="auto"/>
              <w:right w:val="nil"/>
            </w:tcBorders>
            <w:shd w:val="clear" w:color="000000" w:fill="FFFFFF"/>
          </w:tcPr>
          <w:p w14:paraId="353CBB5A" w14:textId="77777777" w:rsidR="000C1753" w:rsidRPr="006A2BF9" w:rsidRDefault="000C1753" w:rsidP="00D9162B">
            <w:pPr>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tcPr>
          <w:p w14:paraId="75EC3E57" w14:textId="77777777" w:rsidR="000C1753" w:rsidRPr="006A2BF9" w:rsidRDefault="000C1753" w:rsidP="00D9162B">
            <w:pPr>
              <w:jc w:val="center"/>
              <w:rPr>
                <w:rFonts w:cs="Arial"/>
                <w:iCs/>
                <w:sz w:val="19"/>
                <w:szCs w:val="19"/>
                <w:vertAlign w:val="superscript"/>
                <w:lang w:val="it-IT" w:eastAsia="zh-TW"/>
              </w:rPr>
            </w:pPr>
            <w:r w:rsidRPr="006A2BF9">
              <w:rPr>
                <w:rFonts w:cs="Arial"/>
                <w:iCs/>
                <w:sz w:val="19"/>
                <w:szCs w:val="19"/>
                <w:lang w:val="it-IT" w:eastAsia="zh-TW"/>
              </w:rPr>
              <w:t>Ulcera gastrointestinale</w:t>
            </w:r>
            <w:r w:rsidRPr="006A2BF9">
              <w:rPr>
                <w:rFonts w:cs="Arial"/>
                <w:iCs/>
                <w:sz w:val="19"/>
                <w:szCs w:val="19"/>
                <w:vertAlign w:val="superscript"/>
                <w:lang w:val="it-IT" w:eastAsia="zh-TW"/>
              </w:rPr>
              <w:t>a</w:t>
            </w:r>
          </w:p>
        </w:tc>
      </w:tr>
      <w:tr w:rsidR="000C1753" w:rsidRPr="006A2BF9" w14:paraId="034A5CD7" w14:textId="77777777" w:rsidTr="00F82298">
        <w:trPr>
          <w:trHeight w:val="60"/>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0F7C9517" w14:textId="77777777" w:rsidR="000C1753" w:rsidRPr="00330A40" w:rsidRDefault="000C1753" w:rsidP="00B26F69">
            <w:pPr>
              <w:jc w:val="center"/>
              <w:rPr>
                <w:rFonts w:cs="Arial"/>
                <w:sz w:val="19"/>
                <w:szCs w:val="19"/>
                <w:lang w:val="it-IT" w:eastAsia="zh-TW"/>
              </w:rPr>
            </w:pPr>
            <w:r w:rsidRPr="00330A40">
              <w:rPr>
                <w:rFonts w:cs="Arial"/>
                <w:sz w:val="19"/>
                <w:szCs w:val="19"/>
                <w:lang w:val="it-IT" w:eastAsia="zh-TW"/>
              </w:rPr>
              <w:t>Patologie epatobiliari</w:t>
            </w:r>
          </w:p>
        </w:tc>
        <w:tc>
          <w:tcPr>
            <w:tcW w:w="1559" w:type="dxa"/>
            <w:tcBorders>
              <w:top w:val="single" w:sz="4" w:space="0" w:color="auto"/>
              <w:left w:val="nil"/>
              <w:bottom w:val="single" w:sz="4" w:space="0" w:color="auto"/>
              <w:right w:val="single" w:sz="4" w:space="0" w:color="auto"/>
            </w:tcBorders>
            <w:shd w:val="clear" w:color="000000" w:fill="FFFFFF"/>
          </w:tcPr>
          <w:p w14:paraId="39704B8E" w14:textId="77777777" w:rsidR="000C1753" w:rsidRPr="00330A40" w:rsidRDefault="000C1753" w:rsidP="00B26F69">
            <w:pPr>
              <w:jc w:val="center"/>
              <w:rPr>
                <w:rFonts w:cs="Arial"/>
                <w:sz w:val="19"/>
                <w:szCs w:val="19"/>
                <w:lang w:val="it-IT" w:eastAsia="zh-TW"/>
              </w:rPr>
            </w:pPr>
          </w:p>
        </w:tc>
        <w:tc>
          <w:tcPr>
            <w:tcW w:w="1701" w:type="dxa"/>
            <w:tcBorders>
              <w:top w:val="single" w:sz="4" w:space="0" w:color="auto"/>
              <w:left w:val="nil"/>
              <w:bottom w:val="single" w:sz="4" w:space="0" w:color="auto"/>
              <w:right w:val="single" w:sz="4" w:space="0" w:color="auto"/>
            </w:tcBorders>
            <w:shd w:val="clear" w:color="000000" w:fill="FFFFFF"/>
          </w:tcPr>
          <w:p w14:paraId="240F59E9" w14:textId="77777777" w:rsidR="000C1753" w:rsidRPr="00330A40" w:rsidRDefault="000C1753" w:rsidP="00B26F69">
            <w:pPr>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7BF8F284" w14:textId="77777777" w:rsidR="000C1753" w:rsidRPr="00330A40" w:rsidRDefault="000C1753" w:rsidP="00B26F69">
            <w:pPr>
              <w:jc w:val="center"/>
              <w:rPr>
                <w:rFonts w:cs="Arial"/>
                <w:sz w:val="19"/>
                <w:szCs w:val="19"/>
                <w:lang w:val="it-IT" w:eastAsia="zh-TW"/>
              </w:rPr>
            </w:pPr>
          </w:p>
        </w:tc>
        <w:tc>
          <w:tcPr>
            <w:tcW w:w="1417" w:type="dxa"/>
            <w:tcBorders>
              <w:top w:val="single" w:sz="4" w:space="0" w:color="auto"/>
              <w:left w:val="nil"/>
              <w:bottom w:val="single" w:sz="4" w:space="0" w:color="auto"/>
              <w:right w:val="single" w:sz="4" w:space="0" w:color="auto"/>
            </w:tcBorders>
            <w:shd w:val="clear" w:color="000000" w:fill="FFFFFF"/>
          </w:tcPr>
          <w:p w14:paraId="187CBEF9" w14:textId="77777777" w:rsidR="000C1753" w:rsidRPr="00330A40" w:rsidRDefault="000C1753" w:rsidP="00B26F69">
            <w:pPr>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04B7043E" w14:textId="77777777" w:rsidR="000C1753" w:rsidRPr="006A2BF9" w:rsidRDefault="000C1753" w:rsidP="00D9162B">
            <w:pPr>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7C2A7152" w14:textId="77777777" w:rsidR="000C1753" w:rsidRPr="006A2BF9" w:rsidRDefault="000C1753" w:rsidP="00D9162B">
            <w:pPr>
              <w:jc w:val="center"/>
              <w:rPr>
                <w:rFonts w:cs="Arial"/>
                <w:iCs/>
                <w:sz w:val="19"/>
                <w:szCs w:val="19"/>
                <w:lang w:val="it-IT" w:eastAsia="zh-TW"/>
              </w:rPr>
            </w:pPr>
            <w:r w:rsidRPr="006A2BF9">
              <w:rPr>
                <w:rFonts w:cs="Arial"/>
                <w:iCs/>
                <w:sz w:val="19"/>
                <w:szCs w:val="19"/>
                <w:lang w:val="it-IT" w:eastAsia="zh-TW"/>
              </w:rPr>
              <w:t xml:space="preserve">Perforazione della colecisti </w:t>
            </w:r>
            <w:r w:rsidRPr="006A2BF9">
              <w:rPr>
                <w:rFonts w:cs="Arial"/>
                <w:iCs/>
                <w:sz w:val="19"/>
                <w:szCs w:val="19"/>
                <w:vertAlign w:val="superscript"/>
                <w:lang w:val="it-IT" w:eastAsia="zh-TW"/>
              </w:rPr>
              <w:t>a,b</w:t>
            </w:r>
          </w:p>
        </w:tc>
      </w:tr>
      <w:tr w:rsidR="000C1753" w:rsidRPr="006A2BF9" w14:paraId="39986B1E" w14:textId="77777777" w:rsidTr="006D575B">
        <w:trPr>
          <w:trHeight w:val="2116"/>
        </w:trPr>
        <w:tc>
          <w:tcPr>
            <w:tcW w:w="1291" w:type="dxa"/>
            <w:tcBorders>
              <w:top w:val="nil"/>
              <w:left w:val="single" w:sz="8" w:space="0" w:color="auto"/>
              <w:bottom w:val="single" w:sz="4" w:space="0" w:color="000000"/>
              <w:right w:val="nil"/>
            </w:tcBorders>
            <w:shd w:val="clear" w:color="000000" w:fill="FFFFFF"/>
          </w:tcPr>
          <w:p w14:paraId="56D855EF"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lastRenderedPageBreak/>
              <w:t>Patologie della cute e del tessuto sottocutaneo</w:t>
            </w:r>
          </w:p>
        </w:tc>
        <w:tc>
          <w:tcPr>
            <w:tcW w:w="1559" w:type="dxa"/>
            <w:tcBorders>
              <w:top w:val="nil"/>
              <w:left w:val="single" w:sz="4" w:space="0" w:color="auto"/>
              <w:bottom w:val="single" w:sz="4" w:space="0" w:color="auto"/>
              <w:right w:val="single" w:sz="4" w:space="0" w:color="auto"/>
            </w:tcBorders>
            <w:shd w:val="clear" w:color="000000" w:fill="FFFFFF"/>
          </w:tcPr>
          <w:p w14:paraId="446583A6"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Complicazioni nella guarigione delle ferite</w:t>
            </w:r>
            <w:r w:rsidRPr="006A2BF9">
              <w:rPr>
                <w:rFonts w:cs="Arial"/>
                <w:iCs/>
                <w:sz w:val="19"/>
                <w:szCs w:val="19"/>
                <w:vertAlign w:val="superscript"/>
                <w:lang w:val="it-IT" w:eastAsia="zh-TW"/>
              </w:rPr>
              <w:t>b,d</w:t>
            </w:r>
            <w:r w:rsidRPr="006A2BF9">
              <w:rPr>
                <w:rFonts w:cs="Arial"/>
                <w:iCs/>
                <w:sz w:val="19"/>
                <w:szCs w:val="19"/>
                <w:lang w:val="it-IT" w:eastAsia="zh-TW"/>
              </w:rPr>
              <w:t xml:space="preserve">, </w:t>
            </w:r>
          </w:p>
          <w:p w14:paraId="05784F46"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Dermatite esfoliativa,</w:t>
            </w:r>
          </w:p>
          <w:p w14:paraId="7385ED58" w14:textId="77777777" w:rsidR="000C1753" w:rsidRPr="006A2BF9" w:rsidRDefault="0022298C" w:rsidP="00B26F69">
            <w:pPr>
              <w:jc w:val="center"/>
              <w:rPr>
                <w:rFonts w:cs="Arial"/>
                <w:iCs/>
                <w:sz w:val="19"/>
                <w:szCs w:val="19"/>
                <w:lang w:val="it-IT" w:eastAsia="zh-TW"/>
              </w:rPr>
            </w:pPr>
            <w:r w:rsidRPr="006A2BF9">
              <w:rPr>
                <w:rFonts w:cs="Arial"/>
                <w:iCs/>
                <w:sz w:val="19"/>
                <w:szCs w:val="19"/>
                <w:lang w:val="it-IT" w:eastAsia="zh-TW"/>
              </w:rPr>
              <w:t>Pelle secca</w:t>
            </w:r>
            <w:r w:rsidR="000C1753" w:rsidRPr="006A2BF9">
              <w:rPr>
                <w:rFonts w:cs="Arial"/>
                <w:iCs/>
                <w:sz w:val="19"/>
                <w:szCs w:val="19"/>
                <w:lang w:val="it-IT" w:eastAsia="zh-TW"/>
              </w:rPr>
              <w:t>,</w:t>
            </w:r>
          </w:p>
          <w:p w14:paraId="73EF3CA8" w14:textId="77777777" w:rsidR="000C1753" w:rsidRPr="006A2BF9" w:rsidRDefault="0022298C" w:rsidP="00B26F69">
            <w:pPr>
              <w:jc w:val="center"/>
              <w:rPr>
                <w:rFonts w:cs="Arial"/>
                <w:iCs/>
                <w:sz w:val="19"/>
                <w:szCs w:val="19"/>
                <w:lang w:val="it-IT" w:eastAsia="zh-TW"/>
              </w:rPr>
            </w:pPr>
            <w:r w:rsidRPr="006A2BF9">
              <w:rPr>
                <w:rFonts w:cs="Arial"/>
                <w:iCs/>
                <w:sz w:val="19"/>
                <w:szCs w:val="19"/>
                <w:lang w:val="it-IT" w:eastAsia="zh-TW"/>
              </w:rPr>
              <w:t xml:space="preserve">Colorazione anormale </w:t>
            </w:r>
            <w:r w:rsidR="000C1753" w:rsidRPr="006A2BF9">
              <w:rPr>
                <w:rFonts w:cs="Arial"/>
                <w:iCs/>
                <w:sz w:val="19"/>
                <w:szCs w:val="19"/>
                <w:lang w:val="it-IT" w:eastAsia="zh-TW"/>
              </w:rPr>
              <w:t>della pelle</w:t>
            </w:r>
          </w:p>
        </w:tc>
        <w:tc>
          <w:tcPr>
            <w:tcW w:w="1701" w:type="dxa"/>
            <w:tcBorders>
              <w:top w:val="nil"/>
              <w:left w:val="nil"/>
              <w:bottom w:val="single" w:sz="4" w:space="0" w:color="auto"/>
              <w:right w:val="single" w:sz="4" w:space="0" w:color="auto"/>
            </w:tcBorders>
            <w:shd w:val="clear" w:color="000000" w:fill="FFFFFF"/>
          </w:tcPr>
          <w:p w14:paraId="3BF6E441" w14:textId="77777777" w:rsidR="000C1753" w:rsidRPr="006A2BF9" w:rsidRDefault="009D4640" w:rsidP="00B26F69">
            <w:pPr>
              <w:jc w:val="center"/>
              <w:rPr>
                <w:rFonts w:cs="Arial"/>
                <w:bCs/>
                <w:sz w:val="19"/>
                <w:szCs w:val="19"/>
                <w:lang w:val="it-IT" w:eastAsia="zh-TW"/>
              </w:rPr>
            </w:pPr>
            <w:r w:rsidRPr="006A2BF9">
              <w:rPr>
                <w:rFonts w:cs="Arial"/>
                <w:bCs/>
                <w:sz w:val="19"/>
                <w:szCs w:val="19"/>
                <w:lang w:val="it-IT" w:eastAsia="zh-TW"/>
              </w:rPr>
              <w:t>E</w:t>
            </w:r>
            <w:r w:rsidR="00E03245" w:rsidRPr="006A2BF9">
              <w:rPr>
                <w:rFonts w:cs="Arial"/>
                <w:bCs/>
                <w:sz w:val="19"/>
                <w:szCs w:val="19"/>
                <w:lang w:val="it-IT" w:eastAsia="zh-TW"/>
              </w:rPr>
              <w:t>ritrodisestesia palmo-plantare</w:t>
            </w:r>
          </w:p>
        </w:tc>
        <w:tc>
          <w:tcPr>
            <w:tcW w:w="851" w:type="dxa"/>
            <w:tcBorders>
              <w:top w:val="nil"/>
              <w:left w:val="nil"/>
              <w:right w:val="nil"/>
            </w:tcBorders>
            <w:shd w:val="clear" w:color="000000" w:fill="FFFFFF"/>
          </w:tcPr>
          <w:p w14:paraId="099F68C2" w14:textId="77777777" w:rsidR="000C1753" w:rsidRPr="006A2BF9" w:rsidRDefault="000C1753" w:rsidP="00B26F69">
            <w:pPr>
              <w:jc w:val="center"/>
              <w:rPr>
                <w:rFonts w:cs="Arial"/>
                <w:sz w:val="19"/>
                <w:szCs w:val="19"/>
                <w:lang w:val="it-IT" w:eastAsia="zh-TW"/>
              </w:rPr>
            </w:pPr>
          </w:p>
        </w:tc>
        <w:tc>
          <w:tcPr>
            <w:tcW w:w="1417" w:type="dxa"/>
            <w:tcBorders>
              <w:top w:val="nil"/>
              <w:left w:val="single" w:sz="4" w:space="0" w:color="auto"/>
              <w:right w:val="single" w:sz="4" w:space="0" w:color="auto"/>
            </w:tcBorders>
            <w:shd w:val="clear" w:color="000000" w:fill="FFFFFF"/>
          </w:tcPr>
          <w:p w14:paraId="43829778" w14:textId="77777777" w:rsidR="000C1753" w:rsidRPr="006A2BF9" w:rsidRDefault="000C1753" w:rsidP="00B26F69">
            <w:pPr>
              <w:jc w:val="center"/>
              <w:rPr>
                <w:rFonts w:cs="Arial"/>
                <w:sz w:val="19"/>
                <w:szCs w:val="19"/>
                <w:lang w:val="it-IT" w:eastAsia="zh-TW"/>
              </w:rPr>
            </w:pPr>
          </w:p>
        </w:tc>
        <w:tc>
          <w:tcPr>
            <w:tcW w:w="851" w:type="dxa"/>
            <w:tcBorders>
              <w:top w:val="nil"/>
              <w:left w:val="nil"/>
              <w:right w:val="nil"/>
            </w:tcBorders>
            <w:shd w:val="clear" w:color="000000" w:fill="FFFFFF"/>
          </w:tcPr>
          <w:p w14:paraId="03F9AAE4" w14:textId="77777777" w:rsidR="000C1753" w:rsidRPr="006A2BF9" w:rsidRDefault="000C1753" w:rsidP="00D9162B">
            <w:pPr>
              <w:jc w:val="center"/>
              <w:rPr>
                <w:rFonts w:cs="Arial"/>
                <w:sz w:val="19"/>
                <w:szCs w:val="19"/>
                <w:lang w:val="it-IT" w:eastAsia="zh-TW"/>
              </w:rPr>
            </w:pPr>
          </w:p>
        </w:tc>
        <w:tc>
          <w:tcPr>
            <w:tcW w:w="1417" w:type="dxa"/>
            <w:tcBorders>
              <w:top w:val="nil"/>
              <w:left w:val="single" w:sz="4" w:space="0" w:color="auto"/>
              <w:right w:val="single" w:sz="8" w:space="0" w:color="auto"/>
            </w:tcBorders>
            <w:shd w:val="clear" w:color="000000" w:fill="FFFFFF"/>
          </w:tcPr>
          <w:p w14:paraId="1C1DAD92" w14:textId="77777777" w:rsidR="000C1753" w:rsidRPr="006A2BF9" w:rsidRDefault="000C1753" w:rsidP="00D9162B">
            <w:pPr>
              <w:jc w:val="center"/>
              <w:rPr>
                <w:rFonts w:cs="Arial"/>
                <w:sz w:val="19"/>
                <w:szCs w:val="19"/>
                <w:lang w:val="it-IT" w:eastAsia="zh-TW"/>
              </w:rPr>
            </w:pPr>
          </w:p>
        </w:tc>
      </w:tr>
      <w:tr w:rsidR="000C1753" w:rsidRPr="006A2BF9" w14:paraId="38568BD9" w14:textId="77777777" w:rsidTr="006D575B">
        <w:trPr>
          <w:trHeight w:val="764"/>
        </w:trPr>
        <w:tc>
          <w:tcPr>
            <w:tcW w:w="1291" w:type="dxa"/>
            <w:tcBorders>
              <w:top w:val="nil"/>
              <w:left w:val="single" w:sz="8" w:space="0" w:color="auto"/>
              <w:bottom w:val="single" w:sz="4" w:space="0" w:color="000000"/>
              <w:right w:val="nil"/>
            </w:tcBorders>
            <w:shd w:val="clear" w:color="000000" w:fill="FFFFFF"/>
          </w:tcPr>
          <w:p w14:paraId="275236C4" w14:textId="77777777" w:rsidR="000C1753" w:rsidRPr="006A2BF9" w:rsidRDefault="000C1753" w:rsidP="00D9162B">
            <w:pPr>
              <w:jc w:val="center"/>
              <w:rPr>
                <w:rFonts w:cs="Arial"/>
                <w:sz w:val="19"/>
                <w:szCs w:val="19"/>
                <w:lang w:val="it-IT" w:eastAsia="zh-TW"/>
              </w:rPr>
            </w:pPr>
            <w:r w:rsidRPr="006A2BF9">
              <w:rPr>
                <w:rFonts w:cs="Arial"/>
                <w:sz w:val="19"/>
                <w:szCs w:val="19"/>
                <w:lang w:val="it-IT" w:eastAsia="zh-TW"/>
              </w:rPr>
              <w:t>Patologie del sistema muscoloscheletrico e del tessuto connettivo</w:t>
            </w:r>
          </w:p>
        </w:tc>
        <w:tc>
          <w:tcPr>
            <w:tcW w:w="1559" w:type="dxa"/>
            <w:tcBorders>
              <w:top w:val="single" w:sz="4" w:space="0" w:color="auto"/>
              <w:left w:val="single" w:sz="4" w:space="0" w:color="auto"/>
              <w:right w:val="nil"/>
            </w:tcBorders>
            <w:shd w:val="clear" w:color="000000" w:fill="FFFFFF"/>
          </w:tcPr>
          <w:p w14:paraId="180BC104" w14:textId="77777777" w:rsidR="000C1753" w:rsidRPr="006A2BF9" w:rsidRDefault="000C1753" w:rsidP="00D9162B">
            <w:pPr>
              <w:jc w:val="center"/>
              <w:rPr>
                <w:rFonts w:cs="Arial"/>
                <w:iCs/>
                <w:sz w:val="19"/>
                <w:szCs w:val="19"/>
                <w:lang w:val="it-IT" w:eastAsia="zh-TW"/>
              </w:rPr>
            </w:pPr>
            <w:r w:rsidRPr="006A2BF9">
              <w:rPr>
                <w:rFonts w:cs="Arial"/>
                <w:iCs/>
                <w:sz w:val="19"/>
                <w:szCs w:val="19"/>
                <w:lang w:val="it-IT" w:eastAsia="zh-TW"/>
              </w:rPr>
              <w:t>Artralgia</w:t>
            </w:r>
            <w:r w:rsidR="00AA687E" w:rsidRPr="006A2BF9">
              <w:rPr>
                <w:rFonts w:cs="Arial"/>
                <w:iCs/>
                <w:sz w:val="19"/>
                <w:szCs w:val="19"/>
                <w:lang w:val="it-IT" w:eastAsia="zh-TW"/>
              </w:rPr>
              <w:t>,</w:t>
            </w:r>
          </w:p>
          <w:p w14:paraId="15F878B1" w14:textId="77777777" w:rsidR="00AA687E" w:rsidRPr="006A2BF9" w:rsidRDefault="00AA687E" w:rsidP="00D9162B">
            <w:pPr>
              <w:jc w:val="center"/>
              <w:rPr>
                <w:rFonts w:cs="Arial"/>
                <w:iCs/>
                <w:sz w:val="19"/>
                <w:szCs w:val="19"/>
                <w:lang w:val="it-IT" w:eastAsia="zh-TW"/>
              </w:rPr>
            </w:pPr>
            <w:r w:rsidRPr="006A2BF9">
              <w:rPr>
                <w:rFonts w:cs="Arial"/>
                <w:iCs/>
                <w:sz w:val="19"/>
                <w:szCs w:val="19"/>
                <w:lang w:val="it-IT" w:eastAsia="zh-TW"/>
              </w:rPr>
              <w:t>Mialgia</w:t>
            </w:r>
          </w:p>
          <w:p w14:paraId="783AE7A7" w14:textId="77777777" w:rsidR="000C1753" w:rsidRPr="006A2BF9" w:rsidRDefault="000C1753" w:rsidP="00D9162B">
            <w:pPr>
              <w:jc w:val="center"/>
              <w:rPr>
                <w:rFonts w:cs="Arial"/>
                <w:iCs/>
                <w:sz w:val="19"/>
                <w:szCs w:val="19"/>
                <w:lang w:val="it-IT" w:eastAsia="zh-TW"/>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6D5EB35" w14:textId="77777777" w:rsidR="000C1753" w:rsidRPr="006A2BF9" w:rsidRDefault="000C1753" w:rsidP="00D9162B">
            <w:pPr>
              <w:jc w:val="center"/>
              <w:rPr>
                <w:rFonts w:cs="Arial"/>
                <w:iCs/>
                <w:sz w:val="19"/>
                <w:szCs w:val="19"/>
                <w:vertAlign w:val="superscript"/>
                <w:lang w:val="it-IT" w:eastAsia="zh-TW"/>
              </w:rPr>
            </w:pPr>
            <w:r w:rsidRPr="006A2BF9">
              <w:rPr>
                <w:rFonts w:cs="Arial"/>
                <w:iCs/>
                <w:sz w:val="19"/>
                <w:szCs w:val="19"/>
                <w:lang w:val="it-IT" w:eastAsia="zh-TW"/>
              </w:rPr>
              <w:t>Fistola</w:t>
            </w:r>
            <w:r w:rsidRPr="006A2BF9">
              <w:rPr>
                <w:rFonts w:cs="Arial"/>
                <w:iCs/>
                <w:sz w:val="19"/>
                <w:szCs w:val="19"/>
                <w:vertAlign w:val="superscript"/>
                <w:lang w:val="it-IT" w:eastAsia="zh-TW"/>
              </w:rPr>
              <w:t>b,d</w:t>
            </w:r>
          </w:p>
          <w:p w14:paraId="57ACF558" w14:textId="77777777" w:rsidR="00E03245" w:rsidRPr="006A2BF9" w:rsidRDefault="00E03245" w:rsidP="00D9162B">
            <w:pPr>
              <w:jc w:val="center"/>
              <w:rPr>
                <w:rFonts w:cs="Arial"/>
                <w:iCs/>
                <w:sz w:val="19"/>
                <w:szCs w:val="19"/>
                <w:lang w:val="it-IT" w:eastAsia="zh-TW"/>
              </w:rPr>
            </w:pPr>
            <w:r w:rsidRPr="006A2BF9">
              <w:rPr>
                <w:rFonts w:cs="Arial"/>
                <w:iCs/>
                <w:sz w:val="19"/>
                <w:szCs w:val="19"/>
                <w:lang w:val="it-IT" w:eastAsia="zh-TW"/>
              </w:rPr>
              <w:t>Debolezza muscolare</w:t>
            </w:r>
            <w:r w:rsidR="0059507F" w:rsidRPr="006A2BF9">
              <w:rPr>
                <w:rFonts w:cs="Arial"/>
                <w:iCs/>
                <w:sz w:val="19"/>
                <w:szCs w:val="19"/>
                <w:lang w:val="it-IT" w:eastAsia="zh-TW"/>
              </w:rPr>
              <w:t>,</w:t>
            </w:r>
          </w:p>
          <w:p w14:paraId="214D0770" w14:textId="77777777" w:rsidR="001C1A6E" w:rsidRPr="006A2BF9" w:rsidRDefault="001C1A6E" w:rsidP="00D9162B">
            <w:pPr>
              <w:jc w:val="center"/>
              <w:rPr>
                <w:rFonts w:cs="Arial"/>
                <w:iCs/>
                <w:sz w:val="19"/>
                <w:szCs w:val="19"/>
                <w:lang w:val="it-IT" w:eastAsia="zh-TW"/>
              </w:rPr>
            </w:pPr>
            <w:r w:rsidRPr="006A2BF9">
              <w:rPr>
                <w:rFonts w:cs="Arial"/>
                <w:iCs/>
                <w:sz w:val="19"/>
                <w:szCs w:val="19"/>
                <w:lang w:val="it-IT" w:eastAsia="zh-TW"/>
              </w:rPr>
              <w:t xml:space="preserve">Dolore </w:t>
            </w:r>
          </w:p>
          <w:p w14:paraId="23231EB1" w14:textId="77777777" w:rsidR="009E43B9" w:rsidRPr="006A2BF9" w:rsidRDefault="0022298C" w:rsidP="00D9162B">
            <w:pPr>
              <w:jc w:val="center"/>
              <w:rPr>
                <w:rFonts w:cs="Arial"/>
                <w:iCs/>
                <w:sz w:val="19"/>
                <w:szCs w:val="19"/>
                <w:lang w:val="it-IT" w:eastAsia="zh-TW"/>
              </w:rPr>
            </w:pPr>
            <w:r w:rsidRPr="006A2BF9">
              <w:rPr>
                <w:rFonts w:cs="Arial"/>
                <w:iCs/>
                <w:sz w:val="19"/>
                <w:szCs w:val="19"/>
                <w:lang w:val="it-IT" w:eastAsia="zh-TW"/>
              </w:rPr>
              <w:t>al dorso</w:t>
            </w:r>
          </w:p>
        </w:tc>
        <w:tc>
          <w:tcPr>
            <w:tcW w:w="851" w:type="dxa"/>
            <w:tcBorders>
              <w:top w:val="single" w:sz="4" w:space="0" w:color="auto"/>
              <w:left w:val="nil"/>
              <w:right w:val="nil"/>
            </w:tcBorders>
            <w:shd w:val="clear" w:color="000000" w:fill="FFFFFF"/>
          </w:tcPr>
          <w:p w14:paraId="155D3F53" w14:textId="77777777" w:rsidR="000C1753" w:rsidRPr="006A2BF9" w:rsidRDefault="000C1753" w:rsidP="00D9162B">
            <w:pPr>
              <w:jc w:val="center"/>
              <w:rPr>
                <w:rFonts w:cs="Arial"/>
                <w:sz w:val="19"/>
                <w:szCs w:val="19"/>
                <w:lang w:val="it-IT" w:eastAsia="zh-TW"/>
              </w:rPr>
            </w:pPr>
          </w:p>
        </w:tc>
        <w:tc>
          <w:tcPr>
            <w:tcW w:w="1417" w:type="dxa"/>
            <w:tcBorders>
              <w:top w:val="single" w:sz="4" w:space="0" w:color="auto"/>
              <w:left w:val="single" w:sz="4" w:space="0" w:color="auto"/>
              <w:right w:val="nil"/>
            </w:tcBorders>
            <w:shd w:val="clear" w:color="000000" w:fill="FFFFFF"/>
          </w:tcPr>
          <w:p w14:paraId="35531085" w14:textId="77777777" w:rsidR="000C1753" w:rsidRPr="006A2BF9" w:rsidRDefault="000C1753" w:rsidP="00D9162B">
            <w:pPr>
              <w:jc w:val="center"/>
              <w:rPr>
                <w:rFonts w:cs="Arial"/>
                <w:sz w:val="19"/>
                <w:szCs w:val="19"/>
                <w:lang w:val="it-IT" w:eastAsia="zh-TW"/>
              </w:rPr>
            </w:pPr>
          </w:p>
        </w:tc>
        <w:tc>
          <w:tcPr>
            <w:tcW w:w="851" w:type="dxa"/>
            <w:tcBorders>
              <w:top w:val="single" w:sz="4" w:space="0" w:color="auto"/>
              <w:left w:val="single" w:sz="4" w:space="0" w:color="auto"/>
              <w:right w:val="nil"/>
            </w:tcBorders>
            <w:shd w:val="clear" w:color="000000" w:fill="FFFFFF"/>
          </w:tcPr>
          <w:p w14:paraId="4EAD8F17" w14:textId="77777777" w:rsidR="000C1753" w:rsidRPr="006A2BF9" w:rsidRDefault="000C1753" w:rsidP="00D9162B">
            <w:pPr>
              <w:jc w:val="center"/>
              <w:rPr>
                <w:rFonts w:cs="Arial"/>
                <w:sz w:val="19"/>
                <w:szCs w:val="19"/>
                <w:lang w:val="it-IT" w:eastAsia="zh-TW"/>
              </w:rPr>
            </w:pPr>
          </w:p>
        </w:tc>
        <w:tc>
          <w:tcPr>
            <w:tcW w:w="1417" w:type="dxa"/>
            <w:tcBorders>
              <w:top w:val="single" w:sz="4" w:space="0" w:color="auto"/>
              <w:left w:val="single" w:sz="4" w:space="0" w:color="auto"/>
              <w:right w:val="single" w:sz="8" w:space="0" w:color="auto"/>
            </w:tcBorders>
            <w:shd w:val="clear" w:color="000000" w:fill="FFFFFF"/>
            <w:noWrap/>
          </w:tcPr>
          <w:p w14:paraId="735737D9" w14:textId="77777777" w:rsidR="000C1753" w:rsidRPr="006A2BF9" w:rsidRDefault="000C1753" w:rsidP="00D9162B">
            <w:pPr>
              <w:jc w:val="center"/>
              <w:rPr>
                <w:rFonts w:cs="Arial"/>
                <w:iCs/>
                <w:sz w:val="19"/>
                <w:szCs w:val="19"/>
                <w:lang w:val="it-IT" w:eastAsia="zh-TW"/>
              </w:rPr>
            </w:pPr>
            <w:r w:rsidRPr="006A2BF9">
              <w:rPr>
                <w:rFonts w:cs="Arial"/>
                <w:iCs/>
                <w:sz w:val="19"/>
                <w:szCs w:val="19"/>
                <w:lang w:val="it-IT" w:eastAsia="zh-TW"/>
              </w:rPr>
              <w:t>Osteonecrosi della mandibola</w:t>
            </w:r>
            <w:r w:rsidRPr="006A2BF9">
              <w:rPr>
                <w:rFonts w:cs="Arial"/>
                <w:iCs/>
                <w:sz w:val="19"/>
                <w:szCs w:val="19"/>
                <w:vertAlign w:val="superscript"/>
                <w:lang w:val="it-IT" w:eastAsia="zh-TW"/>
              </w:rPr>
              <w:t>a,b</w:t>
            </w:r>
          </w:p>
          <w:p w14:paraId="74067F82" w14:textId="77777777" w:rsidR="00DB56C5" w:rsidRPr="006A2BF9" w:rsidRDefault="00DB56C5" w:rsidP="00D9162B">
            <w:pPr>
              <w:jc w:val="center"/>
              <w:rPr>
                <w:rFonts w:cs="Arial"/>
                <w:sz w:val="19"/>
                <w:szCs w:val="19"/>
                <w:vertAlign w:val="superscript"/>
                <w:lang w:val="it-IT" w:eastAsia="zh-TW"/>
              </w:rPr>
            </w:pPr>
            <w:r w:rsidRPr="006A2BF9">
              <w:rPr>
                <w:rFonts w:cs="Arial"/>
                <w:iCs/>
                <w:sz w:val="19"/>
                <w:szCs w:val="19"/>
                <w:lang w:val="it-IT" w:eastAsia="zh-TW"/>
              </w:rPr>
              <w:t>Osteonecrosi non mandibolare</w:t>
            </w:r>
            <w:r w:rsidRPr="006A2BF9">
              <w:rPr>
                <w:rFonts w:cs="Arial"/>
                <w:iCs/>
                <w:sz w:val="19"/>
                <w:szCs w:val="19"/>
                <w:vertAlign w:val="superscript"/>
                <w:lang w:val="it-IT" w:eastAsia="zh-TW"/>
              </w:rPr>
              <w:t>a,f</w:t>
            </w:r>
          </w:p>
        </w:tc>
      </w:tr>
      <w:tr w:rsidR="000C1753" w:rsidRPr="006A2BF9" w14:paraId="1A4CCC7B" w14:textId="77777777" w:rsidTr="00EA1F40">
        <w:trPr>
          <w:trHeight w:val="540"/>
        </w:trPr>
        <w:tc>
          <w:tcPr>
            <w:tcW w:w="1291" w:type="dxa"/>
            <w:tcBorders>
              <w:top w:val="nil"/>
              <w:left w:val="single" w:sz="8" w:space="0" w:color="auto"/>
              <w:bottom w:val="single" w:sz="4" w:space="0" w:color="auto"/>
              <w:right w:val="single" w:sz="4" w:space="0" w:color="auto"/>
            </w:tcBorders>
            <w:shd w:val="clear" w:color="000000" w:fill="FFFFFF"/>
          </w:tcPr>
          <w:p w14:paraId="6B3FD3C7" w14:textId="77777777" w:rsidR="000C1753" w:rsidRPr="006A2BF9" w:rsidRDefault="000C1753" w:rsidP="00D9162B">
            <w:pPr>
              <w:jc w:val="center"/>
              <w:rPr>
                <w:rFonts w:cs="Arial"/>
                <w:sz w:val="19"/>
                <w:szCs w:val="19"/>
                <w:lang w:val="it-IT" w:eastAsia="zh-TW"/>
              </w:rPr>
            </w:pPr>
            <w:r w:rsidRPr="006A2BF9">
              <w:rPr>
                <w:rFonts w:cs="Arial"/>
                <w:sz w:val="19"/>
                <w:szCs w:val="19"/>
                <w:lang w:val="it-IT" w:eastAsia="zh-TW"/>
              </w:rPr>
              <w:t>Patologie renali e urinarie</w:t>
            </w:r>
          </w:p>
        </w:tc>
        <w:tc>
          <w:tcPr>
            <w:tcW w:w="1559" w:type="dxa"/>
            <w:tcBorders>
              <w:top w:val="single" w:sz="4" w:space="0" w:color="auto"/>
              <w:left w:val="nil"/>
              <w:bottom w:val="single" w:sz="4" w:space="0" w:color="auto"/>
              <w:right w:val="single" w:sz="4" w:space="0" w:color="auto"/>
            </w:tcBorders>
            <w:shd w:val="clear" w:color="000000" w:fill="FFFFFF"/>
          </w:tcPr>
          <w:p w14:paraId="0AAC723B" w14:textId="77777777" w:rsidR="000C1753" w:rsidRPr="006A2BF9" w:rsidRDefault="000C1753" w:rsidP="00D9162B">
            <w:pPr>
              <w:jc w:val="center"/>
              <w:rPr>
                <w:rFonts w:cs="Arial"/>
                <w:iCs/>
                <w:sz w:val="19"/>
                <w:szCs w:val="19"/>
                <w:lang w:val="it-IT" w:eastAsia="zh-TW"/>
              </w:rPr>
            </w:pPr>
            <w:r w:rsidRPr="006A2BF9">
              <w:rPr>
                <w:rFonts w:cs="Arial"/>
                <w:iCs/>
                <w:sz w:val="19"/>
                <w:szCs w:val="19"/>
                <w:lang w:val="it-IT" w:eastAsia="zh-TW"/>
              </w:rPr>
              <w:t>Proteinuria</w:t>
            </w:r>
            <w:r w:rsidRPr="006A2BF9">
              <w:rPr>
                <w:rFonts w:cs="Arial"/>
                <w:iCs/>
                <w:sz w:val="19"/>
                <w:szCs w:val="19"/>
                <w:vertAlign w:val="superscript"/>
                <w:lang w:val="it-IT" w:eastAsia="zh-TW"/>
              </w:rPr>
              <w:t>b,d</w:t>
            </w:r>
          </w:p>
        </w:tc>
        <w:tc>
          <w:tcPr>
            <w:tcW w:w="1701" w:type="dxa"/>
            <w:tcBorders>
              <w:top w:val="single" w:sz="4" w:space="0" w:color="auto"/>
              <w:left w:val="nil"/>
              <w:bottom w:val="single" w:sz="4" w:space="0" w:color="auto"/>
              <w:right w:val="single" w:sz="4" w:space="0" w:color="auto"/>
            </w:tcBorders>
            <w:shd w:val="clear" w:color="000000" w:fill="FFFFFF"/>
          </w:tcPr>
          <w:p w14:paraId="14A6FB82" w14:textId="77777777" w:rsidR="000C1753" w:rsidRPr="006A2BF9" w:rsidRDefault="000C1753" w:rsidP="00D9162B">
            <w:pPr>
              <w:jc w:val="center"/>
              <w:rPr>
                <w:rFonts w:cs="Arial"/>
                <w:b/>
                <w:bCs/>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650B54EF" w14:textId="77777777" w:rsidR="000C1753" w:rsidRPr="006A2BF9" w:rsidRDefault="000C1753" w:rsidP="00D9162B">
            <w:pPr>
              <w:jc w:val="center"/>
              <w:rPr>
                <w:rFonts w:cs="Arial"/>
                <w:sz w:val="19"/>
                <w:szCs w:val="19"/>
                <w:lang w:val="it-IT" w:eastAsia="zh-TW"/>
              </w:rPr>
            </w:pPr>
          </w:p>
        </w:tc>
        <w:tc>
          <w:tcPr>
            <w:tcW w:w="1417" w:type="dxa"/>
            <w:tcBorders>
              <w:top w:val="single" w:sz="4" w:space="0" w:color="auto"/>
              <w:left w:val="nil"/>
              <w:bottom w:val="single" w:sz="4" w:space="0" w:color="auto"/>
              <w:right w:val="single" w:sz="4" w:space="0" w:color="auto"/>
            </w:tcBorders>
            <w:shd w:val="clear" w:color="000000" w:fill="FFFFFF"/>
          </w:tcPr>
          <w:p w14:paraId="7EC64331" w14:textId="77777777" w:rsidR="000C1753" w:rsidRPr="006A2BF9" w:rsidRDefault="000C1753" w:rsidP="00D9162B">
            <w:pPr>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170C9DFF" w14:textId="77777777" w:rsidR="000C1753" w:rsidRPr="006A2BF9" w:rsidRDefault="000C1753" w:rsidP="00D9162B">
            <w:pPr>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noWrap/>
            <w:vAlign w:val="bottom"/>
          </w:tcPr>
          <w:p w14:paraId="5A160864" w14:textId="77777777" w:rsidR="000C1753" w:rsidRPr="006A2BF9" w:rsidRDefault="000C1753" w:rsidP="00D9162B">
            <w:pPr>
              <w:jc w:val="center"/>
              <w:rPr>
                <w:rFonts w:cs="Arial"/>
                <w:sz w:val="19"/>
                <w:szCs w:val="19"/>
                <w:lang w:val="it-IT" w:eastAsia="zh-TW"/>
              </w:rPr>
            </w:pPr>
          </w:p>
        </w:tc>
      </w:tr>
      <w:tr w:rsidR="00E03245" w:rsidRPr="006A2BF9" w14:paraId="380518EE" w14:textId="77777777" w:rsidTr="00456D4F">
        <w:trPr>
          <w:trHeight w:val="981"/>
        </w:trPr>
        <w:tc>
          <w:tcPr>
            <w:tcW w:w="1291" w:type="dxa"/>
            <w:tcBorders>
              <w:top w:val="single" w:sz="4" w:space="0" w:color="auto"/>
              <w:left w:val="single" w:sz="8" w:space="0" w:color="auto"/>
              <w:bottom w:val="single" w:sz="4" w:space="0" w:color="auto"/>
              <w:right w:val="nil"/>
            </w:tcBorders>
            <w:shd w:val="clear" w:color="000000" w:fill="FFFFFF"/>
          </w:tcPr>
          <w:p w14:paraId="0F4D5098" w14:textId="77777777" w:rsidR="00E03245" w:rsidRPr="006A2BF9" w:rsidRDefault="00E03245" w:rsidP="00D9162B">
            <w:pPr>
              <w:jc w:val="center"/>
              <w:rPr>
                <w:rFonts w:cs="Arial"/>
                <w:sz w:val="19"/>
                <w:szCs w:val="19"/>
                <w:lang w:val="it-IT" w:eastAsia="zh-TW"/>
              </w:rPr>
            </w:pPr>
            <w:r w:rsidRPr="006A2BF9">
              <w:rPr>
                <w:rFonts w:cs="Arial"/>
                <w:sz w:val="19"/>
                <w:szCs w:val="19"/>
                <w:lang w:val="it-IT" w:eastAsia="zh-TW"/>
              </w:rPr>
              <w:t>Patologie del</w:t>
            </w:r>
            <w:r w:rsidR="0022298C" w:rsidRPr="006A2BF9">
              <w:rPr>
                <w:rFonts w:cs="Arial"/>
                <w:sz w:val="19"/>
                <w:szCs w:val="19"/>
                <w:lang w:val="it-IT" w:eastAsia="zh-TW"/>
              </w:rPr>
              <w:t>l’apparato</w:t>
            </w:r>
            <w:r w:rsidRPr="006A2BF9">
              <w:rPr>
                <w:rFonts w:cs="Arial"/>
                <w:sz w:val="19"/>
                <w:szCs w:val="19"/>
                <w:lang w:val="it-IT" w:eastAsia="zh-TW"/>
              </w:rPr>
              <w:t xml:space="preserve"> riproduttivo e della mammella</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4199CC1" w14:textId="77777777" w:rsidR="00E03245" w:rsidRPr="006A2BF9" w:rsidRDefault="00E03245" w:rsidP="00D9162B">
            <w:pPr>
              <w:jc w:val="center"/>
              <w:rPr>
                <w:rFonts w:cs="Arial"/>
                <w:bCs/>
                <w:iCs/>
                <w:sz w:val="19"/>
                <w:szCs w:val="19"/>
                <w:lang w:val="it-IT" w:eastAsia="zh-TW"/>
              </w:rPr>
            </w:pPr>
            <w:r w:rsidRPr="006A2BF9">
              <w:rPr>
                <w:rFonts w:cs="Arial"/>
                <w:bCs/>
                <w:iCs/>
                <w:sz w:val="19"/>
                <w:szCs w:val="19"/>
                <w:lang w:val="it-IT" w:eastAsia="zh-TW"/>
              </w:rPr>
              <w:t>Insufficienza ovarica</w:t>
            </w:r>
            <w:r w:rsidRPr="006A2BF9">
              <w:rPr>
                <w:rFonts w:cs="Arial"/>
                <w:bCs/>
                <w:iCs/>
                <w:sz w:val="19"/>
                <w:szCs w:val="19"/>
                <w:vertAlign w:val="superscript"/>
                <w:lang w:val="it-IT" w:eastAsia="zh-TW"/>
              </w:rPr>
              <w:t>b,c,d</w:t>
            </w:r>
          </w:p>
        </w:tc>
        <w:tc>
          <w:tcPr>
            <w:tcW w:w="1701" w:type="dxa"/>
            <w:tcBorders>
              <w:top w:val="single" w:sz="4" w:space="0" w:color="auto"/>
              <w:left w:val="nil"/>
              <w:bottom w:val="single" w:sz="4" w:space="0" w:color="auto"/>
              <w:right w:val="single" w:sz="4" w:space="0" w:color="auto"/>
            </w:tcBorders>
            <w:shd w:val="clear" w:color="000000" w:fill="FFFFFF"/>
          </w:tcPr>
          <w:p w14:paraId="059F612C" w14:textId="77777777" w:rsidR="00E03245" w:rsidRPr="006A2BF9" w:rsidRDefault="0059507F" w:rsidP="00D9162B">
            <w:pPr>
              <w:jc w:val="center"/>
              <w:rPr>
                <w:rFonts w:cs="Arial"/>
                <w:sz w:val="19"/>
                <w:szCs w:val="19"/>
                <w:lang w:val="it-IT" w:eastAsia="zh-TW"/>
              </w:rPr>
            </w:pPr>
            <w:r w:rsidRPr="006A2BF9">
              <w:rPr>
                <w:rFonts w:cs="Arial"/>
                <w:sz w:val="19"/>
                <w:szCs w:val="19"/>
                <w:lang w:val="it-IT" w:eastAsia="zh-TW"/>
              </w:rPr>
              <w:t xml:space="preserve">Dolore </w:t>
            </w:r>
            <w:r w:rsidR="00E42874" w:rsidRPr="006A2BF9">
              <w:rPr>
                <w:rFonts w:cs="Arial"/>
                <w:sz w:val="19"/>
                <w:szCs w:val="19"/>
                <w:lang w:val="it-IT" w:eastAsia="zh-TW"/>
              </w:rPr>
              <w:t>pelvico</w:t>
            </w:r>
          </w:p>
        </w:tc>
        <w:tc>
          <w:tcPr>
            <w:tcW w:w="851" w:type="dxa"/>
            <w:tcBorders>
              <w:top w:val="single" w:sz="4" w:space="0" w:color="auto"/>
              <w:left w:val="nil"/>
              <w:bottom w:val="single" w:sz="4" w:space="0" w:color="auto"/>
              <w:right w:val="single" w:sz="4" w:space="0" w:color="auto"/>
            </w:tcBorders>
            <w:shd w:val="clear" w:color="000000" w:fill="FFFFFF"/>
          </w:tcPr>
          <w:p w14:paraId="4E5F8C48" w14:textId="77777777" w:rsidR="00E03245" w:rsidRPr="006A2BF9" w:rsidRDefault="00E03245" w:rsidP="00D9162B">
            <w:pPr>
              <w:jc w:val="center"/>
              <w:rPr>
                <w:rFonts w:cs="Arial"/>
                <w:sz w:val="19"/>
                <w:szCs w:val="19"/>
                <w:lang w:val="it-IT" w:eastAsia="zh-TW"/>
              </w:rPr>
            </w:pPr>
          </w:p>
        </w:tc>
        <w:tc>
          <w:tcPr>
            <w:tcW w:w="1417" w:type="dxa"/>
            <w:tcBorders>
              <w:top w:val="single" w:sz="4" w:space="0" w:color="auto"/>
              <w:left w:val="nil"/>
              <w:bottom w:val="single" w:sz="4" w:space="0" w:color="auto"/>
              <w:right w:val="single" w:sz="4" w:space="0" w:color="auto"/>
            </w:tcBorders>
            <w:shd w:val="clear" w:color="000000" w:fill="FFFFFF"/>
          </w:tcPr>
          <w:p w14:paraId="429581F2" w14:textId="77777777" w:rsidR="00E03245" w:rsidRPr="006A2BF9" w:rsidRDefault="00E03245" w:rsidP="00D9162B">
            <w:pPr>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7CA6E7F1" w14:textId="77777777" w:rsidR="00E03245" w:rsidRPr="006A2BF9" w:rsidRDefault="00E03245" w:rsidP="00D9162B">
            <w:pPr>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2A1D103F" w14:textId="77777777" w:rsidR="00E03245" w:rsidRPr="006A2BF9" w:rsidRDefault="00E03245" w:rsidP="00D9162B">
            <w:pPr>
              <w:jc w:val="center"/>
              <w:rPr>
                <w:rFonts w:cs="Arial"/>
                <w:sz w:val="19"/>
                <w:szCs w:val="19"/>
                <w:lang w:val="it-IT" w:eastAsia="zh-TW"/>
              </w:rPr>
            </w:pPr>
          </w:p>
        </w:tc>
      </w:tr>
      <w:tr w:rsidR="00547A6F" w:rsidRPr="006A2BF9" w14:paraId="5C4ECC08" w14:textId="77777777" w:rsidTr="00456D4F">
        <w:trPr>
          <w:trHeight w:val="981"/>
        </w:trPr>
        <w:tc>
          <w:tcPr>
            <w:tcW w:w="1291" w:type="dxa"/>
            <w:tcBorders>
              <w:top w:val="single" w:sz="4" w:space="0" w:color="auto"/>
              <w:left w:val="single" w:sz="4" w:space="0" w:color="auto"/>
              <w:bottom w:val="single" w:sz="4" w:space="0" w:color="auto"/>
              <w:right w:val="nil"/>
            </w:tcBorders>
            <w:shd w:val="clear" w:color="000000" w:fill="FFFFFF"/>
          </w:tcPr>
          <w:p w14:paraId="369A2659" w14:textId="77777777" w:rsidR="00547A6F" w:rsidRPr="006A2BF9" w:rsidRDefault="00547A6F" w:rsidP="00D9162B">
            <w:pPr>
              <w:jc w:val="center"/>
              <w:rPr>
                <w:rFonts w:cs="Arial"/>
                <w:sz w:val="19"/>
                <w:szCs w:val="19"/>
                <w:lang w:val="it-IT" w:eastAsia="zh-TW"/>
              </w:rPr>
            </w:pPr>
            <w:r w:rsidRPr="006A2BF9">
              <w:rPr>
                <w:rFonts w:cs="Arial"/>
                <w:sz w:val="19"/>
                <w:szCs w:val="19"/>
                <w:lang w:val="it-IT" w:eastAsia="zh-TW"/>
              </w:rPr>
              <w:t>Patologi</w:t>
            </w:r>
            <w:r w:rsidR="00AB485B" w:rsidRPr="006A2BF9">
              <w:rPr>
                <w:rFonts w:cs="Arial"/>
                <w:sz w:val="19"/>
                <w:szCs w:val="19"/>
                <w:lang w:val="it-IT" w:eastAsia="zh-TW"/>
              </w:rPr>
              <w:t>e</w:t>
            </w:r>
            <w:r w:rsidRPr="006A2BF9">
              <w:rPr>
                <w:rFonts w:cs="Arial"/>
                <w:sz w:val="19"/>
                <w:szCs w:val="19"/>
                <w:lang w:val="it-IT" w:eastAsia="zh-TW"/>
              </w:rPr>
              <w:t xml:space="preserve"> </w:t>
            </w:r>
            <w:r w:rsidR="00AB485B" w:rsidRPr="006A2BF9">
              <w:rPr>
                <w:rFonts w:cs="Arial"/>
                <w:sz w:val="19"/>
                <w:szCs w:val="19"/>
                <w:lang w:val="it-IT" w:eastAsia="zh-TW"/>
              </w:rPr>
              <w:t>congenite</w:t>
            </w:r>
            <w:r w:rsidRPr="006A2BF9">
              <w:rPr>
                <w:rFonts w:cs="Arial"/>
                <w:sz w:val="19"/>
                <w:szCs w:val="19"/>
                <w:lang w:val="it-IT" w:eastAsia="zh-TW"/>
              </w:rPr>
              <w:t xml:space="preserve">, </w:t>
            </w:r>
            <w:r w:rsidR="00AB485B" w:rsidRPr="006A2BF9">
              <w:rPr>
                <w:rFonts w:cs="Arial"/>
                <w:sz w:val="19"/>
                <w:szCs w:val="19"/>
                <w:lang w:val="it-IT" w:eastAsia="zh-TW"/>
              </w:rPr>
              <w:t xml:space="preserve">familiari </w:t>
            </w:r>
            <w:r w:rsidRPr="006A2BF9">
              <w:rPr>
                <w:rFonts w:cs="Arial"/>
                <w:sz w:val="19"/>
                <w:szCs w:val="19"/>
                <w:lang w:val="it-IT" w:eastAsia="zh-TW"/>
              </w:rPr>
              <w:t xml:space="preserve">e </w:t>
            </w:r>
            <w:r w:rsidR="00AB485B" w:rsidRPr="006A2BF9">
              <w:rPr>
                <w:rFonts w:cs="Arial"/>
                <w:sz w:val="19"/>
                <w:szCs w:val="19"/>
                <w:lang w:val="it-IT" w:eastAsia="zh-TW"/>
              </w:rPr>
              <w:t>genetiche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2BDED89" w14:textId="77777777" w:rsidR="00547A6F" w:rsidRPr="006A2BF9" w:rsidRDefault="00547A6F" w:rsidP="00D9162B">
            <w:pPr>
              <w:jc w:val="center"/>
              <w:rPr>
                <w:rFonts w:cs="Arial"/>
                <w:bCs/>
                <w:iCs/>
                <w:sz w:val="19"/>
                <w:szCs w:val="19"/>
                <w:lang w:val="it-IT" w:eastAsia="zh-TW"/>
              </w:rPr>
            </w:pPr>
          </w:p>
        </w:tc>
        <w:tc>
          <w:tcPr>
            <w:tcW w:w="1701" w:type="dxa"/>
            <w:tcBorders>
              <w:top w:val="single" w:sz="4" w:space="0" w:color="auto"/>
              <w:left w:val="nil"/>
              <w:bottom w:val="single" w:sz="4" w:space="0" w:color="auto"/>
              <w:right w:val="single" w:sz="4" w:space="0" w:color="auto"/>
            </w:tcBorders>
            <w:shd w:val="clear" w:color="000000" w:fill="FFFFFF"/>
          </w:tcPr>
          <w:p w14:paraId="5B4E8C5D" w14:textId="77777777" w:rsidR="00547A6F" w:rsidRPr="006A2BF9" w:rsidRDefault="00547A6F" w:rsidP="00D9162B">
            <w:pPr>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6F6BC5B1" w14:textId="77777777" w:rsidR="00547A6F" w:rsidRPr="006A2BF9" w:rsidRDefault="00547A6F" w:rsidP="00D9162B">
            <w:pPr>
              <w:jc w:val="center"/>
              <w:rPr>
                <w:rFonts w:cs="Arial"/>
                <w:sz w:val="19"/>
                <w:szCs w:val="19"/>
                <w:lang w:val="it-IT" w:eastAsia="zh-TW"/>
              </w:rPr>
            </w:pPr>
          </w:p>
        </w:tc>
        <w:tc>
          <w:tcPr>
            <w:tcW w:w="1417" w:type="dxa"/>
            <w:tcBorders>
              <w:top w:val="single" w:sz="4" w:space="0" w:color="auto"/>
              <w:left w:val="nil"/>
              <w:bottom w:val="single" w:sz="4" w:space="0" w:color="auto"/>
              <w:right w:val="single" w:sz="4" w:space="0" w:color="auto"/>
            </w:tcBorders>
            <w:shd w:val="clear" w:color="000000" w:fill="FFFFFF"/>
          </w:tcPr>
          <w:p w14:paraId="148C0573" w14:textId="77777777" w:rsidR="00547A6F" w:rsidRPr="006A2BF9" w:rsidRDefault="00547A6F" w:rsidP="00D9162B">
            <w:pPr>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5AB9C0DA" w14:textId="77777777" w:rsidR="00547A6F" w:rsidRPr="006A2BF9" w:rsidRDefault="00547A6F" w:rsidP="00D9162B">
            <w:pPr>
              <w:jc w:val="center"/>
              <w:rPr>
                <w:rFonts w:cs="Arial"/>
                <w:sz w:val="19"/>
                <w:szCs w:val="19"/>
                <w:lang w:val="it-IT" w:eastAsia="zh-TW"/>
              </w:rPr>
            </w:pPr>
          </w:p>
        </w:tc>
        <w:tc>
          <w:tcPr>
            <w:tcW w:w="1417" w:type="dxa"/>
            <w:tcBorders>
              <w:top w:val="single" w:sz="4" w:space="0" w:color="auto"/>
              <w:left w:val="nil"/>
              <w:bottom w:val="single" w:sz="4" w:space="0" w:color="auto"/>
              <w:right w:val="single" w:sz="4" w:space="0" w:color="auto"/>
            </w:tcBorders>
            <w:shd w:val="clear" w:color="000000" w:fill="FFFFFF"/>
          </w:tcPr>
          <w:p w14:paraId="23284E41" w14:textId="77777777" w:rsidR="00547A6F" w:rsidRPr="006A2BF9" w:rsidRDefault="00C94318" w:rsidP="00D9162B">
            <w:pPr>
              <w:jc w:val="center"/>
              <w:rPr>
                <w:rFonts w:cs="Arial"/>
                <w:sz w:val="19"/>
                <w:szCs w:val="19"/>
                <w:lang w:val="it-IT" w:eastAsia="zh-TW"/>
              </w:rPr>
            </w:pPr>
            <w:r w:rsidRPr="006A2BF9">
              <w:rPr>
                <w:rFonts w:cs="Arial"/>
                <w:sz w:val="19"/>
                <w:szCs w:val="19"/>
                <w:lang w:val="it-IT" w:eastAsia="zh-TW"/>
              </w:rPr>
              <w:t>Anomalie</w:t>
            </w:r>
            <w:r w:rsidR="00547A6F" w:rsidRPr="006A2BF9">
              <w:rPr>
                <w:rFonts w:cs="Arial"/>
                <w:sz w:val="19"/>
                <w:szCs w:val="19"/>
                <w:lang w:val="it-IT" w:eastAsia="zh-TW"/>
              </w:rPr>
              <w:t xml:space="preserve"> fetali</w:t>
            </w:r>
            <w:r w:rsidR="00547A6F" w:rsidRPr="006A2BF9">
              <w:rPr>
                <w:rFonts w:cs="Arial"/>
                <w:sz w:val="19"/>
                <w:szCs w:val="19"/>
                <w:vertAlign w:val="superscript"/>
                <w:lang w:val="it-IT" w:eastAsia="zh-TW"/>
              </w:rPr>
              <w:t>a,b</w:t>
            </w:r>
          </w:p>
        </w:tc>
      </w:tr>
      <w:tr w:rsidR="000C1753" w:rsidRPr="006A2BF9" w14:paraId="095791D2" w14:textId="77777777" w:rsidTr="00456D4F">
        <w:trPr>
          <w:trHeight w:val="981"/>
        </w:trPr>
        <w:tc>
          <w:tcPr>
            <w:tcW w:w="1291" w:type="dxa"/>
            <w:tcBorders>
              <w:top w:val="single" w:sz="4" w:space="0" w:color="auto"/>
              <w:left w:val="single" w:sz="8" w:space="0" w:color="auto"/>
              <w:bottom w:val="single" w:sz="4" w:space="0" w:color="auto"/>
              <w:right w:val="nil"/>
            </w:tcBorders>
            <w:shd w:val="clear" w:color="000000" w:fill="FFFFFF"/>
          </w:tcPr>
          <w:p w14:paraId="55F6467E"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t>Patologie sistemiche e condizioni relative alla sede di somministrazione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3FB25B7" w14:textId="77777777" w:rsidR="000C1753" w:rsidRPr="006A2BF9" w:rsidRDefault="000C1753" w:rsidP="00B26F69">
            <w:pPr>
              <w:jc w:val="center"/>
              <w:rPr>
                <w:rFonts w:cs="Arial"/>
                <w:bCs/>
                <w:iCs/>
                <w:sz w:val="19"/>
                <w:szCs w:val="19"/>
                <w:lang w:val="it-IT" w:eastAsia="zh-TW"/>
              </w:rPr>
            </w:pPr>
            <w:r w:rsidRPr="006A2BF9">
              <w:rPr>
                <w:rFonts w:cs="Arial"/>
                <w:bCs/>
                <w:iCs/>
                <w:sz w:val="19"/>
                <w:szCs w:val="19"/>
                <w:lang w:val="it-IT" w:eastAsia="zh-TW"/>
              </w:rPr>
              <w:t>Astenia,</w:t>
            </w:r>
          </w:p>
          <w:p w14:paraId="34E2C46F" w14:textId="77777777" w:rsidR="00E03245" w:rsidRPr="006A2BF9" w:rsidRDefault="00E03245" w:rsidP="00B26F69">
            <w:pPr>
              <w:jc w:val="center"/>
              <w:rPr>
                <w:rFonts w:cs="Arial"/>
                <w:bCs/>
                <w:iCs/>
                <w:sz w:val="19"/>
                <w:szCs w:val="19"/>
                <w:lang w:val="it-IT" w:eastAsia="zh-TW"/>
              </w:rPr>
            </w:pPr>
            <w:r w:rsidRPr="006A2BF9">
              <w:rPr>
                <w:rFonts w:cs="Arial"/>
                <w:bCs/>
                <w:iCs/>
                <w:sz w:val="19"/>
                <w:szCs w:val="19"/>
                <w:lang w:val="it-IT" w:eastAsia="zh-TW"/>
              </w:rPr>
              <w:t>Spossatezza,</w:t>
            </w:r>
          </w:p>
          <w:p w14:paraId="7A969FD3"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Piressia,</w:t>
            </w:r>
          </w:p>
          <w:p w14:paraId="7F7E691F"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Dolore,</w:t>
            </w:r>
          </w:p>
          <w:p w14:paraId="2F93B3B0" w14:textId="77777777" w:rsidR="000C1753" w:rsidRPr="006A2BF9" w:rsidRDefault="000C1753" w:rsidP="00B26F69">
            <w:pPr>
              <w:jc w:val="center"/>
              <w:rPr>
                <w:rFonts w:cs="Arial"/>
                <w:iCs/>
                <w:sz w:val="19"/>
                <w:szCs w:val="19"/>
                <w:lang w:val="it-IT" w:eastAsia="zh-TW"/>
              </w:rPr>
            </w:pPr>
            <w:r w:rsidRPr="006A2BF9">
              <w:rPr>
                <w:rFonts w:cs="Arial"/>
                <w:iCs/>
                <w:sz w:val="19"/>
                <w:szCs w:val="19"/>
                <w:lang w:val="it-IT" w:eastAsia="zh-TW"/>
              </w:rPr>
              <w:t xml:space="preserve">Infiammazione </w:t>
            </w:r>
            <w:r w:rsidR="00AB485B" w:rsidRPr="006A2BF9">
              <w:rPr>
                <w:rFonts w:cs="Arial"/>
                <w:iCs/>
                <w:sz w:val="19"/>
                <w:szCs w:val="19"/>
                <w:lang w:val="it-IT" w:eastAsia="zh-TW"/>
              </w:rPr>
              <w:t>della mucosa</w:t>
            </w:r>
          </w:p>
        </w:tc>
        <w:tc>
          <w:tcPr>
            <w:tcW w:w="1701" w:type="dxa"/>
            <w:tcBorders>
              <w:top w:val="single" w:sz="4" w:space="0" w:color="auto"/>
              <w:left w:val="nil"/>
              <w:bottom w:val="single" w:sz="4" w:space="0" w:color="auto"/>
              <w:right w:val="single" w:sz="4" w:space="0" w:color="auto"/>
            </w:tcBorders>
            <w:shd w:val="clear" w:color="000000" w:fill="FFFFFF"/>
          </w:tcPr>
          <w:p w14:paraId="5061304B" w14:textId="77777777" w:rsidR="000C1753" w:rsidRPr="006A2BF9" w:rsidRDefault="00E03245" w:rsidP="00B26F69">
            <w:pPr>
              <w:jc w:val="center"/>
              <w:rPr>
                <w:rFonts w:cs="Arial"/>
                <w:sz w:val="19"/>
                <w:szCs w:val="19"/>
                <w:lang w:val="it-IT" w:eastAsia="zh-TW"/>
              </w:rPr>
            </w:pPr>
            <w:r w:rsidRPr="006A2BF9">
              <w:rPr>
                <w:rFonts w:cs="Arial"/>
                <w:sz w:val="19"/>
                <w:szCs w:val="19"/>
                <w:lang w:val="it-IT" w:eastAsia="zh-TW"/>
              </w:rPr>
              <w:t>Letargia</w:t>
            </w:r>
          </w:p>
        </w:tc>
        <w:tc>
          <w:tcPr>
            <w:tcW w:w="851" w:type="dxa"/>
            <w:tcBorders>
              <w:top w:val="single" w:sz="4" w:space="0" w:color="auto"/>
              <w:left w:val="nil"/>
              <w:bottom w:val="single" w:sz="4" w:space="0" w:color="auto"/>
              <w:right w:val="single" w:sz="4" w:space="0" w:color="auto"/>
            </w:tcBorders>
            <w:shd w:val="clear" w:color="000000" w:fill="FFFFFF"/>
          </w:tcPr>
          <w:p w14:paraId="3B86806B"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nil"/>
              <w:bottom w:val="single" w:sz="4" w:space="0" w:color="auto"/>
              <w:right w:val="single" w:sz="4" w:space="0" w:color="auto"/>
            </w:tcBorders>
            <w:shd w:val="clear" w:color="000000" w:fill="FFFFFF"/>
          </w:tcPr>
          <w:p w14:paraId="31F9542D" w14:textId="77777777" w:rsidR="000C1753" w:rsidRPr="006A2BF9" w:rsidRDefault="000C1753" w:rsidP="00B26F69">
            <w:pPr>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451F0AE1"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52F12CFC" w14:textId="77777777" w:rsidR="000C1753" w:rsidRPr="006A2BF9" w:rsidRDefault="000C1753" w:rsidP="00B26F69">
            <w:pPr>
              <w:jc w:val="center"/>
              <w:rPr>
                <w:rFonts w:cs="Arial"/>
                <w:sz w:val="19"/>
                <w:szCs w:val="19"/>
                <w:lang w:val="it-IT" w:eastAsia="zh-TW"/>
              </w:rPr>
            </w:pPr>
          </w:p>
        </w:tc>
      </w:tr>
      <w:tr w:rsidR="0059507F" w:rsidRPr="006A2BF9" w14:paraId="6B521A1A" w14:textId="77777777" w:rsidTr="0059507F">
        <w:trPr>
          <w:trHeight w:val="489"/>
        </w:trPr>
        <w:tc>
          <w:tcPr>
            <w:tcW w:w="1291" w:type="dxa"/>
            <w:tcBorders>
              <w:top w:val="single" w:sz="4" w:space="0" w:color="auto"/>
              <w:left w:val="single" w:sz="8" w:space="0" w:color="auto"/>
              <w:bottom w:val="single" w:sz="8" w:space="0" w:color="000000"/>
              <w:right w:val="nil"/>
            </w:tcBorders>
            <w:shd w:val="clear" w:color="000000" w:fill="FFFFFF"/>
          </w:tcPr>
          <w:p w14:paraId="7F81E9B2" w14:textId="77777777" w:rsidR="0059507F" w:rsidRPr="006A2BF9" w:rsidRDefault="0059507F" w:rsidP="00B26F69">
            <w:pPr>
              <w:jc w:val="center"/>
              <w:rPr>
                <w:rFonts w:cs="Arial"/>
                <w:sz w:val="19"/>
                <w:szCs w:val="19"/>
                <w:lang w:val="it-IT" w:eastAsia="zh-TW"/>
              </w:rPr>
            </w:pPr>
            <w:r w:rsidRPr="006A2BF9">
              <w:rPr>
                <w:rFonts w:cs="Arial"/>
                <w:sz w:val="19"/>
                <w:szCs w:val="19"/>
                <w:lang w:val="it-IT" w:eastAsia="zh-TW"/>
              </w:rPr>
              <w:t>Esami diagnostici</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5EF4BA6" w14:textId="77777777" w:rsidR="0059507F" w:rsidRPr="006A2BF9" w:rsidRDefault="00AB485B" w:rsidP="00B26F69">
            <w:pPr>
              <w:jc w:val="center"/>
              <w:rPr>
                <w:rFonts w:cs="Arial"/>
                <w:bCs/>
                <w:iCs/>
                <w:sz w:val="19"/>
                <w:szCs w:val="19"/>
                <w:lang w:val="it-IT" w:eastAsia="zh-TW"/>
              </w:rPr>
            </w:pPr>
            <w:r w:rsidRPr="006A2BF9">
              <w:rPr>
                <w:rFonts w:cs="Arial"/>
                <w:bCs/>
                <w:iCs/>
                <w:sz w:val="19"/>
                <w:szCs w:val="19"/>
                <w:lang w:val="it-IT" w:eastAsia="zh-TW"/>
              </w:rPr>
              <w:t>Peso diminuito</w:t>
            </w:r>
          </w:p>
        </w:tc>
        <w:tc>
          <w:tcPr>
            <w:tcW w:w="1701" w:type="dxa"/>
            <w:tcBorders>
              <w:top w:val="single" w:sz="4" w:space="0" w:color="auto"/>
              <w:left w:val="nil"/>
              <w:bottom w:val="single" w:sz="4" w:space="0" w:color="auto"/>
              <w:right w:val="single" w:sz="4" w:space="0" w:color="auto"/>
            </w:tcBorders>
            <w:shd w:val="clear" w:color="000000" w:fill="FFFFFF"/>
          </w:tcPr>
          <w:p w14:paraId="3835EE0E" w14:textId="77777777" w:rsidR="0059507F" w:rsidRPr="006A2BF9" w:rsidRDefault="0059507F" w:rsidP="00B26F69">
            <w:pPr>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07FA6542" w14:textId="77777777" w:rsidR="0059507F" w:rsidRPr="006A2BF9" w:rsidRDefault="0059507F" w:rsidP="00B26F69">
            <w:pPr>
              <w:jc w:val="center"/>
              <w:rPr>
                <w:rFonts w:cs="Arial"/>
                <w:sz w:val="19"/>
                <w:szCs w:val="19"/>
                <w:lang w:val="it-IT" w:eastAsia="zh-TW"/>
              </w:rPr>
            </w:pPr>
          </w:p>
        </w:tc>
        <w:tc>
          <w:tcPr>
            <w:tcW w:w="1417" w:type="dxa"/>
            <w:tcBorders>
              <w:top w:val="single" w:sz="4" w:space="0" w:color="auto"/>
              <w:left w:val="nil"/>
              <w:bottom w:val="single" w:sz="4" w:space="0" w:color="auto"/>
              <w:right w:val="single" w:sz="4" w:space="0" w:color="auto"/>
            </w:tcBorders>
            <w:shd w:val="clear" w:color="000000" w:fill="FFFFFF"/>
          </w:tcPr>
          <w:p w14:paraId="2C0B441C" w14:textId="77777777" w:rsidR="0059507F" w:rsidRPr="006A2BF9" w:rsidRDefault="0059507F" w:rsidP="00B26F69">
            <w:pPr>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4740A350" w14:textId="77777777" w:rsidR="0059507F" w:rsidRPr="006A2BF9" w:rsidRDefault="0059507F" w:rsidP="00B26F69">
            <w:pPr>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15C6164C" w14:textId="77777777" w:rsidR="0059507F" w:rsidRPr="006A2BF9" w:rsidRDefault="0059507F" w:rsidP="00B26F69">
            <w:pPr>
              <w:jc w:val="center"/>
              <w:rPr>
                <w:rFonts w:cs="Arial"/>
                <w:sz w:val="19"/>
                <w:szCs w:val="19"/>
                <w:lang w:val="it-IT" w:eastAsia="zh-TW"/>
              </w:rPr>
            </w:pPr>
          </w:p>
        </w:tc>
      </w:tr>
    </w:tbl>
    <w:p w14:paraId="47C05600" w14:textId="77777777" w:rsidR="008F437E" w:rsidRPr="006A2BF9" w:rsidRDefault="00E03245" w:rsidP="00F030E8">
      <w:pPr>
        <w:keepNext/>
        <w:keepLines/>
        <w:rPr>
          <w:rFonts w:cs="Arial"/>
          <w:sz w:val="18"/>
          <w:szCs w:val="18"/>
          <w:lang w:val="it-IT" w:eastAsia="zh-TW"/>
        </w:rPr>
      </w:pPr>
      <w:r w:rsidRPr="006A2BF9">
        <w:rPr>
          <w:rFonts w:cs="Arial"/>
          <w:sz w:val="18"/>
          <w:szCs w:val="18"/>
          <w:lang w:val="it-IT" w:eastAsia="zh-TW"/>
        </w:rPr>
        <w:t xml:space="preserve">Quando gli eventi sono stati </w:t>
      </w:r>
      <w:r w:rsidR="007A73D6" w:rsidRPr="006A2BF9">
        <w:rPr>
          <w:rFonts w:cs="Arial"/>
          <w:sz w:val="18"/>
          <w:szCs w:val="18"/>
          <w:lang w:val="it-IT" w:eastAsia="zh-TW"/>
        </w:rPr>
        <w:t>riscontrati</w:t>
      </w:r>
      <w:r w:rsidR="00831F5D" w:rsidRPr="006A2BF9">
        <w:rPr>
          <w:rFonts w:cs="Arial"/>
          <w:sz w:val="18"/>
          <w:szCs w:val="18"/>
          <w:lang w:val="it-IT" w:eastAsia="zh-TW"/>
        </w:rPr>
        <w:t xml:space="preserve"> </w:t>
      </w:r>
      <w:r w:rsidRPr="006A2BF9">
        <w:rPr>
          <w:rFonts w:cs="Arial"/>
          <w:sz w:val="18"/>
          <w:szCs w:val="18"/>
          <w:lang w:val="it-IT" w:eastAsia="zh-TW"/>
        </w:rPr>
        <w:t>in studi clinici come reazioni avverse al farmaco sia di qualsiasi grado sia di grado 3</w:t>
      </w:r>
      <w:r w:rsidR="00CC3602" w:rsidRPr="006A2BF9">
        <w:rPr>
          <w:rFonts w:cs="Arial"/>
          <w:sz w:val="18"/>
          <w:szCs w:val="18"/>
          <w:lang w:val="it-IT" w:eastAsia="zh-TW"/>
        </w:rPr>
        <w:noBreakHyphen/>
      </w:r>
      <w:r w:rsidRPr="006A2BF9">
        <w:rPr>
          <w:rFonts w:cs="Arial"/>
          <w:sz w:val="18"/>
          <w:szCs w:val="18"/>
          <w:lang w:val="it-IT" w:eastAsia="zh-TW"/>
        </w:rPr>
        <w:t xml:space="preserve">5, è stata riportata la più alta frequenza osservata nei pazienti. </w:t>
      </w:r>
      <w:r w:rsidR="008F437E" w:rsidRPr="006A2BF9">
        <w:rPr>
          <w:rFonts w:cs="Arial"/>
          <w:sz w:val="18"/>
          <w:szCs w:val="18"/>
          <w:lang w:val="it-IT" w:eastAsia="zh-TW"/>
        </w:rPr>
        <w:t>I dati non sono aggiustati in base alla diversa durata del trattamento.</w:t>
      </w:r>
    </w:p>
    <w:p w14:paraId="38B00FE6" w14:textId="77777777" w:rsidR="000C1753" w:rsidRPr="006A2BF9" w:rsidRDefault="000C1753" w:rsidP="00F030E8">
      <w:pPr>
        <w:keepNext/>
        <w:keepLines/>
        <w:ind w:left="142" w:hanging="142"/>
        <w:rPr>
          <w:rFonts w:cs="Arial"/>
          <w:sz w:val="18"/>
          <w:szCs w:val="18"/>
          <w:lang w:val="it-IT" w:eastAsia="zh-TW"/>
        </w:rPr>
      </w:pPr>
      <w:r w:rsidRPr="006A2BF9">
        <w:rPr>
          <w:rFonts w:cs="Arial"/>
          <w:sz w:val="18"/>
          <w:szCs w:val="18"/>
          <w:vertAlign w:val="superscript"/>
          <w:lang w:val="it-IT" w:eastAsia="zh-TW"/>
        </w:rPr>
        <w:t>a</w:t>
      </w:r>
      <w:r w:rsidRPr="006A2BF9">
        <w:rPr>
          <w:rFonts w:cs="Arial"/>
          <w:sz w:val="18"/>
          <w:szCs w:val="18"/>
          <w:lang w:val="it-IT" w:eastAsia="zh-TW"/>
        </w:rPr>
        <w:t xml:space="preserve"> Per ulteriori informazioni fare riferimento alla tabella 3 “Reazioni avverse segnalate dopo la commercializzazione”.</w:t>
      </w:r>
    </w:p>
    <w:p w14:paraId="555EB27C" w14:textId="77777777" w:rsidR="000C1753" w:rsidRPr="006A2BF9" w:rsidRDefault="000C1753" w:rsidP="002F077D">
      <w:pPr>
        <w:keepNext/>
        <w:keepLines/>
        <w:rPr>
          <w:sz w:val="18"/>
          <w:szCs w:val="18"/>
          <w:lang w:val="it-IT" w:eastAsia="en-US"/>
        </w:rPr>
      </w:pPr>
      <w:r w:rsidRPr="006A2BF9">
        <w:rPr>
          <w:sz w:val="18"/>
          <w:szCs w:val="18"/>
          <w:vertAlign w:val="superscript"/>
          <w:lang w:val="it-IT" w:eastAsia="en-US"/>
        </w:rPr>
        <w:t>b</w:t>
      </w:r>
      <w:r w:rsidRPr="006A2BF9">
        <w:rPr>
          <w:sz w:val="18"/>
          <w:szCs w:val="18"/>
          <w:lang w:val="it-IT" w:eastAsia="en-US"/>
        </w:rPr>
        <w:t xml:space="preserve"> I termini rappresentano un insieme di eventi che descrivono un concetto medico piuttosto che una singola condizione oppure i termini preferiti MedDRA (Medical Dictionary for Regulatory Activit</w:t>
      </w:r>
      <w:r w:rsidR="00E03245" w:rsidRPr="006A2BF9">
        <w:rPr>
          <w:sz w:val="18"/>
          <w:szCs w:val="18"/>
          <w:lang w:val="it-IT" w:eastAsia="en-US"/>
        </w:rPr>
        <w:t>i</w:t>
      </w:r>
      <w:r w:rsidRPr="006A2BF9">
        <w:rPr>
          <w:sz w:val="18"/>
          <w:szCs w:val="18"/>
          <w:lang w:val="it-IT" w:eastAsia="en-US"/>
        </w:rPr>
        <w:t>es, dizionario medico per le attività di regolamentazione). Questo gruppo di termini medici può implicare la medesima patofisiologia sottostante (ad es. le reazioni tromboemboliche arteriose includono l’accidente cerebrovascolare, l’infarto miocardico, l’attacco ischemico transitorio e altre reazioni tromboemboliche arteriose).</w:t>
      </w:r>
    </w:p>
    <w:p w14:paraId="2CF22746" w14:textId="77777777" w:rsidR="000C1753" w:rsidRPr="006A2BF9" w:rsidRDefault="000C1753" w:rsidP="00F030E8">
      <w:pPr>
        <w:keepNext/>
        <w:keepLines/>
        <w:ind w:left="142" w:hanging="142"/>
        <w:rPr>
          <w:sz w:val="18"/>
          <w:szCs w:val="18"/>
          <w:lang w:val="it-IT"/>
        </w:rPr>
      </w:pPr>
      <w:r w:rsidRPr="006A2BF9">
        <w:rPr>
          <w:sz w:val="18"/>
          <w:szCs w:val="18"/>
          <w:vertAlign w:val="superscript"/>
          <w:lang w:val="it-IT"/>
        </w:rPr>
        <w:t>c</w:t>
      </w:r>
      <w:r w:rsidRPr="006A2BF9">
        <w:rPr>
          <w:sz w:val="18"/>
          <w:szCs w:val="18"/>
          <w:lang w:val="it-IT"/>
        </w:rPr>
        <w:t xml:space="preserve"> In base ad </w:t>
      </w:r>
      <w:r w:rsidR="007A73D6" w:rsidRPr="006A2BF9">
        <w:rPr>
          <w:sz w:val="18"/>
          <w:szCs w:val="18"/>
          <w:lang w:val="it-IT"/>
        </w:rPr>
        <w:t>un sottostudio condotto</w:t>
      </w:r>
      <w:r w:rsidRPr="006A2BF9">
        <w:rPr>
          <w:sz w:val="18"/>
          <w:szCs w:val="18"/>
          <w:lang w:val="it-IT"/>
        </w:rPr>
        <w:t xml:space="preserve"> su 295 pazienti dello studio NSABP C-08.</w:t>
      </w:r>
    </w:p>
    <w:p w14:paraId="60D9754E" w14:textId="77777777" w:rsidR="000C1753" w:rsidRPr="006A2BF9" w:rsidRDefault="000C1753" w:rsidP="00F030E8">
      <w:pPr>
        <w:keepNext/>
        <w:keepLines/>
        <w:ind w:left="142" w:hanging="142"/>
        <w:rPr>
          <w:sz w:val="18"/>
          <w:szCs w:val="18"/>
          <w:lang w:val="it-IT"/>
        </w:rPr>
      </w:pPr>
      <w:r w:rsidRPr="006A2BF9">
        <w:rPr>
          <w:iCs/>
          <w:sz w:val="18"/>
          <w:szCs w:val="18"/>
          <w:vertAlign w:val="superscript"/>
          <w:lang w:val="it-IT"/>
        </w:rPr>
        <w:t>d</w:t>
      </w:r>
      <w:r w:rsidRPr="006A2BF9">
        <w:rPr>
          <w:sz w:val="18"/>
          <w:szCs w:val="18"/>
          <w:lang w:val="it-IT"/>
        </w:rPr>
        <w:t xml:space="preserve"> Per ulteriori informazioni fare riferimento al paragrafo seguente “</w:t>
      </w:r>
      <w:r w:rsidR="00AB333C" w:rsidRPr="006A2BF9">
        <w:rPr>
          <w:sz w:val="18"/>
          <w:szCs w:val="18"/>
          <w:lang w:val="it-IT"/>
        </w:rPr>
        <w:t>Descrizione di reazioni avverse selezionate gravi</w:t>
      </w:r>
      <w:r w:rsidRPr="006A2BF9">
        <w:rPr>
          <w:sz w:val="18"/>
          <w:szCs w:val="18"/>
          <w:lang w:val="it-IT"/>
        </w:rPr>
        <w:t>”.</w:t>
      </w:r>
    </w:p>
    <w:p w14:paraId="1176191D" w14:textId="77777777" w:rsidR="0059507F" w:rsidRPr="006A2BF9" w:rsidRDefault="0059507F" w:rsidP="002F077D">
      <w:pPr>
        <w:ind w:left="142" w:hanging="142"/>
        <w:rPr>
          <w:sz w:val="18"/>
          <w:szCs w:val="18"/>
          <w:lang w:val="it-IT"/>
        </w:rPr>
      </w:pPr>
      <w:r w:rsidRPr="006A2BF9">
        <w:rPr>
          <w:sz w:val="18"/>
          <w:szCs w:val="18"/>
          <w:vertAlign w:val="superscript"/>
          <w:lang w:val="it-IT"/>
        </w:rPr>
        <w:t>e</w:t>
      </w:r>
      <w:r w:rsidRPr="006A2BF9">
        <w:rPr>
          <w:sz w:val="18"/>
          <w:szCs w:val="18"/>
          <w:lang w:val="it-IT"/>
        </w:rPr>
        <w:t xml:space="preserve"> Le fistole retto-vaginali sono le fistole più comuni tra le fistole vagino-GI.</w:t>
      </w:r>
    </w:p>
    <w:p w14:paraId="7AAE36F6" w14:textId="77777777" w:rsidR="00DB56C5" w:rsidRPr="006A2BF9" w:rsidRDefault="00DB56C5" w:rsidP="002F077D">
      <w:pPr>
        <w:ind w:left="142" w:hanging="142"/>
        <w:rPr>
          <w:sz w:val="18"/>
          <w:szCs w:val="18"/>
          <w:lang w:val="it-IT"/>
        </w:rPr>
      </w:pPr>
      <w:r w:rsidRPr="006A2BF9">
        <w:rPr>
          <w:sz w:val="18"/>
          <w:szCs w:val="18"/>
          <w:vertAlign w:val="superscript"/>
          <w:lang w:val="it-IT"/>
        </w:rPr>
        <w:t>f</w:t>
      </w:r>
      <w:r w:rsidRPr="006A2BF9">
        <w:rPr>
          <w:sz w:val="18"/>
          <w:szCs w:val="18"/>
          <w:lang w:val="it-IT"/>
        </w:rPr>
        <w:t xml:space="preserve"> Osservato solo in una popolazione pediatrica</w:t>
      </w:r>
    </w:p>
    <w:p w14:paraId="087F7BDF" w14:textId="77777777" w:rsidR="00322B38" w:rsidRPr="006A2BF9" w:rsidRDefault="00322B38" w:rsidP="00F030E8">
      <w:pPr>
        <w:rPr>
          <w:sz w:val="20"/>
          <w:lang w:val="it-IT"/>
        </w:rPr>
      </w:pPr>
    </w:p>
    <w:p w14:paraId="1DBFE145" w14:textId="77777777" w:rsidR="000C1753" w:rsidRPr="006A2BF9" w:rsidRDefault="000C1753" w:rsidP="00B26F69">
      <w:pPr>
        <w:ind w:left="1411" w:hanging="1411"/>
        <w:rPr>
          <w:i/>
          <w:iCs/>
          <w:lang w:val="it-IT"/>
        </w:rPr>
      </w:pPr>
      <w:r w:rsidRPr="006A2BF9">
        <w:rPr>
          <w:rFonts w:eastAsia="MS Mincho"/>
          <w:b/>
          <w:bCs/>
          <w:lang w:val="it-IT"/>
        </w:rPr>
        <w:t>Tabella 2</w:t>
      </w:r>
      <w:r w:rsidRPr="006A2BF9">
        <w:rPr>
          <w:b/>
          <w:bCs/>
          <w:lang w:val="it-IT"/>
        </w:rPr>
        <w:tab/>
        <w:t xml:space="preserve">Reazioni avverse </w:t>
      </w:r>
      <w:r w:rsidR="00322B38" w:rsidRPr="006A2BF9">
        <w:rPr>
          <w:b/>
          <w:bCs/>
          <w:lang w:val="it-IT"/>
        </w:rPr>
        <w:t xml:space="preserve">severe </w:t>
      </w:r>
      <w:r w:rsidRPr="006A2BF9">
        <w:rPr>
          <w:b/>
          <w:bCs/>
          <w:lang w:val="it-IT"/>
        </w:rPr>
        <w:t>classificate in base alla frequenza</w:t>
      </w:r>
    </w:p>
    <w:tbl>
      <w:tblPr>
        <w:tblW w:w="9087" w:type="dxa"/>
        <w:tblInd w:w="93" w:type="dxa"/>
        <w:tblLayout w:type="fixed"/>
        <w:tblLook w:val="04A0" w:firstRow="1" w:lastRow="0" w:firstColumn="1" w:lastColumn="0" w:noHBand="0" w:noVBand="1"/>
      </w:tblPr>
      <w:tblGrid>
        <w:gridCol w:w="1291"/>
        <w:gridCol w:w="1559"/>
        <w:gridCol w:w="1701"/>
        <w:gridCol w:w="1276"/>
        <w:gridCol w:w="992"/>
        <w:gridCol w:w="851"/>
        <w:gridCol w:w="1417"/>
      </w:tblGrid>
      <w:tr w:rsidR="000C1753" w:rsidRPr="006A2BF9" w14:paraId="2C4E72AA" w14:textId="77777777" w:rsidTr="00B26F69">
        <w:trPr>
          <w:cantSplit/>
          <w:trHeight w:val="510"/>
          <w:tblHeader/>
        </w:trPr>
        <w:tc>
          <w:tcPr>
            <w:tcW w:w="1291" w:type="dxa"/>
            <w:tcBorders>
              <w:top w:val="single" w:sz="8" w:space="0" w:color="auto"/>
              <w:left w:val="single" w:sz="8" w:space="0" w:color="auto"/>
              <w:bottom w:val="single" w:sz="4" w:space="0" w:color="auto"/>
              <w:right w:val="single" w:sz="4" w:space="0" w:color="auto"/>
            </w:tcBorders>
            <w:shd w:val="clear" w:color="auto" w:fill="auto"/>
          </w:tcPr>
          <w:p w14:paraId="6531E3F0" w14:textId="77777777" w:rsidR="000C1753" w:rsidRPr="00330A40" w:rsidRDefault="000C1753" w:rsidP="00B26F69">
            <w:pPr>
              <w:jc w:val="center"/>
              <w:rPr>
                <w:rFonts w:cs="Arial"/>
                <w:b/>
                <w:sz w:val="19"/>
                <w:szCs w:val="19"/>
                <w:lang w:val="it-IT" w:eastAsia="zh-TW"/>
              </w:rPr>
            </w:pPr>
            <w:r w:rsidRPr="00330A40">
              <w:rPr>
                <w:rFonts w:cs="Arial"/>
                <w:b/>
                <w:sz w:val="19"/>
                <w:szCs w:val="19"/>
                <w:lang w:val="it-IT" w:eastAsia="zh-TW"/>
              </w:rPr>
              <w:t xml:space="preserve">Classificazione per sistemi e organi </w:t>
            </w:r>
          </w:p>
        </w:tc>
        <w:tc>
          <w:tcPr>
            <w:tcW w:w="1559" w:type="dxa"/>
            <w:tcBorders>
              <w:top w:val="single" w:sz="8" w:space="0" w:color="auto"/>
              <w:left w:val="nil"/>
              <w:bottom w:val="single" w:sz="4" w:space="0" w:color="auto"/>
              <w:right w:val="single" w:sz="4" w:space="0" w:color="auto"/>
            </w:tcBorders>
            <w:shd w:val="clear" w:color="auto" w:fill="auto"/>
            <w:vAlign w:val="center"/>
          </w:tcPr>
          <w:p w14:paraId="46026027" w14:textId="77777777" w:rsidR="000C1753" w:rsidRPr="00330A40" w:rsidRDefault="000C1753" w:rsidP="00B26F69">
            <w:pPr>
              <w:jc w:val="center"/>
              <w:rPr>
                <w:rFonts w:cs="Arial"/>
                <w:b/>
                <w:sz w:val="19"/>
                <w:szCs w:val="19"/>
                <w:lang w:val="it-IT" w:eastAsia="zh-TW"/>
              </w:rPr>
            </w:pPr>
            <w:r w:rsidRPr="00330A40">
              <w:rPr>
                <w:rFonts w:cs="Arial"/>
                <w:b/>
                <w:sz w:val="19"/>
                <w:szCs w:val="19"/>
                <w:lang w:val="it-IT" w:eastAsia="zh-TW"/>
              </w:rPr>
              <w:t>Molto comune</w:t>
            </w:r>
          </w:p>
        </w:tc>
        <w:tc>
          <w:tcPr>
            <w:tcW w:w="1701" w:type="dxa"/>
            <w:tcBorders>
              <w:top w:val="single" w:sz="8" w:space="0" w:color="auto"/>
              <w:left w:val="nil"/>
              <w:bottom w:val="single" w:sz="4" w:space="0" w:color="auto"/>
              <w:right w:val="single" w:sz="4" w:space="0" w:color="auto"/>
            </w:tcBorders>
            <w:shd w:val="clear" w:color="auto" w:fill="auto"/>
            <w:vAlign w:val="center"/>
          </w:tcPr>
          <w:p w14:paraId="642F9C92" w14:textId="77777777" w:rsidR="000C1753" w:rsidRPr="00330A40" w:rsidRDefault="000C1753" w:rsidP="00B26F69">
            <w:pPr>
              <w:jc w:val="center"/>
              <w:rPr>
                <w:rFonts w:cs="Arial"/>
                <w:b/>
                <w:sz w:val="19"/>
                <w:szCs w:val="19"/>
                <w:lang w:val="it-IT" w:eastAsia="zh-TW"/>
              </w:rPr>
            </w:pPr>
            <w:r w:rsidRPr="00330A40">
              <w:rPr>
                <w:rFonts w:cs="Arial"/>
                <w:b/>
                <w:sz w:val="19"/>
                <w:szCs w:val="19"/>
                <w:lang w:val="it-IT" w:eastAsia="zh-TW"/>
              </w:rPr>
              <w:t>Comune</w:t>
            </w:r>
          </w:p>
        </w:tc>
        <w:tc>
          <w:tcPr>
            <w:tcW w:w="1276" w:type="dxa"/>
            <w:tcBorders>
              <w:top w:val="single" w:sz="8" w:space="0" w:color="auto"/>
              <w:left w:val="nil"/>
              <w:bottom w:val="nil"/>
              <w:right w:val="single" w:sz="4" w:space="0" w:color="auto"/>
            </w:tcBorders>
            <w:shd w:val="clear" w:color="auto" w:fill="auto"/>
            <w:vAlign w:val="center"/>
          </w:tcPr>
          <w:p w14:paraId="1196762B" w14:textId="77777777" w:rsidR="000C1753" w:rsidRPr="00330A40" w:rsidRDefault="000C1753" w:rsidP="00B26F69">
            <w:pPr>
              <w:jc w:val="center"/>
              <w:rPr>
                <w:rFonts w:cs="Arial"/>
                <w:b/>
                <w:sz w:val="19"/>
                <w:szCs w:val="19"/>
                <w:lang w:val="it-IT" w:eastAsia="zh-TW"/>
              </w:rPr>
            </w:pPr>
            <w:r w:rsidRPr="00330A40">
              <w:rPr>
                <w:rFonts w:cs="Arial"/>
                <w:b/>
                <w:sz w:val="19"/>
                <w:szCs w:val="19"/>
                <w:lang w:val="it-IT" w:eastAsia="zh-TW"/>
              </w:rPr>
              <w:t>Non comune</w:t>
            </w:r>
          </w:p>
        </w:tc>
        <w:tc>
          <w:tcPr>
            <w:tcW w:w="992" w:type="dxa"/>
            <w:tcBorders>
              <w:top w:val="single" w:sz="8" w:space="0" w:color="auto"/>
              <w:left w:val="nil"/>
              <w:bottom w:val="nil"/>
              <w:right w:val="single" w:sz="4" w:space="0" w:color="auto"/>
            </w:tcBorders>
            <w:shd w:val="clear" w:color="auto" w:fill="auto"/>
            <w:vAlign w:val="center"/>
          </w:tcPr>
          <w:p w14:paraId="543FFD07" w14:textId="77777777" w:rsidR="000C1753" w:rsidRPr="00330A40" w:rsidRDefault="000C1753" w:rsidP="00B26F69">
            <w:pPr>
              <w:jc w:val="center"/>
              <w:rPr>
                <w:rFonts w:cs="Arial"/>
                <w:b/>
                <w:sz w:val="19"/>
                <w:szCs w:val="19"/>
                <w:lang w:val="it-IT" w:eastAsia="zh-TW"/>
              </w:rPr>
            </w:pPr>
            <w:r w:rsidRPr="00330A40">
              <w:rPr>
                <w:rFonts w:cs="Arial"/>
                <w:b/>
                <w:sz w:val="19"/>
                <w:szCs w:val="19"/>
                <w:lang w:val="it-IT" w:eastAsia="zh-TW"/>
              </w:rPr>
              <w:t>Raro</w:t>
            </w:r>
          </w:p>
        </w:tc>
        <w:tc>
          <w:tcPr>
            <w:tcW w:w="851" w:type="dxa"/>
            <w:tcBorders>
              <w:top w:val="single" w:sz="8" w:space="0" w:color="auto"/>
              <w:left w:val="nil"/>
              <w:bottom w:val="nil"/>
              <w:right w:val="single" w:sz="4" w:space="0" w:color="auto"/>
            </w:tcBorders>
            <w:shd w:val="clear" w:color="auto" w:fill="auto"/>
            <w:vAlign w:val="center"/>
          </w:tcPr>
          <w:p w14:paraId="35DAD23B" w14:textId="77777777" w:rsidR="000C1753" w:rsidRPr="006A2BF9" w:rsidRDefault="000C1753" w:rsidP="00B26F69">
            <w:pPr>
              <w:jc w:val="center"/>
              <w:rPr>
                <w:rFonts w:cs="Arial"/>
                <w:b/>
                <w:sz w:val="19"/>
                <w:szCs w:val="19"/>
                <w:lang w:val="it-IT" w:eastAsia="zh-TW"/>
              </w:rPr>
            </w:pPr>
            <w:r w:rsidRPr="006A2BF9">
              <w:rPr>
                <w:rFonts w:cs="Arial"/>
                <w:b/>
                <w:sz w:val="19"/>
                <w:szCs w:val="19"/>
                <w:lang w:val="it-IT" w:eastAsia="zh-TW"/>
              </w:rPr>
              <w:t>Molto raro</w:t>
            </w:r>
          </w:p>
        </w:tc>
        <w:tc>
          <w:tcPr>
            <w:tcW w:w="1417" w:type="dxa"/>
            <w:tcBorders>
              <w:top w:val="single" w:sz="8" w:space="0" w:color="auto"/>
              <w:left w:val="nil"/>
              <w:bottom w:val="nil"/>
              <w:right w:val="single" w:sz="8" w:space="0" w:color="auto"/>
            </w:tcBorders>
            <w:shd w:val="clear" w:color="auto" w:fill="auto"/>
            <w:vAlign w:val="center"/>
          </w:tcPr>
          <w:p w14:paraId="26BFEF5C" w14:textId="77777777" w:rsidR="000C1753" w:rsidRPr="006A2BF9" w:rsidRDefault="000C1753" w:rsidP="00B26F69">
            <w:pPr>
              <w:jc w:val="center"/>
              <w:rPr>
                <w:rFonts w:cs="Arial"/>
                <w:b/>
                <w:sz w:val="19"/>
                <w:szCs w:val="19"/>
                <w:lang w:val="it-IT" w:eastAsia="zh-TW"/>
              </w:rPr>
            </w:pPr>
            <w:r w:rsidRPr="006A2BF9">
              <w:rPr>
                <w:rFonts w:cs="Arial"/>
                <w:b/>
                <w:sz w:val="19"/>
                <w:szCs w:val="19"/>
                <w:lang w:val="it-IT" w:eastAsia="zh-TW"/>
              </w:rPr>
              <w:t>Frequenza non nota</w:t>
            </w:r>
          </w:p>
        </w:tc>
      </w:tr>
      <w:tr w:rsidR="000C1753" w:rsidRPr="006A2BF9" w14:paraId="5A54BBE0" w14:textId="77777777" w:rsidTr="006D575B">
        <w:trPr>
          <w:trHeight w:val="120"/>
        </w:trPr>
        <w:tc>
          <w:tcPr>
            <w:tcW w:w="1291" w:type="dxa"/>
            <w:tcBorders>
              <w:top w:val="nil"/>
              <w:left w:val="single" w:sz="8" w:space="0" w:color="auto"/>
              <w:bottom w:val="single" w:sz="4" w:space="0" w:color="000000"/>
              <w:right w:val="nil"/>
            </w:tcBorders>
            <w:shd w:val="clear" w:color="000000" w:fill="FFFFFF"/>
          </w:tcPr>
          <w:p w14:paraId="5891C038"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t>Infezioni e infestazioni</w:t>
            </w:r>
          </w:p>
        </w:tc>
        <w:tc>
          <w:tcPr>
            <w:tcW w:w="1559" w:type="dxa"/>
            <w:tcBorders>
              <w:top w:val="nil"/>
              <w:left w:val="single" w:sz="4" w:space="0" w:color="auto"/>
              <w:bottom w:val="single" w:sz="4" w:space="0" w:color="auto"/>
              <w:right w:val="single" w:sz="4" w:space="0" w:color="auto"/>
            </w:tcBorders>
            <w:shd w:val="clear" w:color="000000" w:fill="FFFFFF"/>
          </w:tcPr>
          <w:p w14:paraId="6A8803BA" w14:textId="77777777" w:rsidR="000C1753" w:rsidRPr="006A2BF9" w:rsidRDefault="000C1753" w:rsidP="00B26F69">
            <w:pPr>
              <w:jc w:val="center"/>
              <w:rPr>
                <w:rFonts w:cs="Arial"/>
                <w:sz w:val="19"/>
                <w:szCs w:val="19"/>
                <w:lang w:val="it-IT" w:eastAsia="zh-TW"/>
              </w:rPr>
            </w:pPr>
          </w:p>
        </w:tc>
        <w:tc>
          <w:tcPr>
            <w:tcW w:w="1701" w:type="dxa"/>
            <w:tcBorders>
              <w:top w:val="nil"/>
              <w:left w:val="nil"/>
              <w:bottom w:val="single" w:sz="4" w:space="0" w:color="auto"/>
              <w:right w:val="nil"/>
            </w:tcBorders>
            <w:shd w:val="clear" w:color="000000" w:fill="FFFFFF"/>
          </w:tcPr>
          <w:p w14:paraId="7F03D92C" w14:textId="77777777" w:rsidR="000C1753" w:rsidRPr="006A2BF9" w:rsidRDefault="000C1753" w:rsidP="00B26F69">
            <w:pPr>
              <w:jc w:val="center"/>
              <w:rPr>
                <w:rFonts w:cs="Arial"/>
                <w:bCs/>
                <w:sz w:val="19"/>
                <w:szCs w:val="19"/>
                <w:lang w:val="it-IT" w:eastAsia="zh-TW"/>
              </w:rPr>
            </w:pPr>
            <w:r w:rsidRPr="006A2BF9">
              <w:rPr>
                <w:rFonts w:cs="Arial"/>
                <w:bCs/>
                <w:sz w:val="19"/>
                <w:szCs w:val="19"/>
                <w:lang w:val="it-IT" w:eastAsia="zh-TW"/>
              </w:rPr>
              <w:t>Sepsi,</w:t>
            </w:r>
          </w:p>
          <w:p w14:paraId="51AF6EAF" w14:textId="77777777" w:rsidR="0059507F" w:rsidRPr="006A2BF9" w:rsidRDefault="0059507F" w:rsidP="00B26F69">
            <w:pPr>
              <w:jc w:val="center"/>
              <w:rPr>
                <w:rFonts w:cs="Arial"/>
                <w:bCs/>
                <w:sz w:val="19"/>
                <w:szCs w:val="19"/>
                <w:lang w:val="it-IT" w:eastAsia="zh-TW"/>
              </w:rPr>
            </w:pPr>
            <w:r w:rsidRPr="006A2BF9">
              <w:rPr>
                <w:rFonts w:cs="Arial"/>
                <w:bCs/>
                <w:sz w:val="19"/>
                <w:szCs w:val="19"/>
                <w:lang w:val="it-IT" w:eastAsia="zh-TW"/>
              </w:rPr>
              <w:t>Cellulite,</w:t>
            </w:r>
          </w:p>
          <w:p w14:paraId="52361999" w14:textId="77777777" w:rsidR="000C1753" w:rsidRPr="006A2BF9" w:rsidRDefault="000C1753" w:rsidP="00B26F69">
            <w:pPr>
              <w:jc w:val="center"/>
              <w:rPr>
                <w:rFonts w:cs="Arial"/>
                <w:bCs/>
                <w:sz w:val="19"/>
                <w:szCs w:val="19"/>
                <w:lang w:val="it-IT" w:eastAsia="zh-TW"/>
              </w:rPr>
            </w:pPr>
            <w:r w:rsidRPr="006A2BF9">
              <w:rPr>
                <w:rFonts w:cs="Arial"/>
                <w:bCs/>
                <w:sz w:val="19"/>
                <w:szCs w:val="19"/>
                <w:lang w:val="it-IT" w:eastAsia="zh-TW"/>
              </w:rPr>
              <w:t>Ascesso</w:t>
            </w:r>
            <w:r w:rsidRPr="006A2BF9">
              <w:rPr>
                <w:rFonts w:cs="Arial"/>
                <w:bCs/>
                <w:sz w:val="19"/>
                <w:szCs w:val="19"/>
                <w:vertAlign w:val="superscript"/>
                <w:lang w:val="it-IT" w:eastAsia="zh-TW"/>
              </w:rPr>
              <w:t>a,b</w:t>
            </w:r>
            <w:r w:rsidRPr="006A2BF9">
              <w:rPr>
                <w:rFonts w:cs="Arial"/>
                <w:bCs/>
                <w:sz w:val="19"/>
                <w:szCs w:val="19"/>
                <w:lang w:val="it-IT" w:eastAsia="zh-TW"/>
              </w:rPr>
              <w:t>,</w:t>
            </w:r>
          </w:p>
          <w:p w14:paraId="0080DD40" w14:textId="77777777" w:rsidR="009F4FA6" w:rsidRPr="006A2BF9" w:rsidRDefault="000C1753" w:rsidP="00B26F69">
            <w:pPr>
              <w:jc w:val="center"/>
              <w:rPr>
                <w:rFonts w:cs="Arial"/>
                <w:bCs/>
                <w:sz w:val="19"/>
                <w:szCs w:val="19"/>
                <w:lang w:val="it-IT" w:eastAsia="zh-TW"/>
              </w:rPr>
            </w:pPr>
            <w:r w:rsidRPr="006A2BF9">
              <w:rPr>
                <w:rFonts w:cs="Arial"/>
                <w:bCs/>
                <w:sz w:val="19"/>
                <w:szCs w:val="19"/>
                <w:lang w:val="it-IT" w:eastAsia="zh-TW"/>
              </w:rPr>
              <w:t>Infezione</w:t>
            </w:r>
            <w:r w:rsidR="009F4FA6" w:rsidRPr="006A2BF9">
              <w:rPr>
                <w:rFonts w:cs="Arial"/>
                <w:bCs/>
                <w:sz w:val="19"/>
                <w:szCs w:val="19"/>
                <w:lang w:val="it-IT" w:eastAsia="zh-TW"/>
              </w:rPr>
              <w:t xml:space="preserve">, </w:t>
            </w:r>
          </w:p>
          <w:p w14:paraId="6AB48B7B" w14:textId="77777777" w:rsidR="00E03245" w:rsidRPr="006A2BF9" w:rsidRDefault="00E03245" w:rsidP="00B26F69">
            <w:pPr>
              <w:jc w:val="center"/>
              <w:rPr>
                <w:rFonts w:cs="Arial"/>
                <w:bCs/>
                <w:sz w:val="19"/>
                <w:szCs w:val="19"/>
                <w:lang w:val="it-IT" w:eastAsia="zh-TW"/>
              </w:rPr>
            </w:pPr>
            <w:r w:rsidRPr="006A2BF9">
              <w:rPr>
                <w:rFonts w:cs="Arial"/>
                <w:bCs/>
                <w:sz w:val="19"/>
                <w:szCs w:val="19"/>
                <w:lang w:val="it-IT" w:eastAsia="zh-TW"/>
              </w:rPr>
              <w:t xml:space="preserve">Infezione </w:t>
            </w:r>
            <w:r w:rsidR="009D4640" w:rsidRPr="006A2BF9">
              <w:rPr>
                <w:rFonts w:cs="Arial"/>
                <w:bCs/>
                <w:sz w:val="19"/>
                <w:szCs w:val="19"/>
                <w:lang w:val="it-IT" w:eastAsia="zh-TW"/>
              </w:rPr>
              <w:t>del tratto</w:t>
            </w:r>
            <w:r w:rsidRPr="006A2BF9">
              <w:rPr>
                <w:rFonts w:cs="Arial"/>
                <w:bCs/>
                <w:sz w:val="19"/>
                <w:szCs w:val="19"/>
                <w:lang w:val="it-IT" w:eastAsia="zh-TW"/>
              </w:rPr>
              <w:t xml:space="preserve"> urinario</w:t>
            </w:r>
          </w:p>
          <w:p w14:paraId="2B57E679" w14:textId="77777777" w:rsidR="009F4FA6" w:rsidRPr="006A2BF9" w:rsidRDefault="009F4FA6" w:rsidP="00B26F69">
            <w:pPr>
              <w:jc w:val="center"/>
              <w:rPr>
                <w:rFonts w:cs="Arial"/>
                <w:bCs/>
                <w:sz w:val="19"/>
                <w:szCs w:val="19"/>
                <w:lang w:val="it-IT" w:eastAsia="zh-TW"/>
              </w:rPr>
            </w:pPr>
          </w:p>
        </w:tc>
        <w:tc>
          <w:tcPr>
            <w:tcW w:w="1276" w:type="dxa"/>
            <w:tcBorders>
              <w:top w:val="single" w:sz="4" w:space="0" w:color="auto"/>
              <w:left w:val="single" w:sz="4" w:space="0" w:color="auto"/>
              <w:right w:val="nil"/>
            </w:tcBorders>
            <w:shd w:val="clear" w:color="000000" w:fill="FFFFFF"/>
          </w:tcPr>
          <w:p w14:paraId="66316767" w14:textId="77777777" w:rsidR="000C1753" w:rsidRPr="006A2BF9" w:rsidRDefault="000C1753" w:rsidP="00B26F69">
            <w:pPr>
              <w:jc w:val="center"/>
              <w:rPr>
                <w:rFonts w:cs="Arial"/>
                <w:sz w:val="19"/>
                <w:szCs w:val="19"/>
                <w:lang w:val="it-IT" w:eastAsia="zh-TW"/>
              </w:rPr>
            </w:pPr>
          </w:p>
        </w:tc>
        <w:tc>
          <w:tcPr>
            <w:tcW w:w="992" w:type="dxa"/>
            <w:tcBorders>
              <w:top w:val="single" w:sz="4" w:space="0" w:color="auto"/>
              <w:left w:val="single" w:sz="4" w:space="0" w:color="auto"/>
              <w:right w:val="nil"/>
            </w:tcBorders>
            <w:shd w:val="clear" w:color="000000" w:fill="FFFFFF"/>
          </w:tcPr>
          <w:p w14:paraId="1058C425" w14:textId="77777777" w:rsidR="000C1753" w:rsidRPr="006A2BF9" w:rsidRDefault="000C1753" w:rsidP="00B26F69">
            <w:pPr>
              <w:jc w:val="center"/>
              <w:rPr>
                <w:rFonts w:cs="Arial"/>
                <w:iCs/>
                <w:sz w:val="19"/>
                <w:szCs w:val="19"/>
                <w:vertAlign w:val="superscript"/>
                <w:lang w:val="it-IT" w:eastAsia="zh-TW"/>
              </w:rPr>
            </w:pPr>
          </w:p>
        </w:tc>
        <w:tc>
          <w:tcPr>
            <w:tcW w:w="851" w:type="dxa"/>
            <w:tcBorders>
              <w:top w:val="single" w:sz="4" w:space="0" w:color="auto"/>
              <w:left w:val="single" w:sz="4" w:space="0" w:color="auto"/>
              <w:right w:val="nil"/>
            </w:tcBorders>
            <w:shd w:val="clear" w:color="000000" w:fill="FFFFFF"/>
          </w:tcPr>
          <w:p w14:paraId="38697E3B"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single" w:sz="4" w:space="0" w:color="auto"/>
              <w:right w:val="single" w:sz="8" w:space="0" w:color="auto"/>
            </w:tcBorders>
            <w:shd w:val="clear" w:color="000000" w:fill="FFFFFF"/>
          </w:tcPr>
          <w:p w14:paraId="421C7F84" w14:textId="77777777" w:rsidR="000C1753" w:rsidRPr="006A2BF9" w:rsidRDefault="000559EA" w:rsidP="00B26F69">
            <w:pPr>
              <w:jc w:val="center"/>
              <w:rPr>
                <w:rFonts w:cs="Arial"/>
                <w:sz w:val="19"/>
                <w:szCs w:val="19"/>
                <w:lang w:val="it-IT" w:eastAsia="zh-TW"/>
              </w:rPr>
            </w:pPr>
            <w:r w:rsidRPr="006A2BF9">
              <w:rPr>
                <w:rFonts w:cs="Arial"/>
                <w:sz w:val="19"/>
                <w:szCs w:val="19"/>
                <w:lang w:val="it-IT" w:eastAsia="zh-TW"/>
              </w:rPr>
              <w:t>Fascite necrotizzante</w:t>
            </w:r>
            <w:r w:rsidRPr="006A2BF9">
              <w:rPr>
                <w:rFonts w:cs="Arial"/>
                <w:sz w:val="19"/>
                <w:szCs w:val="19"/>
                <w:vertAlign w:val="superscript"/>
                <w:lang w:val="it-IT" w:eastAsia="zh-TW"/>
              </w:rPr>
              <w:t>c</w:t>
            </w:r>
          </w:p>
        </w:tc>
      </w:tr>
      <w:tr w:rsidR="000C1753" w:rsidRPr="006A2BF9" w14:paraId="2811241B" w14:textId="77777777" w:rsidTr="006D575B">
        <w:trPr>
          <w:trHeight w:val="120"/>
        </w:trPr>
        <w:tc>
          <w:tcPr>
            <w:tcW w:w="1291" w:type="dxa"/>
            <w:tcBorders>
              <w:top w:val="nil"/>
              <w:left w:val="single" w:sz="8" w:space="0" w:color="auto"/>
              <w:bottom w:val="single" w:sz="4" w:space="0" w:color="000000"/>
              <w:right w:val="nil"/>
            </w:tcBorders>
            <w:shd w:val="clear" w:color="000000" w:fill="FFFFFF"/>
          </w:tcPr>
          <w:p w14:paraId="7FB860CE" w14:textId="77777777" w:rsidR="000C1753" w:rsidRPr="006A2BF9" w:rsidRDefault="000C1753" w:rsidP="00B26F69">
            <w:pPr>
              <w:jc w:val="center"/>
              <w:rPr>
                <w:rFonts w:cs="Arial"/>
                <w:sz w:val="19"/>
                <w:szCs w:val="19"/>
                <w:lang w:val="it-IT" w:eastAsia="zh-TW"/>
              </w:rPr>
            </w:pPr>
            <w:r w:rsidRPr="006A2BF9">
              <w:rPr>
                <w:rFonts w:cs="Arial"/>
                <w:sz w:val="19"/>
                <w:szCs w:val="19"/>
                <w:lang w:val="it-IT" w:eastAsia="zh-TW"/>
              </w:rPr>
              <w:t>Patologie del sistema emolinfopoietico</w:t>
            </w:r>
          </w:p>
        </w:tc>
        <w:tc>
          <w:tcPr>
            <w:tcW w:w="1559" w:type="dxa"/>
            <w:tcBorders>
              <w:top w:val="nil"/>
              <w:left w:val="single" w:sz="4" w:space="0" w:color="auto"/>
              <w:bottom w:val="single" w:sz="4" w:space="0" w:color="auto"/>
              <w:right w:val="single" w:sz="4" w:space="0" w:color="auto"/>
            </w:tcBorders>
            <w:shd w:val="clear" w:color="000000" w:fill="FFFFFF"/>
          </w:tcPr>
          <w:p w14:paraId="5F66B645" w14:textId="77777777" w:rsidR="000C1753" w:rsidRPr="006A2BF9" w:rsidRDefault="000C1753" w:rsidP="00B26F69">
            <w:pPr>
              <w:jc w:val="center"/>
              <w:rPr>
                <w:rFonts w:cs="Arial"/>
                <w:bCs/>
                <w:sz w:val="19"/>
                <w:szCs w:val="19"/>
                <w:lang w:val="it-IT" w:eastAsia="zh-TW"/>
              </w:rPr>
            </w:pPr>
            <w:r w:rsidRPr="006A2BF9">
              <w:rPr>
                <w:rFonts w:cs="Arial"/>
                <w:bCs/>
                <w:sz w:val="19"/>
                <w:szCs w:val="19"/>
                <w:lang w:val="it-IT" w:eastAsia="zh-TW"/>
              </w:rPr>
              <w:t>Neutropenia febbrile,</w:t>
            </w:r>
          </w:p>
          <w:p w14:paraId="026B6397" w14:textId="77777777" w:rsidR="000C1753" w:rsidRPr="006A2BF9" w:rsidRDefault="000C1753" w:rsidP="00B26F69">
            <w:pPr>
              <w:jc w:val="center"/>
              <w:rPr>
                <w:rFonts w:cs="Arial"/>
                <w:bCs/>
                <w:sz w:val="19"/>
                <w:szCs w:val="19"/>
                <w:lang w:val="it-IT" w:eastAsia="zh-TW"/>
              </w:rPr>
            </w:pPr>
            <w:r w:rsidRPr="006A2BF9">
              <w:rPr>
                <w:rFonts w:cs="Arial"/>
                <w:bCs/>
                <w:sz w:val="19"/>
                <w:szCs w:val="19"/>
                <w:lang w:val="it-IT" w:eastAsia="zh-TW"/>
              </w:rPr>
              <w:t>Leucopenia,</w:t>
            </w:r>
          </w:p>
          <w:p w14:paraId="6CD84842" w14:textId="77777777" w:rsidR="000C1753" w:rsidRPr="006A2BF9" w:rsidRDefault="000C1753" w:rsidP="00B26F69">
            <w:pPr>
              <w:jc w:val="center"/>
              <w:rPr>
                <w:rFonts w:cs="Arial"/>
                <w:bCs/>
                <w:sz w:val="19"/>
                <w:szCs w:val="19"/>
                <w:lang w:val="it-IT" w:eastAsia="zh-TW"/>
              </w:rPr>
            </w:pPr>
            <w:r w:rsidRPr="006A2BF9">
              <w:rPr>
                <w:rFonts w:cs="Arial"/>
                <w:bCs/>
                <w:sz w:val="19"/>
                <w:szCs w:val="19"/>
                <w:lang w:val="it-IT" w:eastAsia="zh-TW"/>
              </w:rPr>
              <w:t>Neutropenia</w:t>
            </w:r>
            <w:r w:rsidRPr="006A2BF9">
              <w:rPr>
                <w:rFonts w:cs="Arial"/>
                <w:bCs/>
                <w:sz w:val="19"/>
                <w:szCs w:val="19"/>
                <w:vertAlign w:val="superscript"/>
                <w:lang w:val="it-IT" w:eastAsia="zh-TW"/>
              </w:rPr>
              <w:t>a</w:t>
            </w:r>
            <w:r w:rsidRPr="006A2BF9">
              <w:rPr>
                <w:rFonts w:cs="Arial"/>
                <w:bCs/>
                <w:sz w:val="19"/>
                <w:szCs w:val="19"/>
                <w:lang w:val="it-IT" w:eastAsia="zh-TW"/>
              </w:rPr>
              <w:t>,</w:t>
            </w:r>
          </w:p>
          <w:p w14:paraId="4058F2DB" w14:textId="77777777" w:rsidR="000C1753" w:rsidRPr="006A2BF9" w:rsidRDefault="000C1753" w:rsidP="00B26F69">
            <w:pPr>
              <w:jc w:val="center"/>
              <w:rPr>
                <w:rFonts w:cs="Arial"/>
                <w:sz w:val="19"/>
                <w:szCs w:val="19"/>
                <w:lang w:val="it-IT" w:eastAsia="zh-TW"/>
              </w:rPr>
            </w:pPr>
            <w:r w:rsidRPr="006A2BF9">
              <w:rPr>
                <w:rFonts w:cs="Arial"/>
                <w:bCs/>
                <w:sz w:val="19"/>
                <w:szCs w:val="19"/>
                <w:lang w:val="it-IT" w:eastAsia="zh-TW"/>
              </w:rPr>
              <w:t>Trombocitopenia</w:t>
            </w:r>
          </w:p>
        </w:tc>
        <w:tc>
          <w:tcPr>
            <w:tcW w:w="1701" w:type="dxa"/>
            <w:tcBorders>
              <w:top w:val="single" w:sz="4" w:space="0" w:color="auto"/>
              <w:left w:val="nil"/>
              <w:bottom w:val="single" w:sz="4" w:space="0" w:color="auto"/>
              <w:right w:val="nil"/>
            </w:tcBorders>
            <w:shd w:val="clear" w:color="000000" w:fill="FFFFFF"/>
          </w:tcPr>
          <w:p w14:paraId="2F699519" w14:textId="77777777" w:rsidR="000C1753" w:rsidRPr="006A2BF9" w:rsidRDefault="000C1753" w:rsidP="00B26F69">
            <w:pPr>
              <w:jc w:val="center"/>
              <w:rPr>
                <w:rFonts w:cs="Arial"/>
                <w:bCs/>
                <w:sz w:val="19"/>
                <w:szCs w:val="19"/>
                <w:lang w:val="it-IT" w:eastAsia="zh-TW"/>
              </w:rPr>
            </w:pPr>
            <w:r w:rsidRPr="006A2BF9">
              <w:rPr>
                <w:rFonts w:cs="Arial"/>
                <w:bCs/>
                <w:sz w:val="19"/>
                <w:szCs w:val="19"/>
                <w:lang w:val="it-IT" w:eastAsia="zh-TW"/>
              </w:rPr>
              <w:t>Anemia</w:t>
            </w:r>
            <w:r w:rsidR="0059507F" w:rsidRPr="006A2BF9">
              <w:rPr>
                <w:rFonts w:cs="Arial"/>
                <w:bCs/>
                <w:sz w:val="19"/>
                <w:szCs w:val="19"/>
                <w:lang w:val="it-IT" w:eastAsia="zh-TW"/>
              </w:rPr>
              <w:t>,</w:t>
            </w:r>
          </w:p>
          <w:p w14:paraId="0089BC3F" w14:textId="77777777" w:rsidR="0059507F" w:rsidRPr="006A2BF9" w:rsidRDefault="0059507F" w:rsidP="00B26F69">
            <w:pPr>
              <w:jc w:val="center"/>
              <w:rPr>
                <w:rFonts w:cs="Arial"/>
                <w:bCs/>
                <w:sz w:val="19"/>
                <w:szCs w:val="19"/>
                <w:lang w:val="it-IT" w:eastAsia="zh-TW"/>
              </w:rPr>
            </w:pPr>
            <w:r w:rsidRPr="006A2BF9">
              <w:rPr>
                <w:rFonts w:cs="Arial"/>
                <w:bCs/>
                <w:sz w:val="19"/>
                <w:szCs w:val="19"/>
                <w:lang w:val="it-IT" w:eastAsia="zh-TW"/>
              </w:rPr>
              <w:t>Linfocitopenia</w:t>
            </w:r>
          </w:p>
          <w:p w14:paraId="3F078066" w14:textId="77777777" w:rsidR="000C1753" w:rsidRPr="006A2BF9" w:rsidRDefault="000C1753" w:rsidP="00B26F69">
            <w:pPr>
              <w:jc w:val="center"/>
              <w:rPr>
                <w:rFonts w:cs="Arial"/>
                <w:bCs/>
                <w:sz w:val="19"/>
                <w:szCs w:val="19"/>
                <w:lang w:val="it-IT" w:eastAsia="zh-TW"/>
              </w:rPr>
            </w:pPr>
          </w:p>
        </w:tc>
        <w:tc>
          <w:tcPr>
            <w:tcW w:w="1276" w:type="dxa"/>
            <w:tcBorders>
              <w:top w:val="single" w:sz="4" w:space="0" w:color="auto"/>
              <w:left w:val="single" w:sz="4" w:space="0" w:color="auto"/>
              <w:right w:val="nil"/>
            </w:tcBorders>
            <w:shd w:val="clear" w:color="000000" w:fill="FFFFFF"/>
          </w:tcPr>
          <w:p w14:paraId="1DD595C9" w14:textId="77777777" w:rsidR="000C1753" w:rsidRPr="006A2BF9" w:rsidRDefault="000C1753" w:rsidP="00B26F69">
            <w:pPr>
              <w:jc w:val="center"/>
              <w:rPr>
                <w:rFonts w:cs="Arial"/>
                <w:sz w:val="19"/>
                <w:szCs w:val="19"/>
                <w:lang w:val="it-IT" w:eastAsia="zh-TW"/>
              </w:rPr>
            </w:pPr>
          </w:p>
        </w:tc>
        <w:tc>
          <w:tcPr>
            <w:tcW w:w="992" w:type="dxa"/>
            <w:tcBorders>
              <w:top w:val="single" w:sz="4" w:space="0" w:color="auto"/>
              <w:left w:val="single" w:sz="4" w:space="0" w:color="auto"/>
              <w:right w:val="nil"/>
            </w:tcBorders>
            <w:shd w:val="clear" w:color="000000" w:fill="FFFFFF"/>
          </w:tcPr>
          <w:p w14:paraId="25DFFEF6" w14:textId="77777777" w:rsidR="000C1753" w:rsidRPr="006A2BF9" w:rsidRDefault="000C1753" w:rsidP="00B26F69">
            <w:pPr>
              <w:jc w:val="center"/>
              <w:rPr>
                <w:rFonts w:cs="Arial"/>
                <w:iCs/>
                <w:sz w:val="19"/>
                <w:szCs w:val="19"/>
                <w:vertAlign w:val="superscript"/>
                <w:lang w:val="it-IT" w:eastAsia="zh-TW"/>
              </w:rPr>
            </w:pPr>
          </w:p>
        </w:tc>
        <w:tc>
          <w:tcPr>
            <w:tcW w:w="851" w:type="dxa"/>
            <w:tcBorders>
              <w:top w:val="single" w:sz="4" w:space="0" w:color="auto"/>
              <w:left w:val="single" w:sz="4" w:space="0" w:color="auto"/>
              <w:right w:val="nil"/>
            </w:tcBorders>
            <w:shd w:val="clear" w:color="000000" w:fill="FFFFFF"/>
          </w:tcPr>
          <w:p w14:paraId="1D44ED06" w14:textId="77777777" w:rsidR="000C1753" w:rsidRPr="006A2BF9" w:rsidRDefault="000C1753" w:rsidP="00B26F69">
            <w:pPr>
              <w:jc w:val="center"/>
              <w:rPr>
                <w:rFonts w:cs="Arial"/>
                <w:sz w:val="19"/>
                <w:szCs w:val="19"/>
                <w:lang w:val="it-IT" w:eastAsia="zh-TW"/>
              </w:rPr>
            </w:pPr>
          </w:p>
        </w:tc>
        <w:tc>
          <w:tcPr>
            <w:tcW w:w="1417" w:type="dxa"/>
            <w:tcBorders>
              <w:top w:val="single" w:sz="4" w:space="0" w:color="auto"/>
              <w:left w:val="single" w:sz="4" w:space="0" w:color="auto"/>
              <w:right w:val="single" w:sz="8" w:space="0" w:color="auto"/>
            </w:tcBorders>
            <w:shd w:val="clear" w:color="000000" w:fill="FFFFFF"/>
          </w:tcPr>
          <w:p w14:paraId="7845C7DB" w14:textId="77777777" w:rsidR="000C1753" w:rsidRPr="006A2BF9" w:rsidRDefault="000C1753" w:rsidP="00B26F69">
            <w:pPr>
              <w:jc w:val="center"/>
              <w:rPr>
                <w:rFonts w:cs="Arial"/>
                <w:sz w:val="19"/>
                <w:szCs w:val="19"/>
                <w:lang w:val="it-IT" w:eastAsia="zh-TW"/>
              </w:rPr>
            </w:pPr>
          </w:p>
        </w:tc>
      </w:tr>
      <w:tr w:rsidR="000559EA" w:rsidRPr="006A2BF9" w14:paraId="73AF5447" w14:textId="77777777" w:rsidTr="00146AB6">
        <w:trPr>
          <w:trHeight w:val="60"/>
        </w:trPr>
        <w:tc>
          <w:tcPr>
            <w:tcW w:w="1291" w:type="dxa"/>
            <w:tcBorders>
              <w:top w:val="nil"/>
              <w:left w:val="single" w:sz="8" w:space="0" w:color="auto"/>
              <w:bottom w:val="single" w:sz="4" w:space="0" w:color="auto"/>
              <w:right w:val="nil"/>
            </w:tcBorders>
            <w:shd w:val="clear" w:color="000000" w:fill="FFFFFF"/>
          </w:tcPr>
          <w:p w14:paraId="34A2E9EA" w14:textId="77777777" w:rsidR="000559EA" w:rsidRPr="006A2BF9" w:rsidRDefault="000559EA" w:rsidP="00B26F69">
            <w:pPr>
              <w:jc w:val="center"/>
              <w:rPr>
                <w:rFonts w:cs="Arial"/>
                <w:sz w:val="19"/>
                <w:szCs w:val="19"/>
                <w:lang w:val="it-IT" w:eastAsia="zh-TW"/>
              </w:rPr>
            </w:pPr>
            <w:r w:rsidRPr="006A2BF9">
              <w:rPr>
                <w:rFonts w:cs="Arial"/>
                <w:sz w:val="19"/>
                <w:szCs w:val="19"/>
                <w:lang w:val="it-IT" w:eastAsia="zh-TW"/>
              </w:rPr>
              <w:t>Disturbi del sistema immunitario</w:t>
            </w:r>
          </w:p>
        </w:tc>
        <w:tc>
          <w:tcPr>
            <w:tcW w:w="1559" w:type="dxa"/>
            <w:tcBorders>
              <w:top w:val="single" w:sz="4" w:space="0" w:color="auto"/>
              <w:left w:val="single" w:sz="4" w:space="0" w:color="auto"/>
              <w:bottom w:val="single" w:sz="4" w:space="0" w:color="auto"/>
              <w:right w:val="nil"/>
            </w:tcBorders>
            <w:shd w:val="clear" w:color="000000" w:fill="FFFFFF"/>
          </w:tcPr>
          <w:p w14:paraId="68F48222" w14:textId="77777777" w:rsidR="000559EA" w:rsidRPr="006A2BF9" w:rsidRDefault="000559EA" w:rsidP="00B26F69">
            <w:pPr>
              <w:jc w:val="center"/>
              <w:rPr>
                <w:rFonts w:cs="Arial"/>
                <w:i/>
                <w:iCs/>
                <w:sz w:val="19"/>
                <w:szCs w:val="19"/>
                <w:lang w:val="it-IT" w:eastAsia="zh-TW"/>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731412D" w14:textId="77777777" w:rsidR="00A01B02" w:rsidRPr="002429CE" w:rsidRDefault="00A01B02" w:rsidP="00D9162B">
            <w:pPr>
              <w:jc w:val="center"/>
              <w:rPr>
                <w:rFonts w:cs="Arial"/>
                <w:sz w:val="19"/>
                <w:szCs w:val="19"/>
                <w:lang w:val="it-IT" w:eastAsia="zh-TW"/>
              </w:rPr>
            </w:pPr>
            <w:r w:rsidRPr="002429CE">
              <w:rPr>
                <w:rFonts w:cs="Arial"/>
                <w:sz w:val="19"/>
                <w:szCs w:val="19"/>
                <w:lang w:val="it-IT" w:eastAsia="zh-TW"/>
              </w:rPr>
              <w:t>Ipersensibilità,</w:t>
            </w:r>
          </w:p>
          <w:p w14:paraId="079E0144" w14:textId="77777777" w:rsidR="000559EA" w:rsidRPr="006A2BF9" w:rsidRDefault="00A01B02" w:rsidP="00B26F69">
            <w:pPr>
              <w:jc w:val="center"/>
              <w:rPr>
                <w:rFonts w:cs="Arial"/>
                <w:bCs/>
                <w:sz w:val="19"/>
                <w:szCs w:val="19"/>
                <w:lang w:val="it-IT" w:eastAsia="zh-TW"/>
              </w:rPr>
            </w:pPr>
            <w:r w:rsidRPr="002429CE">
              <w:rPr>
                <w:rFonts w:cs="Arial"/>
                <w:sz w:val="19"/>
                <w:szCs w:val="19"/>
                <w:lang w:val="it-IT" w:eastAsia="zh-TW"/>
              </w:rPr>
              <w:t>Reazioni all’infusione</w:t>
            </w:r>
            <w:r w:rsidRPr="002429CE">
              <w:rPr>
                <w:rFonts w:cs="Arial"/>
                <w:sz w:val="19"/>
                <w:szCs w:val="19"/>
                <w:vertAlign w:val="superscript"/>
                <w:lang w:val="it-IT" w:eastAsia="zh-TW"/>
              </w:rPr>
              <w:t>a,b,c</w:t>
            </w:r>
          </w:p>
        </w:tc>
        <w:tc>
          <w:tcPr>
            <w:tcW w:w="1276" w:type="dxa"/>
            <w:tcBorders>
              <w:top w:val="single" w:sz="4" w:space="0" w:color="auto"/>
              <w:left w:val="nil"/>
              <w:bottom w:val="single" w:sz="4" w:space="0" w:color="auto"/>
              <w:right w:val="nil"/>
            </w:tcBorders>
            <w:shd w:val="clear" w:color="000000" w:fill="FFFFFF"/>
          </w:tcPr>
          <w:p w14:paraId="53A33DBB" w14:textId="77777777" w:rsidR="000559EA" w:rsidRPr="006A2BF9" w:rsidRDefault="000559EA" w:rsidP="00B26F69">
            <w:pPr>
              <w:jc w:val="center"/>
              <w:rPr>
                <w:rFonts w:cs="Arial"/>
                <w:sz w:val="19"/>
                <w:szCs w:val="19"/>
                <w:lang w:val="it-IT" w:eastAsia="zh-TW"/>
              </w:rPr>
            </w:pPr>
          </w:p>
        </w:tc>
        <w:tc>
          <w:tcPr>
            <w:tcW w:w="992" w:type="dxa"/>
            <w:tcBorders>
              <w:top w:val="single" w:sz="4" w:space="0" w:color="auto"/>
              <w:left w:val="single" w:sz="4" w:space="0" w:color="auto"/>
              <w:bottom w:val="single" w:sz="4" w:space="0" w:color="auto"/>
              <w:right w:val="nil"/>
            </w:tcBorders>
            <w:shd w:val="clear" w:color="000000" w:fill="FFFFFF"/>
          </w:tcPr>
          <w:p w14:paraId="38841955" w14:textId="77777777" w:rsidR="000559EA" w:rsidRPr="006A2BF9" w:rsidRDefault="00A01B02" w:rsidP="00B26F69">
            <w:pPr>
              <w:jc w:val="center"/>
              <w:rPr>
                <w:rFonts w:cs="Arial"/>
                <w:sz w:val="19"/>
                <w:szCs w:val="19"/>
                <w:lang w:val="it-IT" w:eastAsia="zh-TW"/>
              </w:rPr>
            </w:pPr>
            <w:r>
              <w:rPr>
                <w:rFonts w:cs="Arial"/>
                <w:sz w:val="19"/>
                <w:szCs w:val="19"/>
                <w:lang w:val="it-IT" w:eastAsia="zh-TW"/>
              </w:rPr>
              <w:t>Shock anafilattico</w:t>
            </w:r>
          </w:p>
        </w:tc>
        <w:tc>
          <w:tcPr>
            <w:tcW w:w="851" w:type="dxa"/>
            <w:tcBorders>
              <w:top w:val="single" w:sz="4" w:space="0" w:color="auto"/>
              <w:left w:val="single" w:sz="4" w:space="0" w:color="auto"/>
              <w:bottom w:val="single" w:sz="4" w:space="0" w:color="auto"/>
              <w:right w:val="nil"/>
            </w:tcBorders>
            <w:shd w:val="clear" w:color="000000" w:fill="FFFFFF"/>
          </w:tcPr>
          <w:p w14:paraId="3ECCA905" w14:textId="77777777" w:rsidR="000559EA" w:rsidRPr="006A2BF9" w:rsidRDefault="000559EA" w:rsidP="00B26F69">
            <w:pPr>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4C7D082C" w14:textId="77777777" w:rsidR="000559EA" w:rsidRPr="006A2BF9" w:rsidRDefault="000559EA" w:rsidP="00B26F69">
            <w:pPr>
              <w:jc w:val="center"/>
              <w:rPr>
                <w:rFonts w:cs="Arial"/>
                <w:sz w:val="19"/>
                <w:szCs w:val="19"/>
                <w:lang w:val="it-IT" w:eastAsia="zh-TW"/>
              </w:rPr>
            </w:pPr>
          </w:p>
        </w:tc>
      </w:tr>
      <w:tr w:rsidR="000C1753" w:rsidRPr="006A2BF9" w14:paraId="0E20C791" w14:textId="77777777" w:rsidTr="00146AB6">
        <w:trPr>
          <w:trHeight w:val="60"/>
        </w:trPr>
        <w:tc>
          <w:tcPr>
            <w:tcW w:w="1291" w:type="dxa"/>
            <w:tcBorders>
              <w:top w:val="single" w:sz="4" w:space="0" w:color="auto"/>
              <w:left w:val="single" w:sz="4" w:space="0" w:color="auto"/>
              <w:bottom w:val="single" w:sz="4" w:space="0" w:color="auto"/>
              <w:right w:val="nil"/>
            </w:tcBorders>
            <w:shd w:val="clear" w:color="000000" w:fill="FFFFFF"/>
          </w:tcPr>
          <w:p w14:paraId="28410EE5" w14:textId="77777777" w:rsidR="000C1753" w:rsidRPr="006A2BF9" w:rsidRDefault="000C1753" w:rsidP="00B26F69">
            <w:pPr>
              <w:widowControl w:val="0"/>
              <w:jc w:val="center"/>
              <w:rPr>
                <w:rFonts w:cs="Arial"/>
                <w:sz w:val="19"/>
                <w:szCs w:val="19"/>
                <w:lang w:val="it-IT" w:eastAsia="zh-TW"/>
              </w:rPr>
            </w:pPr>
            <w:r w:rsidRPr="006A2BF9">
              <w:rPr>
                <w:rFonts w:cs="Arial"/>
                <w:sz w:val="19"/>
                <w:szCs w:val="19"/>
                <w:lang w:val="it-IT" w:eastAsia="zh-TW"/>
              </w:rPr>
              <w:t>Disturbi del metabolismo e della nutrizione</w:t>
            </w:r>
          </w:p>
        </w:tc>
        <w:tc>
          <w:tcPr>
            <w:tcW w:w="1559" w:type="dxa"/>
            <w:tcBorders>
              <w:top w:val="single" w:sz="4" w:space="0" w:color="auto"/>
              <w:left w:val="single" w:sz="4" w:space="0" w:color="auto"/>
              <w:bottom w:val="single" w:sz="4" w:space="0" w:color="auto"/>
              <w:right w:val="nil"/>
            </w:tcBorders>
            <w:shd w:val="clear" w:color="000000" w:fill="FFFFFF"/>
          </w:tcPr>
          <w:p w14:paraId="62E53EA2" w14:textId="77777777" w:rsidR="000C1753" w:rsidRPr="006A2BF9" w:rsidRDefault="000C1753" w:rsidP="00B26F69">
            <w:pPr>
              <w:widowControl w:val="0"/>
              <w:jc w:val="center"/>
              <w:rPr>
                <w:rFonts w:cs="Arial"/>
                <w:i/>
                <w:iCs/>
                <w:sz w:val="19"/>
                <w:szCs w:val="19"/>
                <w:lang w:val="it-IT" w:eastAsia="zh-TW"/>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FA0A5B8" w14:textId="77777777" w:rsidR="000C1753" w:rsidRPr="006A2BF9" w:rsidRDefault="000C1753" w:rsidP="00B26F69">
            <w:pPr>
              <w:widowControl w:val="0"/>
              <w:jc w:val="center"/>
              <w:rPr>
                <w:rFonts w:cs="Arial"/>
                <w:bCs/>
                <w:sz w:val="19"/>
                <w:szCs w:val="19"/>
                <w:lang w:val="it-IT" w:eastAsia="zh-TW"/>
              </w:rPr>
            </w:pPr>
            <w:r w:rsidRPr="006A2BF9">
              <w:rPr>
                <w:rFonts w:cs="Arial"/>
                <w:bCs/>
                <w:sz w:val="19"/>
                <w:szCs w:val="19"/>
                <w:lang w:val="it-IT" w:eastAsia="zh-TW"/>
              </w:rPr>
              <w:t>Disidratazione</w:t>
            </w:r>
            <w:r w:rsidR="00AA687E" w:rsidRPr="006A2BF9">
              <w:rPr>
                <w:rFonts w:cs="Arial"/>
                <w:bCs/>
                <w:sz w:val="19"/>
                <w:szCs w:val="19"/>
                <w:lang w:val="it-IT" w:eastAsia="zh-TW"/>
              </w:rPr>
              <w:t>,</w:t>
            </w:r>
          </w:p>
          <w:p w14:paraId="210247A8" w14:textId="77777777" w:rsidR="00AA687E" w:rsidRPr="006A2BF9" w:rsidRDefault="00AA687E" w:rsidP="00B26F69">
            <w:pPr>
              <w:widowControl w:val="0"/>
              <w:jc w:val="center"/>
              <w:rPr>
                <w:rFonts w:cs="Arial"/>
                <w:bCs/>
                <w:sz w:val="19"/>
                <w:szCs w:val="19"/>
                <w:lang w:val="it-IT" w:eastAsia="zh-TW"/>
              </w:rPr>
            </w:pPr>
            <w:r w:rsidRPr="006A2BF9">
              <w:rPr>
                <w:rFonts w:cs="Arial"/>
                <w:bCs/>
                <w:sz w:val="19"/>
                <w:szCs w:val="19"/>
                <w:lang w:val="it-IT" w:eastAsia="zh-TW"/>
              </w:rPr>
              <w:t>Iponatremia</w:t>
            </w:r>
          </w:p>
        </w:tc>
        <w:tc>
          <w:tcPr>
            <w:tcW w:w="1276" w:type="dxa"/>
            <w:tcBorders>
              <w:top w:val="single" w:sz="4" w:space="0" w:color="auto"/>
              <w:left w:val="nil"/>
              <w:bottom w:val="single" w:sz="4" w:space="0" w:color="auto"/>
              <w:right w:val="nil"/>
            </w:tcBorders>
            <w:shd w:val="clear" w:color="000000" w:fill="FFFFFF"/>
          </w:tcPr>
          <w:p w14:paraId="6F83BA44" w14:textId="77777777" w:rsidR="000C1753" w:rsidRPr="006A2BF9" w:rsidRDefault="000C1753" w:rsidP="00B26F69">
            <w:pPr>
              <w:widowControl w:val="0"/>
              <w:jc w:val="center"/>
              <w:rPr>
                <w:rFonts w:cs="Arial"/>
                <w:sz w:val="19"/>
                <w:szCs w:val="19"/>
                <w:lang w:val="it-IT" w:eastAsia="zh-TW"/>
              </w:rPr>
            </w:pPr>
          </w:p>
        </w:tc>
        <w:tc>
          <w:tcPr>
            <w:tcW w:w="992" w:type="dxa"/>
            <w:tcBorders>
              <w:top w:val="single" w:sz="4" w:space="0" w:color="auto"/>
              <w:left w:val="single" w:sz="4" w:space="0" w:color="auto"/>
              <w:bottom w:val="single" w:sz="4" w:space="0" w:color="auto"/>
              <w:right w:val="nil"/>
            </w:tcBorders>
            <w:shd w:val="clear" w:color="000000" w:fill="FFFFFF"/>
          </w:tcPr>
          <w:p w14:paraId="2B8DB26C" w14:textId="77777777" w:rsidR="000C1753" w:rsidRPr="006A2BF9" w:rsidRDefault="000C1753" w:rsidP="00B26F69">
            <w:pPr>
              <w:widowControl w:val="0"/>
              <w:jc w:val="center"/>
              <w:rPr>
                <w:rFonts w:cs="Arial"/>
                <w:sz w:val="19"/>
                <w:szCs w:val="19"/>
                <w:lang w:val="it-IT" w:eastAsia="zh-TW"/>
              </w:rPr>
            </w:pPr>
          </w:p>
        </w:tc>
        <w:tc>
          <w:tcPr>
            <w:tcW w:w="851" w:type="dxa"/>
            <w:tcBorders>
              <w:top w:val="single" w:sz="4" w:space="0" w:color="auto"/>
              <w:left w:val="single" w:sz="4" w:space="0" w:color="auto"/>
              <w:bottom w:val="single" w:sz="4" w:space="0" w:color="auto"/>
              <w:right w:val="nil"/>
            </w:tcBorders>
            <w:shd w:val="clear" w:color="000000" w:fill="FFFFFF"/>
          </w:tcPr>
          <w:p w14:paraId="7602AC7A" w14:textId="77777777" w:rsidR="000C1753" w:rsidRPr="006A2BF9" w:rsidRDefault="000C1753" w:rsidP="00B26F69">
            <w:pPr>
              <w:widowControl w:val="0"/>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F9FBCF4" w14:textId="77777777" w:rsidR="000C1753" w:rsidRPr="006A2BF9" w:rsidRDefault="000C1753" w:rsidP="00B26F69">
            <w:pPr>
              <w:widowControl w:val="0"/>
              <w:jc w:val="center"/>
              <w:rPr>
                <w:rFonts w:cs="Arial"/>
                <w:sz w:val="19"/>
                <w:szCs w:val="19"/>
                <w:lang w:val="it-IT" w:eastAsia="zh-TW"/>
              </w:rPr>
            </w:pPr>
          </w:p>
        </w:tc>
      </w:tr>
      <w:tr w:rsidR="009F4FA6" w:rsidRPr="006A2BF9" w14:paraId="0002416A" w14:textId="77777777" w:rsidTr="00146AB6">
        <w:trPr>
          <w:trHeight w:val="1167"/>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1A94C0DF" w14:textId="77777777" w:rsidR="009F4FA6" w:rsidRPr="006A2BF9" w:rsidRDefault="009F4FA6" w:rsidP="00B26F69">
            <w:pPr>
              <w:widowControl w:val="0"/>
              <w:jc w:val="center"/>
              <w:rPr>
                <w:rFonts w:cs="Arial"/>
                <w:sz w:val="19"/>
                <w:szCs w:val="19"/>
                <w:lang w:val="it-IT" w:eastAsia="zh-TW"/>
              </w:rPr>
            </w:pPr>
            <w:r w:rsidRPr="006A2BF9">
              <w:rPr>
                <w:rFonts w:cs="Arial"/>
                <w:sz w:val="19"/>
                <w:szCs w:val="19"/>
                <w:lang w:val="it-IT" w:eastAsia="zh-TW"/>
              </w:rPr>
              <w:t>Patologie del sistema nervoso</w:t>
            </w:r>
          </w:p>
        </w:tc>
        <w:tc>
          <w:tcPr>
            <w:tcW w:w="1559" w:type="dxa"/>
            <w:tcBorders>
              <w:top w:val="single" w:sz="4" w:space="0" w:color="auto"/>
              <w:left w:val="nil"/>
              <w:bottom w:val="single" w:sz="4" w:space="0" w:color="auto"/>
              <w:right w:val="single" w:sz="4" w:space="0" w:color="auto"/>
            </w:tcBorders>
            <w:shd w:val="clear" w:color="000000" w:fill="FFFFFF"/>
          </w:tcPr>
          <w:p w14:paraId="57B7F185" w14:textId="77777777" w:rsidR="009F4FA6" w:rsidRPr="006A2BF9" w:rsidRDefault="009F4FA6" w:rsidP="00B26F69">
            <w:pPr>
              <w:widowControl w:val="0"/>
              <w:jc w:val="center"/>
              <w:rPr>
                <w:rFonts w:cs="Arial"/>
                <w:bCs/>
                <w:sz w:val="19"/>
                <w:szCs w:val="19"/>
                <w:vertAlign w:val="superscript"/>
                <w:lang w:val="it-IT" w:eastAsia="zh-TW"/>
              </w:rPr>
            </w:pPr>
            <w:r w:rsidRPr="006A2BF9">
              <w:rPr>
                <w:rFonts w:cs="Arial"/>
                <w:bCs/>
                <w:sz w:val="19"/>
                <w:szCs w:val="19"/>
                <w:lang w:val="it-IT" w:eastAsia="zh-TW"/>
              </w:rPr>
              <w:t>Neuropatia sensoriale periferica</w:t>
            </w:r>
            <w:r w:rsidRPr="006A2BF9">
              <w:rPr>
                <w:rFonts w:cs="Arial"/>
                <w:bCs/>
                <w:sz w:val="19"/>
                <w:szCs w:val="19"/>
                <w:vertAlign w:val="superscript"/>
                <w:lang w:val="it-IT" w:eastAsia="zh-TW"/>
              </w:rPr>
              <w:t>a</w:t>
            </w:r>
          </w:p>
          <w:p w14:paraId="46B9523C" w14:textId="77777777" w:rsidR="009F4FA6" w:rsidRPr="006A2BF9" w:rsidRDefault="009F4FA6" w:rsidP="00B26F69">
            <w:pPr>
              <w:widowControl w:val="0"/>
              <w:jc w:val="center"/>
              <w:rPr>
                <w:rFonts w:cs="Arial"/>
                <w:bCs/>
                <w:sz w:val="19"/>
                <w:szCs w:val="19"/>
                <w:lang w:val="it-IT" w:eastAsia="zh-TW"/>
              </w:rPr>
            </w:pPr>
          </w:p>
        </w:tc>
        <w:tc>
          <w:tcPr>
            <w:tcW w:w="1701" w:type="dxa"/>
            <w:tcBorders>
              <w:top w:val="single" w:sz="4" w:space="0" w:color="auto"/>
              <w:left w:val="nil"/>
              <w:bottom w:val="single" w:sz="4" w:space="0" w:color="auto"/>
              <w:right w:val="single" w:sz="4" w:space="0" w:color="auto"/>
            </w:tcBorders>
            <w:shd w:val="clear" w:color="000000" w:fill="FFFFFF"/>
          </w:tcPr>
          <w:p w14:paraId="4E94963F"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Accidente cerebrovascolare,</w:t>
            </w:r>
          </w:p>
          <w:p w14:paraId="3554CF8C"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Sincope,</w:t>
            </w:r>
          </w:p>
          <w:p w14:paraId="11AAED7A"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Sonnolenza,</w:t>
            </w:r>
          </w:p>
          <w:p w14:paraId="65651CF6"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Cefalea</w:t>
            </w:r>
          </w:p>
        </w:tc>
        <w:tc>
          <w:tcPr>
            <w:tcW w:w="1276" w:type="dxa"/>
            <w:tcBorders>
              <w:top w:val="single" w:sz="4" w:space="0" w:color="auto"/>
              <w:left w:val="nil"/>
              <w:bottom w:val="single" w:sz="4" w:space="0" w:color="auto"/>
              <w:right w:val="single" w:sz="4" w:space="0" w:color="auto"/>
            </w:tcBorders>
            <w:shd w:val="clear" w:color="000000" w:fill="FFFFFF"/>
          </w:tcPr>
          <w:p w14:paraId="7314F9AF" w14:textId="77777777" w:rsidR="009F4FA6" w:rsidRPr="006A2BF9" w:rsidRDefault="009F4FA6" w:rsidP="00B26F69">
            <w:pPr>
              <w:widowControl w:val="0"/>
              <w:jc w:val="center"/>
              <w:rPr>
                <w:rFonts w:cs="Arial"/>
                <w:sz w:val="19"/>
                <w:szCs w:val="19"/>
                <w:lang w:val="it-IT"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06BB9322" w14:textId="77777777" w:rsidR="009F4FA6" w:rsidRPr="006A2BF9" w:rsidRDefault="009F4FA6" w:rsidP="00B26F69">
            <w:pPr>
              <w:widowControl w:val="0"/>
              <w:jc w:val="center"/>
              <w:rPr>
                <w:rFonts w:cs="Arial"/>
                <w:i/>
                <w:iCs/>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650829D5" w14:textId="77777777" w:rsidR="009F4FA6" w:rsidRPr="006A2BF9" w:rsidRDefault="009F4FA6" w:rsidP="00B26F69">
            <w:pPr>
              <w:widowControl w:val="0"/>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0539D036" w14:textId="77777777" w:rsidR="009F4FA6" w:rsidRPr="006A2BF9" w:rsidRDefault="000559EA" w:rsidP="00B26F69">
            <w:pPr>
              <w:widowControl w:val="0"/>
              <w:jc w:val="center"/>
              <w:rPr>
                <w:rFonts w:cs="Arial"/>
                <w:sz w:val="19"/>
                <w:szCs w:val="19"/>
                <w:lang w:val="it-IT" w:eastAsia="zh-TW"/>
              </w:rPr>
            </w:pPr>
            <w:r w:rsidRPr="006A2BF9">
              <w:rPr>
                <w:rFonts w:cs="Arial"/>
                <w:sz w:val="19"/>
                <w:szCs w:val="19"/>
                <w:lang w:val="it-IT" w:eastAsia="zh-TW"/>
              </w:rPr>
              <w:t xml:space="preserve">Sindrome da encefalopatia posteriore reversibile </w:t>
            </w:r>
            <w:r w:rsidRPr="006A2BF9">
              <w:rPr>
                <w:rFonts w:cs="Arial"/>
                <w:sz w:val="19"/>
                <w:szCs w:val="19"/>
                <w:vertAlign w:val="superscript"/>
                <w:lang w:val="it-IT" w:eastAsia="zh-TW"/>
              </w:rPr>
              <w:t>a,b,c</w:t>
            </w:r>
          </w:p>
          <w:p w14:paraId="15F55673" w14:textId="77777777" w:rsidR="000559EA" w:rsidRPr="006A2BF9" w:rsidRDefault="000559EA" w:rsidP="00B26F69">
            <w:pPr>
              <w:widowControl w:val="0"/>
              <w:jc w:val="center"/>
              <w:rPr>
                <w:rFonts w:cs="Arial"/>
                <w:sz w:val="19"/>
                <w:szCs w:val="19"/>
                <w:lang w:val="it-IT" w:eastAsia="zh-TW"/>
              </w:rPr>
            </w:pPr>
            <w:r w:rsidRPr="006A2BF9">
              <w:rPr>
                <w:rFonts w:cs="Arial"/>
                <w:sz w:val="19"/>
                <w:szCs w:val="19"/>
                <w:lang w:val="it-IT" w:eastAsia="zh-TW"/>
              </w:rPr>
              <w:t>Encefalopatia ipertensiva</w:t>
            </w:r>
            <w:r w:rsidR="00A13AC7" w:rsidRPr="006A2BF9">
              <w:rPr>
                <w:rFonts w:cs="Arial"/>
                <w:sz w:val="19"/>
                <w:szCs w:val="19"/>
                <w:vertAlign w:val="superscript"/>
                <w:lang w:val="it-IT" w:eastAsia="zh-TW"/>
              </w:rPr>
              <w:t>c</w:t>
            </w:r>
          </w:p>
        </w:tc>
      </w:tr>
      <w:tr w:rsidR="009F4FA6" w:rsidRPr="006A2BF9" w14:paraId="70A45DE6" w14:textId="77777777" w:rsidTr="006D575B">
        <w:trPr>
          <w:trHeight w:val="1167"/>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7194257E" w14:textId="77777777" w:rsidR="009F4FA6" w:rsidRPr="006A2BF9" w:rsidRDefault="009F4FA6" w:rsidP="00B26F69">
            <w:pPr>
              <w:widowControl w:val="0"/>
              <w:jc w:val="center"/>
              <w:rPr>
                <w:rFonts w:cs="Arial"/>
                <w:sz w:val="19"/>
                <w:szCs w:val="19"/>
                <w:lang w:val="it-IT" w:eastAsia="zh-TW"/>
              </w:rPr>
            </w:pPr>
            <w:r w:rsidRPr="006A2BF9">
              <w:rPr>
                <w:rFonts w:cs="Arial"/>
                <w:sz w:val="19"/>
                <w:szCs w:val="19"/>
                <w:lang w:val="it-IT" w:eastAsia="zh-TW"/>
              </w:rPr>
              <w:t>Patologie cardiache</w:t>
            </w:r>
          </w:p>
        </w:tc>
        <w:tc>
          <w:tcPr>
            <w:tcW w:w="1559" w:type="dxa"/>
            <w:tcBorders>
              <w:top w:val="single" w:sz="4" w:space="0" w:color="auto"/>
              <w:left w:val="nil"/>
              <w:bottom w:val="single" w:sz="4" w:space="0" w:color="auto"/>
              <w:right w:val="single" w:sz="4" w:space="0" w:color="auto"/>
            </w:tcBorders>
            <w:shd w:val="clear" w:color="000000" w:fill="FFFFFF"/>
          </w:tcPr>
          <w:p w14:paraId="5B6F567F" w14:textId="77777777" w:rsidR="009F4FA6" w:rsidRPr="006A2BF9" w:rsidRDefault="009F4FA6" w:rsidP="00B26F69">
            <w:pPr>
              <w:widowControl w:val="0"/>
              <w:jc w:val="center"/>
              <w:rPr>
                <w:rFonts w:cs="Arial"/>
                <w:bCs/>
                <w:sz w:val="19"/>
                <w:szCs w:val="19"/>
                <w:lang w:val="it-IT" w:eastAsia="zh-TW"/>
              </w:rPr>
            </w:pPr>
          </w:p>
        </w:tc>
        <w:tc>
          <w:tcPr>
            <w:tcW w:w="1701" w:type="dxa"/>
            <w:tcBorders>
              <w:top w:val="single" w:sz="4" w:space="0" w:color="auto"/>
              <w:left w:val="nil"/>
              <w:bottom w:val="single" w:sz="4" w:space="0" w:color="auto"/>
              <w:right w:val="single" w:sz="4" w:space="0" w:color="auto"/>
            </w:tcBorders>
            <w:shd w:val="clear" w:color="000000" w:fill="FFFFFF"/>
          </w:tcPr>
          <w:p w14:paraId="59563A59"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Insufficienza cardiaca congestizia</w:t>
            </w:r>
            <w:r w:rsidRPr="006A2BF9">
              <w:rPr>
                <w:rFonts w:cs="Arial"/>
                <w:bCs/>
                <w:sz w:val="19"/>
                <w:szCs w:val="19"/>
                <w:vertAlign w:val="superscript"/>
                <w:lang w:val="it-IT" w:eastAsia="zh-TW"/>
              </w:rPr>
              <w:t>a,b</w:t>
            </w:r>
            <w:r w:rsidRPr="006A2BF9">
              <w:rPr>
                <w:rFonts w:cs="Arial"/>
                <w:bCs/>
                <w:sz w:val="19"/>
                <w:szCs w:val="19"/>
                <w:lang w:val="it-IT" w:eastAsia="zh-TW"/>
              </w:rPr>
              <w:t>,</w:t>
            </w:r>
          </w:p>
          <w:p w14:paraId="5C095DF8"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Tachicardia sopraventricolare</w:t>
            </w:r>
          </w:p>
        </w:tc>
        <w:tc>
          <w:tcPr>
            <w:tcW w:w="1276" w:type="dxa"/>
            <w:tcBorders>
              <w:top w:val="single" w:sz="4" w:space="0" w:color="auto"/>
              <w:left w:val="nil"/>
              <w:bottom w:val="single" w:sz="4" w:space="0" w:color="auto"/>
              <w:right w:val="single" w:sz="4" w:space="0" w:color="auto"/>
            </w:tcBorders>
            <w:shd w:val="clear" w:color="000000" w:fill="FFFFFF"/>
          </w:tcPr>
          <w:p w14:paraId="6E66D3AC" w14:textId="77777777" w:rsidR="009F4FA6" w:rsidRPr="006A2BF9" w:rsidRDefault="009F4FA6" w:rsidP="00B26F69">
            <w:pPr>
              <w:widowControl w:val="0"/>
              <w:jc w:val="center"/>
              <w:rPr>
                <w:rFonts w:cs="Arial"/>
                <w:sz w:val="19"/>
                <w:szCs w:val="19"/>
                <w:lang w:val="it-IT"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79D372DB" w14:textId="77777777" w:rsidR="009F4FA6" w:rsidRPr="006A2BF9" w:rsidRDefault="009F4FA6" w:rsidP="00B26F69">
            <w:pPr>
              <w:widowControl w:val="0"/>
              <w:jc w:val="center"/>
              <w:rPr>
                <w:rFonts w:cs="Arial"/>
                <w:i/>
                <w:iCs/>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3FEA21B0" w14:textId="77777777" w:rsidR="009F4FA6" w:rsidRPr="006A2BF9" w:rsidRDefault="009F4FA6" w:rsidP="00B26F69">
            <w:pPr>
              <w:widowControl w:val="0"/>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141B2698" w14:textId="77777777" w:rsidR="009F4FA6" w:rsidRPr="006A2BF9" w:rsidRDefault="009F4FA6" w:rsidP="00B26F69">
            <w:pPr>
              <w:widowControl w:val="0"/>
              <w:jc w:val="center"/>
              <w:rPr>
                <w:rFonts w:cs="Arial"/>
                <w:sz w:val="19"/>
                <w:szCs w:val="19"/>
                <w:lang w:val="it-IT" w:eastAsia="zh-TW"/>
              </w:rPr>
            </w:pPr>
          </w:p>
        </w:tc>
      </w:tr>
      <w:tr w:rsidR="009F4FA6" w:rsidRPr="006A2BF9" w14:paraId="2D96D9F8" w14:textId="77777777" w:rsidTr="006D575B">
        <w:trPr>
          <w:trHeight w:val="1034"/>
        </w:trPr>
        <w:tc>
          <w:tcPr>
            <w:tcW w:w="1291" w:type="dxa"/>
            <w:tcBorders>
              <w:top w:val="nil"/>
              <w:left w:val="single" w:sz="8" w:space="0" w:color="auto"/>
              <w:bottom w:val="single" w:sz="4" w:space="0" w:color="auto"/>
              <w:right w:val="single" w:sz="4" w:space="0" w:color="auto"/>
            </w:tcBorders>
            <w:shd w:val="clear" w:color="000000" w:fill="FFFFFF"/>
          </w:tcPr>
          <w:p w14:paraId="6CB321BC" w14:textId="77777777" w:rsidR="009F4FA6" w:rsidRPr="006A2BF9" w:rsidRDefault="009F4FA6" w:rsidP="00B26F69">
            <w:pPr>
              <w:widowControl w:val="0"/>
              <w:jc w:val="center"/>
              <w:rPr>
                <w:rFonts w:cs="Arial"/>
                <w:sz w:val="19"/>
                <w:szCs w:val="19"/>
                <w:lang w:val="it-IT" w:eastAsia="zh-TW"/>
              </w:rPr>
            </w:pPr>
            <w:r w:rsidRPr="006A2BF9">
              <w:rPr>
                <w:rFonts w:cs="Arial"/>
                <w:sz w:val="19"/>
                <w:szCs w:val="19"/>
                <w:lang w:val="it-IT" w:eastAsia="zh-TW"/>
              </w:rPr>
              <w:t>Patologie vascolari</w:t>
            </w:r>
          </w:p>
        </w:tc>
        <w:tc>
          <w:tcPr>
            <w:tcW w:w="1559" w:type="dxa"/>
            <w:tcBorders>
              <w:top w:val="single" w:sz="4" w:space="0" w:color="auto"/>
              <w:left w:val="nil"/>
              <w:bottom w:val="single" w:sz="4" w:space="0" w:color="auto"/>
              <w:right w:val="nil"/>
            </w:tcBorders>
            <w:shd w:val="clear" w:color="000000" w:fill="FFFFFF"/>
          </w:tcPr>
          <w:p w14:paraId="2F2219C4" w14:textId="77777777" w:rsidR="009F4FA6" w:rsidRPr="006A2BF9" w:rsidRDefault="009F4FA6" w:rsidP="00B26F69">
            <w:pPr>
              <w:widowControl w:val="0"/>
              <w:jc w:val="center"/>
              <w:rPr>
                <w:rFonts w:cs="Arial"/>
                <w:bCs/>
                <w:iCs/>
                <w:sz w:val="19"/>
                <w:szCs w:val="19"/>
                <w:lang w:val="it-IT" w:eastAsia="zh-TW"/>
              </w:rPr>
            </w:pPr>
            <w:r w:rsidRPr="006A2BF9">
              <w:rPr>
                <w:rFonts w:cs="Arial"/>
                <w:bCs/>
                <w:iCs/>
                <w:sz w:val="19"/>
                <w:szCs w:val="19"/>
                <w:lang w:val="it-IT" w:eastAsia="zh-TW"/>
              </w:rPr>
              <w:t>Ipertensione</w:t>
            </w:r>
            <w:r w:rsidRPr="006A2BF9">
              <w:rPr>
                <w:rFonts w:cs="Arial"/>
                <w:bCs/>
                <w:iCs/>
                <w:sz w:val="19"/>
                <w:szCs w:val="19"/>
                <w:vertAlign w:val="superscript"/>
                <w:lang w:val="it-IT" w:eastAsia="zh-TW"/>
              </w:rPr>
              <w:t>a,b</w:t>
            </w:r>
            <w:r w:rsidRPr="006A2BF9">
              <w:rPr>
                <w:rFonts w:cs="Arial"/>
                <w:bCs/>
                <w:iCs/>
                <w:sz w:val="19"/>
                <w:szCs w:val="19"/>
                <w:lang w:val="it-IT" w:eastAsia="zh-TW"/>
              </w:rPr>
              <w:t>,</w:t>
            </w:r>
          </w:p>
          <w:p w14:paraId="4A434068" w14:textId="77777777" w:rsidR="009F4FA6" w:rsidRPr="006A2BF9" w:rsidRDefault="009F4FA6" w:rsidP="00B26F69">
            <w:pPr>
              <w:widowControl w:val="0"/>
              <w:jc w:val="center"/>
              <w:rPr>
                <w:rFonts w:cs="Arial"/>
                <w:sz w:val="19"/>
                <w:szCs w:val="19"/>
                <w:lang w:val="it-IT" w:eastAsia="zh-TW"/>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10AA535"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 xml:space="preserve">Tromboembolia </w:t>
            </w:r>
          </w:p>
          <w:p w14:paraId="6070AA68"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arteriosa</w:t>
            </w:r>
            <w:r w:rsidRPr="006A2BF9">
              <w:rPr>
                <w:rFonts w:cs="Arial"/>
                <w:iCs/>
                <w:sz w:val="19"/>
                <w:szCs w:val="19"/>
                <w:vertAlign w:val="superscript"/>
                <w:lang w:val="it-IT" w:eastAsia="zh-TW"/>
              </w:rPr>
              <w:t>a,b</w:t>
            </w:r>
            <w:r w:rsidRPr="006A2BF9">
              <w:rPr>
                <w:rFonts w:cs="Arial"/>
                <w:bCs/>
                <w:sz w:val="19"/>
                <w:szCs w:val="19"/>
                <w:lang w:val="it-IT" w:eastAsia="zh-TW"/>
              </w:rPr>
              <w:t>,</w:t>
            </w:r>
          </w:p>
          <w:p w14:paraId="5D4654E9"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Emorragia</w:t>
            </w:r>
            <w:r w:rsidRPr="006A2BF9">
              <w:rPr>
                <w:rFonts w:cs="Arial"/>
                <w:iCs/>
                <w:sz w:val="19"/>
                <w:szCs w:val="19"/>
                <w:vertAlign w:val="superscript"/>
                <w:lang w:val="it-IT" w:eastAsia="zh-TW"/>
              </w:rPr>
              <w:t>a,b</w:t>
            </w:r>
            <w:r w:rsidRPr="006A2BF9">
              <w:rPr>
                <w:rFonts w:cs="Arial"/>
                <w:bCs/>
                <w:sz w:val="19"/>
                <w:szCs w:val="19"/>
                <w:lang w:val="it-IT" w:eastAsia="zh-TW"/>
              </w:rPr>
              <w:t>,</w:t>
            </w:r>
          </w:p>
          <w:p w14:paraId="6E345585"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 xml:space="preserve">Tromboembolia </w:t>
            </w:r>
          </w:p>
          <w:p w14:paraId="68C1B837"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(venosa)</w:t>
            </w:r>
            <w:r w:rsidRPr="006A2BF9">
              <w:rPr>
                <w:rFonts w:cs="Arial"/>
                <w:iCs/>
                <w:sz w:val="19"/>
                <w:szCs w:val="19"/>
                <w:vertAlign w:val="superscript"/>
                <w:lang w:val="it-IT" w:eastAsia="zh-TW"/>
              </w:rPr>
              <w:t>a,b</w:t>
            </w:r>
            <w:r w:rsidRPr="006A2BF9">
              <w:rPr>
                <w:rFonts w:cs="Arial"/>
                <w:bCs/>
                <w:sz w:val="19"/>
                <w:szCs w:val="19"/>
                <w:lang w:val="it-IT" w:eastAsia="zh-TW"/>
              </w:rPr>
              <w:t>,</w:t>
            </w:r>
          </w:p>
          <w:p w14:paraId="6AC4FB35"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 xml:space="preserve">Trombosi </w:t>
            </w:r>
          </w:p>
          <w:p w14:paraId="21E6094E" w14:textId="77777777" w:rsidR="009F4FA6" w:rsidRPr="006A2BF9" w:rsidRDefault="009F4FA6" w:rsidP="00B26F69">
            <w:pPr>
              <w:widowControl w:val="0"/>
              <w:jc w:val="center"/>
              <w:rPr>
                <w:rFonts w:cs="Arial"/>
                <w:b/>
                <w:bCs/>
                <w:sz w:val="19"/>
                <w:szCs w:val="19"/>
                <w:lang w:val="it-IT" w:eastAsia="zh-TW"/>
              </w:rPr>
            </w:pPr>
            <w:r w:rsidRPr="006A2BF9">
              <w:rPr>
                <w:rFonts w:cs="Arial"/>
                <w:bCs/>
                <w:sz w:val="19"/>
                <w:szCs w:val="19"/>
                <w:lang w:val="it-IT" w:eastAsia="zh-TW"/>
              </w:rPr>
              <w:t>venosa profonda</w:t>
            </w:r>
          </w:p>
        </w:tc>
        <w:tc>
          <w:tcPr>
            <w:tcW w:w="1276" w:type="dxa"/>
            <w:tcBorders>
              <w:top w:val="single" w:sz="4" w:space="0" w:color="auto"/>
              <w:left w:val="nil"/>
              <w:bottom w:val="single" w:sz="4" w:space="0" w:color="auto"/>
              <w:right w:val="nil"/>
            </w:tcBorders>
            <w:shd w:val="clear" w:color="000000" w:fill="FFFFFF"/>
          </w:tcPr>
          <w:p w14:paraId="10FFC24A" w14:textId="77777777" w:rsidR="009F4FA6" w:rsidRPr="006A2BF9" w:rsidRDefault="009F4FA6" w:rsidP="00B26F69">
            <w:pPr>
              <w:widowControl w:val="0"/>
              <w:jc w:val="center"/>
              <w:rPr>
                <w:rFonts w:cs="Arial"/>
                <w:sz w:val="19"/>
                <w:szCs w:val="19"/>
                <w:lang w:val="it-IT" w:eastAsia="zh-TW"/>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ECD5944" w14:textId="77777777" w:rsidR="009F4FA6" w:rsidRPr="006A2BF9" w:rsidRDefault="009F4FA6" w:rsidP="00B26F69">
            <w:pPr>
              <w:widowControl w:val="0"/>
              <w:jc w:val="center"/>
              <w:rPr>
                <w:rFonts w:cs="Arial"/>
                <w:sz w:val="19"/>
                <w:szCs w:val="19"/>
                <w:lang w:val="it-IT" w:eastAsia="zh-TW"/>
              </w:rPr>
            </w:pPr>
          </w:p>
        </w:tc>
        <w:tc>
          <w:tcPr>
            <w:tcW w:w="851" w:type="dxa"/>
            <w:tcBorders>
              <w:top w:val="single" w:sz="4" w:space="0" w:color="auto"/>
              <w:left w:val="nil"/>
              <w:bottom w:val="single" w:sz="4" w:space="0" w:color="auto"/>
              <w:right w:val="nil"/>
            </w:tcBorders>
            <w:shd w:val="clear" w:color="000000" w:fill="FFFFFF"/>
          </w:tcPr>
          <w:p w14:paraId="66E64B02" w14:textId="77777777" w:rsidR="009F4FA6" w:rsidRPr="006A2BF9" w:rsidRDefault="009F4FA6" w:rsidP="00B26F69">
            <w:pPr>
              <w:widowControl w:val="0"/>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2BD88C9B" w14:textId="77777777" w:rsidR="009F4FA6" w:rsidRPr="006A2BF9" w:rsidRDefault="00A13AC7" w:rsidP="00B26F69">
            <w:pPr>
              <w:widowControl w:val="0"/>
              <w:jc w:val="center"/>
              <w:rPr>
                <w:rFonts w:cs="Arial"/>
                <w:sz w:val="19"/>
                <w:szCs w:val="19"/>
                <w:lang w:val="it-IT" w:eastAsia="zh-TW"/>
              </w:rPr>
            </w:pPr>
            <w:r w:rsidRPr="006A2BF9">
              <w:rPr>
                <w:rFonts w:cs="Arial"/>
                <w:sz w:val="19"/>
                <w:szCs w:val="19"/>
                <w:lang w:val="it-IT" w:eastAsia="zh-TW"/>
              </w:rPr>
              <w:t>Microangiopatia trombotica renale</w:t>
            </w:r>
            <w:r w:rsidRPr="006A2BF9">
              <w:rPr>
                <w:rFonts w:cs="Arial"/>
                <w:sz w:val="19"/>
                <w:szCs w:val="19"/>
                <w:vertAlign w:val="superscript"/>
                <w:lang w:val="it-IT" w:eastAsia="zh-TW"/>
              </w:rPr>
              <w:t>b,c</w:t>
            </w:r>
            <w:r w:rsidR="00A16E6C" w:rsidRPr="006A2BF9">
              <w:rPr>
                <w:sz w:val="18"/>
                <w:szCs w:val="18"/>
                <w:lang w:val="it-IT"/>
              </w:rPr>
              <w:t xml:space="preserve">, Aneurismi e dissezioni </w:t>
            </w:r>
            <w:r w:rsidR="0000197F" w:rsidRPr="006A2BF9">
              <w:rPr>
                <w:sz w:val="18"/>
                <w:szCs w:val="18"/>
                <w:lang w:val="it-IT"/>
              </w:rPr>
              <w:t>arteriose</w:t>
            </w:r>
          </w:p>
        </w:tc>
      </w:tr>
      <w:tr w:rsidR="009F4FA6" w:rsidRPr="006A2BF9" w14:paraId="0158B00E" w14:textId="77777777" w:rsidTr="006D575B">
        <w:trPr>
          <w:trHeight w:val="1152"/>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0F34D9C3" w14:textId="77777777" w:rsidR="009F4FA6" w:rsidRPr="006A2BF9" w:rsidRDefault="009F4FA6" w:rsidP="00B26F69">
            <w:pPr>
              <w:widowControl w:val="0"/>
              <w:jc w:val="center"/>
              <w:rPr>
                <w:rFonts w:cs="Arial"/>
                <w:sz w:val="19"/>
                <w:szCs w:val="19"/>
                <w:lang w:val="it-IT" w:eastAsia="zh-TW"/>
              </w:rPr>
            </w:pPr>
            <w:r w:rsidRPr="006A2BF9">
              <w:rPr>
                <w:rFonts w:cs="Arial"/>
                <w:sz w:val="19"/>
                <w:szCs w:val="19"/>
                <w:lang w:val="it-IT" w:eastAsia="zh-TW"/>
              </w:rPr>
              <w:t>Patologie respiratorie, toraciche e mediastiniche</w:t>
            </w:r>
          </w:p>
        </w:tc>
        <w:tc>
          <w:tcPr>
            <w:tcW w:w="1559" w:type="dxa"/>
            <w:tcBorders>
              <w:top w:val="single" w:sz="4" w:space="0" w:color="auto"/>
              <w:left w:val="nil"/>
              <w:bottom w:val="single" w:sz="4" w:space="0" w:color="auto"/>
              <w:right w:val="nil"/>
            </w:tcBorders>
            <w:shd w:val="clear" w:color="000000" w:fill="FFFFFF"/>
          </w:tcPr>
          <w:p w14:paraId="7992B912" w14:textId="77777777" w:rsidR="009F4FA6" w:rsidRPr="006A2BF9" w:rsidRDefault="009F4FA6" w:rsidP="00B26F69">
            <w:pPr>
              <w:widowControl w:val="0"/>
              <w:jc w:val="center"/>
              <w:rPr>
                <w:rFonts w:cs="Arial"/>
                <w:iCs/>
                <w:sz w:val="19"/>
                <w:szCs w:val="19"/>
                <w:lang w:val="it-IT" w:eastAsia="zh-TW"/>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CD2E054" w14:textId="77777777" w:rsidR="009F4FA6" w:rsidRPr="006A2BF9" w:rsidRDefault="009F4FA6" w:rsidP="00B26F69">
            <w:pPr>
              <w:widowControl w:val="0"/>
              <w:jc w:val="center"/>
              <w:rPr>
                <w:rFonts w:cs="Arial"/>
                <w:bCs/>
                <w:iCs/>
                <w:sz w:val="19"/>
                <w:szCs w:val="19"/>
                <w:lang w:val="it-IT" w:eastAsia="zh-TW"/>
              </w:rPr>
            </w:pPr>
            <w:r w:rsidRPr="006A2BF9">
              <w:rPr>
                <w:rFonts w:cs="Arial"/>
                <w:bCs/>
                <w:iCs/>
                <w:sz w:val="19"/>
                <w:szCs w:val="19"/>
                <w:lang w:val="it-IT" w:eastAsia="zh-TW"/>
              </w:rPr>
              <w:t>Emorragia polmonare/</w:t>
            </w:r>
          </w:p>
          <w:p w14:paraId="10F4A280" w14:textId="77777777" w:rsidR="009F4FA6" w:rsidRPr="006A2BF9" w:rsidRDefault="009F4FA6" w:rsidP="00B26F69">
            <w:pPr>
              <w:widowControl w:val="0"/>
              <w:jc w:val="center"/>
              <w:rPr>
                <w:rFonts w:cs="Arial"/>
                <w:bCs/>
                <w:iCs/>
                <w:sz w:val="19"/>
                <w:szCs w:val="19"/>
                <w:lang w:val="it-IT" w:eastAsia="zh-TW"/>
              </w:rPr>
            </w:pPr>
            <w:r w:rsidRPr="006A2BF9">
              <w:rPr>
                <w:rFonts w:cs="Arial"/>
                <w:bCs/>
                <w:iCs/>
                <w:sz w:val="19"/>
                <w:szCs w:val="19"/>
                <w:lang w:val="it-IT" w:eastAsia="zh-TW"/>
              </w:rPr>
              <w:t>Emottisi</w:t>
            </w:r>
            <w:r w:rsidRPr="006A2BF9">
              <w:rPr>
                <w:rFonts w:cs="Arial"/>
                <w:bCs/>
                <w:iCs/>
                <w:sz w:val="19"/>
                <w:szCs w:val="19"/>
                <w:vertAlign w:val="superscript"/>
                <w:lang w:val="it-IT" w:eastAsia="zh-TW"/>
              </w:rPr>
              <w:t>a,b</w:t>
            </w:r>
            <w:r w:rsidRPr="006A2BF9">
              <w:rPr>
                <w:rFonts w:cs="Arial"/>
                <w:bCs/>
                <w:iCs/>
                <w:sz w:val="19"/>
                <w:szCs w:val="19"/>
                <w:lang w:val="it-IT" w:eastAsia="zh-TW"/>
              </w:rPr>
              <w:t>, Embolia polmonare, Epistassi,</w:t>
            </w:r>
          </w:p>
          <w:p w14:paraId="140AD3E2" w14:textId="77777777" w:rsidR="009F4FA6" w:rsidRPr="006A2BF9" w:rsidRDefault="009F4FA6" w:rsidP="00B26F69">
            <w:pPr>
              <w:widowControl w:val="0"/>
              <w:jc w:val="center"/>
              <w:rPr>
                <w:rFonts w:cs="Arial"/>
                <w:bCs/>
                <w:iCs/>
                <w:sz w:val="19"/>
                <w:szCs w:val="19"/>
                <w:lang w:val="it-IT" w:eastAsia="zh-TW"/>
              </w:rPr>
            </w:pPr>
            <w:r w:rsidRPr="006A2BF9">
              <w:rPr>
                <w:rFonts w:cs="Arial"/>
                <w:bCs/>
                <w:iCs/>
                <w:sz w:val="19"/>
                <w:szCs w:val="19"/>
                <w:lang w:val="it-IT" w:eastAsia="zh-TW"/>
              </w:rPr>
              <w:t>Dispnea,</w:t>
            </w:r>
          </w:p>
          <w:p w14:paraId="7E6F2E3C" w14:textId="77777777" w:rsidR="009F4FA6" w:rsidRPr="006A2BF9" w:rsidRDefault="009F4FA6" w:rsidP="00B26F69">
            <w:pPr>
              <w:widowControl w:val="0"/>
              <w:jc w:val="center"/>
              <w:rPr>
                <w:rFonts w:cs="Arial"/>
                <w:bCs/>
                <w:iCs/>
                <w:sz w:val="19"/>
                <w:szCs w:val="19"/>
                <w:lang w:val="it-IT" w:eastAsia="zh-TW"/>
              </w:rPr>
            </w:pPr>
            <w:r w:rsidRPr="006A2BF9">
              <w:rPr>
                <w:rFonts w:cs="Arial"/>
                <w:bCs/>
                <w:iCs/>
                <w:sz w:val="19"/>
                <w:szCs w:val="19"/>
                <w:lang w:val="it-IT" w:eastAsia="zh-TW"/>
              </w:rPr>
              <w:t>Ipossia</w:t>
            </w:r>
          </w:p>
          <w:p w14:paraId="0A4DA94A" w14:textId="77777777" w:rsidR="009F4FA6" w:rsidRPr="006A2BF9" w:rsidRDefault="009F4FA6" w:rsidP="00B26F69">
            <w:pPr>
              <w:widowControl w:val="0"/>
              <w:jc w:val="center"/>
              <w:rPr>
                <w:rFonts w:cs="Arial"/>
                <w:b/>
                <w:bCs/>
                <w:iCs/>
                <w:sz w:val="19"/>
                <w:szCs w:val="19"/>
                <w:vertAlign w:val="superscript"/>
                <w:lang w:val="it-IT" w:eastAsia="zh-TW"/>
              </w:rPr>
            </w:pPr>
          </w:p>
        </w:tc>
        <w:tc>
          <w:tcPr>
            <w:tcW w:w="1276" w:type="dxa"/>
            <w:tcBorders>
              <w:top w:val="single" w:sz="4" w:space="0" w:color="auto"/>
              <w:left w:val="nil"/>
              <w:bottom w:val="single" w:sz="4" w:space="0" w:color="auto"/>
              <w:right w:val="nil"/>
            </w:tcBorders>
            <w:shd w:val="clear" w:color="000000" w:fill="FFFFFF"/>
          </w:tcPr>
          <w:p w14:paraId="6064282A" w14:textId="77777777" w:rsidR="009F4FA6" w:rsidRPr="006A2BF9" w:rsidRDefault="009F4FA6" w:rsidP="00B26F69">
            <w:pPr>
              <w:widowControl w:val="0"/>
              <w:jc w:val="center"/>
              <w:rPr>
                <w:rFonts w:cs="Arial"/>
                <w:sz w:val="19"/>
                <w:szCs w:val="19"/>
                <w:lang w:val="it-IT" w:eastAsia="zh-TW"/>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D65BA81" w14:textId="77777777" w:rsidR="009F4FA6" w:rsidRPr="006A2BF9" w:rsidRDefault="009F4FA6" w:rsidP="00B26F69">
            <w:pPr>
              <w:widowControl w:val="0"/>
              <w:jc w:val="center"/>
              <w:rPr>
                <w:rFonts w:cs="Arial"/>
                <w:sz w:val="19"/>
                <w:szCs w:val="19"/>
                <w:lang w:val="it-IT" w:eastAsia="zh-TW"/>
              </w:rPr>
            </w:pPr>
          </w:p>
        </w:tc>
        <w:tc>
          <w:tcPr>
            <w:tcW w:w="851" w:type="dxa"/>
            <w:tcBorders>
              <w:top w:val="single" w:sz="4" w:space="0" w:color="auto"/>
              <w:left w:val="nil"/>
              <w:bottom w:val="single" w:sz="4" w:space="0" w:color="auto"/>
              <w:right w:val="nil"/>
            </w:tcBorders>
            <w:shd w:val="clear" w:color="000000" w:fill="FFFFFF"/>
          </w:tcPr>
          <w:p w14:paraId="42B0F29B" w14:textId="77777777" w:rsidR="009F4FA6" w:rsidRPr="006A2BF9" w:rsidRDefault="009F4FA6" w:rsidP="00B26F69">
            <w:pPr>
              <w:widowControl w:val="0"/>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1957F502" w14:textId="77777777" w:rsidR="009F4FA6" w:rsidRPr="006A2BF9" w:rsidRDefault="009D4640" w:rsidP="00D9162B">
            <w:pPr>
              <w:widowControl w:val="0"/>
              <w:jc w:val="center"/>
              <w:rPr>
                <w:rFonts w:cs="Arial"/>
                <w:iCs/>
                <w:sz w:val="19"/>
                <w:szCs w:val="19"/>
                <w:lang w:val="it-IT" w:eastAsia="zh-TW"/>
              </w:rPr>
            </w:pPr>
            <w:r w:rsidRPr="006A2BF9">
              <w:rPr>
                <w:rFonts w:cs="Arial"/>
                <w:iCs/>
                <w:sz w:val="19"/>
                <w:szCs w:val="19"/>
                <w:lang w:val="it-IT" w:eastAsia="zh-TW"/>
              </w:rPr>
              <w:t>Ipertensione polmonare</w:t>
            </w:r>
            <w:r w:rsidRPr="006A2BF9">
              <w:rPr>
                <w:rFonts w:cs="Arial"/>
                <w:iCs/>
                <w:sz w:val="19"/>
                <w:szCs w:val="19"/>
                <w:vertAlign w:val="superscript"/>
                <w:lang w:val="it-IT" w:eastAsia="zh-TW"/>
              </w:rPr>
              <w:t>c</w:t>
            </w:r>
            <w:r w:rsidRPr="006A2BF9">
              <w:rPr>
                <w:rFonts w:cs="Arial"/>
                <w:iCs/>
                <w:sz w:val="19"/>
                <w:szCs w:val="19"/>
                <w:lang w:val="it-IT" w:eastAsia="zh-TW"/>
              </w:rPr>
              <w:t>,</w:t>
            </w:r>
          </w:p>
          <w:p w14:paraId="5E5F1941" w14:textId="77777777" w:rsidR="009D4640" w:rsidRPr="006A2BF9" w:rsidRDefault="009D4640" w:rsidP="00D9162B">
            <w:pPr>
              <w:widowControl w:val="0"/>
              <w:jc w:val="center"/>
              <w:rPr>
                <w:rFonts w:cs="Arial"/>
                <w:iCs/>
                <w:sz w:val="19"/>
                <w:szCs w:val="19"/>
                <w:lang w:val="it-IT" w:eastAsia="zh-TW"/>
              </w:rPr>
            </w:pPr>
            <w:r w:rsidRPr="006A2BF9">
              <w:rPr>
                <w:rFonts w:cs="Arial"/>
                <w:iCs/>
                <w:sz w:val="19"/>
                <w:szCs w:val="19"/>
                <w:lang w:val="it-IT" w:eastAsia="zh-TW"/>
              </w:rPr>
              <w:t>Perforazione del setto nasale</w:t>
            </w:r>
            <w:r w:rsidR="00A13AC7" w:rsidRPr="006A2BF9">
              <w:rPr>
                <w:rFonts w:cs="Arial"/>
                <w:iCs/>
                <w:sz w:val="19"/>
                <w:szCs w:val="19"/>
                <w:vertAlign w:val="superscript"/>
                <w:lang w:val="it-IT" w:eastAsia="zh-TW"/>
              </w:rPr>
              <w:t>c</w:t>
            </w:r>
          </w:p>
        </w:tc>
      </w:tr>
      <w:tr w:rsidR="009F4FA6" w:rsidRPr="006A2BF9" w14:paraId="521D12BE" w14:textId="77777777" w:rsidTr="006D575B">
        <w:trPr>
          <w:trHeight w:val="2244"/>
        </w:trPr>
        <w:tc>
          <w:tcPr>
            <w:tcW w:w="1291" w:type="dxa"/>
            <w:tcBorders>
              <w:top w:val="single" w:sz="4" w:space="0" w:color="auto"/>
              <w:left w:val="single" w:sz="8" w:space="0" w:color="auto"/>
              <w:bottom w:val="single" w:sz="4" w:space="0" w:color="auto"/>
              <w:right w:val="single" w:sz="4" w:space="0" w:color="auto"/>
            </w:tcBorders>
            <w:shd w:val="clear" w:color="000000" w:fill="FFFFFF"/>
          </w:tcPr>
          <w:p w14:paraId="4266A99B" w14:textId="77777777" w:rsidR="009F4FA6" w:rsidRPr="006A2BF9" w:rsidRDefault="009F4FA6" w:rsidP="00B26F69">
            <w:pPr>
              <w:widowControl w:val="0"/>
              <w:jc w:val="center"/>
              <w:rPr>
                <w:rFonts w:cs="Arial"/>
                <w:sz w:val="19"/>
                <w:szCs w:val="19"/>
                <w:lang w:val="it-IT" w:eastAsia="zh-TW"/>
              </w:rPr>
            </w:pPr>
            <w:r w:rsidRPr="006A2BF9">
              <w:rPr>
                <w:rFonts w:cs="Arial"/>
                <w:sz w:val="19"/>
                <w:szCs w:val="19"/>
                <w:lang w:val="it-IT" w:eastAsia="zh-TW"/>
              </w:rPr>
              <w:t>Patologie gastrointestinali</w:t>
            </w:r>
          </w:p>
        </w:tc>
        <w:tc>
          <w:tcPr>
            <w:tcW w:w="1559" w:type="dxa"/>
            <w:tcBorders>
              <w:top w:val="single" w:sz="4" w:space="0" w:color="auto"/>
              <w:left w:val="nil"/>
              <w:bottom w:val="single" w:sz="4" w:space="0" w:color="auto"/>
              <w:right w:val="single" w:sz="4" w:space="0" w:color="auto"/>
            </w:tcBorders>
            <w:shd w:val="clear" w:color="000000" w:fill="FFFFFF"/>
          </w:tcPr>
          <w:p w14:paraId="778572B4" w14:textId="77777777" w:rsidR="009F4FA6" w:rsidRPr="006A2BF9" w:rsidRDefault="009F4FA6" w:rsidP="00B26F69">
            <w:pPr>
              <w:widowControl w:val="0"/>
              <w:jc w:val="center"/>
              <w:rPr>
                <w:rFonts w:cs="Arial"/>
                <w:bCs/>
                <w:iCs/>
                <w:sz w:val="19"/>
                <w:szCs w:val="19"/>
                <w:lang w:val="it-IT" w:eastAsia="zh-TW"/>
              </w:rPr>
            </w:pPr>
            <w:r w:rsidRPr="006A2BF9">
              <w:rPr>
                <w:rFonts w:cs="Arial"/>
                <w:bCs/>
                <w:iCs/>
                <w:sz w:val="19"/>
                <w:szCs w:val="19"/>
                <w:lang w:val="it-IT" w:eastAsia="zh-TW"/>
              </w:rPr>
              <w:t xml:space="preserve">Diarrea, </w:t>
            </w:r>
          </w:p>
          <w:p w14:paraId="558E4F10" w14:textId="77777777" w:rsidR="009F4FA6" w:rsidRPr="006A2BF9" w:rsidRDefault="009F4FA6" w:rsidP="00B26F69">
            <w:pPr>
              <w:widowControl w:val="0"/>
              <w:jc w:val="center"/>
              <w:rPr>
                <w:rFonts w:cs="Arial"/>
                <w:bCs/>
                <w:iCs/>
                <w:sz w:val="19"/>
                <w:szCs w:val="19"/>
                <w:lang w:val="it-IT" w:eastAsia="zh-TW"/>
              </w:rPr>
            </w:pPr>
            <w:r w:rsidRPr="006A2BF9">
              <w:rPr>
                <w:rFonts w:cs="Arial"/>
                <w:bCs/>
                <w:iCs/>
                <w:sz w:val="19"/>
                <w:szCs w:val="19"/>
                <w:lang w:val="it-IT" w:eastAsia="zh-TW"/>
              </w:rPr>
              <w:t xml:space="preserve">Nausea, </w:t>
            </w:r>
          </w:p>
          <w:p w14:paraId="4F7BF366" w14:textId="77777777" w:rsidR="009F4FA6" w:rsidRPr="006A2BF9" w:rsidRDefault="009F4FA6" w:rsidP="00B26F69">
            <w:pPr>
              <w:widowControl w:val="0"/>
              <w:jc w:val="center"/>
              <w:rPr>
                <w:rFonts w:cs="Arial"/>
                <w:bCs/>
                <w:iCs/>
                <w:sz w:val="19"/>
                <w:szCs w:val="19"/>
                <w:lang w:val="it-IT" w:eastAsia="zh-TW"/>
              </w:rPr>
            </w:pPr>
            <w:r w:rsidRPr="006A2BF9">
              <w:rPr>
                <w:rFonts w:cs="Arial"/>
                <w:bCs/>
                <w:iCs/>
                <w:sz w:val="19"/>
                <w:szCs w:val="19"/>
                <w:lang w:val="it-IT" w:eastAsia="zh-TW"/>
              </w:rPr>
              <w:t>Vomito</w:t>
            </w:r>
            <w:r w:rsidR="0059507F" w:rsidRPr="006A2BF9">
              <w:rPr>
                <w:rFonts w:cs="Arial"/>
                <w:bCs/>
                <w:iCs/>
                <w:sz w:val="19"/>
                <w:szCs w:val="19"/>
                <w:lang w:val="it-IT" w:eastAsia="zh-TW"/>
              </w:rPr>
              <w:t>,</w:t>
            </w:r>
          </w:p>
          <w:p w14:paraId="6135810B" w14:textId="77777777" w:rsidR="0059507F" w:rsidRPr="006A2BF9" w:rsidRDefault="0059507F" w:rsidP="00B26F69">
            <w:pPr>
              <w:widowControl w:val="0"/>
              <w:jc w:val="center"/>
              <w:rPr>
                <w:rFonts w:cs="Arial"/>
                <w:iCs/>
                <w:sz w:val="19"/>
                <w:szCs w:val="19"/>
                <w:lang w:val="it-IT" w:eastAsia="zh-TW"/>
              </w:rPr>
            </w:pPr>
            <w:r w:rsidRPr="006A2BF9">
              <w:rPr>
                <w:rFonts w:cs="Arial"/>
                <w:bCs/>
                <w:iCs/>
                <w:sz w:val="19"/>
                <w:szCs w:val="19"/>
                <w:lang w:val="it-IT" w:eastAsia="zh-TW"/>
              </w:rPr>
              <w:t>Dolore addominale</w:t>
            </w:r>
          </w:p>
        </w:tc>
        <w:tc>
          <w:tcPr>
            <w:tcW w:w="1701" w:type="dxa"/>
            <w:tcBorders>
              <w:top w:val="single" w:sz="4" w:space="0" w:color="auto"/>
              <w:left w:val="nil"/>
              <w:bottom w:val="single" w:sz="4" w:space="0" w:color="auto"/>
              <w:right w:val="single" w:sz="4" w:space="0" w:color="auto"/>
            </w:tcBorders>
            <w:shd w:val="clear" w:color="000000" w:fill="FFFFFF"/>
          </w:tcPr>
          <w:p w14:paraId="5CA47FE6"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Perforazione intestinale,</w:t>
            </w:r>
          </w:p>
          <w:p w14:paraId="2DCB92E4"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Ileo,</w:t>
            </w:r>
          </w:p>
          <w:p w14:paraId="75CF03BA"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Ostruzione intestinale,</w:t>
            </w:r>
          </w:p>
          <w:p w14:paraId="21CEDAAD" w14:textId="77777777" w:rsidR="009F4FA6" w:rsidRPr="006A2BF9" w:rsidRDefault="0059507F" w:rsidP="00B26F69">
            <w:pPr>
              <w:widowControl w:val="0"/>
              <w:jc w:val="center"/>
              <w:rPr>
                <w:rFonts w:cs="Arial"/>
                <w:bCs/>
                <w:sz w:val="19"/>
                <w:szCs w:val="19"/>
                <w:lang w:val="it-IT" w:eastAsia="zh-TW"/>
              </w:rPr>
            </w:pPr>
            <w:r w:rsidRPr="006A2BF9">
              <w:rPr>
                <w:rFonts w:cs="Arial"/>
                <w:bCs/>
                <w:sz w:val="19"/>
                <w:szCs w:val="19"/>
                <w:lang w:val="it-IT" w:eastAsia="zh-TW"/>
              </w:rPr>
              <w:t>Fistole retto-vaginali</w:t>
            </w:r>
            <w:r w:rsidRPr="006A2BF9">
              <w:rPr>
                <w:rFonts w:cs="Arial"/>
                <w:bCs/>
                <w:sz w:val="19"/>
                <w:szCs w:val="19"/>
                <w:vertAlign w:val="superscript"/>
                <w:lang w:val="it-IT" w:eastAsia="zh-TW"/>
              </w:rPr>
              <w:t>c,d</w:t>
            </w:r>
            <w:r w:rsidR="009F4FA6" w:rsidRPr="006A2BF9">
              <w:rPr>
                <w:rFonts w:cs="Arial"/>
                <w:bCs/>
                <w:sz w:val="19"/>
                <w:szCs w:val="19"/>
                <w:lang w:val="it-IT" w:eastAsia="zh-TW"/>
              </w:rPr>
              <w:t>,</w:t>
            </w:r>
          </w:p>
          <w:p w14:paraId="17A7EC1A" w14:textId="77777777" w:rsidR="009F4FA6"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Disturbi gastrointestinali,</w:t>
            </w:r>
          </w:p>
          <w:p w14:paraId="20195F57" w14:textId="77777777" w:rsidR="0059507F" w:rsidRPr="006A2BF9" w:rsidRDefault="009F4FA6" w:rsidP="00B26F69">
            <w:pPr>
              <w:widowControl w:val="0"/>
              <w:jc w:val="center"/>
              <w:rPr>
                <w:rFonts w:cs="Arial"/>
                <w:bCs/>
                <w:sz w:val="19"/>
                <w:szCs w:val="19"/>
                <w:lang w:val="it-IT" w:eastAsia="zh-TW"/>
              </w:rPr>
            </w:pPr>
            <w:r w:rsidRPr="006A2BF9">
              <w:rPr>
                <w:rFonts w:cs="Arial"/>
                <w:bCs/>
                <w:sz w:val="19"/>
                <w:szCs w:val="19"/>
                <w:lang w:val="it-IT" w:eastAsia="zh-TW"/>
              </w:rPr>
              <w:t>Stomatite</w:t>
            </w:r>
            <w:r w:rsidR="0059507F" w:rsidRPr="006A2BF9">
              <w:rPr>
                <w:rFonts w:cs="Arial"/>
                <w:bCs/>
                <w:sz w:val="19"/>
                <w:szCs w:val="19"/>
                <w:lang w:val="it-IT" w:eastAsia="zh-TW"/>
              </w:rPr>
              <w:t>,</w:t>
            </w:r>
          </w:p>
          <w:p w14:paraId="086B416F" w14:textId="77777777" w:rsidR="009F4FA6" w:rsidRPr="006A2BF9" w:rsidRDefault="0059507F" w:rsidP="00B26F69">
            <w:pPr>
              <w:widowControl w:val="0"/>
              <w:jc w:val="center"/>
              <w:rPr>
                <w:rFonts w:cs="Arial"/>
                <w:iCs/>
                <w:sz w:val="19"/>
                <w:szCs w:val="19"/>
                <w:lang w:val="it-IT" w:eastAsia="zh-TW"/>
              </w:rPr>
            </w:pPr>
            <w:r w:rsidRPr="006A2BF9">
              <w:rPr>
                <w:rFonts w:cs="Arial"/>
                <w:bCs/>
                <w:sz w:val="19"/>
                <w:szCs w:val="19"/>
                <w:lang w:val="it-IT" w:eastAsia="zh-TW"/>
              </w:rPr>
              <w:t>Proctalgia</w:t>
            </w:r>
            <w:r w:rsidR="009F4FA6" w:rsidRPr="006A2BF9">
              <w:rPr>
                <w:rFonts w:cs="Arial"/>
                <w:iCs/>
                <w:sz w:val="19"/>
                <w:szCs w:val="19"/>
                <w:lang w:val="it-IT" w:eastAsia="zh-TW"/>
              </w:rPr>
              <w:t xml:space="preserve"> </w:t>
            </w:r>
          </w:p>
        </w:tc>
        <w:tc>
          <w:tcPr>
            <w:tcW w:w="1276" w:type="dxa"/>
            <w:tcBorders>
              <w:top w:val="single" w:sz="4" w:space="0" w:color="auto"/>
              <w:left w:val="nil"/>
              <w:bottom w:val="single" w:sz="4" w:space="0" w:color="auto"/>
              <w:right w:val="nil"/>
            </w:tcBorders>
            <w:shd w:val="clear" w:color="000000" w:fill="FFFFFF"/>
          </w:tcPr>
          <w:p w14:paraId="15B9F4FA" w14:textId="77777777" w:rsidR="009F4FA6" w:rsidRPr="006A2BF9" w:rsidRDefault="009F4FA6" w:rsidP="00B26F69">
            <w:pPr>
              <w:widowControl w:val="0"/>
              <w:jc w:val="center"/>
              <w:rPr>
                <w:rFonts w:cs="Arial"/>
                <w:sz w:val="19"/>
                <w:szCs w:val="19"/>
                <w:lang w:val="it-IT" w:eastAsia="zh-TW"/>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9F7D066" w14:textId="77777777" w:rsidR="009F4FA6" w:rsidRPr="006A2BF9" w:rsidRDefault="009F4FA6" w:rsidP="00B26F69">
            <w:pPr>
              <w:widowControl w:val="0"/>
              <w:jc w:val="center"/>
              <w:rPr>
                <w:rFonts w:cs="Arial"/>
                <w:sz w:val="19"/>
                <w:szCs w:val="19"/>
                <w:lang w:val="it-IT" w:eastAsia="zh-TW"/>
              </w:rPr>
            </w:pPr>
          </w:p>
        </w:tc>
        <w:tc>
          <w:tcPr>
            <w:tcW w:w="851" w:type="dxa"/>
            <w:tcBorders>
              <w:top w:val="single" w:sz="4" w:space="0" w:color="auto"/>
              <w:left w:val="nil"/>
              <w:bottom w:val="single" w:sz="4" w:space="0" w:color="auto"/>
              <w:right w:val="nil"/>
            </w:tcBorders>
            <w:shd w:val="clear" w:color="000000" w:fill="FFFFFF"/>
          </w:tcPr>
          <w:p w14:paraId="530287A9" w14:textId="77777777" w:rsidR="009F4FA6" w:rsidRPr="006A2BF9" w:rsidRDefault="009F4FA6" w:rsidP="00B26F69">
            <w:pPr>
              <w:widowControl w:val="0"/>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noWrap/>
          </w:tcPr>
          <w:p w14:paraId="231B377D" w14:textId="77777777" w:rsidR="009F4FA6" w:rsidRPr="006A2BF9" w:rsidRDefault="009D4640" w:rsidP="00B26F69">
            <w:pPr>
              <w:widowControl w:val="0"/>
              <w:jc w:val="center"/>
              <w:rPr>
                <w:rFonts w:cs="Arial"/>
                <w:iCs/>
                <w:sz w:val="19"/>
                <w:szCs w:val="19"/>
                <w:lang w:val="it-IT" w:eastAsia="zh-TW"/>
              </w:rPr>
            </w:pPr>
            <w:r w:rsidRPr="006A2BF9">
              <w:rPr>
                <w:rFonts w:cs="Arial"/>
                <w:iCs/>
                <w:sz w:val="19"/>
                <w:szCs w:val="19"/>
                <w:lang w:val="it-IT" w:eastAsia="zh-TW"/>
              </w:rPr>
              <w:t>Perforazione gastrointestinale</w:t>
            </w:r>
            <w:r w:rsidRPr="006A2BF9">
              <w:rPr>
                <w:rFonts w:cs="Arial"/>
                <w:iCs/>
                <w:sz w:val="19"/>
                <w:szCs w:val="19"/>
                <w:vertAlign w:val="superscript"/>
                <w:lang w:val="it-IT" w:eastAsia="zh-TW"/>
              </w:rPr>
              <w:t>a,b</w:t>
            </w:r>
            <w:r w:rsidRPr="006A2BF9">
              <w:rPr>
                <w:rFonts w:cs="Arial"/>
                <w:iCs/>
                <w:sz w:val="19"/>
                <w:szCs w:val="19"/>
                <w:lang w:val="it-IT" w:eastAsia="zh-TW"/>
              </w:rPr>
              <w:t>,</w:t>
            </w:r>
          </w:p>
          <w:p w14:paraId="662C68C3" w14:textId="77777777" w:rsidR="009D4640" w:rsidRPr="006A2BF9" w:rsidRDefault="009D4640" w:rsidP="00B26F69">
            <w:pPr>
              <w:widowControl w:val="0"/>
              <w:jc w:val="center"/>
              <w:rPr>
                <w:rFonts w:cs="Arial"/>
                <w:iCs/>
                <w:sz w:val="19"/>
                <w:szCs w:val="19"/>
                <w:lang w:val="it-IT" w:eastAsia="zh-TW"/>
              </w:rPr>
            </w:pPr>
            <w:r w:rsidRPr="006A2BF9">
              <w:rPr>
                <w:rFonts w:cs="Arial"/>
                <w:iCs/>
                <w:sz w:val="19"/>
                <w:szCs w:val="19"/>
                <w:lang w:val="it-IT" w:eastAsia="zh-TW"/>
              </w:rPr>
              <w:t>Ulcera gastrointestinale</w:t>
            </w:r>
            <w:r w:rsidRPr="006A2BF9">
              <w:rPr>
                <w:rFonts w:cs="Arial"/>
                <w:iCs/>
                <w:sz w:val="19"/>
                <w:szCs w:val="19"/>
                <w:vertAlign w:val="superscript"/>
                <w:lang w:val="it-IT" w:eastAsia="zh-TW"/>
              </w:rPr>
              <w:t>c</w:t>
            </w:r>
            <w:r w:rsidRPr="006A2BF9">
              <w:rPr>
                <w:rFonts w:cs="Arial"/>
                <w:iCs/>
                <w:sz w:val="19"/>
                <w:szCs w:val="19"/>
                <w:lang w:val="it-IT" w:eastAsia="zh-TW"/>
              </w:rPr>
              <w:t>,</w:t>
            </w:r>
          </w:p>
          <w:p w14:paraId="50BBDD13" w14:textId="77777777" w:rsidR="009D4640" w:rsidRPr="006A2BF9" w:rsidRDefault="009D4640" w:rsidP="00B26F69">
            <w:pPr>
              <w:widowControl w:val="0"/>
              <w:jc w:val="center"/>
              <w:rPr>
                <w:rFonts w:cs="Arial"/>
                <w:iCs/>
                <w:sz w:val="19"/>
                <w:szCs w:val="19"/>
                <w:vertAlign w:val="superscript"/>
                <w:lang w:val="it-IT" w:eastAsia="zh-TW"/>
              </w:rPr>
            </w:pPr>
            <w:r w:rsidRPr="006A2BF9">
              <w:rPr>
                <w:rFonts w:cs="Arial"/>
                <w:iCs/>
                <w:sz w:val="19"/>
                <w:szCs w:val="19"/>
                <w:lang w:val="it-IT" w:eastAsia="zh-TW"/>
              </w:rPr>
              <w:t>Emorragia rettale</w:t>
            </w:r>
          </w:p>
        </w:tc>
      </w:tr>
      <w:tr w:rsidR="007F1160" w:rsidRPr="006A2BF9" w14:paraId="3D568C76" w14:textId="77777777" w:rsidTr="003600D1">
        <w:trPr>
          <w:trHeight w:val="2116"/>
        </w:trPr>
        <w:tc>
          <w:tcPr>
            <w:tcW w:w="1291" w:type="dxa"/>
            <w:tcBorders>
              <w:top w:val="single" w:sz="4" w:space="0" w:color="auto"/>
              <w:left w:val="single" w:sz="8" w:space="0" w:color="auto"/>
              <w:bottom w:val="single" w:sz="4" w:space="0" w:color="auto"/>
              <w:right w:val="nil"/>
            </w:tcBorders>
            <w:shd w:val="clear" w:color="000000" w:fill="FFFFFF"/>
          </w:tcPr>
          <w:p w14:paraId="4064F1FE" w14:textId="77777777" w:rsidR="007F1160" w:rsidRPr="00330A40" w:rsidRDefault="007F1160" w:rsidP="00B26F69">
            <w:pPr>
              <w:widowControl w:val="0"/>
              <w:jc w:val="center"/>
              <w:rPr>
                <w:rFonts w:cs="Arial"/>
                <w:sz w:val="19"/>
                <w:szCs w:val="19"/>
                <w:lang w:val="it-IT" w:eastAsia="zh-TW"/>
              </w:rPr>
            </w:pPr>
            <w:r w:rsidRPr="00330A40">
              <w:rPr>
                <w:rFonts w:cs="Arial"/>
                <w:sz w:val="19"/>
                <w:szCs w:val="19"/>
                <w:lang w:val="it-IT" w:eastAsia="zh-TW"/>
              </w:rPr>
              <w:t>Patologie epatobiliari</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BA4777C" w14:textId="77777777" w:rsidR="007F1160" w:rsidRPr="00330A40" w:rsidRDefault="007F1160" w:rsidP="00B26F69">
            <w:pPr>
              <w:widowControl w:val="0"/>
              <w:jc w:val="center"/>
              <w:rPr>
                <w:rFonts w:cs="Arial"/>
                <w:iCs/>
                <w:sz w:val="19"/>
                <w:szCs w:val="19"/>
                <w:lang w:val="it-IT" w:eastAsia="zh-TW"/>
              </w:rPr>
            </w:pPr>
          </w:p>
        </w:tc>
        <w:tc>
          <w:tcPr>
            <w:tcW w:w="1701" w:type="dxa"/>
            <w:tcBorders>
              <w:top w:val="single" w:sz="4" w:space="0" w:color="auto"/>
              <w:left w:val="nil"/>
              <w:bottom w:val="single" w:sz="4" w:space="0" w:color="auto"/>
              <w:right w:val="single" w:sz="4" w:space="0" w:color="auto"/>
            </w:tcBorders>
            <w:shd w:val="clear" w:color="000000" w:fill="FFFFFF"/>
          </w:tcPr>
          <w:p w14:paraId="6F88C48F" w14:textId="77777777" w:rsidR="007F1160" w:rsidRPr="00330A40" w:rsidRDefault="007F1160" w:rsidP="00B26F69">
            <w:pPr>
              <w:widowControl w:val="0"/>
              <w:jc w:val="center"/>
              <w:rPr>
                <w:rFonts w:cs="Arial"/>
                <w:bCs/>
                <w:sz w:val="19"/>
                <w:szCs w:val="19"/>
                <w:lang w:val="it-IT" w:eastAsia="zh-TW"/>
              </w:rPr>
            </w:pPr>
          </w:p>
        </w:tc>
        <w:tc>
          <w:tcPr>
            <w:tcW w:w="1276" w:type="dxa"/>
            <w:tcBorders>
              <w:top w:val="single" w:sz="4" w:space="0" w:color="auto"/>
              <w:left w:val="nil"/>
              <w:bottom w:val="single" w:sz="4" w:space="0" w:color="auto"/>
              <w:right w:val="nil"/>
            </w:tcBorders>
            <w:shd w:val="clear" w:color="000000" w:fill="FFFFFF"/>
          </w:tcPr>
          <w:p w14:paraId="6CE98D2B" w14:textId="77777777" w:rsidR="007F1160" w:rsidRPr="00330A40" w:rsidRDefault="007F1160" w:rsidP="00B26F69">
            <w:pPr>
              <w:widowControl w:val="0"/>
              <w:jc w:val="center"/>
              <w:rPr>
                <w:rFonts w:cs="Arial"/>
                <w:sz w:val="19"/>
                <w:szCs w:val="19"/>
                <w:lang w:val="it-IT" w:eastAsia="zh-TW"/>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6D9A820" w14:textId="77777777" w:rsidR="007F1160" w:rsidRPr="00330A40" w:rsidRDefault="007F1160" w:rsidP="00B26F69">
            <w:pPr>
              <w:widowControl w:val="0"/>
              <w:jc w:val="center"/>
              <w:rPr>
                <w:rFonts w:cs="Arial"/>
                <w:sz w:val="19"/>
                <w:szCs w:val="19"/>
                <w:lang w:val="it-IT" w:eastAsia="zh-TW"/>
              </w:rPr>
            </w:pPr>
          </w:p>
        </w:tc>
        <w:tc>
          <w:tcPr>
            <w:tcW w:w="851" w:type="dxa"/>
            <w:tcBorders>
              <w:top w:val="single" w:sz="4" w:space="0" w:color="auto"/>
              <w:left w:val="nil"/>
              <w:bottom w:val="single" w:sz="4" w:space="0" w:color="auto"/>
              <w:right w:val="nil"/>
            </w:tcBorders>
            <w:shd w:val="clear" w:color="000000" w:fill="FFFFFF"/>
          </w:tcPr>
          <w:p w14:paraId="7713B70D" w14:textId="77777777" w:rsidR="007F1160" w:rsidRPr="006A2BF9" w:rsidRDefault="007F1160" w:rsidP="00B26F69">
            <w:pPr>
              <w:widowControl w:val="0"/>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8" w:space="0" w:color="auto"/>
            </w:tcBorders>
            <w:shd w:val="clear" w:color="000000" w:fill="FFFFFF"/>
          </w:tcPr>
          <w:p w14:paraId="4A626F59" w14:textId="77777777" w:rsidR="007F1160" w:rsidRPr="006A2BF9" w:rsidRDefault="007F1160" w:rsidP="00B26F69">
            <w:pPr>
              <w:widowControl w:val="0"/>
              <w:jc w:val="center"/>
              <w:rPr>
                <w:rFonts w:cs="Arial"/>
                <w:sz w:val="19"/>
                <w:szCs w:val="19"/>
                <w:lang w:val="it-IT" w:eastAsia="zh-TW"/>
              </w:rPr>
            </w:pPr>
            <w:r w:rsidRPr="006A2BF9">
              <w:rPr>
                <w:rFonts w:cs="Arial"/>
                <w:iCs/>
                <w:sz w:val="19"/>
                <w:szCs w:val="19"/>
                <w:lang w:val="it-IT" w:eastAsia="zh-TW"/>
              </w:rPr>
              <w:t xml:space="preserve">Perforazione della colecisti </w:t>
            </w:r>
            <w:r w:rsidRPr="006A2BF9">
              <w:rPr>
                <w:rFonts w:cs="Arial"/>
                <w:iCs/>
                <w:sz w:val="19"/>
                <w:szCs w:val="19"/>
                <w:vertAlign w:val="superscript"/>
                <w:lang w:val="it-IT" w:eastAsia="zh-TW"/>
              </w:rPr>
              <w:t>b</w:t>
            </w:r>
            <w:r w:rsidR="009D4640" w:rsidRPr="006A2BF9">
              <w:rPr>
                <w:rFonts w:cs="Arial"/>
                <w:iCs/>
                <w:sz w:val="19"/>
                <w:szCs w:val="19"/>
                <w:vertAlign w:val="superscript"/>
                <w:lang w:val="it-IT" w:eastAsia="zh-TW"/>
              </w:rPr>
              <w:t>,c</w:t>
            </w:r>
          </w:p>
        </w:tc>
      </w:tr>
      <w:tr w:rsidR="007F1160" w:rsidRPr="006A2BF9" w14:paraId="23BA4392" w14:textId="77777777" w:rsidTr="003600D1">
        <w:trPr>
          <w:trHeight w:val="2116"/>
        </w:trPr>
        <w:tc>
          <w:tcPr>
            <w:tcW w:w="1291" w:type="dxa"/>
            <w:tcBorders>
              <w:top w:val="single" w:sz="4" w:space="0" w:color="auto"/>
              <w:left w:val="single" w:sz="4" w:space="0" w:color="auto"/>
              <w:bottom w:val="single" w:sz="4" w:space="0" w:color="auto"/>
              <w:right w:val="nil"/>
            </w:tcBorders>
            <w:shd w:val="clear" w:color="000000" w:fill="FFFFFF"/>
          </w:tcPr>
          <w:p w14:paraId="3C57709F" w14:textId="77777777" w:rsidR="007F1160" w:rsidRPr="006A2BF9" w:rsidRDefault="007F1160" w:rsidP="00B26F69">
            <w:pPr>
              <w:widowControl w:val="0"/>
              <w:jc w:val="center"/>
              <w:rPr>
                <w:rFonts w:cs="Arial"/>
                <w:sz w:val="19"/>
                <w:szCs w:val="19"/>
                <w:lang w:val="it-IT" w:eastAsia="zh-TW"/>
              </w:rPr>
            </w:pPr>
            <w:r w:rsidRPr="006A2BF9">
              <w:rPr>
                <w:rFonts w:cs="Arial"/>
                <w:sz w:val="19"/>
                <w:szCs w:val="19"/>
                <w:lang w:val="it-IT" w:eastAsia="zh-TW"/>
              </w:rPr>
              <w:lastRenderedPageBreak/>
              <w:t>Patologie della cute e del tessuto sottocutaneo</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18850DE" w14:textId="77777777" w:rsidR="007F1160" w:rsidRPr="006A2BF9" w:rsidRDefault="007F1160" w:rsidP="00B26F69">
            <w:pPr>
              <w:widowControl w:val="0"/>
              <w:jc w:val="center"/>
              <w:rPr>
                <w:rFonts w:cs="Arial"/>
                <w:iCs/>
                <w:sz w:val="19"/>
                <w:szCs w:val="19"/>
                <w:lang w:val="it-IT" w:eastAsia="zh-TW"/>
              </w:rPr>
            </w:pPr>
          </w:p>
        </w:tc>
        <w:tc>
          <w:tcPr>
            <w:tcW w:w="1701" w:type="dxa"/>
            <w:tcBorders>
              <w:top w:val="single" w:sz="4" w:space="0" w:color="auto"/>
              <w:left w:val="nil"/>
              <w:bottom w:val="single" w:sz="4" w:space="0" w:color="auto"/>
              <w:right w:val="single" w:sz="4" w:space="0" w:color="auto"/>
            </w:tcBorders>
            <w:shd w:val="clear" w:color="000000" w:fill="FFFFFF"/>
          </w:tcPr>
          <w:p w14:paraId="6593049A" w14:textId="77777777" w:rsidR="007F1160" w:rsidRPr="006A2BF9" w:rsidRDefault="007F1160" w:rsidP="00B26F69">
            <w:pPr>
              <w:widowControl w:val="0"/>
              <w:jc w:val="center"/>
              <w:rPr>
                <w:rFonts w:cs="Arial"/>
                <w:bCs/>
                <w:sz w:val="19"/>
                <w:szCs w:val="19"/>
                <w:lang w:val="it-IT" w:eastAsia="zh-TW"/>
              </w:rPr>
            </w:pPr>
            <w:r w:rsidRPr="006A2BF9">
              <w:rPr>
                <w:rFonts w:cs="Arial"/>
                <w:bCs/>
                <w:sz w:val="19"/>
                <w:szCs w:val="19"/>
                <w:lang w:val="it-IT" w:eastAsia="zh-TW"/>
              </w:rPr>
              <w:t>Complicazioni nella guarigione delle ferite</w:t>
            </w:r>
            <w:r w:rsidRPr="006A2BF9">
              <w:rPr>
                <w:rFonts w:cs="Arial"/>
                <w:bCs/>
                <w:sz w:val="19"/>
                <w:szCs w:val="19"/>
                <w:vertAlign w:val="superscript"/>
                <w:lang w:val="it-IT" w:eastAsia="zh-TW"/>
              </w:rPr>
              <w:t>,a,b</w:t>
            </w:r>
            <w:r w:rsidRPr="006A2BF9">
              <w:rPr>
                <w:rFonts w:cs="Arial"/>
                <w:bCs/>
                <w:sz w:val="19"/>
                <w:szCs w:val="19"/>
                <w:lang w:val="it-IT" w:eastAsia="zh-TW"/>
              </w:rPr>
              <w:t xml:space="preserve">, </w:t>
            </w:r>
          </w:p>
          <w:p w14:paraId="54246B60" w14:textId="77777777" w:rsidR="007F1160" w:rsidRPr="006A2BF9" w:rsidRDefault="007F1160" w:rsidP="00B26F69">
            <w:pPr>
              <w:widowControl w:val="0"/>
              <w:jc w:val="center"/>
              <w:rPr>
                <w:rFonts w:cs="Arial"/>
                <w:b/>
                <w:bCs/>
                <w:sz w:val="19"/>
                <w:szCs w:val="19"/>
                <w:lang w:val="it-IT" w:eastAsia="zh-TW"/>
              </w:rPr>
            </w:pPr>
            <w:r w:rsidRPr="006A2BF9">
              <w:rPr>
                <w:rFonts w:cs="Arial"/>
                <w:bCs/>
                <w:sz w:val="19"/>
                <w:szCs w:val="19"/>
                <w:lang w:val="it-IT" w:eastAsia="zh-TW"/>
              </w:rPr>
              <w:t>Eritrodisestesia palmo-plantare</w:t>
            </w:r>
          </w:p>
        </w:tc>
        <w:tc>
          <w:tcPr>
            <w:tcW w:w="1276" w:type="dxa"/>
            <w:tcBorders>
              <w:top w:val="single" w:sz="4" w:space="0" w:color="auto"/>
              <w:left w:val="nil"/>
              <w:bottom w:val="single" w:sz="4" w:space="0" w:color="auto"/>
              <w:right w:val="nil"/>
            </w:tcBorders>
            <w:shd w:val="clear" w:color="000000" w:fill="FFFFFF"/>
          </w:tcPr>
          <w:p w14:paraId="1438289B" w14:textId="77777777" w:rsidR="007F1160" w:rsidRPr="006A2BF9" w:rsidRDefault="007F1160" w:rsidP="00B26F69">
            <w:pPr>
              <w:widowControl w:val="0"/>
              <w:jc w:val="center"/>
              <w:rPr>
                <w:rFonts w:cs="Arial"/>
                <w:sz w:val="19"/>
                <w:szCs w:val="19"/>
                <w:lang w:val="it-IT" w:eastAsia="zh-TW"/>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97A76E8" w14:textId="77777777" w:rsidR="007F1160" w:rsidRPr="006A2BF9" w:rsidRDefault="007F1160" w:rsidP="00B26F69">
            <w:pPr>
              <w:widowControl w:val="0"/>
              <w:jc w:val="center"/>
              <w:rPr>
                <w:rFonts w:cs="Arial"/>
                <w:sz w:val="19"/>
                <w:szCs w:val="19"/>
                <w:lang w:val="it-IT" w:eastAsia="zh-TW"/>
              </w:rPr>
            </w:pPr>
          </w:p>
        </w:tc>
        <w:tc>
          <w:tcPr>
            <w:tcW w:w="851" w:type="dxa"/>
            <w:tcBorders>
              <w:top w:val="single" w:sz="4" w:space="0" w:color="auto"/>
              <w:left w:val="nil"/>
              <w:bottom w:val="single" w:sz="4" w:space="0" w:color="auto"/>
              <w:right w:val="nil"/>
            </w:tcBorders>
            <w:shd w:val="clear" w:color="000000" w:fill="FFFFFF"/>
          </w:tcPr>
          <w:p w14:paraId="7A308FC0" w14:textId="77777777" w:rsidR="007F1160" w:rsidRPr="006A2BF9" w:rsidRDefault="007F1160" w:rsidP="00B26F69">
            <w:pPr>
              <w:widowControl w:val="0"/>
              <w:jc w:val="center"/>
              <w:rPr>
                <w:rFonts w:cs="Arial"/>
                <w:sz w:val="19"/>
                <w:szCs w:val="19"/>
                <w:lang w:val="it-IT" w:eastAsia="zh-TW"/>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407A10D" w14:textId="77777777" w:rsidR="007F1160" w:rsidRPr="006A2BF9" w:rsidRDefault="007F1160" w:rsidP="00D9162B">
            <w:pPr>
              <w:widowControl w:val="0"/>
              <w:jc w:val="center"/>
              <w:rPr>
                <w:rFonts w:cs="Arial"/>
                <w:sz w:val="19"/>
                <w:szCs w:val="19"/>
                <w:lang w:val="it-IT" w:eastAsia="zh-TW"/>
              </w:rPr>
            </w:pPr>
          </w:p>
        </w:tc>
      </w:tr>
      <w:tr w:rsidR="007F1160" w:rsidRPr="006A2BF9" w14:paraId="7BF0EECF" w14:textId="77777777" w:rsidTr="003600D1">
        <w:trPr>
          <w:trHeight w:val="764"/>
        </w:trPr>
        <w:tc>
          <w:tcPr>
            <w:tcW w:w="1291" w:type="dxa"/>
            <w:tcBorders>
              <w:top w:val="single" w:sz="4" w:space="0" w:color="auto"/>
              <w:left w:val="single" w:sz="8" w:space="0" w:color="auto"/>
              <w:bottom w:val="single" w:sz="4" w:space="0" w:color="000000"/>
              <w:right w:val="nil"/>
            </w:tcBorders>
            <w:shd w:val="clear" w:color="000000" w:fill="FFFFFF"/>
          </w:tcPr>
          <w:p w14:paraId="3BBEF555" w14:textId="77777777" w:rsidR="007F1160" w:rsidRPr="006A2BF9" w:rsidRDefault="007F1160" w:rsidP="00D9162B">
            <w:pPr>
              <w:widowControl w:val="0"/>
              <w:jc w:val="center"/>
              <w:rPr>
                <w:rFonts w:cs="Arial"/>
                <w:sz w:val="19"/>
                <w:szCs w:val="19"/>
                <w:lang w:val="it-IT" w:eastAsia="zh-TW"/>
              </w:rPr>
            </w:pPr>
            <w:r w:rsidRPr="006A2BF9">
              <w:rPr>
                <w:rFonts w:cs="Arial"/>
                <w:sz w:val="19"/>
                <w:szCs w:val="19"/>
                <w:lang w:val="it-IT" w:eastAsia="zh-TW"/>
              </w:rPr>
              <w:t>Patologie del sistema muscoloscheletrico e del tessuto connettivo</w:t>
            </w:r>
          </w:p>
        </w:tc>
        <w:tc>
          <w:tcPr>
            <w:tcW w:w="1559" w:type="dxa"/>
            <w:tcBorders>
              <w:top w:val="single" w:sz="4" w:space="0" w:color="auto"/>
              <w:left w:val="single" w:sz="4" w:space="0" w:color="auto"/>
              <w:right w:val="nil"/>
            </w:tcBorders>
            <w:shd w:val="clear" w:color="000000" w:fill="FFFFFF"/>
          </w:tcPr>
          <w:p w14:paraId="27D687AF" w14:textId="77777777" w:rsidR="007F1160" w:rsidRPr="006A2BF9" w:rsidRDefault="007F1160" w:rsidP="00D9162B">
            <w:pPr>
              <w:widowControl w:val="0"/>
              <w:jc w:val="center"/>
              <w:rPr>
                <w:rFonts w:cs="Arial"/>
                <w:iCs/>
                <w:sz w:val="19"/>
                <w:szCs w:val="19"/>
                <w:lang w:val="it-IT" w:eastAsia="zh-TW"/>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C201B30" w14:textId="77777777" w:rsidR="0059507F" w:rsidRPr="006A2BF9" w:rsidRDefault="0059507F" w:rsidP="00D9162B">
            <w:pPr>
              <w:widowControl w:val="0"/>
              <w:jc w:val="center"/>
              <w:rPr>
                <w:sz w:val="20"/>
                <w:lang w:val="it-IT"/>
              </w:rPr>
            </w:pPr>
            <w:r w:rsidRPr="006A2BF9">
              <w:rPr>
                <w:rFonts w:cs="Arial"/>
                <w:iCs/>
                <w:sz w:val="19"/>
                <w:szCs w:val="19"/>
                <w:lang w:val="it-IT" w:eastAsia="zh-TW"/>
              </w:rPr>
              <w:t>Fistola</w:t>
            </w:r>
            <w:r w:rsidRPr="006A2BF9">
              <w:rPr>
                <w:sz w:val="20"/>
                <w:vertAlign w:val="superscript"/>
                <w:lang w:val="it-IT"/>
              </w:rPr>
              <w:t>a,b</w:t>
            </w:r>
            <w:r w:rsidRPr="006A2BF9">
              <w:rPr>
                <w:sz w:val="20"/>
                <w:lang w:val="it-IT"/>
              </w:rPr>
              <w:t>,</w:t>
            </w:r>
          </w:p>
          <w:p w14:paraId="26BFFFBE" w14:textId="77777777" w:rsidR="007F1160" w:rsidRPr="006A2BF9" w:rsidRDefault="007F1160" w:rsidP="00D9162B">
            <w:pPr>
              <w:widowControl w:val="0"/>
              <w:jc w:val="center"/>
              <w:rPr>
                <w:rFonts w:cs="Arial"/>
                <w:iCs/>
                <w:sz w:val="19"/>
                <w:szCs w:val="19"/>
                <w:lang w:val="it-IT" w:eastAsia="zh-TW"/>
              </w:rPr>
            </w:pPr>
            <w:r w:rsidRPr="006A2BF9">
              <w:rPr>
                <w:rFonts w:cs="Arial"/>
                <w:iCs/>
                <w:sz w:val="19"/>
                <w:szCs w:val="19"/>
                <w:lang w:val="it-IT" w:eastAsia="zh-TW"/>
              </w:rPr>
              <w:t>Mialgia,</w:t>
            </w:r>
          </w:p>
          <w:p w14:paraId="2EC2E6E1" w14:textId="77777777" w:rsidR="007F1160" w:rsidRPr="006A2BF9" w:rsidRDefault="007F1160" w:rsidP="00D9162B">
            <w:pPr>
              <w:widowControl w:val="0"/>
              <w:jc w:val="center"/>
              <w:rPr>
                <w:rFonts w:cs="Arial"/>
                <w:iCs/>
                <w:sz w:val="19"/>
                <w:szCs w:val="19"/>
                <w:lang w:val="it-IT" w:eastAsia="zh-TW"/>
              </w:rPr>
            </w:pPr>
            <w:r w:rsidRPr="006A2BF9">
              <w:rPr>
                <w:rFonts w:cs="Arial"/>
                <w:iCs/>
                <w:sz w:val="19"/>
                <w:szCs w:val="19"/>
                <w:lang w:val="it-IT" w:eastAsia="zh-TW"/>
              </w:rPr>
              <w:t>Artralgia,</w:t>
            </w:r>
          </w:p>
          <w:p w14:paraId="06200AD3" w14:textId="77777777" w:rsidR="007F1160" w:rsidRPr="006A2BF9" w:rsidRDefault="007F1160" w:rsidP="00D9162B">
            <w:pPr>
              <w:widowControl w:val="0"/>
              <w:jc w:val="center"/>
              <w:rPr>
                <w:rFonts w:cs="Arial"/>
                <w:iCs/>
                <w:sz w:val="19"/>
                <w:szCs w:val="19"/>
                <w:lang w:val="it-IT" w:eastAsia="zh-TW"/>
              </w:rPr>
            </w:pPr>
            <w:r w:rsidRPr="006A2BF9">
              <w:rPr>
                <w:rFonts w:cs="Arial"/>
                <w:iCs/>
                <w:sz w:val="19"/>
                <w:szCs w:val="19"/>
                <w:lang w:val="it-IT" w:eastAsia="zh-TW"/>
              </w:rPr>
              <w:t>Debolezza muscolare</w:t>
            </w:r>
            <w:r w:rsidR="0059507F" w:rsidRPr="006A2BF9">
              <w:rPr>
                <w:rFonts w:cs="Arial"/>
                <w:iCs/>
                <w:sz w:val="19"/>
                <w:szCs w:val="19"/>
                <w:lang w:val="it-IT" w:eastAsia="zh-TW"/>
              </w:rPr>
              <w:t>,</w:t>
            </w:r>
          </w:p>
          <w:p w14:paraId="164C0643" w14:textId="77777777" w:rsidR="007F1160" w:rsidRPr="006A2BF9" w:rsidRDefault="001C1A6E" w:rsidP="00D9162B">
            <w:pPr>
              <w:widowControl w:val="0"/>
              <w:jc w:val="center"/>
              <w:rPr>
                <w:rFonts w:cs="Arial"/>
                <w:iCs/>
                <w:sz w:val="19"/>
                <w:szCs w:val="19"/>
                <w:lang w:val="it-IT" w:eastAsia="zh-TW"/>
              </w:rPr>
            </w:pPr>
            <w:r w:rsidRPr="006A2BF9">
              <w:rPr>
                <w:rFonts w:cs="Arial"/>
                <w:iCs/>
                <w:sz w:val="19"/>
                <w:szCs w:val="19"/>
                <w:lang w:val="it-IT" w:eastAsia="zh-TW"/>
              </w:rPr>
              <w:t xml:space="preserve">Dolore </w:t>
            </w:r>
            <w:r w:rsidR="00AB333C" w:rsidRPr="006A2BF9">
              <w:rPr>
                <w:rFonts w:cs="Arial"/>
                <w:iCs/>
                <w:sz w:val="19"/>
                <w:szCs w:val="19"/>
                <w:lang w:val="it-IT" w:eastAsia="zh-TW"/>
              </w:rPr>
              <w:t>al dorso</w:t>
            </w:r>
          </w:p>
          <w:p w14:paraId="7D99085C" w14:textId="77777777" w:rsidR="007F1160" w:rsidRPr="006A2BF9" w:rsidRDefault="007F1160" w:rsidP="00D9162B">
            <w:pPr>
              <w:widowControl w:val="0"/>
              <w:jc w:val="center"/>
              <w:rPr>
                <w:rFonts w:cs="Arial"/>
                <w:iCs/>
                <w:sz w:val="19"/>
                <w:szCs w:val="19"/>
                <w:lang w:val="it-IT" w:eastAsia="zh-TW"/>
              </w:rPr>
            </w:pPr>
          </w:p>
        </w:tc>
        <w:tc>
          <w:tcPr>
            <w:tcW w:w="1276" w:type="dxa"/>
            <w:tcBorders>
              <w:top w:val="single" w:sz="4" w:space="0" w:color="auto"/>
              <w:left w:val="nil"/>
              <w:right w:val="nil"/>
            </w:tcBorders>
            <w:shd w:val="clear" w:color="000000" w:fill="FFFFFF"/>
          </w:tcPr>
          <w:p w14:paraId="72E2B152" w14:textId="77777777" w:rsidR="007F1160" w:rsidRPr="006A2BF9" w:rsidRDefault="007F1160" w:rsidP="00D9162B">
            <w:pPr>
              <w:widowControl w:val="0"/>
              <w:jc w:val="center"/>
              <w:rPr>
                <w:rFonts w:cs="Arial"/>
                <w:sz w:val="19"/>
                <w:szCs w:val="19"/>
                <w:lang w:val="it-IT" w:eastAsia="zh-TW"/>
              </w:rPr>
            </w:pPr>
          </w:p>
        </w:tc>
        <w:tc>
          <w:tcPr>
            <w:tcW w:w="992" w:type="dxa"/>
            <w:tcBorders>
              <w:top w:val="single" w:sz="4" w:space="0" w:color="auto"/>
              <w:left w:val="single" w:sz="4" w:space="0" w:color="auto"/>
              <w:right w:val="nil"/>
            </w:tcBorders>
            <w:shd w:val="clear" w:color="000000" w:fill="FFFFFF"/>
          </w:tcPr>
          <w:p w14:paraId="7DB99963" w14:textId="77777777" w:rsidR="007F1160" w:rsidRPr="006A2BF9" w:rsidRDefault="007F1160" w:rsidP="00D9162B">
            <w:pPr>
              <w:widowControl w:val="0"/>
              <w:jc w:val="center"/>
              <w:rPr>
                <w:rFonts w:cs="Arial"/>
                <w:sz w:val="19"/>
                <w:szCs w:val="19"/>
                <w:lang w:val="it-IT" w:eastAsia="zh-TW"/>
              </w:rPr>
            </w:pPr>
          </w:p>
        </w:tc>
        <w:tc>
          <w:tcPr>
            <w:tcW w:w="851" w:type="dxa"/>
            <w:tcBorders>
              <w:top w:val="single" w:sz="4" w:space="0" w:color="auto"/>
              <w:left w:val="single" w:sz="4" w:space="0" w:color="auto"/>
              <w:right w:val="nil"/>
            </w:tcBorders>
            <w:shd w:val="clear" w:color="000000" w:fill="FFFFFF"/>
          </w:tcPr>
          <w:p w14:paraId="543E5BE2" w14:textId="77777777" w:rsidR="007F1160" w:rsidRPr="006A2BF9" w:rsidRDefault="007F1160" w:rsidP="00D9162B">
            <w:pPr>
              <w:widowControl w:val="0"/>
              <w:jc w:val="center"/>
              <w:rPr>
                <w:rFonts w:cs="Arial"/>
                <w:sz w:val="19"/>
                <w:szCs w:val="19"/>
                <w:lang w:val="it-IT" w:eastAsia="zh-TW"/>
              </w:rPr>
            </w:pPr>
          </w:p>
        </w:tc>
        <w:tc>
          <w:tcPr>
            <w:tcW w:w="1417" w:type="dxa"/>
            <w:tcBorders>
              <w:top w:val="single" w:sz="4" w:space="0" w:color="auto"/>
              <w:left w:val="single" w:sz="4" w:space="0" w:color="auto"/>
              <w:right w:val="single" w:sz="8" w:space="0" w:color="auto"/>
            </w:tcBorders>
            <w:shd w:val="clear" w:color="000000" w:fill="FFFFFF"/>
            <w:noWrap/>
          </w:tcPr>
          <w:p w14:paraId="7757BCBF" w14:textId="77777777" w:rsidR="009D4640" w:rsidRPr="006A2BF9" w:rsidRDefault="009D4640" w:rsidP="00D9162B">
            <w:pPr>
              <w:widowControl w:val="0"/>
              <w:jc w:val="center"/>
              <w:rPr>
                <w:rFonts w:cs="Arial"/>
                <w:sz w:val="19"/>
                <w:szCs w:val="19"/>
                <w:lang w:val="it-IT" w:eastAsia="zh-TW"/>
              </w:rPr>
            </w:pPr>
            <w:r w:rsidRPr="006A2BF9">
              <w:rPr>
                <w:rFonts w:cs="Arial"/>
                <w:sz w:val="19"/>
                <w:szCs w:val="19"/>
                <w:lang w:val="it-IT" w:eastAsia="zh-TW"/>
              </w:rPr>
              <w:t>Osteonecrosi della mandibola/mascella</w:t>
            </w:r>
            <w:r w:rsidRPr="006A2BF9">
              <w:rPr>
                <w:rFonts w:cs="Arial"/>
                <w:sz w:val="19"/>
                <w:szCs w:val="19"/>
                <w:vertAlign w:val="superscript"/>
                <w:lang w:val="it-IT" w:eastAsia="zh-TW"/>
              </w:rPr>
              <w:t>b,c</w:t>
            </w:r>
          </w:p>
        </w:tc>
      </w:tr>
      <w:tr w:rsidR="007F1160" w:rsidRPr="006A2BF9" w14:paraId="3014ED5F" w14:textId="77777777" w:rsidTr="00214FBA">
        <w:trPr>
          <w:trHeight w:val="540"/>
        </w:trPr>
        <w:tc>
          <w:tcPr>
            <w:tcW w:w="1291" w:type="dxa"/>
            <w:tcBorders>
              <w:top w:val="nil"/>
              <w:left w:val="single" w:sz="8" w:space="0" w:color="auto"/>
              <w:bottom w:val="single" w:sz="4" w:space="0" w:color="auto"/>
              <w:right w:val="single" w:sz="4" w:space="0" w:color="auto"/>
            </w:tcBorders>
            <w:shd w:val="clear" w:color="000000" w:fill="FFFFFF"/>
          </w:tcPr>
          <w:p w14:paraId="65066C1D" w14:textId="77777777" w:rsidR="007F1160" w:rsidRPr="006A2BF9" w:rsidRDefault="007F1160" w:rsidP="00D9162B">
            <w:pPr>
              <w:widowControl w:val="0"/>
              <w:jc w:val="center"/>
              <w:rPr>
                <w:rFonts w:cs="Arial"/>
                <w:sz w:val="19"/>
                <w:szCs w:val="19"/>
                <w:lang w:val="it-IT" w:eastAsia="zh-TW"/>
              </w:rPr>
            </w:pPr>
            <w:r w:rsidRPr="006A2BF9">
              <w:rPr>
                <w:rFonts w:cs="Arial"/>
                <w:sz w:val="19"/>
                <w:szCs w:val="19"/>
                <w:lang w:val="it-IT" w:eastAsia="zh-TW"/>
              </w:rPr>
              <w:t>Patologie renali e urinarie</w:t>
            </w:r>
          </w:p>
        </w:tc>
        <w:tc>
          <w:tcPr>
            <w:tcW w:w="1559" w:type="dxa"/>
            <w:tcBorders>
              <w:top w:val="single" w:sz="4" w:space="0" w:color="auto"/>
              <w:left w:val="nil"/>
              <w:bottom w:val="single" w:sz="4" w:space="0" w:color="auto"/>
              <w:right w:val="single" w:sz="4" w:space="0" w:color="auto"/>
            </w:tcBorders>
            <w:shd w:val="clear" w:color="000000" w:fill="FFFFFF"/>
          </w:tcPr>
          <w:p w14:paraId="426E8A8C" w14:textId="77777777" w:rsidR="007F1160" w:rsidRPr="006A2BF9" w:rsidRDefault="007F1160" w:rsidP="00D9162B">
            <w:pPr>
              <w:widowControl w:val="0"/>
              <w:jc w:val="center"/>
              <w:rPr>
                <w:rFonts w:cs="Arial"/>
                <w:iCs/>
                <w:sz w:val="19"/>
                <w:szCs w:val="19"/>
                <w:lang w:val="it-IT" w:eastAsia="zh-TW"/>
              </w:rPr>
            </w:pPr>
          </w:p>
        </w:tc>
        <w:tc>
          <w:tcPr>
            <w:tcW w:w="1701" w:type="dxa"/>
            <w:tcBorders>
              <w:top w:val="single" w:sz="4" w:space="0" w:color="auto"/>
              <w:left w:val="nil"/>
              <w:bottom w:val="single" w:sz="4" w:space="0" w:color="auto"/>
              <w:right w:val="single" w:sz="4" w:space="0" w:color="auto"/>
            </w:tcBorders>
            <w:shd w:val="clear" w:color="000000" w:fill="FFFFFF"/>
          </w:tcPr>
          <w:p w14:paraId="25C5F9EC" w14:textId="77777777" w:rsidR="007F1160" w:rsidRPr="006A2BF9" w:rsidRDefault="007F1160" w:rsidP="00D9162B">
            <w:pPr>
              <w:widowControl w:val="0"/>
              <w:jc w:val="center"/>
              <w:rPr>
                <w:rFonts w:cs="Arial"/>
                <w:iCs/>
                <w:sz w:val="19"/>
                <w:szCs w:val="19"/>
                <w:lang w:val="it-IT" w:eastAsia="zh-TW"/>
              </w:rPr>
            </w:pPr>
            <w:r w:rsidRPr="006A2BF9">
              <w:rPr>
                <w:rFonts w:cs="Arial"/>
                <w:iCs/>
                <w:sz w:val="19"/>
                <w:szCs w:val="19"/>
                <w:lang w:val="it-IT" w:eastAsia="zh-TW"/>
              </w:rPr>
              <w:t>Proteinuria</w:t>
            </w:r>
            <w:r w:rsidRPr="006A2BF9">
              <w:rPr>
                <w:rFonts w:cs="Arial"/>
                <w:iCs/>
                <w:sz w:val="19"/>
                <w:szCs w:val="19"/>
                <w:vertAlign w:val="superscript"/>
                <w:lang w:val="it-IT" w:eastAsia="zh-TW"/>
              </w:rPr>
              <w:t>a,b</w:t>
            </w:r>
            <w:r w:rsidRPr="006A2BF9">
              <w:rPr>
                <w:rFonts w:cs="Arial"/>
                <w:iCs/>
                <w:sz w:val="19"/>
                <w:szCs w:val="19"/>
                <w:lang w:val="it-IT" w:eastAsia="zh-TW"/>
              </w:rPr>
              <w:t>,</w:t>
            </w:r>
          </w:p>
          <w:p w14:paraId="37119D24" w14:textId="77777777" w:rsidR="007F1160" w:rsidRPr="006A2BF9" w:rsidRDefault="007F1160" w:rsidP="00D9162B">
            <w:pPr>
              <w:widowControl w:val="0"/>
              <w:jc w:val="center"/>
              <w:rPr>
                <w:rFonts w:cs="Arial"/>
                <w:bCs/>
                <w:sz w:val="19"/>
                <w:szCs w:val="19"/>
                <w:lang w:val="it-IT" w:eastAsia="zh-TW"/>
              </w:rPr>
            </w:pPr>
          </w:p>
        </w:tc>
        <w:tc>
          <w:tcPr>
            <w:tcW w:w="1276" w:type="dxa"/>
            <w:tcBorders>
              <w:top w:val="single" w:sz="4" w:space="0" w:color="auto"/>
              <w:left w:val="nil"/>
              <w:bottom w:val="single" w:sz="4" w:space="0" w:color="auto"/>
              <w:right w:val="single" w:sz="4" w:space="0" w:color="auto"/>
            </w:tcBorders>
            <w:shd w:val="clear" w:color="000000" w:fill="FFFFFF"/>
          </w:tcPr>
          <w:p w14:paraId="39C62FB7" w14:textId="77777777" w:rsidR="007F1160" w:rsidRPr="006A2BF9" w:rsidRDefault="007F1160" w:rsidP="00D9162B">
            <w:pPr>
              <w:widowControl w:val="0"/>
              <w:jc w:val="center"/>
              <w:rPr>
                <w:rFonts w:cs="Arial"/>
                <w:sz w:val="19"/>
                <w:szCs w:val="19"/>
                <w:lang w:val="it-IT"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03215DD2" w14:textId="77777777" w:rsidR="007F1160" w:rsidRPr="006A2BF9" w:rsidRDefault="007F1160" w:rsidP="00D9162B">
            <w:pPr>
              <w:widowControl w:val="0"/>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3218E8B4" w14:textId="77777777" w:rsidR="007F1160" w:rsidRPr="006A2BF9" w:rsidRDefault="007F1160" w:rsidP="00D9162B">
            <w:pPr>
              <w:widowControl w:val="0"/>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noWrap/>
            <w:vAlign w:val="bottom"/>
          </w:tcPr>
          <w:p w14:paraId="00A409B4" w14:textId="77777777" w:rsidR="007F1160" w:rsidRPr="006A2BF9" w:rsidRDefault="007F1160" w:rsidP="00D9162B">
            <w:pPr>
              <w:widowControl w:val="0"/>
              <w:jc w:val="center"/>
              <w:rPr>
                <w:rFonts w:cs="Arial"/>
                <w:sz w:val="19"/>
                <w:szCs w:val="19"/>
                <w:lang w:val="it-IT" w:eastAsia="zh-TW"/>
              </w:rPr>
            </w:pPr>
          </w:p>
        </w:tc>
      </w:tr>
      <w:tr w:rsidR="009D4640" w:rsidRPr="006A2BF9" w14:paraId="69F3F890" w14:textId="77777777" w:rsidTr="00214FBA">
        <w:trPr>
          <w:trHeight w:val="981"/>
        </w:trPr>
        <w:tc>
          <w:tcPr>
            <w:tcW w:w="1291" w:type="dxa"/>
            <w:tcBorders>
              <w:top w:val="single" w:sz="4" w:space="0" w:color="auto"/>
              <w:left w:val="single" w:sz="8" w:space="0" w:color="auto"/>
              <w:bottom w:val="single" w:sz="8" w:space="0" w:color="000000"/>
              <w:right w:val="nil"/>
            </w:tcBorders>
            <w:shd w:val="clear" w:color="000000" w:fill="FFFFFF"/>
          </w:tcPr>
          <w:p w14:paraId="2DE32B15" w14:textId="77777777" w:rsidR="009D4640" w:rsidRPr="006A2BF9" w:rsidRDefault="009D4640" w:rsidP="00D9162B">
            <w:pPr>
              <w:widowControl w:val="0"/>
              <w:jc w:val="center"/>
              <w:rPr>
                <w:rFonts w:cs="Arial"/>
                <w:sz w:val="19"/>
                <w:szCs w:val="19"/>
                <w:lang w:val="it-IT" w:eastAsia="zh-TW"/>
              </w:rPr>
            </w:pPr>
            <w:r w:rsidRPr="006A2BF9">
              <w:rPr>
                <w:rFonts w:cs="Arial"/>
                <w:sz w:val="19"/>
                <w:szCs w:val="19"/>
                <w:lang w:val="it-IT" w:eastAsia="zh-TW"/>
              </w:rPr>
              <w:t>Patologie del</w:t>
            </w:r>
            <w:r w:rsidR="00AB333C" w:rsidRPr="006A2BF9">
              <w:rPr>
                <w:rFonts w:cs="Arial"/>
                <w:sz w:val="19"/>
                <w:szCs w:val="19"/>
                <w:lang w:val="it-IT" w:eastAsia="zh-TW"/>
              </w:rPr>
              <w:t>l’apparato</w:t>
            </w:r>
            <w:r w:rsidRPr="006A2BF9">
              <w:rPr>
                <w:rFonts w:cs="Arial"/>
                <w:sz w:val="19"/>
                <w:szCs w:val="19"/>
                <w:lang w:val="it-IT" w:eastAsia="zh-TW"/>
              </w:rPr>
              <w:t xml:space="preserve"> riproduttivo e della mammella</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EF8943D" w14:textId="77777777" w:rsidR="009D4640" w:rsidRPr="006A2BF9" w:rsidRDefault="009D4640" w:rsidP="00D9162B">
            <w:pPr>
              <w:widowControl w:val="0"/>
              <w:jc w:val="center"/>
              <w:rPr>
                <w:rFonts w:cs="Arial"/>
                <w:iCs/>
                <w:sz w:val="19"/>
                <w:szCs w:val="19"/>
                <w:lang w:val="it-IT" w:eastAsia="zh-TW"/>
              </w:rPr>
            </w:pPr>
          </w:p>
        </w:tc>
        <w:tc>
          <w:tcPr>
            <w:tcW w:w="1701" w:type="dxa"/>
            <w:tcBorders>
              <w:top w:val="single" w:sz="4" w:space="0" w:color="auto"/>
              <w:left w:val="nil"/>
              <w:bottom w:val="single" w:sz="4" w:space="0" w:color="auto"/>
              <w:right w:val="single" w:sz="4" w:space="0" w:color="auto"/>
            </w:tcBorders>
            <w:shd w:val="clear" w:color="000000" w:fill="FFFFFF"/>
          </w:tcPr>
          <w:p w14:paraId="215BD4EC" w14:textId="77777777" w:rsidR="009D4640" w:rsidRPr="006A2BF9" w:rsidRDefault="0059507F" w:rsidP="00D9162B">
            <w:pPr>
              <w:widowControl w:val="0"/>
              <w:jc w:val="center"/>
              <w:rPr>
                <w:rFonts w:cs="Arial"/>
                <w:sz w:val="19"/>
                <w:szCs w:val="19"/>
                <w:lang w:val="it-IT" w:eastAsia="zh-TW"/>
              </w:rPr>
            </w:pPr>
            <w:r w:rsidRPr="006A2BF9">
              <w:rPr>
                <w:rFonts w:cs="Arial"/>
                <w:sz w:val="19"/>
                <w:szCs w:val="19"/>
                <w:lang w:val="it-IT" w:eastAsia="zh-TW"/>
              </w:rPr>
              <w:t xml:space="preserve">Dolore </w:t>
            </w:r>
            <w:r w:rsidR="00DA1525" w:rsidRPr="006A2BF9">
              <w:rPr>
                <w:rFonts w:cs="Arial"/>
                <w:sz w:val="19"/>
                <w:szCs w:val="19"/>
                <w:lang w:val="it-IT" w:eastAsia="zh-TW"/>
              </w:rPr>
              <w:t>pelvico</w:t>
            </w:r>
          </w:p>
        </w:tc>
        <w:tc>
          <w:tcPr>
            <w:tcW w:w="1276" w:type="dxa"/>
            <w:tcBorders>
              <w:top w:val="single" w:sz="4" w:space="0" w:color="auto"/>
              <w:left w:val="nil"/>
              <w:bottom w:val="single" w:sz="4" w:space="0" w:color="auto"/>
              <w:right w:val="single" w:sz="4" w:space="0" w:color="auto"/>
            </w:tcBorders>
            <w:shd w:val="clear" w:color="000000" w:fill="FFFFFF"/>
          </w:tcPr>
          <w:p w14:paraId="5B041B0E" w14:textId="77777777" w:rsidR="009D4640" w:rsidRPr="006A2BF9" w:rsidRDefault="009D4640" w:rsidP="00D9162B">
            <w:pPr>
              <w:widowControl w:val="0"/>
              <w:jc w:val="center"/>
              <w:rPr>
                <w:rFonts w:cs="Arial"/>
                <w:sz w:val="19"/>
                <w:szCs w:val="19"/>
                <w:lang w:val="it-IT"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478EC034" w14:textId="77777777" w:rsidR="009D4640" w:rsidRPr="006A2BF9" w:rsidRDefault="009D4640" w:rsidP="00D9162B">
            <w:pPr>
              <w:widowControl w:val="0"/>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4A7055BE" w14:textId="77777777" w:rsidR="009D4640" w:rsidRPr="006A2BF9" w:rsidRDefault="009D4640" w:rsidP="00D9162B">
            <w:pPr>
              <w:widowControl w:val="0"/>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52964578" w14:textId="77777777" w:rsidR="009D4640" w:rsidRPr="006A2BF9" w:rsidRDefault="009D4640" w:rsidP="00D9162B">
            <w:pPr>
              <w:widowControl w:val="0"/>
              <w:jc w:val="center"/>
              <w:rPr>
                <w:rFonts w:cs="Arial"/>
                <w:sz w:val="19"/>
                <w:szCs w:val="19"/>
                <w:lang w:val="it-IT" w:eastAsia="zh-TW"/>
              </w:rPr>
            </w:pPr>
            <w:r w:rsidRPr="006A2BF9">
              <w:rPr>
                <w:rFonts w:cs="Arial"/>
                <w:sz w:val="19"/>
                <w:szCs w:val="19"/>
                <w:lang w:val="it-IT" w:eastAsia="zh-TW"/>
              </w:rPr>
              <w:t>Insufficienza ovarica</w:t>
            </w:r>
            <w:r w:rsidRPr="006A2BF9">
              <w:rPr>
                <w:rFonts w:cs="Arial"/>
                <w:sz w:val="19"/>
                <w:szCs w:val="19"/>
                <w:vertAlign w:val="superscript"/>
                <w:lang w:val="it-IT" w:eastAsia="zh-TW"/>
              </w:rPr>
              <w:t>a,b</w:t>
            </w:r>
          </w:p>
        </w:tc>
      </w:tr>
      <w:tr w:rsidR="00547A6F" w:rsidRPr="006A2BF9" w14:paraId="5A1315D3" w14:textId="77777777" w:rsidTr="00214FBA">
        <w:trPr>
          <w:trHeight w:val="981"/>
        </w:trPr>
        <w:tc>
          <w:tcPr>
            <w:tcW w:w="1291" w:type="dxa"/>
            <w:tcBorders>
              <w:top w:val="single" w:sz="4" w:space="0" w:color="auto"/>
              <w:left w:val="single" w:sz="8" w:space="0" w:color="auto"/>
              <w:bottom w:val="single" w:sz="8" w:space="0" w:color="000000"/>
              <w:right w:val="nil"/>
            </w:tcBorders>
            <w:shd w:val="clear" w:color="000000" w:fill="FFFFFF"/>
          </w:tcPr>
          <w:p w14:paraId="4F93A2B3" w14:textId="77777777" w:rsidR="00547A6F" w:rsidRPr="006A2BF9" w:rsidRDefault="00547A6F" w:rsidP="00D9162B">
            <w:pPr>
              <w:widowControl w:val="0"/>
              <w:jc w:val="center"/>
              <w:rPr>
                <w:rFonts w:cs="Arial"/>
                <w:sz w:val="19"/>
                <w:szCs w:val="19"/>
                <w:lang w:val="it-IT" w:eastAsia="zh-TW"/>
              </w:rPr>
            </w:pPr>
            <w:r w:rsidRPr="006A2BF9">
              <w:rPr>
                <w:rFonts w:cs="Arial"/>
                <w:sz w:val="19"/>
                <w:szCs w:val="19"/>
                <w:lang w:val="it-IT" w:eastAsia="zh-TW"/>
              </w:rPr>
              <w:t>Patologi</w:t>
            </w:r>
            <w:r w:rsidR="00AB333C" w:rsidRPr="006A2BF9">
              <w:rPr>
                <w:rFonts w:cs="Arial"/>
                <w:sz w:val="19"/>
                <w:szCs w:val="19"/>
                <w:lang w:val="it-IT" w:eastAsia="zh-TW"/>
              </w:rPr>
              <w:t>e</w:t>
            </w:r>
            <w:r w:rsidRPr="006A2BF9">
              <w:rPr>
                <w:rFonts w:cs="Arial"/>
                <w:sz w:val="19"/>
                <w:szCs w:val="19"/>
                <w:lang w:val="it-IT" w:eastAsia="zh-TW"/>
              </w:rPr>
              <w:t xml:space="preserve"> </w:t>
            </w:r>
            <w:r w:rsidR="00AB333C" w:rsidRPr="006A2BF9">
              <w:rPr>
                <w:rFonts w:cs="Arial"/>
                <w:sz w:val="19"/>
                <w:szCs w:val="19"/>
                <w:lang w:val="it-IT" w:eastAsia="zh-TW"/>
              </w:rPr>
              <w:t>congenite</w:t>
            </w:r>
            <w:r w:rsidRPr="006A2BF9">
              <w:rPr>
                <w:rFonts w:cs="Arial"/>
                <w:sz w:val="19"/>
                <w:szCs w:val="19"/>
                <w:lang w:val="it-IT" w:eastAsia="zh-TW"/>
              </w:rPr>
              <w:t xml:space="preserve">, </w:t>
            </w:r>
            <w:r w:rsidR="00AB333C" w:rsidRPr="006A2BF9">
              <w:rPr>
                <w:rFonts w:cs="Arial"/>
                <w:sz w:val="19"/>
                <w:szCs w:val="19"/>
                <w:lang w:val="it-IT" w:eastAsia="zh-TW"/>
              </w:rPr>
              <w:t xml:space="preserve">familiari </w:t>
            </w:r>
            <w:r w:rsidRPr="006A2BF9">
              <w:rPr>
                <w:rFonts w:cs="Arial"/>
                <w:sz w:val="19"/>
                <w:szCs w:val="19"/>
                <w:lang w:val="it-IT" w:eastAsia="zh-TW"/>
              </w:rPr>
              <w:t xml:space="preserve">e </w:t>
            </w:r>
            <w:r w:rsidR="00AB333C" w:rsidRPr="006A2BF9">
              <w:rPr>
                <w:rFonts w:cs="Arial"/>
                <w:sz w:val="19"/>
                <w:szCs w:val="19"/>
                <w:lang w:val="it-IT" w:eastAsia="zh-TW"/>
              </w:rPr>
              <w:t>genetiche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DD58690" w14:textId="77777777" w:rsidR="00547A6F" w:rsidRPr="006A2BF9" w:rsidRDefault="00547A6F" w:rsidP="00D9162B">
            <w:pPr>
              <w:widowControl w:val="0"/>
              <w:jc w:val="center"/>
              <w:rPr>
                <w:rFonts w:cs="Arial"/>
                <w:iCs/>
                <w:sz w:val="19"/>
                <w:szCs w:val="19"/>
                <w:lang w:val="it-IT" w:eastAsia="zh-TW"/>
              </w:rPr>
            </w:pPr>
          </w:p>
        </w:tc>
        <w:tc>
          <w:tcPr>
            <w:tcW w:w="1701" w:type="dxa"/>
            <w:tcBorders>
              <w:top w:val="single" w:sz="4" w:space="0" w:color="auto"/>
              <w:left w:val="nil"/>
              <w:bottom w:val="single" w:sz="4" w:space="0" w:color="auto"/>
              <w:right w:val="single" w:sz="4" w:space="0" w:color="auto"/>
            </w:tcBorders>
            <w:shd w:val="clear" w:color="000000" w:fill="FFFFFF"/>
          </w:tcPr>
          <w:p w14:paraId="339844D7" w14:textId="77777777" w:rsidR="00547A6F" w:rsidRPr="006A2BF9" w:rsidRDefault="00547A6F" w:rsidP="00D9162B">
            <w:pPr>
              <w:widowControl w:val="0"/>
              <w:jc w:val="center"/>
              <w:rPr>
                <w:rFonts w:cs="Arial"/>
                <w:sz w:val="19"/>
                <w:szCs w:val="19"/>
                <w:lang w:val="it-IT" w:eastAsia="zh-TW"/>
              </w:rPr>
            </w:pPr>
          </w:p>
        </w:tc>
        <w:tc>
          <w:tcPr>
            <w:tcW w:w="1276" w:type="dxa"/>
            <w:tcBorders>
              <w:top w:val="single" w:sz="4" w:space="0" w:color="auto"/>
              <w:left w:val="nil"/>
              <w:bottom w:val="single" w:sz="4" w:space="0" w:color="auto"/>
              <w:right w:val="single" w:sz="4" w:space="0" w:color="auto"/>
            </w:tcBorders>
            <w:shd w:val="clear" w:color="000000" w:fill="FFFFFF"/>
          </w:tcPr>
          <w:p w14:paraId="7395AFC3" w14:textId="77777777" w:rsidR="00547A6F" w:rsidRPr="006A2BF9" w:rsidRDefault="00547A6F" w:rsidP="00D9162B">
            <w:pPr>
              <w:widowControl w:val="0"/>
              <w:jc w:val="center"/>
              <w:rPr>
                <w:rFonts w:cs="Arial"/>
                <w:sz w:val="19"/>
                <w:szCs w:val="19"/>
                <w:lang w:val="it-IT"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5084CCDE" w14:textId="77777777" w:rsidR="00547A6F" w:rsidRPr="006A2BF9" w:rsidRDefault="00547A6F" w:rsidP="00D9162B">
            <w:pPr>
              <w:widowControl w:val="0"/>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11B43266" w14:textId="77777777" w:rsidR="00547A6F" w:rsidRPr="006A2BF9" w:rsidRDefault="00547A6F" w:rsidP="00D9162B">
            <w:pPr>
              <w:widowControl w:val="0"/>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48FE2D0D" w14:textId="77777777" w:rsidR="00547A6F" w:rsidRPr="006A2BF9" w:rsidRDefault="00C94318" w:rsidP="00D9162B">
            <w:pPr>
              <w:widowControl w:val="0"/>
              <w:jc w:val="center"/>
              <w:rPr>
                <w:rFonts w:cs="Arial"/>
                <w:sz w:val="19"/>
                <w:szCs w:val="19"/>
                <w:lang w:val="it-IT" w:eastAsia="zh-TW"/>
              </w:rPr>
            </w:pPr>
            <w:r w:rsidRPr="006A2BF9">
              <w:rPr>
                <w:rFonts w:cs="Arial"/>
                <w:sz w:val="19"/>
                <w:szCs w:val="19"/>
                <w:lang w:val="it-IT" w:eastAsia="zh-TW"/>
              </w:rPr>
              <w:t>Anomalie</w:t>
            </w:r>
            <w:r w:rsidR="0035203B" w:rsidRPr="006A2BF9">
              <w:rPr>
                <w:rFonts w:cs="Arial"/>
                <w:sz w:val="19"/>
                <w:szCs w:val="19"/>
                <w:lang w:val="it-IT" w:eastAsia="zh-TW"/>
              </w:rPr>
              <w:t xml:space="preserve"> </w:t>
            </w:r>
            <w:r w:rsidR="00547A6F" w:rsidRPr="006A2BF9">
              <w:rPr>
                <w:rFonts w:cs="Arial"/>
                <w:sz w:val="19"/>
                <w:szCs w:val="19"/>
                <w:lang w:val="it-IT" w:eastAsia="zh-TW"/>
              </w:rPr>
              <w:t>fetali</w:t>
            </w:r>
            <w:r w:rsidR="00547A6F" w:rsidRPr="006A2BF9">
              <w:rPr>
                <w:rFonts w:cs="Arial"/>
                <w:sz w:val="19"/>
                <w:szCs w:val="19"/>
                <w:vertAlign w:val="superscript"/>
                <w:lang w:val="it-IT" w:eastAsia="zh-TW"/>
              </w:rPr>
              <w:t>a,c</w:t>
            </w:r>
          </w:p>
        </w:tc>
      </w:tr>
      <w:tr w:rsidR="007F1160" w:rsidRPr="006A2BF9" w14:paraId="7C55266D" w14:textId="77777777" w:rsidTr="006D575B">
        <w:trPr>
          <w:trHeight w:val="981"/>
        </w:trPr>
        <w:tc>
          <w:tcPr>
            <w:tcW w:w="1291" w:type="dxa"/>
            <w:tcBorders>
              <w:top w:val="single" w:sz="4" w:space="0" w:color="auto"/>
              <w:left w:val="single" w:sz="8" w:space="0" w:color="auto"/>
              <w:bottom w:val="single" w:sz="8" w:space="0" w:color="000000"/>
              <w:right w:val="nil"/>
            </w:tcBorders>
            <w:shd w:val="clear" w:color="000000" w:fill="FFFFFF"/>
          </w:tcPr>
          <w:p w14:paraId="29393225" w14:textId="77777777" w:rsidR="007F1160" w:rsidRPr="006A2BF9" w:rsidRDefault="007F1160" w:rsidP="00B26F69">
            <w:pPr>
              <w:widowControl w:val="0"/>
              <w:jc w:val="center"/>
              <w:rPr>
                <w:rFonts w:cs="Arial"/>
                <w:sz w:val="19"/>
                <w:szCs w:val="19"/>
                <w:lang w:val="it-IT" w:eastAsia="zh-TW"/>
              </w:rPr>
            </w:pPr>
            <w:r w:rsidRPr="006A2BF9">
              <w:rPr>
                <w:rFonts w:cs="Arial"/>
                <w:sz w:val="19"/>
                <w:szCs w:val="19"/>
                <w:lang w:val="it-IT" w:eastAsia="zh-TW"/>
              </w:rPr>
              <w:t>Patologie sistemiche e condizioni relative alla sede di somministrazione</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2457DE6" w14:textId="77777777" w:rsidR="007F1160" w:rsidRPr="006A2BF9" w:rsidRDefault="007F1160" w:rsidP="00B26F69">
            <w:pPr>
              <w:widowControl w:val="0"/>
              <w:jc w:val="center"/>
              <w:rPr>
                <w:rFonts w:cs="Arial"/>
                <w:iCs/>
                <w:sz w:val="19"/>
                <w:szCs w:val="19"/>
                <w:lang w:val="it-IT" w:eastAsia="zh-TW"/>
              </w:rPr>
            </w:pPr>
            <w:r w:rsidRPr="006A2BF9">
              <w:rPr>
                <w:rFonts w:cs="Arial"/>
                <w:iCs/>
                <w:sz w:val="19"/>
                <w:szCs w:val="19"/>
                <w:lang w:val="it-IT" w:eastAsia="zh-TW"/>
              </w:rPr>
              <w:t>Astenia,</w:t>
            </w:r>
          </w:p>
          <w:p w14:paraId="0EFBACD6" w14:textId="77777777" w:rsidR="007F1160" w:rsidRPr="006A2BF9" w:rsidRDefault="007F1160" w:rsidP="00B26F69">
            <w:pPr>
              <w:widowControl w:val="0"/>
              <w:jc w:val="center"/>
              <w:rPr>
                <w:rFonts w:cs="Arial"/>
                <w:iCs/>
                <w:sz w:val="19"/>
                <w:szCs w:val="19"/>
                <w:lang w:val="it-IT" w:eastAsia="zh-TW"/>
              </w:rPr>
            </w:pPr>
            <w:r w:rsidRPr="006A2BF9">
              <w:rPr>
                <w:rFonts w:cs="Arial"/>
                <w:iCs/>
                <w:sz w:val="19"/>
                <w:szCs w:val="19"/>
                <w:lang w:val="it-IT" w:eastAsia="zh-TW"/>
              </w:rPr>
              <w:t>Affaticamento</w:t>
            </w:r>
          </w:p>
        </w:tc>
        <w:tc>
          <w:tcPr>
            <w:tcW w:w="1701" w:type="dxa"/>
            <w:tcBorders>
              <w:top w:val="single" w:sz="4" w:space="0" w:color="auto"/>
              <w:left w:val="nil"/>
              <w:bottom w:val="single" w:sz="4" w:space="0" w:color="auto"/>
              <w:right w:val="single" w:sz="4" w:space="0" w:color="auto"/>
            </w:tcBorders>
            <w:shd w:val="clear" w:color="000000" w:fill="FFFFFF"/>
          </w:tcPr>
          <w:p w14:paraId="68223DC5" w14:textId="77777777" w:rsidR="007F1160" w:rsidRPr="006A2BF9" w:rsidRDefault="007F1160" w:rsidP="00B26F69">
            <w:pPr>
              <w:widowControl w:val="0"/>
              <w:jc w:val="center"/>
              <w:rPr>
                <w:rFonts w:cs="Arial"/>
                <w:sz w:val="19"/>
                <w:szCs w:val="19"/>
                <w:lang w:val="it-IT" w:eastAsia="zh-TW"/>
              </w:rPr>
            </w:pPr>
            <w:r w:rsidRPr="006A2BF9">
              <w:rPr>
                <w:rFonts w:cs="Arial"/>
                <w:sz w:val="19"/>
                <w:szCs w:val="19"/>
                <w:lang w:val="it-IT" w:eastAsia="zh-TW"/>
              </w:rPr>
              <w:t>Dolore,</w:t>
            </w:r>
          </w:p>
          <w:p w14:paraId="04A898F8" w14:textId="77777777" w:rsidR="007F1160" w:rsidRPr="006A2BF9" w:rsidRDefault="007F1160" w:rsidP="00B26F69">
            <w:pPr>
              <w:widowControl w:val="0"/>
              <w:jc w:val="center"/>
              <w:rPr>
                <w:rFonts w:cs="Arial"/>
                <w:sz w:val="19"/>
                <w:szCs w:val="19"/>
                <w:lang w:val="it-IT" w:eastAsia="zh-TW"/>
              </w:rPr>
            </w:pPr>
            <w:r w:rsidRPr="006A2BF9">
              <w:rPr>
                <w:rFonts w:cs="Arial"/>
                <w:sz w:val="19"/>
                <w:szCs w:val="19"/>
                <w:lang w:val="it-IT" w:eastAsia="zh-TW"/>
              </w:rPr>
              <w:t>Letargia,</w:t>
            </w:r>
          </w:p>
          <w:p w14:paraId="530112DF" w14:textId="77777777" w:rsidR="007F1160" w:rsidRPr="006A2BF9" w:rsidRDefault="007F1160" w:rsidP="00B26F69">
            <w:pPr>
              <w:widowControl w:val="0"/>
              <w:jc w:val="center"/>
              <w:rPr>
                <w:rFonts w:cs="Arial"/>
                <w:sz w:val="19"/>
                <w:szCs w:val="19"/>
                <w:lang w:val="it-IT" w:eastAsia="zh-TW"/>
              </w:rPr>
            </w:pPr>
            <w:r w:rsidRPr="006A2BF9">
              <w:rPr>
                <w:rFonts w:cs="Arial"/>
                <w:sz w:val="19"/>
                <w:szCs w:val="19"/>
                <w:lang w:val="it-IT" w:eastAsia="zh-TW"/>
              </w:rPr>
              <w:t xml:space="preserve">Infiammazione </w:t>
            </w:r>
            <w:r w:rsidR="00AB333C" w:rsidRPr="006A2BF9">
              <w:rPr>
                <w:rFonts w:cs="Arial"/>
                <w:sz w:val="19"/>
                <w:szCs w:val="19"/>
                <w:lang w:val="it-IT" w:eastAsia="zh-TW"/>
              </w:rPr>
              <w:t>della mucosa</w:t>
            </w:r>
          </w:p>
        </w:tc>
        <w:tc>
          <w:tcPr>
            <w:tcW w:w="1276" w:type="dxa"/>
            <w:tcBorders>
              <w:top w:val="single" w:sz="4" w:space="0" w:color="auto"/>
              <w:left w:val="nil"/>
              <w:bottom w:val="single" w:sz="4" w:space="0" w:color="auto"/>
              <w:right w:val="single" w:sz="4" w:space="0" w:color="auto"/>
            </w:tcBorders>
            <w:shd w:val="clear" w:color="000000" w:fill="FFFFFF"/>
          </w:tcPr>
          <w:p w14:paraId="6B3DD85D" w14:textId="77777777" w:rsidR="007F1160" w:rsidRPr="006A2BF9" w:rsidRDefault="007F1160" w:rsidP="00B26F69">
            <w:pPr>
              <w:widowControl w:val="0"/>
              <w:jc w:val="center"/>
              <w:rPr>
                <w:rFonts w:cs="Arial"/>
                <w:sz w:val="19"/>
                <w:szCs w:val="19"/>
                <w:lang w:val="it-IT"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3EA26271" w14:textId="77777777" w:rsidR="007F1160" w:rsidRPr="006A2BF9" w:rsidRDefault="007F1160" w:rsidP="00B26F69">
            <w:pPr>
              <w:widowControl w:val="0"/>
              <w:jc w:val="center"/>
              <w:rPr>
                <w:rFonts w:cs="Arial"/>
                <w:sz w:val="19"/>
                <w:szCs w:val="19"/>
                <w:lang w:val="it-IT" w:eastAsia="zh-TW"/>
              </w:rPr>
            </w:pPr>
          </w:p>
        </w:tc>
        <w:tc>
          <w:tcPr>
            <w:tcW w:w="851" w:type="dxa"/>
            <w:tcBorders>
              <w:top w:val="single" w:sz="4" w:space="0" w:color="auto"/>
              <w:left w:val="nil"/>
              <w:bottom w:val="single" w:sz="4" w:space="0" w:color="auto"/>
              <w:right w:val="single" w:sz="4" w:space="0" w:color="auto"/>
            </w:tcBorders>
            <w:shd w:val="clear" w:color="000000" w:fill="FFFFFF"/>
          </w:tcPr>
          <w:p w14:paraId="76A77039" w14:textId="77777777" w:rsidR="007F1160" w:rsidRPr="006A2BF9" w:rsidRDefault="007F1160" w:rsidP="00B26F69">
            <w:pPr>
              <w:widowControl w:val="0"/>
              <w:jc w:val="center"/>
              <w:rPr>
                <w:rFonts w:cs="Arial"/>
                <w:sz w:val="19"/>
                <w:szCs w:val="19"/>
                <w:lang w:val="it-IT" w:eastAsia="zh-TW"/>
              </w:rPr>
            </w:pPr>
          </w:p>
        </w:tc>
        <w:tc>
          <w:tcPr>
            <w:tcW w:w="1417" w:type="dxa"/>
            <w:tcBorders>
              <w:top w:val="single" w:sz="4" w:space="0" w:color="auto"/>
              <w:left w:val="nil"/>
              <w:bottom w:val="single" w:sz="4" w:space="0" w:color="auto"/>
              <w:right w:val="single" w:sz="8" w:space="0" w:color="auto"/>
            </w:tcBorders>
            <w:shd w:val="clear" w:color="000000" w:fill="FFFFFF"/>
          </w:tcPr>
          <w:p w14:paraId="10893F7C" w14:textId="77777777" w:rsidR="007F1160" w:rsidRPr="006A2BF9" w:rsidRDefault="007F1160" w:rsidP="00B26F69">
            <w:pPr>
              <w:widowControl w:val="0"/>
              <w:jc w:val="center"/>
              <w:rPr>
                <w:rFonts w:cs="Arial"/>
                <w:sz w:val="19"/>
                <w:szCs w:val="19"/>
                <w:lang w:val="it-IT" w:eastAsia="zh-TW"/>
              </w:rPr>
            </w:pPr>
          </w:p>
        </w:tc>
      </w:tr>
    </w:tbl>
    <w:p w14:paraId="69B00E25" w14:textId="77777777" w:rsidR="009D4640" w:rsidRPr="006A2BF9" w:rsidRDefault="00A13AC7" w:rsidP="00F030E8">
      <w:pPr>
        <w:keepNext/>
        <w:keepLines/>
        <w:widowControl w:val="0"/>
        <w:spacing w:line="220" w:lineRule="exact"/>
        <w:rPr>
          <w:rFonts w:cs="Arial"/>
          <w:sz w:val="18"/>
          <w:szCs w:val="18"/>
          <w:lang w:val="it-IT" w:eastAsia="zh-TW"/>
        </w:rPr>
      </w:pPr>
      <w:r w:rsidRPr="006A2BF9">
        <w:rPr>
          <w:rFonts w:cs="Arial"/>
          <w:sz w:val="18"/>
          <w:szCs w:val="18"/>
          <w:lang w:val="it-IT" w:eastAsia="zh-TW"/>
        </w:rPr>
        <w:t>La t</w:t>
      </w:r>
      <w:r w:rsidR="009D4640" w:rsidRPr="006A2BF9">
        <w:rPr>
          <w:rFonts w:cs="Arial"/>
          <w:sz w:val="18"/>
          <w:szCs w:val="18"/>
          <w:lang w:val="it-IT" w:eastAsia="zh-TW"/>
        </w:rPr>
        <w:t>abella</w:t>
      </w:r>
      <w:r w:rsidR="00CC3602" w:rsidRPr="006A2BF9">
        <w:rPr>
          <w:rFonts w:cs="Arial"/>
          <w:sz w:val="18"/>
          <w:szCs w:val="18"/>
          <w:lang w:val="it-IT" w:eastAsia="zh-TW"/>
        </w:rPr>
        <w:t> </w:t>
      </w:r>
      <w:r w:rsidR="009D4640" w:rsidRPr="006A2BF9">
        <w:rPr>
          <w:rFonts w:cs="Arial"/>
          <w:sz w:val="18"/>
          <w:szCs w:val="18"/>
          <w:lang w:val="it-IT" w:eastAsia="zh-TW"/>
        </w:rPr>
        <w:t>2</w:t>
      </w:r>
      <w:r w:rsidR="00DA6D82" w:rsidRPr="006A2BF9">
        <w:rPr>
          <w:rFonts w:cs="Arial"/>
          <w:sz w:val="18"/>
          <w:szCs w:val="18"/>
          <w:lang w:val="it-IT" w:eastAsia="zh-TW"/>
        </w:rPr>
        <w:t xml:space="preserve"> indica la frequenza delle reazioni avverse </w:t>
      </w:r>
      <w:r w:rsidR="00322B38" w:rsidRPr="006A2BF9">
        <w:rPr>
          <w:rFonts w:cs="Arial"/>
          <w:sz w:val="18"/>
          <w:szCs w:val="18"/>
          <w:lang w:val="it-IT" w:eastAsia="zh-TW"/>
        </w:rPr>
        <w:t>severe</w:t>
      </w:r>
      <w:r w:rsidR="001C1A6E" w:rsidRPr="006A2BF9">
        <w:rPr>
          <w:rFonts w:cs="Arial"/>
          <w:sz w:val="18"/>
          <w:szCs w:val="18"/>
          <w:lang w:val="it-IT" w:eastAsia="zh-TW"/>
        </w:rPr>
        <w:t>.</w:t>
      </w:r>
      <w:r w:rsidR="00DA6D82" w:rsidRPr="006A2BF9">
        <w:rPr>
          <w:rFonts w:cs="Arial"/>
          <w:sz w:val="18"/>
          <w:szCs w:val="18"/>
          <w:lang w:val="it-IT" w:eastAsia="zh-TW"/>
        </w:rPr>
        <w:t xml:space="preserve"> Le reazioni </w:t>
      </w:r>
      <w:r w:rsidR="00322B38" w:rsidRPr="006A2BF9">
        <w:rPr>
          <w:rFonts w:cs="Arial"/>
          <w:sz w:val="18"/>
          <w:szCs w:val="18"/>
          <w:lang w:val="it-IT" w:eastAsia="zh-TW"/>
        </w:rPr>
        <w:t xml:space="preserve">severe </w:t>
      </w:r>
      <w:r w:rsidR="00DA6D82" w:rsidRPr="006A2BF9">
        <w:rPr>
          <w:rFonts w:cs="Arial"/>
          <w:sz w:val="18"/>
          <w:szCs w:val="18"/>
          <w:lang w:val="it-IT" w:eastAsia="zh-TW"/>
        </w:rPr>
        <w:t xml:space="preserve">sono definite come </w:t>
      </w:r>
      <w:r w:rsidR="00D63F4D">
        <w:rPr>
          <w:rFonts w:cs="Arial"/>
          <w:sz w:val="18"/>
          <w:szCs w:val="18"/>
          <w:lang w:val="it-IT" w:eastAsia="zh-TW"/>
        </w:rPr>
        <w:t xml:space="preserve">reazioni </w:t>
      </w:r>
      <w:r w:rsidR="00DA6D82" w:rsidRPr="006A2BF9">
        <w:rPr>
          <w:rFonts w:cs="Arial"/>
          <w:sz w:val="18"/>
          <w:szCs w:val="18"/>
          <w:lang w:val="it-IT" w:eastAsia="zh-TW"/>
        </w:rPr>
        <w:t>avvers</w:t>
      </w:r>
      <w:r w:rsidR="00D63F4D">
        <w:rPr>
          <w:rFonts w:cs="Arial"/>
          <w:sz w:val="18"/>
          <w:szCs w:val="18"/>
          <w:lang w:val="it-IT" w:eastAsia="zh-TW"/>
        </w:rPr>
        <w:t>e</w:t>
      </w:r>
      <w:r w:rsidR="00DA6D82" w:rsidRPr="006A2BF9">
        <w:rPr>
          <w:rFonts w:cs="Arial"/>
          <w:sz w:val="18"/>
          <w:szCs w:val="18"/>
          <w:lang w:val="it-IT" w:eastAsia="zh-TW"/>
        </w:rPr>
        <w:t xml:space="preserve"> con una differenza di almeno il 2% rispetto al braccio di controllo in studi clinici per le reazioni di Grado 3</w:t>
      </w:r>
      <w:r w:rsidR="00CC3602" w:rsidRPr="006A2BF9">
        <w:rPr>
          <w:rFonts w:cs="Arial"/>
          <w:sz w:val="18"/>
          <w:szCs w:val="18"/>
          <w:lang w:val="it-IT" w:eastAsia="zh-TW"/>
        </w:rPr>
        <w:noBreakHyphen/>
      </w:r>
      <w:r w:rsidR="00DA6D82" w:rsidRPr="006A2BF9">
        <w:rPr>
          <w:rFonts w:cs="Arial"/>
          <w:sz w:val="18"/>
          <w:szCs w:val="18"/>
          <w:lang w:val="it-IT" w:eastAsia="zh-TW"/>
        </w:rPr>
        <w:t>5</w:t>
      </w:r>
      <w:r w:rsidRPr="006A2BF9">
        <w:rPr>
          <w:rFonts w:cs="Arial"/>
          <w:sz w:val="18"/>
          <w:szCs w:val="18"/>
          <w:lang w:val="it-IT" w:eastAsia="zh-TW"/>
        </w:rPr>
        <w:t xml:space="preserve"> secondo l’NCI-CTCAE. La t</w:t>
      </w:r>
      <w:r w:rsidR="00DA6D82" w:rsidRPr="006A2BF9">
        <w:rPr>
          <w:rFonts w:cs="Arial"/>
          <w:sz w:val="18"/>
          <w:szCs w:val="18"/>
          <w:lang w:val="it-IT" w:eastAsia="zh-TW"/>
        </w:rPr>
        <w:t>abella</w:t>
      </w:r>
      <w:r w:rsidR="00CC3602" w:rsidRPr="006A2BF9">
        <w:rPr>
          <w:rFonts w:cs="Arial"/>
          <w:sz w:val="18"/>
          <w:szCs w:val="18"/>
          <w:lang w:val="it-IT" w:eastAsia="zh-TW"/>
        </w:rPr>
        <w:t> </w:t>
      </w:r>
      <w:r w:rsidR="00DA6D82" w:rsidRPr="006A2BF9">
        <w:rPr>
          <w:rFonts w:cs="Arial"/>
          <w:sz w:val="18"/>
          <w:szCs w:val="18"/>
          <w:lang w:val="it-IT" w:eastAsia="zh-TW"/>
        </w:rPr>
        <w:t xml:space="preserve">2 comprende anche le reazioni avverse che secondo il </w:t>
      </w:r>
      <w:r w:rsidR="00AB333C" w:rsidRPr="006A2BF9">
        <w:rPr>
          <w:rFonts w:cs="Arial"/>
          <w:sz w:val="18"/>
          <w:szCs w:val="18"/>
          <w:lang w:val="it-IT" w:eastAsia="zh-TW"/>
        </w:rPr>
        <w:t>titolare dell’</w:t>
      </w:r>
      <w:r w:rsidR="00DA6D82" w:rsidRPr="006A2BF9">
        <w:rPr>
          <w:rFonts w:cs="Arial"/>
          <w:sz w:val="18"/>
          <w:szCs w:val="18"/>
          <w:lang w:val="it-IT" w:eastAsia="zh-TW"/>
        </w:rPr>
        <w:t>AIC sono considera</w:t>
      </w:r>
      <w:r w:rsidR="00EF4712" w:rsidRPr="006A2BF9">
        <w:rPr>
          <w:rFonts w:cs="Arial"/>
          <w:sz w:val="18"/>
          <w:szCs w:val="18"/>
          <w:lang w:val="it-IT" w:eastAsia="zh-TW"/>
        </w:rPr>
        <w:t>te</w:t>
      </w:r>
      <w:r w:rsidR="00DA6D82" w:rsidRPr="006A2BF9">
        <w:rPr>
          <w:rFonts w:cs="Arial"/>
          <w:sz w:val="18"/>
          <w:szCs w:val="18"/>
          <w:lang w:val="it-IT" w:eastAsia="zh-TW"/>
        </w:rPr>
        <w:t xml:space="preserve"> clinicamente significative o </w:t>
      </w:r>
      <w:r w:rsidR="00322B38" w:rsidRPr="006A2BF9">
        <w:rPr>
          <w:rFonts w:cs="Arial"/>
          <w:sz w:val="18"/>
          <w:szCs w:val="18"/>
          <w:lang w:val="it-IT" w:eastAsia="zh-TW"/>
        </w:rPr>
        <w:t>severe</w:t>
      </w:r>
      <w:r w:rsidR="00DA6D82" w:rsidRPr="006A2BF9">
        <w:rPr>
          <w:rFonts w:cs="Arial"/>
          <w:sz w:val="18"/>
          <w:szCs w:val="18"/>
          <w:lang w:val="it-IT" w:eastAsia="zh-TW"/>
        </w:rPr>
        <w:t>. Tali reazioni avverse clinicamente significative sono state riportate in studi clinic</w:t>
      </w:r>
      <w:r w:rsidRPr="006A2BF9">
        <w:rPr>
          <w:rFonts w:cs="Arial"/>
          <w:sz w:val="18"/>
          <w:szCs w:val="18"/>
          <w:lang w:val="it-IT" w:eastAsia="zh-TW"/>
        </w:rPr>
        <w:t>i</w:t>
      </w:r>
      <w:r w:rsidR="00DA6D82" w:rsidRPr="006A2BF9">
        <w:rPr>
          <w:rFonts w:cs="Arial"/>
          <w:sz w:val="18"/>
          <w:szCs w:val="18"/>
          <w:lang w:val="it-IT" w:eastAsia="zh-TW"/>
        </w:rPr>
        <w:t xml:space="preserve">, ma le reazioni di </w:t>
      </w:r>
      <w:r w:rsidR="007A73D6" w:rsidRPr="006A2BF9">
        <w:rPr>
          <w:rFonts w:cs="Arial"/>
          <w:sz w:val="18"/>
          <w:szCs w:val="18"/>
          <w:lang w:val="it-IT" w:eastAsia="zh-TW"/>
        </w:rPr>
        <w:t>G</w:t>
      </w:r>
      <w:r w:rsidR="00DA6D82" w:rsidRPr="006A2BF9">
        <w:rPr>
          <w:rFonts w:cs="Arial"/>
          <w:sz w:val="18"/>
          <w:szCs w:val="18"/>
          <w:lang w:val="it-IT" w:eastAsia="zh-TW"/>
        </w:rPr>
        <w:t>rado 3</w:t>
      </w:r>
      <w:r w:rsidR="00CC3602" w:rsidRPr="006A2BF9">
        <w:rPr>
          <w:rFonts w:cs="Arial"/>
          <w:sz w:val="18"/>
          <w:szCs w:val="18"/>
          <w:lang w:val="it-IT" w:eastAsia="zh-TW"/>
        </w:rPr>
        <w:noBreakHyphen/>
      </w:r>
      <w:r w:rsidR="00DA6D82" w:rsidRPr="006A2BF9">
        <w:rPr>
          <w:rFonts w:cs="Arial"/>
          <w:sz w:val="18"/>
          <w:szCs w:val="18"/>
          <w:lang w:val="it-IT" w:eastAsia="zh-TW"/>
        </w:rPr>
        <w:t xml:space="preserve">5 non hanno raggiunto la soglia di una differenza di almeno il 2% rispetto al braccio di controllo. La </w:t>
      </w:r>
      <w:r w:rsidRPr="006A2BF9">
        <w:rPr>
          <w:rFonts w:cs="Arial"/>
          <w:sz w:val="18"/>
          <w:szCs w:val="18"/>
          <w:lang w:val="it-IT" w:eastAsia="zh-TW"/>
        </w:rPr>
        <w:t>t</w:t>
      </w:r>
      <w:r w:rsidR="00DA6D82" w:rsidRPr="006A2BF9">
        <w:rPr>
          <w:rFonts w:cs="Arial"/>
          <w:sz w:val="18"/>
          <w:szCs w:val="18"/>
          <w:lang w:val="it-IT" w:eastAsia="zh-TW"/>
        </w:rPr>
        <w:t>abella</w:t>
      </w:r>
      <w:r w:rsidR="00CC3602" w:rsidRPr="006A2BF9">
        <w:rPr>
          <w:rFonts w:cs="Arial"/>
          <w:sz w:val="18"/>
          <w:szCs w:val="18"/>
          <w:lang w:val="it-IT" w:eastAsia="zh-TW"/>
        </w:rPr>
        <w:t> </w:t>
      </w:r>
      <w:r w:rsidR="00DA6D82" w:rsidRPr="006A2BF9">
        <w:rPr>
          <w:rFonts w:cs="Arial"/>
          <w:sz w:val="18"/>
          <w:szCs w:val="18"/>
          <w:lang w:val="it-IT" w:eastAsia="zh-TW"/>
        </w:rPr>
        <w:t>2 comprende anche le reazioni avverse clinicamente significative osservate solo nella fase post-</w:t>
      </w:r>
      <w:r w:rsidR="009541AD" w:rsidRPr="006A2BF9">
        <w:rPr>
          <w:rFonts w:cs="Arial"/>
          <w:sz w:val="18"/>
          <w:szCs w:val="18"/>
          <w:lang w:val="it-IT" w:eastAsia="zh-TW"/>
        </w:rPr>
        <w:t>commercializzazione</w:t>
      </w:r>
      <w:r w:rsidR="00DA6D82" w:rsidRPr="006A2BF9">
        <w:rPr>
          <w:rFonts w:cs="Arial"/>
          <w:sz w:val="18"/>
          <w:szCs w:val="18"/>
          <w:lang w:val="it-IT" w:eastAsia="zh-TW"/>
        </w:rPr>
        <w:t>, quindi la frequenza e il grado secondo l’NCI-CTCAE non sono noti. Perciò tali reazioni clinicamente significa</w:t>
      </w:r>
      <w:r w:rsidRPr="006A2BF9">
        <w:rPr>
          <w:rFonts w:cs="Arial"/>
          <w:sz w:val="18"/>
          <w:szCs w:val="18"/>
          <w:lang w:val="it-IT" w:eastAsia="zh-TW"/>
        </w:rPr>
        <w:t>tive sono state inserite nella t</w:t>
      </w:r>
      <w:r w:rsidR="00DA6D82" w:rsidRPr="006A2BF9">
        <w:rPr>
          <w:rFonts w:cs="Arial"/>
          <w:sz w:val="18"/>
          <w:szCs w:val="18"/>
          <w:lang w:val="it-IT" w:eastAsia="zh-TW"/>
        </w:rPr>
        <w:t>abella</w:t>
      </w:r>
      <w:r w:rsidR="00CC3602" w:rsidRPr="006A2BF9">
        <w:rPr>
          <w:rFonts w:cs="Arial"/>
          <w:sz w:val="18"/>
          <w:szCs w:val="18"/>
          <w:lang w:val="it-IT" w:eastAsia="zh-TW"/>
        </w:rPr>
        <w:t> </w:t>
      </w:r>
      <w:r w:rsidR="00DA6D82" w:rsidRPr="006A2BF9">
        <w:rPr>
          <w:rFonts w:cs="Arial"/>
          <w:sz w:val="18"/>
          <w:szCs w:val="18"/>
          <w:lang w:val="it-IT" w:eastAsia="zh-TW"/>
        </w:rPr>
        <w:t>2 all’interno della colonna che riporta il titolo “Frequenza non nota”.</w:t>
      </w:r>
    </w:p>
    <w:p w14:paraId="221B86AC" w14:textId="77777777" w:rsidR="000C1753" w:rsidRPr="006A2BF9" w:rsidRDefault="000C1753" w:rsidP="00F030E8">
      <w:pPr>
        <w:keepNext/>
        <w:keepLines/>
        <w:widowControl w:val="0"/>
        <w:tabs>
          <w:tab w:val="left" w:pos="4920"/>
        </w:tabs>
        <w:spacing w:line="220" w:lineRule="exact"/>
        <w:ind w:left="142" w:hanging="142"/>
        <w:rPr>
          <w:sz w:val="18"/>
          <w:szCs w:val="18"/>
          <w:lang w:val="it-IT"/>
        </w:rPr>
      </w:pPr>
      <w:r w:rsidRPr="006A2BF9">
        <w:rPr>
          <w:sz w:val="18"/>
          <w:szCs w:val="18"/>
          <w:vertAlign w:val="superscript"/>
          <w:lang w:val="it-IT"/>
        </w:rPr>
        <w:t>a</w:t>
      </w:r>
      <w:r w:rsidRPr="006A2BF9">
        <w:rPr>
          <w:sz w:val="18"/>
          <w:szCs w:val="18"/>
          <w:lang w:val="it-IT"/>
        </w:rPr>
        <w:t xml:space="preserve"> I termini rappresentano un insieme di eventi che descrivono un concetto medico piuttosto che una singola condizione oppure i termini preferiti MedDRA (Medical Dictionary for Regulatory Activit</w:t>
      </w:r>
      <w:r w:rsidR="00DA6D82" w:rsidRPr="006A2BF9">
        <w:rPr>
          <w:sz w:val="18"/>
          <w:szCs w:val="18"/>
          <w:lang w:val="it-IT"/>
        </w:rPr>
        <w:t>i</w:t>
      </w:r>
      <w:r w:rsidRPr="006A2BF9">
        <w:rPr>
          <w:sz w:val="18"/>
          <w:szCs w:val="18"/>
          <w:lang w:val="it-IT"/>
        </w:rPr>
        <w:t>es, dizionario medico per le attività di regolamentazione). Questo gruppo di termini medici può implicare la medesima patofisiologia sottostante (ad es. le reazioni tromboemboliche arteriose includono l’accidente cerebrovascolare, l’infarto miocardico, l’attacco ischemico transitorio e altre reazioni tromboemboliche arteriose).</w:t>
      </w:r>
    </w:p>
    <w:p w14:paraId="150A372C" w14:textId="77777777" w:rsidR="000C1753" w:rsidRPr="006A2BF9" w:rsidRDefault="000C1753" w:rsidP="00F030E8">
      <w:pPr>
        <w:keepNext/>
        <w:keepLines/>
        <w:widowControl w:val="0"/>
        <w:spacing w:line="220" w:lineRule="exact"/>
        <w:ind w:left="142" w:hanging="142"/>
        <w:rPr>
          <w:sz w:val="18"/>
          <w:szCs w:val="18"/>
          <w:lang w:val="it-IT"/>
        </w:rPr>
      </w:pPr>
      <w:r w:rsidRPr="006A2BF9">
        <w:rPr>
          <w:iCs/>
          <w:sz w:val="18"/>
          <w:szCs w:val="18"/>
          <w:vertAlign w:val="superscript"/>
          <w:lang w:val="it-IT"/>
        </w:rPr>
        <w:t xml:space="preserve">b </w:t>
      </w:r>
      <w:r w:rsidRPr="006A2BF9">
        <w:rPr>
          <w:sz w:val="18"/>
          <w:szCs w:val="18"/>
          <w:lang w:val="it-IT"/>
        </w:rPr>
        <w:t>Per ulteriori informazioni fare riferimento al paragrafo seguente “</w:t>
      </w:r>
      <w:r w:rsidR="00AB333C" w:rsidRPr="006A2BF9">
        <w:rPr>
          <w:sz w:val="18"/>
          <w:szCs w:val="18"/>
          <w:lang w:val="it-IT"/>
        </w:rPr>
        <w:t>Descrizione di reazioni avverse selezionate gravi</w:t>
      </w:r>
      <w:r w:rsidRPr="006A2BF9">
        <w:rPr>
          <w:sz w:val="18"/>
          <w:szCs w:val="18"/>
          <w:lang w:val="it-IT"/>
        </w:rPr>
        <w:t>”.</w:t>
      </w:r>
    </w:p>
    <w:p w14:paraId="43F35FC9" w14:textId="77777777" w:rsidR="00DA6D82" w:rsidRPr="006A2BF9" w:rsidRDefault="00DA6D82" w:rsidP="00F030E8">
      <w:pPr>
        <w:keepNext/>
        <w:keepLines/>
        <w:widowControl w:val="0"/>
        <w:spacing w:line="220" w:lineRule="exact"/>
        <w:ind w:left="142" w:hanging="142"/>
        <w:rPr>
          <w:iCs/>
          <w:sz w:val="18"/>
          <w:szCs w:val="18"/>
          <w:lang w:val="it-IT"/>
        </w:rPr>
      </w:pPr>
      <w:r w:rsidRPr="006A2BF9">
        <w:rPr>
          <w:iCs/>
          <w:sz w:val="18"/>
          <w:szCs w:val="18"/>
          <w:vertAlign w:val="superscript"/>
          <w:lang w:val="it-IT"/>
        </w:rPr>
        <w:t>c</w:t>
      </w:r>
      <w:r w:rsidRPr="006A2BF9">
        <w:rPr>
          <w:iCs/>
          <w:sz w:val="18"/>
          <w:szCs w:val="18"/>
          <w:lang w:val="it-IT"/>
        </w:rPr>
        <w:t xml:space="preserve"> Per ulteriori info</w:t>
      </w:r>
      <w:r w:rsidR="00244905" w:rsidRPr="006A2BF9">
        <w:rPr>
          <w:iCs/>
          <w:sz w:val="18"/>
          <w:szCs w:val="18"/>
          <w:lang w:val="it-IT"/>
        </w:rPr>
        <w:t>rmazioni fare riferimento alla t</w:t>
      </w:r>
      <w:r w:rsidRPr="006A2BF9">
        <w:rPr>
          <w:iCs/>
          <w:sz w:val="18"/>
          <w:szCs w:val="18"/>
          <w:lang w:val="it-IT"/>
        </w:rPr>
        <w:t>abella</w:t>
      </w:r>
      <w:r w:rsidR="00CC3602" w:rsidRPr="006A2BF9">
        <w:rPr>
          <w:iCs/>
          <w:sz w:val="18"/>
          <w:szCs w:val="18"/>
          <w:lang w:val="it-IT"/>
        </w:rPr>
        <w:t> </w:t>
      </w:r>
      <w:r w:rsidRPr="006A2BF9">
        <w:rPr>
          <w:iCs/>
          <w:sz w:val="18"/>
          <w:szCs w:val="18"/>
          <w:lang w:val="it-IT"/>
        </w:rPr>
        <w:t xml:space="preserve">3 “Reazioni avverse segnalate </w:t>
      </w:r>
      <w:r w:rsidR="009541AD" w:rsidRPr="006A2BF9">
        <w:rPr>
          <w:iCs/>
          <w:sz w:val="18"/>
          <w:szCs w:val="18"/>
          <w:lang w:val="it-IT"/>
        </w:rPr>
        <w:t>dopo la</w:t>
      </w:r>
      <w:r w:rsidR="00372CD9" w:rsidRPr="006A2BF9">
        <w:rPr>
          <w:iCs/>
          <w:sz w:val="18"/>
          <w:szCs w:val="18"/>
          <w:lang w:val="it-IT"/>
        </w:rPr>
        <w:t xml:space="preserve"> </w:t>
      </w:r>
      <w:r w:rsidR="009541AD" w:rsidRPr="006A2BF9">
        <w:rPr>
          <w:iCs/>
          <w:sz w:val="18"/>
          <w:szCs w:val="18"/>
          <w:lang w:val="it-IT"/>
        </w:rPr>
        <w:t>commercializzazione</w:t>
      </w:r>
      <w:r w:rsidRPr="006A2BF9">
        <w:rPr>
          <w:iCs/>
          <w:sz w:val="18"/>
          <w:szCs w:val="18"/>
          <w:lang w:val="it-IT"/>
        </w:rPr>
        <w:t>”</w:t>
      </w:r>
    </w:p>
    <w:p w14:paraId="6AAE82D3" w14:textId="77777777" w:rsidR="0059507F" w:rsidRPr="006A2BF9" w:rsidRDefault="001972EA" w:rsidP="00F030E8">
      <w:pPr>
        <w:keepNext/>
        <w:keepLines/>
        <w:widowControl w:val="0"/>
        <w:spacing w:line="220" w:lineRule="exact"/>
        <w:ind w:left="142" w:hanging="142"/>
        <w:rPr>
          <w:iCs/>
          <w:sz w:val="18"/>
          <w:szCs w:val="18"/>
          <w:lang w:val="it-IT"/>
        </w:rPr>
      </w:pPr>
      <w:r w:rsidRPr="006A2BF9">
        <w:rPr>
          <w:sz w:val="18"/>
          <w:szCs w:val="18"/>
          <w:vertAlign w:val="superscript"/>
          <w:lang w:val="it-IT"/>
        </w:rPr>
        <w:t>d</w:t>
      </w:r>
      <w:r w:rsidR="0059507F" w:rsidRPr="006A2BF9">
        <w:rPr>
          <w:sz w:val="18"/>
          <w:szCs w:val="18"/>
          <w:lang w:val="it-IT"/>
        </w:rPr>
        <w:t xml:space="preserve"> Le fistole retto-vaginali sono le fistole più comuni tra le fistole vagino-GI.</w:t>
      </w:r>
    </w:p>
    <w:p w14:paraId="43DDCC91" w14:textId="77777777" w:rsidR="009C0666" w:rsidRPr="006A2BF9" w:rsidRDefault="009C0666" w:rsidP="00F030E8">
      <w:pPr>
        <w:widowControl w:val="0"/>
        <w:spacing w:line="220" w:lineRule="exact"/>
        <w:rPr>
          <w:i/>
          <w:iCs/>
          <w:lang w:val="it-IT"/>
        </w:rPr>
      </w:pPr>
    </w:p>
    <w:p w14:paraId="2EFDB071" w14:textId="77777777" w:rsidR="009C0666" w:rsidRPr="006A2BF9" w:rsidRDefault="006B4579" w:rsidP="00F030E8">
      <w:pPr>
        <w:widowControl w:val="0"/>
        <w:rPr>
          <w:iCs/>
          <w:u w:val="single"/>
          <w:lang w:val="it-IT"/>
        </w:rPr>
      </w:pPr>
      <w:r w:rsidRPr="006A2BF9">
        <w:rPr>
          <w:iCs/>
          <w:u w:val="single"/>
          <w:lang w:val="it-IT"/>
        </w:rPr>
        <w:t>Descrizione di</w:t>
      </w:r>
      <w:r w:rsidR="009C0666" w:rsidRPr="006A2BF9">
        <w:rPr>
          <w:iCs/>
          <w:u w:val="single"/>
          <w:lang w:val="it-IT"/>
        </w:rPr>
        <w:t xml:space="preserve"> reazioni avverse </w:t>
      </w:r>
      <w:r w:rsidR="00AB333C" w:rsidRPr="006A2BF9">
        <w:rPr>
          <w:iCs/>
          <w:u w:val="single"/>
          <w:lang w:val="it-IT"/>
        </w:rPr>
        <w:t>selezionate gravi</w:t>
      </w:r>
    </w:p>
    <w:p w14:paraId="5566A9C1" w14:textId="77777777" w:rsidR="009C0666" w:rsidRPr="006A2BF9" w:rsidRDefault="009C0666" w:rsidP="00F030E8">
      <w:pPr>
        <w:widowControl w:val="0"/>
        <w:rPr>
          <w:iCs/>
          <w:lang w:val="it-IT"/>
        </w:rPr>
      </w:pPr>
    </w:p>
    <w:p w14:paraId="5E8B2E9F" w14:textId="77777777" w:rsidR="009C0666" w:rsidRPr="006A2BF9" w:rsidRDefault="009C0666" w:rsidP="00F030E8">
      <w:pPr>
        <w:widowControl w:val="0"/>
        <w:rPr>
          <w:u w:val="single"/>
          <w:lang w:val="it-IT"/>
        </w:rPr>
      </w:pPr>
      <w:r w:rsidRPr="006A2BF9">
        <w:rPr>
          <w:i/>
          <w:iCs/>
          <w:u w:val="single"/>
          <w:lang w:val="it-IT"/>
        </w:rPr>
        <w:t>Perforazion</w:t>
      </w:r>
      <w:r w:rsidR="0059507F" w:rsidRPr="006A2BF9">
        <w:rPr>
          <w:i/>
          <w:iCs/>
          <w:u w:val="single"/>
          <w:lang w:val="it-IT"/>
        </w:rPr>
        <w:t>i</w:t>
      </w:r>
      <w:r w:rsidRPr="006A2BF9">
        <w:rPr>
          <w:i/>
          <w:iCs/>
          <w:u w:val="single"/>
          <w:lang w:val="it-IT"/>
        </w:rPr>
        <w:t xml:space="preserve"> </w:t>
      </w:r>
      <w:r w:rsidR="0059507F" w:rsidRPr="006A2BF9">
        <w:rPr>
          <w:i/>
          <w:iCs/>
          <w:u w:val="single"/>
          <w:lang w:val="it-IT"/>
        </w:rPr>
        <w:t xml:space="preserve">e fistole </w:t>
      </w:r>
      <w:r w:rsidRPr="006A2BF9">
        <w:rPr>
          <w:i/>
          <w:iCs/>
          <w:u w:val="single"/>
          <w:lang w:val="it-IT"/>
        </w:rPr>
        <w:t>gastrointestinal</w:t>
      </w:r>
      <w:r w:rsidR="0059507F" w:rsidRPr="006A2BF9">
        <w:rPr>
          <w:i/>
          <w:iCs/>
          <w:u w:val="single"/>
          <w:lang w:val="it-IT"/>
        </w:rPr>
        <w:t>i (GI)</w:t>
      </w:r>
      <w:r w:rsidRPr="006A2BF9">
        <w:rPr>
          <w:i/>
          <w:iCs/>
          <w:u w:val="single"/>
          <w:lang w:val="it-IT"/>
        </w:rPr>
        <w:t xml:space="preserve"> </w:t>
      </w:r>
      <w:r w:rsidRPr="006A2BF9">
        <w:rPr>
          <w:iCs/>
          <w:u w:val="single"/>
          <w:lang w:val="it-IT"/>
        </w:rPr>
        <w:t>(</w:t>
      </w:r>
      <w:r w:rsidRPr="006A2BF9">
        <w:rPr>
          <w:u w:val="single"/>
          <w:lang w:val="it-IT"/>
        </w:rPr>
        <w:t>vedere paragrafo</w:t>
      </w:r>
      <w:r w:rsidR="009F44A8" w:rsidRPr="006A2BF9">
        <w:rPr>
          <w:iCs/>
          <w:u w:val="single"/>
          <w:lang w:val="it-IT"/>
        </w:rPr>
        <w:t> </w:t>
      </w:r>
      <w:r w:rsidRPr="006A2BF9">
        <w:rPr>
          <w:iCs/>
          <w:u w:val="single"/>
          <w:lang w:val="it-IT"/>
        </w:rPr>
        <w:t>4.4)</w:t>
      </w:r>
    </w:p>
    <w:p w14:paraId="1C887DFA" w14:textId="77777777" w:rsidR="009C0666" w:rsidRPr="006A2BF9" w:rsidRDefault="009C0666" w:rsidP="00F030E8">
      <w:pPr>
        <w:widowControl w:val="0"/>
        <w:rPr>
          <w:lang w:val="it-IT"/>
        </w:rPr>
      </w:pPr>
      <w:r w:rsidRPr="006A2BF9">
        <w:rPr>
          <w:lang w:val="it-IT"/>
        </w:rPr>
        <w:t xml:space="preserve">La terapia con </w:t>
      </w:r>
      <w:r w:rsidR="009F44A8" w:rsidRPr="006A2BF9">
        <w:rPr>
          <w:szCs w:val="22"/>
          <w:lang w:val="it-IT"/>
        </w:rPr>
        <w:t>bevacizumab</w:t>
      </w:r>
      <w:r w:rsidR="009F44A8" w:rsidRPr="006A2BF9">
        <w:rPr>
          <w:lang w:val="it-IT"/>
        </w:rPr>
        <w:t xml:space="preserve"> </w:t>
      </w:r>
      <w:r w:rsidRPr="006A2BF9">
        <w:rPr>
          <w:lang w:val="it-IT"/>
        </w:rPr>
        <w:t>è stata associata a gravi episodi di perforazione gastrointestinale.</w:t>
      </w:r>
    </w:p>
    <w:p w14:paraId="3B55AF18" w14:textId="77777777" w:rsidR="009C0666" w:rsidRPr="006A2BF9" w:rsidRDefault="009C0666" w:rsidP="00F030E8">
      <w:pPr>
        <w:widowControl w:val="0"/>
        <w:rPr>
          <w:lang w:val="it-IT"/>
        </w:rPr>
      </w:pPr>
    </w:p>
    <w:p w14:paraId="612B0C4D" w14:textId="77777777" w:rsidR="009C0666" w:rsidRPr="00330A40" w:rsidRDefault="009C0666" w:rsidP="00F030E8">
      <w:pPr>
        <w:widowControl w:val="0"/>
        <w:rPr>
          <w:lang w:val="it-IT"/>
        </w:rPr>
      </w:pPr>
      <w:r w:rsidRPr="006A2BF9">
        <w:rPr>
          <w:lang w:val="it-IT"/>
        </w:rPr>
        <w:t xml:space="preserve">Perforazioni gastrointestinali sono state riportate negli studi clinici con un’incidenza inferiore all’1% nei pazienti con </w:t>
      </w:r>
      <w:r w:rsidR="00B82281">
        <w:rPr>
          <w:lang w:val="it-IT"/>
        </w:rPr>
        <w:t>cancro del polmone</w:t>
      </w:r>
      <w:r w:rsidRPr="006A2BF9">
        <w:rPr>
          <w:lang w:val="it-IT"/>
        </w:rPr>
        <w:t xml:space="preserve"> non a piccole cellule non-squamoso,</w:t>
      </w:r>
      <w:r w:rsidR="00ED332A" w:rsidRPr="006A2BF9">
        <w:rPr>
          <w:lang w:val="it-IT"/>
        </w:rPr>
        <w:t xml:space="preserve"> fino al</w:t>
      </w:r>
      <w:r w:rsidR="00D821E9" w:rsidRPr="006A2BF9">
        <w:rPr>
          <w:lang w:val="it-IT"/>
        </w:rPr>
        <w:t>l’</w:t>
      </w:r>
      <w:r w:rsidR="00ED332A" w:rsidRPr="006A2BF9">
        <w:rPr>
          <w:lang w:val="it-IT"/>
        </w:rPr>
        <w:t xml:space="preserve">1,3% nei pazienti </w:t>
      </w:r>
      <w:r w:rsidR="00ED332A" w:rsidRPr="006A2BF9">
        <w:rPr>
          <w:lang w:val="it-IT"/>
        </w:rPr>
        <w:lastRenderedPageBreak/>
        <w:t xml:space="preserve">con </w:t>
      </w:r>
      <w:r w:rsidR="00EB182B">
        <w:rPr>
          <w:lang w:val="it-IT"/>
        </w:rPr>
        <w:t>cancro della mammella</w:t>
      </w:r>
      <w:r w:rsidR="00ED332A" w:rsidRPr="00330A40">
        <w:rPr>
          <w:lang w:val="it-IT"/>
        </w:rPr>
        <w:t xml:space="preserve"> metastatico,</w:t>
      </w:r>
      <w:r w:rsidR="00ED4F9E" w:rsidRPr="00330A40">
        <w:rPr>
          <w:lang w:val="it-IT"/>
        </w:rPr>
        <w:t xml:space="preserve"> fino al 2,0% </w:t>
      </w:r>
      <w:r w:rsidR="00F451BF" w:rsidRPr="00330A40">
        <w:rPr>
          <w:lang w:val="it-IT"/>
        </w:rPr>
        <w:t xml:space="preserve">nei pazienti con </w:t>
      </w:r>
      <w:r w:rsidR="00E82ECD">
        <w:rPr>
          <w:lang w:val="it-IT"/>
        </w:rPr>
        <w:t xml:space="preserve">cancro a cellule </w:t>
      </w:r>
      <w:r w:rsidR="00F451BF" w:rsidRPr="00330A40">
        <w:rPr>
          <w:lang w:val="it-IT"/>
        </w:rPr>
        <w:t>renal</w:t>
      </w:r>
      <w:r w:rsidR="00E82ECD">
        <w:rPr>
          <w:lang w:val="it-IT"/>
        </w:rPr>
        <w:t>i</w:t>
      </w:r>
      <w:r w:rsidR="00F451BF" w:rsidRPr="00330A40">
        <w:rPr>
          <w:lang w:val="it-IT"/>
        </w:rPr>
        <w:t xml:space="preserve"> metastatico o </w:t>
      </w:r>
      <w:r w:rsidR="00ED4F9E" w:rsidRPr="00330A40">
        <w:rPr>
          <w:lang w:val="it-IT"/>
        </w:rPr>
        <w:t>nelle pazienti con</w:t>
      </w:r>
      <w:r w:rsidR="00E82ECD">
        <w:rPr>
          <w:lang w:val="it-IT"/>
        </w:rPr>
        <w:t xml:space="preserve"> cancro dell’ovaio</w:t>
      </w:r>
      <w:r w:rsidR="00ED4F9E" w:rsidRPr="00330A40">
        <w:rPr>
          <w:lang w:val="it-IT"/>
        </w:rPr>
        <w:t xml:space="preserve"> e fino al 2,7% (compresi fistola gastrointestinale e ascesso) nei pazienti con </w:t>
      </w:r>
      <w:r w:rsidR="00E82ECD">
        <w:rPr>
          <w:lang w:val="it-IT"/>
        </w:rPr>
        <w:t xml:space="preserve">cancro </w:t>
      </w:r>
      <w:r w:rsidR="00E82ECD" w:rsidRPr="00330A40">
        <w:rPr>
          <w:lang w:val="it-IT"/>
        </w:rPr>
        <w:t xml:space="preserve">metastatico </w:t>
      </w:r>
      <w:r w:rsidR="00ED4F9E" w:rsidRPr="00330A40">
        <w:rPr>
          <w:lang w:val="it-IT"/>
        </w:rPr>
        <w:t>d</w:t>
      </w:r>
      <w:r w:rsidR="00E82ECD">
        <w:rPr>
          <w:lang w:val="it-IT"/>
        </w:rPr>
        <w:t>i</w:t>
      </w:r>
      <w:r w:rsidR="00ED4F9E" w:rsidRPr="00330A40">
        <w:rPr>
          <w:lang w:val="it-IT"/>
        </w:rPr>
        <w:t xml:space="preserve"> colon</w:t>
      </w:r>
      <w:r w:rsidR="00E82ECD">
        <w:rPr>
          <w:lang w:val="it-IT"/>
        </w:rPr>
        <w:t xml:space="preserve"> e </w:t>
      </w:r>
      <w:r w:rsidR="00ED4F9E" w:rsidRPr="00330A40">
        <w:rPr>
          <w:lang w:val="it-IT"/>
        </w:rPr>
        <w:t>retto</w:t>
      </w:r>
      <w:r w:rsidRPr="00330A40">
        <w:rPr>
          <w:lang w:val="it-IT"/>
        </w:rPr>
        <w:t xml:space="preserve">. </w:t>
      </w:r>
      <w:r w:rsidR="0059507F" w:rsidRPr="00330A40">
        <w:rPr>
          <w:lang w:val="it-IT"/>
        </w:rPr>
        <w:t xml:space="preserve">In uno studio clinico condotto su pazienti affette da </w:t>
      </w:r>
      <w:r w:rsidR="00E82ECD">
        <w:rPr>
          <w:lang w:val="it-IT"/>
        </w:rPr>
        <w:t>cancro</w:t>
      </w:r>
      <w:r w:rsidR="00E82ECD" w:rsidRPr="00330A40">
        <w:rPr>
          <w:lang w:val="it-IT"/>
        </w:rPr>
        <w:t xml:space="preserve"> </w:t>
      </w:r>
      <w:r w:rsidR="0059507F" w:rsidRPr="00330A40">
        <w:rPr>
          <w:lang w:val="it-IT"/>
        </w:rPr>
        <w:t xml:space="preserve">della cervice persistente, </w:t>
      </w:r>
      <w:r w:rsidR="00053210" w:rsidRPr="00330A40">
        <w:rPr>
          <w:lang w:val="it-IT"/>
        </w:rPr>
        <w:t>ricorrente</w:t>
      </w:r>
      <w:r w:rsidR="0059507F" w:rsidRPr="00330A40">
        <w:rPr>
          <w:lang w:val="it-IT"/>
        </w:rPr>
        <w:t xml:space="preserve"> o metastatico (studio GOG-0240), </w:t>
      </w:r>
      <w:r w:rsidR="00A55C68" w:rsidRPr="00330A40">
        <w:rPr>
          <w:lang w:val="it-IT"/>
        </w:rPr>
        <w:t xml:space="preserve">sono state segnalate perforazioni GI (di ogni grado) </w:t>
      </w:r>
      <w:r w:rsidR="0059507F" w:rsidRPr="00330A40">
        <w:rPr>
          <w:lang w:val="it-IT"/>
        </w:rPr>
        <w:t>nel 3,2% delle pazienti</w:t>
      </w:r>
      <w:r w:rsidR="00B0455F" w:rsidRPr="00330A40">
        <w:rPr>
          <w:lang w:val="it-IT"/>
        </w:rPr>
        <w:t>, tutte precedentemente sotto</w:t>
      </w:r>
      <w:r w:rsidR="00A55C68" w:rsidRPr="00330A40">
        <w:rPr>
          <w:lang w:val="it-IT"/>
        </w:rPr>
        <w:t>poste a irradiazione</w:t>
      </w:r>
      <w:r w:rsidR="002B1A36" w:rsidRPr="00330A40">
        <w:rPr>
          <w:lang w:val="it-IT"/>
        </w:rPr>
        <w:t xml:space="preserve"> </w:t>
      </w:r>
      <w:r w:rsidR="00DA1525" w:rsidRPr="00330A40">
        <w:rPr>
          <w:lang w:val="it-IT"/>
        </w:rPr>
        <w:t>pelvica</w:t>
      </w:r>
      <w:r w:rsidR="00B0455F" w:rsidRPr="00330A40">
        <w:rPr>
          <w:lang w:val="it-IT"/>
        </w:rPr>
        <w:t>.</w:t>
      </w:r>
    </w:p>
    <w:p w14:paraId="4B83C4FB" w14:textId="77777777" w:rsidR="009C0666" w:rsidRPr="00330A40" w:rsidRDefault="009C0666" w:rsidP="009C0666">
      <w:pPr>
        <w:rPr>
          <w:lang w:val="it-IT"/>
        </w:rPr>
      </w:pPr>
    </w:p>
    <w:p w14:paraId="1928B750" w14:textId="77777777" w:rsidR="009C0666" w:rsidRPr="006A2BF9" w:rsidRDefault="009C0666" w:rsidP="009C0666">
      <w:pPr>
        <w:rPr>
          <w:lang w:val="it-IT"/>
        </w:rPr>
      </w:pPr>
      <w:r w:rsidRPr="00330A40">
        <w:rPr>
          <w:lang w:val="it-IT"/>
        </w:rPr>
        <w:t xml:space="preserve">La tipologia e la </w:t>
      </w:r>
      <w:r w:rsidR="00130672" w:rsidRPr="006A2BF9">
        <w:rPr>
          <w:lang w:val="it-IT"/>
        </w:rPr>
        <w:t xml:space="preserve">severità </w:t>
      </w:r>
      <w:r w:rsidRPr="006A2BF9">
        <w:rPr>
          <w:lang w:val="it-IT"/>
        </w:rPr>
        <w:t>con cui si sono manifestat</w:t>
      </w:r>
      <w:r w:rsidR="00B0455F" w:rsidRPr="006A2BF9">
        <w:rPr>
          <w:lang w:val="it-IT"/>
        </w:rPr>
        <w:t>i</w:t>
      </w:r>
      <w:r w:rsidRPr="006A2BF9">
        <w:rPr>
          <w:lang w:val="it-IT"/>
        </w:rPr>
        <w:t xml:space="preserve"> </w:t>
      </w:r>
      <w:r w:rsidR="00B0455F" w:rsidRPr="006A2BF9">
        <w:rPr>
          <w:lang w:val="it-IT"/>
        </w:rPr>
        <w:t xml:space="preserve">questi eventi </w:t>
      </w:r>
      <w:r w:rsidRPr="006A2BF9">
        <w:rPr>
          <w:lang w:val="it-IT"/>
        </w:rPr>
        <w:t>sono state varie: dalla presenza di aria libera rilevata mediante radiografia addominale diretta, risoltasi senza alcun trattamento, alla perforazione intestinale con ascesso addominale ed esito fatale. In alcuni casi era presente una sottostante infiammazione addominale dovuta a ulcera gastrica, necrosi tumorale, diverticolite o colite associata alla chemioterapia.</w:t>
      </w:r>
    </w:p>
    <w:p w14:paraId="4A0D41A4" w14:textId="77777777" w:rsidR="00681FFC" w:rsidRPr="006A2BF9" w:rsidRDefault="00681FFC" w:rsidP="009C0666">
      <w:pPr>
        <w:rPr>
          <w:lang w:val="it-IT"/>
        </w:rPr>
      </w:pPr>
    </w:p>
    <w:p w14:paraId="799C18A6" w14:textId="77777777" w:rsidR="00681FFC" w:rsidRPr="006A2BF9" w:rsidRDefault="00681FFC" w:rsidP="009C0666">
      <w:pPr>
        <w:rPr>
          <w:lang w:val="it-IT"/>
        </w:rPr>
      </w:pPr>
      <w:r w:rsidRPr="006A2BF9">
        <w:rPr>
          <w:lang w:val="it-IT"/>
        </w:rPr>
        <w:t>Circa un terzo dei casi gravi di perforazione gastrointestinale ha avuto esito fatale. Tale dato rappresenta lo 0,2%</w:t>
      </w:r>
      <w:r w:rsidR="00831616" w:rsidRPr="006A2BF9">
        <w:rPr>
          <w:lang w:val="it-IT"/>
        </w:rPr>
        <w:noBreakHyphen/>
      </w:r>
      <w:r w:rsidRPr="006A2BF9">
        <w:rPr>
          <w:lang w:val="it-IT"/>
        </w:rPr>
        <w:t xml:space="preserve">1% di tutti i pazienti trattati con </w:t>
      </w:r>
      <w:r w:rsidR="009F44A8" w:rsidRPr="006A2BF9">
        <w:rPr>
          <w:szCs w:val="22"/>
          <w:lang w:val="it-IT"/>
        </w:rPr>
        <w:t>bevacizumab</w:t>
      </w:r>
      <w:r w:rsidRPr="006A2BF9">
        <w:rPr>
          <w:lang w:val="it-IT"/>
        </w:rPr>
        <w:t>.</w:t>
      </w:r>
    </w:p>
    <w:p w14:paraId="746AA3F8" w14:textId="77777777" w:rsidR="00681FFC" w:rsidRPr="006A2BF9" w:rsidRDefault="00681FFC" w:rsidP="009C0666">
      <w:pPr>
        <w:rPr>
          <w:lang w:val="it-IT"/>
        </w:rPr>
      </w:pPr>
    </w:p>
    <w:p w14:paraId="3A21511D" w14:textId="77777777" w:rsidR="00183711" w:rsidRPr="00330A40" w:rsidRDefault="00681FFC" w:rsidP="009C0666">
      <w:pPr>
        <w:rPr>
          <w:lang w:val="it-IT"/>
        </w:rPr>
      </w:pPr>
      <w:r w:rsidRPr="006A2BF9">
        <w:rPr>
          <w:lang w:val="it-IT"/>
        </w:rPr>
        <w:t xml:space="preserve">Negli studi clinici condotti con </w:t>
      </w:r>
      <w:r w:rsidR="009F44A8" w:rsidRPr="006A2BF9">
        <w:rPr>
          <w:szCs w:val="22"/>
          <w:lang w:val="it-IT"/>
        </w:rPr>
        <w:t>bevacizumab</w:t>
      </w:r>
      <w:r w:rsidR="009F44A8" w:rsidRPr="006A2BF9">
        <w:rPr>
          <w:lang w:val="it-IT"/>
        </w:rPr>
        <w:t xml:space="preserve"> </w:t>
      </w:r>
      <w:r w:rsidRPr="006A2BF9">
        <w:rPr>
          <w:lang w:val="it-IT"/>
        </w:rPr>
        <w:t>sono state segnalate fistole gastrointestinali (di ogni grado) con</w:t>
      </w:r>
      <w:r w:rsidR="00A55C68" w:rsidRPr="006A2BF9">
        <w:rPr>
          <w:lang w:val="it-IT"/>
        </w:rPr>
        <w:t xml:space="preserve"> un’</w:t>
      </w:r>
      <w:r w:rsidRPr="006A2BF9">
        <w:rPr>
          <w:lang w:val="it-IT"/>
        </w:rPr>
        <w:t xml:space="preserve">incidenza </w:t>
      </w:r>
      <w:r w:rsidR="00A55C68" w:rsidRPr="006A2BF9">
        <w:rPr>
          <w:lang w:val="it-IT"/>
        </w:rPr>
        <w:t>massima del 2</w:t>
      </w:r>
      <w:r w:rsidR="00E12F7C" w:rsidRPr="006A2BF9">
        <w:rPr>
          <w:lang w:val="it-IT"/>
        </w:rPr>
        <w:t xml:space="preserve">% nei pazienti affetti da </w:t>
      </w:r>
      <w:r w:rsidR="00E82ECD">
        <w:rPr>
          <w:lang w:val="it-IT"/>
        </w:rPr>
        <w:t>cancro dell’ovaio</w:t>
      </w:r>
      <w:r w:rsidR="00E12F7C" w:rsidRPr="00330A40">
        <w:rPr>
          <w:lang w:val="it-IT"/>
        </w:rPr>
        <w:t xml:space="preserve"> e </w:t>
      </w:r>
      <w:r w:rsidR="00E82ECD" w:rsidRPr="00330A40">
        <w:rPr>
          <w:lang w:val="it-IT"/>
        </w:rPr>
        <w:t>c</w:t>
      </w:r>
      <w:r w:rsidR="00E82ECD">
        <w:rPr>
          <w:lang w:val="it-IT"/>
        </w:rPr>
        <w:t>ancro</w:t>
      </w:r>
      <w:r w:rsidR="00E82ECD" w:rsidRPr="00330A40">
        <w:rPr>
          <w:lang w:val="it-IT"/>
        </w:rPr>
        <w:t xml:space="preserve"> </w:t>
      </w:r>
      <w:r w:rsidR="00F11E22" w:rsidRPr="00330A40">
        <w:rPr>
          <w:lang w:val="it-IT"/>
        </w:rPr>
        <w:t>metastatico</w:t>
      </w:r>
      <w:r w:rsidR="00E12F7C" w:rsidRPr="00330A40">
        <w:rPr>
          <w:lang w:val="it-IT"/>
        </w:rPr>
        <w:t xml:space="preserve"> </w:t>
      </w:r>
      <w:r w:rsidR="00E82ECD">
        <w:rPr>
          <w:lang w:val="it-IT"/>
        </w:rPr>
        <w:t xml:space="preserve">di </w:t>
      </w:r>
      <w:r w:rsidR="00E12F7C" w:rsidRPr="00330A40">
        <w:rPr>
          <w:lang w:val="it-IT"/>
        </w:rPr>
        <w:t>colo</w:t>
      </w:r>
      <w:r w:rsidR="00E82ECD">
        <w:rPr>
          <w:lang w:val="it-IT"/>
        </w:rPr>
        <w:t>n e retto</w:t>
      </w:r>
      <w:r w:rsidR="00E12F7C" w:rsidRPr="00330A40">
        <w:rPr>
          <w:lang w:val="it-IT"/>
        </w:rPr>
        <w:t xml:space="preserve">. Tali fistole sono state tuttavia segnalate meno comunemente nei pazienti affetti da altre forme tumorali. </w:t>
      </w:r>
    </w:p>
    <w:p w14:paraId="2B318E4B" w14:textId="77777777" w:rsidR="00D772C0" w:rsidRPr="00330A40" w:rsidRDefault="00D772C0" w:rsidP="009C0666">
      <w:pPr>
        <w:rPr>
          <w:lang w:val="it-IT"/>
        </w:rPr>
      </w:pPr>
    </w:p>
    <w:p w14:paraId="272C9509" w14:textId="77777777" w:rsidR="00D772C0" w:rsidRPr="006A2BF9" w:rsidRDefault="00D772C0" w:rsidP="009C0666">
      <w:pPr>
        <w:rPr>
          <w:u w:val="single"/>
          <w:lang w:val="it-IT"/>
        </w:rPr>
      </w:pPr>
      <w:r w:rsidRPr="00330A40">
        <w:rPr>
          <w:i/>
          <w:u w:val="single"/>
          <w:lang w:val="it-IT"/>
        </w:rPr>
        <w:t>Fistole vagino-gastrointestinali nello studio GOG-0240</w:t>
      </w:r>
    </w:p>
    <w:p w14:paraId="745E402D" w14:textId="77777777" w:rsidR="00681FFC" w:rsidRPr="00330A40" w:rsidRDefault="00E12F7C" w:rsidP="009C0666">
      <w:pPr>
        <w:rPr>
          <w:lang w:val="it-IT"/>
        </w:rPr>
      </w:pPr>
      <w:r w:rsidRPr="006A2BF9">
        <w:rPr>
          <w:lang w:val="it-IT"/>
        </w:rPr>
        <w:t>In uno studio condotto su pazienti con</w:t>
      </w:r>
      <w:r w:rsidR="00233FFA">
        <w:rPr>
          <w:lang w:val="it-IT"/>
        </w:rPr>
        <w:t xml:space="preserve"> cancro della cervice </w:t>
      </w:r>
      <w:r w:rsidRPr="00330A40">
        <w:rPr>
          <w:lang w:val="it-IT"/>
        </w:rPr>
        <w:t xml:space="preserve">persistente, </w:t>
      </w:r>
      <w:r w:rsidR="00053210" w:rsidRPr="00330A40">
        <w:rPr>
          <w:lang w:val="it-IT"/>
        </w:rPr>
        <w:t>ricorrente</w:t>
      </w:r>
      <w:r w:rsidRPr="00330A40">
        <w:rPr>
          <w:lang w:val="it-IT"/>
        </w:rPr>
        <w:t xml:space="preserve"> o metastatico, l’incidenza di fistole vagino-GI è risultata pari all’8,3% nelle pazienti trattate con </w:t>
      </w:r>
      <w:r w:rsidR="009F44A8" w:rsidRPr="00330A40">
        <w:rPr>
          <w:szCs w:val="22"/>
          <w:lang w:val="it-IT"/>
        </w:rPr>
        <w:t>bevacizumab</w:t>
      </w:r>
      <w:r w:rsidR="009F44A8" w:rsidRPr="00330A40">
        <w:rPr>
          <w:lang w:val="it-IT"/>
        </w:rPr>
        <w:t xml:space="preserve"> </w:t>
      </w:r>
      <w:r w:rsidRPr="00330A40">
        <w:rPr>
          <w:lang w:val="it-IT"/>
        </w:rPr>
        <w:t xml:space="preserve">e allo 0,9% nelle pazienti </w:t>
      </w:r>
      <w:r w:rsidR="00A55C68" w:rsidRPr="00330A40">
        <w:rPr>
          <w:lang w:val="it-IT"/>
        </w:rPr>
        <w:t>de</w:t>
      </w:r>
      <w:r w:rsidRPr="00330A40">
        <w:rPr>
          <w:lang w:val="it-IT"/>
        </w:rPr>
        <w:t>l braccio di controllo, tutte precedentemente sottoposte a irradiazione</w:t>
      </w:r>
      <w:r w:rsidR="002B1A36" w:rsidRPr="00330A40">
        <w:rPr>
          <w:lang w:val="it-IT"/>
        </w:rPr>
        <w:t xml:space="preserve"> </w:t>
      </w:r>
      <w:r w:rsidR="00DA1525" w:rsidRPr="00330A40">
        <w:rPr>
          <w:lang w:val="it-IT"/>
        </w:rPr>
        <w:t>pelvica</w:t>
      </w:r>
      <w:r w:rsidR="00CB3094" w:rsidRPr="00330A40">
        <w:rPr>
          <w:lang w:val="it-IT"/>
        </w:rPr>
        <w:t>.</w:t>
      </w:r>
      <w:r w:rsidR="00D772C0" w:rsidRPr="00330A40">
        <w:rPr>
          <w:lang w:val="it-IT"/>
        </w:rPr>
        <w:t xml:space="preserve"> La frequenza di fistole vagino-gastrointestinali nel gruppo trattato con </w:t>
      </w:r>
      <w:r w:rsidR="009F44A8" w:rsidRPr="00330A40">
        <w:rPr>
          <w:szCs w:val="22"/>
          <w:lang w:val="it-IT"/>
        </w:rPr>
        <w:t>bevacizumab </w:t>
      </w:r>
      <w:r w:rsidR="00D772C0" w:rsidRPr="006A2BF9">
        <w:rPr>
          <w:lang w:val="it-IT"/>
        </w:rPr>
        <w:t>+</w:t>
      </w:r>
      <w:r w:rsidR="009F44A8" w:rsidRPr="006A2BF9">
        <w:rPr>
          <w:lang w:val="it-IT"/>
        </w:rPr>
        <w:t> </w:t>
      </w:r>
      <w:r w:rsidR="00D772C0" w:rsidRPr="006A2BF9">
        <w:rPr>
          <w:lang w:val="it-IT"/>
        </w:rPr>
        <w:t>chemioterapia è stata più alta nelle pazienti con recidiva in zone precedentemente sottoposte ad irradiazione (16,7%) rispetto alle pazienti</w:t>
      </w:r>
      <w:r w:rsidR="00AA687E" w:rsidRPr="006A2BF9">
        <w:rPr>
          <w:lang w:val="it-IT"/>
        </w:rPr>
        <w:t xml:space="preserve"> non precedentemente irradiate e/o senza recidiva nelle zone sottoposte a precedente irradiazione (3,6%)</w:t>
      </w:r>
      <w:r w:rsidR="00D772C0" w:rsidRPr="006A2BF9">
        <w:rPr>
          <w:lang w:val="it-IT"/>
        </w:rPr>
        <w:t xml:space="preserve">. Le corrispondenti frequenze nel gruppo di controllo trattato solo con chemioterapia sono state rispettivamente di 1,1% </w:t>
      </w:r>
      <w:r w:rsidR="00D821E9" w:rsidRPr="006A2BF9">
        <w:rPr>
          <w:lang w:val="it-IT"/>
        </w:rPr>
        <w:t>e</w:t>
      </w:r>
      <w:r w:rsidR="00D772C0" w:rsidRPr="006A2BF9">
        <w:rPr>
          <w:lang w:val="it-IT"/>
        </w:rPr>
        <w:t xml:space="preserve"> 0,8%.</w:t>
      </w:r>
      <w:r w:rsidR="00B91C03" w:rsidRPr="006A2BF9">
        <w:rPr>
          <w:lang w:val="it-IT"/>
        </w:rPr>
        <w:t xml:space="preserve"> </w:t>
      </w:r>
      <w:r w:rsidRPr="006A2BF9">
        <w:rPr>
          <w:lang w:val="it-IT"/>
        </w:rPr>
        <w:t>Le pazienti che sviluppano fistole vagino-GI possono inoltre manifestare occlusione intestinale e necessitare intervento chirurgico</w:t>
      </w:r>
      <w:r w:rsidR="00C778FB" w:rsidRPr="006A2BF9">
        <w:rPr>
          <w:lang w:val="it-IT"/>
        </w:rPr>
        <w:t xml:space="preserve"> e stomie</w:t>
      </w:r>
      <w:r w:rsidR="00233FFA">
        <w:rPr>
          <w:lang w:val="it-IT"/>
        </w:rPr>
        <w:t xml:space="preserve"> di diversione</w:t>
      </w:r>
      <w:r w:rsidR="00C778FB" w:rsidRPr="00330A40">
        <w:rPr>
          <w:lang w:val="it-IT"/>
        </w:rPr>
        <w:t>.</w:t>
      </w:r>
    </w:p>
    <w:p w14:paraId="5ED0EA3E" w14:textId="77777777" w:rsidR="009C0666" w:rsidRPr="00330A40" w:rsidRDefault="009C0666" w:rsidP="009C0666">
      <w:pPr>
        <w:rPr>
          <w:lang w:val="it-IT"/>
        </w:rPr>
      </w:pPr>
    </w:p>
    <w:p w14:paraId="0FB73BF2" w14:textId="77777777" w:rsidR="009C0666" w:rsidRPr="006A2BF9" w:rsidRDefault="009C0666" w:rsidP="009C0666">
      <w:pPr>
        <w:rPr>
          <w:u w:val="single"/>
          <w:lang w:val="it-IT"/>
        </w:rPr>
      </w:pPr>
      <w:r w:rsidRPr="00330A40">
        <w:rPr>
          <w:i/>
          <w:u w:val="single"/>
          <w:lang w:val="it-IT"/>
        </w:rPr>
        <w:t>Fisto</w:t>
      </w:r>
      <w:r w:rsidRPr="006A2BF9">
        <w:rPr>
          <w:i/>
          <w:u w:val="single"/>
          <w:lang w:val="it-IT"/>
        </w:rPr>
        <w:t>le</w:t>
      </w:r>
      <w:r w:rsidR="00C778FB" w:rsidRPr="006A2BF9">
        <w:rPr>
          <w:i/>
          <w:u w:val="single"/>
          <w:lang w:val="it-IT"/>
        </w:rPr>
        <w:t xml:space="preserve"> non GI</w:t>
      </w:r>
      <w:r w:rsidRPr="006A2BF9">
        <w:rPr>
          <w:i/>
          <w:u w:val="single"/>
          <w:lang w:val="it-IT"/>
        </w:rPr>
        <w:t xml:space="preserve"> </w:t>
      </w:r>
      <w:r w:rsidRPr="006A2BF9">
        <w:rPr>
          <w:u w:val="single"/>
          <w:lang w:val="it-IT"/>
        </w:rPr>
        <w:t>(vedere paragrafo</w:t>
      </w:r>
      <w:r w:rsidR="009F44A8" w:rsidRPr="006A2BF9">
        <w:rPr>
          <w:u w:val="single"/>
          <w:lang w:val="it-IT"/>
        </w:rPr>
        <w:t> </w:t>
      </w:r>
      <w:r w:rsidRPr="006A2BF9">
        <w:rPr>
          <w:u w:val="single"/>
          <w:lang w:val="it-IT"/>
        </w:rPr>
        <w:t>4.4)</w:t>
      </w:r>
    </w:p>
    <w:p w14:paraId="03836A37" w14:textId="77777777" w:rsidR="009C0666" w:rsidRPr="006A2BF9" w:rsidRDefault="009C0666" w:rsidP="009C0666">
      <w:pPr>
        <w:rPr>
          <w:lang w:val="it-IT"/>
        </w:rPr>
      </w:pPr>
      <w:r w:rsidRPr="006A2BF9">
        <w:rPr>
          <w:lang w:val="it-IT"/>
        </w:rPr>
        <w:t xml:space="preserve">La terapia con </w:t>
      </w:r>
      <w:r w:rsidR="009F44A8" w:rsidRPr="006A2BF9">
        <w:rPr>
          <w:szCs w:val="22"/>
          <w:lang w:val="it-IT"/>
        </w:rPr>
        <w:t>bevacizumab</w:t>
      </w:r>
      <w:r w:rsidR="009F44A8" w:rsidRPr="006A2BF9">
        <w:rPr>
          <w:lang w:val="it-IT"/>
        </w:rPr>
        <w:t xml:space="preserve"> </w:t>
      </w:r>
      <w:r w:rsidRPr="006A2BF9">
        <w:rPr>
          <w:lang w:val="it-IT"/>
        </w:rPr>
        <w:t>è stata associata a gravi episodi di fistole, alcuni dei quali ad esito fatale.</w:t>
      </w:r>
    </w:p>
    <w:p w14:paraId="638E7567" w14:textId="77777777" w:rsidR="009C0666" w:rsidRPr="006A2BF9" w:rsidRDefault="009C0666" w:rsidP="009C0666">
      <w:pPr>
        <w:rPr>
          <w:lang w:val="it-IT"/>
        </w:rPr>
      </w:pPr>
    </w:p>
    <w:p w14:paraId="6B3ADDD0" w14:textId="77777777" w:rsidR="00C778FB" w:rsidRPr="006A2BF9" w:rsidRDefault="00C778FB" w:rsidP="009C0666">
      <w:pPr>
        <w:rPr>
          <w:lang w:val="it-IT"/>
        </w:rPr>
      </w:pPr>
      <w:r w:rsidRPr="006A2BF9">
        <w:rPr>
          <w:lang w:val="it-IT"/>
        </w:rPr>
        <w:t xml:space="preserve">In uno studio clinico condotto su pazienti affette da </w:t>
      </w:r>
      <w:r w:rsidR="00D74EDB">
        <w:rPr>
          <w:lang w:val="it-IT"/>
        </w:rPr>
        <w:t>cancro</w:t>
      </w:r>
      <w:r w:rsidR="00D74EDB" w:rsidRPr="00330A40">
        <w:rPr>
          <w:lang w:val="it-IT"/>
        </w:rPr>
        <w:t xml:space="preserve"> </w:t>
      </w:r>
      <w:r w:rsidRPr="00330A40">
        <w:rPr>
          <w:lang w:val="it-IT"/>
        </w:rPr>
        <w:t xml:space="preserve">della cervice persistente, </w:t>
      </w:r>
      <w:r w:rsidR="00053210" w:rsidRPr="00330A40">
        <w:rPr>
          <w:lang w:val="it-IT"/>
        </w:rPr>
        <w:t>ricorrente</w:t>
      </w:r>
      <w:r w:rsidRPr="00330A40">
        <w:rPr>
          <w:lang w:val="it-IT"/>
        </w:rPr>
        <w:t xml:space="preserve"> o metastatico </w:t>
      </w:r>
      <w:r w:rsidRPr="00330A40">
        <w:rPr>
          <w:rFonts w:cs="Arial"/>
          <w:iCs/>
          <w:lang w:val="it-IT"/>
        </w:rPr>
        <w:t xml:space="preserve">(GOG-240), sono state segnalate fistole non gastrointestinali a carico di vagina, vescica o </w:t>
      </w:r>
      <w:r w:rsidR="00112F59" w:rsidRPr="00330A40">
        <w:rPr>
          <w:rFonts w:cs="Arial"/>
          <w:iCs/>
          <w:lang w:val="it-IT"/>
        </w:rPr>
        <w:t xml:space="preserve">apparato genitale femminile nell’1,8% delle pazienti trattate con </w:t>
      </w:r>
      <w:r w:rsidR="009F44A8" w:rsidRPr="00330A40">
        <w:rPr>
          <w:szCs w:val="22"/>
          <w:lang w:val="it-IT"/>
        </w:rPr>
        <w:t>bevacizumab</w:t>
      </w:r>
      <w:r w:rsidR="009F44A8" w:rsidRPr="00330A40">
        <w:rPr>
          <w:lang w:val="it-IT"/>
        </w:rPr>
        <w:t xml:space="preserve"> </w:t>
      </w:r>
      <w:r w:rsidR="00112F59" w:rsidRPr="00330A40">
        <w:rPr>
          <w:rFonts w:cs="Arial"/>
          <w:iCs/>
          <w:lang w:val="it-IT"/>
        </w:rPr>
        <w:t xml:space="preserve">e nell’1,4% delle pazienti </w:t>
      </w:r>
      <w:r w:rsidR="00A55C68" w:rsidRPr="00330A40">
        <w:rPr>
          <w:rFonts w:cs="Arial"/>
          <w:iCs/>
          <w:lang w:val="it-IT"/>
        </w:rPr>
        <w:t>de</w:t>
      </w:r>
      <w:r w:rsidR="00112F59" w:rsidRPr="006A2BF9">
        <w:rPr>
          <w:rFonts w:cs="Arial"/>
          <w:iCs/>
          <w:lang w:val="it-IT"/>
        </w:rPr>
        <w:t>l braccio di controllo.</w:t>
      </w:r>
    </w:p>
    <w:p w14:paraId="4C5C55E5" w14:textId="77777777" w:rsidR="00C778FB" w:rsidRPr="006A2BF9" w:rsidRDefault="00C778FB" w:rsidP="009C0666">
      <w:pPr>
        <w:rPr>
          <w:lang w:val="it-IT"/>
        </w:rPr>
      </w:pPr>
    </w:p>
    <w:p w14:paraId="0D580A3C" w14:textId="77777777" w:rsidR="009C0666" w:rsidRPr="006A2BF9" w:rsidRDefault="009C0666" w:rsidP="009C0666">
      <w:pPr>
        <w:rPr>
          <w:bCs/>
          <w:iCs/>
          <w:lang w:val="it-IT"/>
        </w:rPr>
      </w:pPr>
      <w:r w:rsidRPr="006A2BF9">
        <w:rPr>
          <w:lang w:val="it-IT"/>
        </w:rPr>
        <w:t xml:space="preserve">Manifestazioni non comuni </w:t>
      </w:r>
      <w:r w:rsidRPr="006A2BF9">
        <w:rPr>
          <w:bCs/>
          <w:iCs/>
          <w:lang w:val="it-IT"/>
        </w:rPr>
        <w:t>(≥ 0,1%</w:t>
      </w:r>
      <w:r w:rsidR="00831616" w:rsidRPr="006A2BF9">
        <w:rPr>
          <w:bCs/>
          <w:iCs/>
          <w:lang w:val="it-IT"/>
        </w:rPr>
        <w:noBreakHyphen/>
      </w:r>
      <w:r w:rsidRPr="006A2BF9">
        <w:rPr>
          <w:bCs/>
          <w:iCs/>
          <w:lang w:val="it-IT"/>
        </w:rPr>
        <w:t>&lt; 1%) di fistole interessanti aree del corpo diverse dal tratto gastrointestinale (ad esempio fistole broncopleuriche e biliari) sono state osservate nelle varie indicazioni. Sono state riportate fistole anche nell’esperienza post-commercializzazione.</w:t>
      </w:r>
    </w:p>
    <w:p w14:paraId="058D63B0" w14:textId="77777777" w:rsidR="009C0666" w:rsidRPr="006A2BF9" w:rsidRDefault="009C0666" w:rsidP="009C0666">
      <w:pPr>
        <w:rPr>
          <w:bCs/>
          <w:iCs/>
          <w:lang w:val="it-IT"/>
        </w:rPr>
      </w:pPr>
    </w:p>
    <w:p w14:paraId="1C35F9C8" w14:textId="77777777" w:rsidR="009C0666" w:rsidRPr="006A2BF9" w:rsidRDefault="001358C6" w:rsidP="009C0666">
      <w:pPr>
        <w:rPr>
          <w:lang w:val="it-IT"/>
        </w:rPr>
      </w:pPr>
      <w:r w:rsidRPr="006A2BF9">
        <w:rPr>
          <w:lang w:val="it-IT"/>
        </w:rPr>
        <w:t>Le reazioni</w:t>
      </w:r>
      <w:r w:rsidR="009C0666" w:rsidRPr="006A2BF9">
        <w:rPr>
          <w:lang w:val="it-IT"/>
        </w:rPr>
        <w:t xml:space="preserve"> sono stat</w:t>
      </w:r>
      <w:r w:rsidRPr="006A2BF9">
        <w:rPr>
          <w:lang w:val="it-IT"/>
        </w:rPr>
        <w:t>e</w:t>
      </w:r>
      <w:r w:rsidR="009C0666" w:rsidRPr="006A2BF9">
        <w:rPr>
          <w:lang w:val="it-IT"/>
        </w:rPr>
        <w:t xml:space="preserve"> riportat</w:t>
      </w:r>
      <w:r w:rsidRPr="006A2BF9">
        <w:rPr>
          <w:lang w:val="it-IT"/>
        </w:rPr>
        <w:t>e</w:t>
      </w:r>
      <w:r w:rsidR="009C0666" w:rsidRPr="006A2BF9">
        <w:rPr>
          <w:lang w:val="it-IT"/>
        </w:rPr>
        <w:t xml:space="preserve"> in vari momenti nel corso della terapia, variando da una settimana a più di 1</w:t>
      </w:r>
      <w:r w:rsidR="009F44A8" w:rsidRPr="006A2BF9">
        <w:rPr>
          <w:lang w:val="it-IT"/>
        </w:rPr>
        <w:t> </w:t>
      </w:r>
      <w:r w:rsidR="009C0666" w:rsidRPr="006A2BF9">
        <w:rPr>
          <w:lang w:val="it-IT"/>
        </w:rPr>
        <w:t xml:space="preserve">anno dall’inizio del trattamento con </w:t>
      </w:r>
      <w:r w:rsidR="009F44A8" w:rsidRPr="006A2BF9">
        <w:rPr>
          <w:szCs w:val="22"/>
          <w:lang w:val="it-IT"/>
        </w:rPr>
        <w:t>bevacizumab</w:t>
      </w:r>
      <w:r w:rsidR="009C0666" w:rsidRPr="006A2BF9">
        <w:rPr>
          <w:lang w:val="it-IT"/>
        </w:rPr>
        <w:t>, con la maggior parte de</w:t>
      </w:r>
      <w:r w:rsidRPr="006A2BF9">
        <w:rPr>
          <w:lang w:val="it-IT"/>
        </w:rPr>
        <w:t>lle reazioni</w:t>
      </w:r>
      <w:r w:rsidR="009C0666" w:rsidRPr="006A2BF9">
        <w:rPr>
          <w:lang w:val="it-IT"/>
        </w:rPr>
        <w:t xml:space="preserve"> verificat</w:t>
      </w:r>
      <w:r w:rsidR="0002120B" w:rsidRPr="006A2BF9">
        <w:rPr>
          <w:lang w:val="it-IT"/>
        </w:rPr>
        <w:t>a</w:t>
      </w:r>
      <w:r w:rsidR="009C0666" w:rsidRPr="006A2BF9">
        <w:rPr>
          <w:lang w:val="it-IT"/>
        </w:rPr>
        <w:t>si entro i primi 6</w:t>
      </w:r>
      <w:r w:rsidR="009F44A8" w:rsidRPr="006A2BF9">
        <w:rPr>
          <w:lang w:val="it-IT"/>
        </w:rPr>
        <w:t> </w:t>
      </w:r>
      <w:r w:rsidR="009C0666" w:rsidRPr="006A2BF9">
        <w:rPr>
          <w:lang w:val="it-IT"/>
        </w:rPr>
        <w:t>mesi di terapia.</w:t>
      </w:r>
    </w:p>
    <w:p w14:paraId="5DBC32E3" w14:textId="77777777" w:rsidR="009C0666" w:rsidRPr="006A2BF9" w:rsidRDefault="009C0666" w:rsidP="009C0666">
      <w:pPr>
        <w:rPr>
          <w:lang w:val="it-IT"/>
        </w:rPr>
      </w:pPr>
    </w:p>
    <w:p w14:paraId="17F92860" w14:textId="77777777" w:rsidR="009C0666" w:rsidRPr="006A2BF9" w:rsidRDefault="009C0666" w:rsidP="001062F3">
      <w:pPr>
        <w:keepNext/>
        <w:outlineLvl w:val="0"/>
        <w:rPr>
          <w:u w:val="single"/>
          <w:lang w:val="it-IT"/>
        </w:rPr>
      </w:pPr>
      <w:r w:rsidRPr="006A2BF9">
        <w:rPr>
          <w:i/>
          <w:u w:val="single"/>
          <w:lang w:val="it-IT"/>
        </w:rPr>
        <w:t>Processo di cicatrizzazione</w:t>
      </w:r>
      <w:r w:rsidRPr="006A2BF9">
        <w:rPr>
          <w:u w:val="single"/>
          <w:lang w:val="it-IT"/>
        </w:rPr>
        <w:t xml:space="preserve"> (vedere paragrafo</w:t>
      </w:r>
      <w:r w:rsidR="009F44A8" w:rsidRPr="006A2BF9">
        <w:rPr>
          <w:u w:val="single"/>
          <w:lang w:val="it-IT"/>
        </w:rPr>
        <w:t> </w:t>
      </w:r>
      <w:r w:rsidRPr="006A2BF9">
        <w:rPr>
          <w:u w:val="single"/>
          <w:lang w:val="it-IT"/>
        </w:rPr>
        <w:t>4.4)</w:t>
      </w:r>
    </w:p>
    <w:p w14:paraId="4C8EB2A8" w14:textId="77777777" w:rsidR="009C0666" w:rsidRPr="006A2BF9" w:rsidRDefault="009C0666" w:rsidP="001062F3">
      <w:pPr>
        <w:keepNext/>
        <w:rPr>
          <w:lang w:val="it-IT"/>
        </w:rPr>
      </w:pPr>
      <w:r w:rsidRPr="006A2BF9">
        <w:rPr>
          <w:lang w:val="it-IT"/>
        </w:rPr>
        <w:t xml:space="preserve">Poiché la terapia con </w:t>
      </w:r>
      <w:r w:rsidR="00961F70" w:rsidRPr="006A2BF9">
        <w:rPr>
          <w:szCs w:val="22"/>
          <w:lang w:val="it-IT"/>
        </w:rPr>
        <w:t>bevacizumab</w:t>
      </w:r>
      <w:r w:rsidR="00961F70" w:rsidRPr="006A2BF9">
        <w:rPr>
          <w:lang w:val="it-IT"/>
        </w:rPr>
        <w:t xml:space="preserve"> </w:t>
      </w:r>
      <w:r w:rsidRPr="006A2BF9">
        <w:rPr>
          <w:lang w:val="it-IT"/>
        </w:rPr>
        <w:t>può influire negativamente sul processo di cicatrizzazione, i pazienti sottoposti a chirurgia maggiore nei 28</w:t>
      </w:r>
      <w:r w:rsidR="00961F70" w:rsidRPr="006A2BF9">
        <w:rPr>
          <w:lang w:val="it-IT"/>
        </w:rPr>
        <w:t> </w:t>
      </w:r>
      <w:r w:rsidRPr="006A2BF9">
        <w:rPr>
          <w:lang w:val="it-IT"/>
        </w:rPr>
        <w:t>giorni</w:t>
      </w:r>
      <w:r w:rsidR="008059AB" w:rsidRPr="006A2BF9">
        <w:rPr>
          <w:lang w:val="it-IT"/>
        </w:rPr>
        <w:t xml:space="preserve"> precedenti</w:t>
      </w:r>
      <w:r w:rsidRPr="006A2BF9">
        <w:rPr>
          <w:lang w:val="it-IT"/>
        </w:rPr>
        <w:t xml:space="preserve"> sono stati esclusi dagli studi di fase</w:t>
      </w:r>
      <w:r w:rsidR="00961F70" w:rsidRPr="006A2BF9">
        <w:rPr>
          <w:lang w:val="it-IT"/>
        </w:rPr>
        <w:t> </w:t>
      </w:r>
      <w:r w:rsidRPr="006A2BF9">
        <w:rPr>
          <w:lang w:val="it-IT"/>
        </w:rPr>
        <w:t>III.</w:t>
      </w:r>
    </w:p>
    <w:p w14:paraId="1968B153" w14:textId="77777777" w:rsidR="009C0666" w:rsidRPr="006A2BF9" w:rsidRDefault="009C0666" w:rsidP="009C0666">
      <w:pPr>
        <w:rPr>
          <w:lang w:val="it-IT"/>
        </w:rPr>
      </w:pPr>
    </w:p>
    <w:p w14:paraId="60676BE8" w14:textId="77777777" w:rsidR="009C0666" w:rsidRPr="006A2BF9" w:rsidRDefault="009C0666" w:rsidP="009C0666">
      <w:pPr>
        <w:rPr>
          <w:lang w:val="it-IT"/>
        </w:rPr>
      </w:pPr>
      <w:r w:rsidRPr="006A2BF9">
        <w:rPr>
          <w:lang w:val="it-IT"/>
        </w:rPr>
        <w:t xml:space="preserve">Negli studi </w:t>
      </w:r>
      <w:r w:rsidR="008059AB" w:rsidRPr="006A2BF9">
        <w:rPr>
          <w:lang w:val="it-IT"/>
        </w:rPr>
        <w:t xml:space="preserve">clinici </w:t>
      </w:r>
      <w:r w:rsidRPr="006A2BF9">
        <w:rPr>
          <w:lang w:val="it-IT"/>
        </w:rPr>
        <w:t>sul carcinoma metastatico del colon o del retto, non si è evidenziato un rischio maggiore di emorragia postoperatoria o di complicanze nel processo di cicatrizzazione in pazienti sottoposti ad un intervento chirurgico maggiore 28</w:t>
      </w:r>
      <w:r w:rsidR="00831616" w:rsidRPr="006A2BF9">
        <w:rPr>
          <w:lang w:val="it-IT"/>
        </w:rPr>
        <w:noBreakHyphen/>
      </w:r>
      <w:r w:rsidRPr="006A2BF9">
        <w:rPr>
          <w:lang w:val="it-IT"/>
        </w:rPr>
        <w:t>60</w:t>
      </w:r>
      <w:r w:rsidR="00961F70" w:rsidRPr="006A2BF9">
        <w:rPr>
          <w:lang w:val="it-IT"/>
        </w:rPr>
        <w:t> </w:t>
      </w:r>
      <w:r w:rsidRPr="006A2BF9">
        <w:rPr>
          <w:lang w:val="it-IT"/>
        </w:rPr>
        <w:t xml:space="preserve">giorni prima dell’inizio della terapia con </w:t>
      </w:r>
      <w:r w:rsidR="00961F70" w:rsidRPr="006A2BF9">
        <w:rPr>
          <w:szCs w:val="22"/>
          <w:lang w:val="it-IT"/>
        </w:rPr>
        <w:lastRenderedPageBreak/>
        <w:t>bevacizumab</w:t>
      </w:r>
      <w:r w:rsidRPr="006A2BF9">
        <w:rPr>
          <w:lang w:val="it-IT"/>
        </w:rPr>
        <w:t>. Un’aumentata incidenza di emorragia postoperatoria o di complicanze nel processo di cicatrizzazione verificatisi entro 60</w:t>
      </w:r>
      <w:r w:rsidR="00961F70" w:rsidRPr="006A2BF9">
        <w:rPr>
          <w:lang w:val="it-IT"/>
        </w:rPr>
        <w:t> </w:t>
      </w:r>
      <w:r w:rsidRPr="006A2BF9">
        <w:rPr>
          <w:lang w:val="it-IT"/>
        </w:rPr>
        <w:t xml:space="preserve">giorni da un intervento chirurgico maggiore è stata osservata nei pazienti trattati con </w:t>
      </w:r>
      <w:r w:rsidR="00961F70" w:rsidRPr="006A2BF9">
        <w:rPr>
          <w:szCs w:val="22"/>
          <w:lang w:val="it-IT"/>
        </w:rPr>
        <w:t>bevacizumab</w:t>
      </w:r>
      <w:r w:rsidR="00961F70" w:rsidRPr="006A2BF9">
        <w:rPr>
          <w:lang w:val="it-IT"/>
        </w:rPr>
        <w:t xml:space="preserve"> </w:t>
      </w:r>
      <w:r w:rsidRPr="006A2BF9">
        <w:rPr>
          <w:lang w:val="it-IT"/>
        </w:rPr>
        <w:t>al momento dell’intervento chirurgico. L’incidenza variava tra il 10% (4/40) e il 20% (3/15).</w:t>
      </w:r>
    </w:p>
    <w:p w14:paraId="7AA38A4E" w14:textId="77777777" w:rsidR="009C0666" w:rsidRPr="006A2BF9" w:rsidRDefault="009C0666" w:rsidP="009C0666">
      <w:pPr>
        <w:rPr>
          <w:lang w:val="it-IT"/>
        </w:rPr>
      </w:pPr>
    </w:p>
    <w:p w14:paraId="6EFDC92B" w14:textId="77777777" w:rsidR="00C567F3" w:rsidRPr="006A2BF9" w:rsidRDefault="00C567F3" w:rsidP="009C0666">
      <w:pPr>
        <w:rPr>
          <w:lang w:val="it-IT"/>
        </w:rPr>
      </w:pPr>
      <w:r w:rsidRPr="006A2BF9">
        <w:rPr>
          <w:lang w:val="it-IT"/>
        </w:rPr>
        <w:t xml:space="preserve">Sono state </w:t>
      </w:r>
      <w:r w:rsidR="00466A43" w:rsidRPr="006A2BF9">
        <w:rPr>
          <w:lang w:val="it-IT"/>
        </w:rPr>
        <w:t xml:space="preserve">segnalate </w:t>
      </w:r>
      <w:r w:rsidRPr="006A2BF9">
        <w:rPr>
          <w:lang w:val="it-IT"/>
        </w:rPr>
        <w:t>gravi complicazioni nella guarigione delle ferite, comprese le complicanze anastomotiche, alcune delle quali hanno avuto esito fatale.</w:t>
      </w:r>
    </w:p>
    <w:p w14:paraId="191B7A1F" w14:textId="77777777" w:rsidR="00C567F3" w:rsidRPr="006A2BF9" w:rsidRDefault="00C567F3" w:rsidP="009C0666">
      <w:pPr>
        <w:rPr>
          <w:lang w:val="it-IT"/>
        </w:rPr>
      </w:pPr>
    </w:p>
    <w:p w14:paraId="4E28C8B5" w14:textId="77777777" w:rsidR="009C0666" w:rsidRPr="00330A40" w:rsidRDefault="00FD30F5" w:rsidP="009C0666">
      <w:pPr>
        <w:rPr>
          <w:lang w:val="it-IT"/>
        </w:rPr>
      </w:pPr>
      <w:r w:rsidRPr="006A2BF9">
        <w:rPr>
          <w:lang w:val="it-IT"/>
        </w:rPr>
        <w:t>Negli</w:t>
      </w:r>
      <w:r w:rsidR="009C0666" w:rsidRPr="006A2BF9">
        <w:rPr>
          <w:lang w:val="it-IT"/>
        </w:rPr>
        <w:t xml:space="preserve"> </w:t>
      </w:r>
      <w:r w:rsidR="00AA6B14" w:rsidRPr="006A2BF9">
        <w:rPr>
          <w:lang w:val="it-IT"/>
        </w:rPr>
        <w:t>studi sul</w:t>
      </w:r>
      <w:r w:rsidR="009C0666" w:rsidRPr="006A2BF9">
        <w:rPr>
          <w:lang w:val="it-IT"/>
        </w:rPr>
        <w:t xml:space="preserve"> </w:t>
      </w:r>
      <w:r w:rsidR="00EB182B">
        <w:rPr>
          <w:lang w:val="it-IT"/>
        </w:rPr>
        <w:t>cancro della mammella</w:t>
      </w:r>
      <w:r w:rsidR="009C0666" w:rsidRPr="00330A40">
        <w:rPr>
          <w:lang w:val="it-IT"/>
        </w:rPr>
        <w:t xml:space="preserve"> metastatico o </w:t>
      </w:r>
      <w:r w:rsidR="00A4711E" w:rsidRPr="00330A40">
        <w:rPr>
          <w:lang w:val="it-IT"/>
        </w:rPr>
        <w:t>localmente ricorrente</w:t>
      </w:r>
      <w:r w:rsidR="009C0666" w:rsidRPr="00330A40">
        <w:rPr>
          <w:lang w:val="it-IT"/>
        </w:rPr>
        <w:t xml:space="preserve">, complicazioni del processo di cicatrizzazione di </w:t>
      </w:r>
      <w:r w:rsidR="00AC4F92" w:rsidRPr="00330A40">
        <w:rPr>
          <w:lang w:val="it-IT"/>
        </w:rPr>
        <w:t>G</w:t>
      </w:r>
      <w:r w:rsidR="009C0666" w:rsidRPr="00330A40">
        <w:rPr>
          <w:lang w:val="it-IT"/>
        </w:rPr>
        <w:t>rado</w:t>
      </w:r>
      <w:r w:rsidR="00961F70" w:rsidRPr="00330A40">
        <w:rPr>
          <w:lang w:val="it-IT"/>
        </w:rPr>
        <w:t> </w:t>
      </w:r>
      <w:r w:rsidR="009C0666" w:rsidRPr="00330A40">
        <w:rPr>
          <w:lang w:val="it-IT"/>
        </w:rPr>
        <w:t>3</w:t>
      </w:r>
      <w:r w:rsidR="00831616" w:rsidRPr="00330A40">
        <w:rPr>
          <w:lang w:val="it-IT"/>
        </w:rPr>
        <w:noBreakHyphen/>
      </w:r>
      <w:r w:rsidR="009C0666" w:rsidRPr="00330A40">
        <w:rPr>
          <w:lang w:val="it-IT"/>
        </w:rPr>
        <w:t xml:space="preserve">5 sono state osservate </w:t>
      </w:r>
      <w:r w:rsidR="00311784" w:rsidRPr="00330A40">
        <w:rPr>
          <w:lang w:val="it-IT"/>
        </w:rPr>
        <w:t>in una percentuale fino all’</w:t>
      </w:r>
      <w:r w:rsidR="009C0666" w:rsidRPr="00330A40">
        <w:rPr>
          <w:lang w:val="it-IT"/>
        </w:rPr>
        <w:t xml:space="preserve">1,1% dei pazienti trattati con </w:t>
      </w:r>
      <w:r w:rsidR="00961F70" w:rsidRPr="00330A40">
        <w:rPr>
          <w:szCs w:val="22"/>
          <w:lang w:val="it-IT"/>
        </w:rPr>
        <w:t>bevacizumab</w:t>
      </w:r>
      <w:r w:rsidR="00961F70" w:rsidRPr="00330A40">
        <w:rPr>
          <w:lang w:val="it-IT"/>
        </w:rPr>
        <w:t xml:space="preserve"> </w:t>
      </w:r>
      <w:r w:rsidR="00311784" w:rsidRPr="00330A40">
        <w:rPr>
          <w:lang w:val="it-IT"/>
        </w:rPr>
        <w:t xml:space="preserve">rispetto a una percentuale fino allo 0,9% </w:t>
      </w:r>
      <w:r w:rsidR="009C0666" w:rsidRPr="00330A40">
        <w:rPr>
          <w:lang w:val="it-IT"/>
        </w:rPr>
        <w:t xml:space="preserve">dei pazienti </w:t>
      </w:r>
      <w:r w:rsidRPr="00330A40">
        <w:rPr>
          <w:lang w:val="it-IT"/>
        </w:rPr>
        <w:t>d</w:t>
      </w:r>
      <w:r w:rsidR="00311784" w:rsidRPr="00330A40">
        <w:rPr>
          <w:lang w:val="it-IT"/>
        </w:rPr>
        <w:t>ei bracci di controllo</w:t>
      </w:r>
      <w:r w:rsidR="00AC4F92" w:rsidRPr="00330A40">
        <w:rPr>
          <w:lang w:val="it-IT"/>
        </w:rPr>
        <w:t xml:space="preserve"> (NCI-CTCAE v.3).</w:t>
      </w:r>
    </w:p>
    <w:p w14:paraId="0DA8B29B" w14:textId="77777777" w:rsidR="00FD30F5" w:rsidRPr="00330A40" w:rsidRDefault="00FD30F5" w:rsidP="009C0666">
      <w:pPr>
        <w:rPr>
          <w:lang w:val="it-IT"/>
        </w:rPr>
      </w:pPr>
    </w:p>
    <w:p w14:paraId="1BD89889" w14:textId="77777777" w:rsidR="009C0666" w:rsidRPr="00330A40" w:rsidRDefault="00FD30F5" w:rsidP="009C0666">
      <w:pPr>
        <w:rPr>
          <w:lang w:val="it-IT"/>
        </w:rPr>
      </w:pPr>
      <w:r w:rsidRPr="006A2BF9">
        <w:rPr>
          <w:lang w:val="it-IT"/>
        </w:rPr>
        <w:t xml:space="preserve">Negli studi clinici sul </w:t>
      </w:r>
      <w:r w:rsidR="00466A43" w:rsidRPr="006A2BF9">
        <w:rPr>
          <w:lang w:val="it-IT"/>
        </w:rPr>
        <w:t>cancro dell’ovaio</w:t>
      </w:r>
      <w:r w:rsidRPr="006A2BF9">
        <w:rPr>
          <w:lang w:val="it-IT"/>
        </w:rPr>
        <w:t xml:space="preserve"> </w:t>
      </w:r>
      <w:r w:rsidRPr="00330A40">
        <w:rPr>
          <w:lang w:val="it-IT"/>
        </w:rPr>
        <w:t xml:space="preserve">complicazioni del processo di cicatrizzazione di </w:t>
      </w:r>
      <w:r w:rsidR="002A7EAF" w:rsidRPr="00330A40">
        <w:rPr>
          <w:lang w:val="it-IT"/>
        </w:rPr>
        <w:t>G</w:t>
      </w:r>
      <w:r w:rsidRPr="00330A40">
        <w:rPr>
          <w:lang w:val="it-IT"/>
        </w:rPr>
        <w:t>rado</w:t>
      </w:r>
      <w:r w:rsidR="00961F70" w:rsidRPr="00330A40">
        <w:rPr>
          <w:lang w:val="it-IT"/>
        </w:rPr>
        <w:t> </w:t>
      </w:r>
      <w:r w:rsidRPr="00330A40">
        <w:rPr>
          <w:lang w:val="it-IT"/>
        </w:rPr>
        <w:t>3</w:t>
      </w:r>
      <w:r w:rsidR="00831616" w:rsidRPr="00330A40">
        <w:rPr>
          <w:lang w:val="it-IT"/>
        </w:rPr>
        <w:noBreakHyphen/>
      </w:r>
      <w:r w:rsidRPr="00330A40">
        <w:rPr>
          <w:lang w:val="it-IT"/>
        </w:rPr>
        <w:t>5 sono state osservate in una percentuale fino all’1,</w:t>
      </w:r>
      <w:r w:rsidR="0086135E" w:rsidRPr="00330A40">
        <w:rPr>
          <w:lang w:val="it-IT"/>
        </w:rPr>
        <w:t>8</w:t>
      </w:r>
      <w:r w:rsidRPr="00330A40">
        <w:rPr>
          <w:lang w:val="it-IT"/>
        </w:rPr>
        <w:t xml:space="preserve">% delle pazienti del braccio trattato con </w:t>
      </w:r>
      <w:r w:rsidRPr="00330A40">
        <w:rPr>
          <w:szCs w:val="22"/>
          <w:lang w:val="it-IT"/>
        </w:rPr>
        <w:t xml:space="preserve">bevacizumab </w:t>
      </w:r>
      <w:r w:rsidR="00E40C6A" w:rsidRPr="00330A40">
        <w:rPr>
          <w:lang w:val="it-IT"/>
        </w:rPr>
        <w:t>rispetto al</w:t>
      </w:r>
      <w:r w:rsidRPr="00330A40">
        <w:rPr>
          <w:lang w:val="it-IT"/>
        </w:rPr>
        <w:t>lo 0,1% del braccio di controllo</w:t>
      </w:r>
      <w:r w:rsidR="00AC4F92" w:rsidRPr="00330A40">
        <w:rPr>
          <w:lang w:val="it-IT"/>
        </w:rPr>
        <w:t xml:space="preserve"> (NCI-CTCAE v.3).</w:t>
      </w:r>
    </w:p>
    <w:p w14:paraId="5F608A66" w14:textId="77777777" w:rsidR="00FD30F5" w:rsidRPr="00330A40" w:rsidRDefault="00FD30F5" w:rsidP="009C0666">
      <w:pPr>
        <w:rPr>
          <w:lang w:val="it-IT"/>
        </w:rPr>
      </w:pPr>
    </w:p>
    <w:p w14:paraId="15AA419A" w14:textId="77777777" w:rsidR="009C0666" w:rsidRPr="00330A40" w:rsidRDefault="009C0666" w:rsidP="009C0666">
      <w:pPr>
        <w:rPr>
          <w:i/>
          <w:iCs/>
          <w:u w:val="single"/>
          <w:lang w:val="it-IT"/>
        </w:rPr>
      </w:pPr>
      <w:r w:rsidRPr="00330A40">
        <w:rPr>
          <w:i/>
          <w:iCs/>
          <w:u w:val="single"/>
          <w:lang w:val="it-IT"/>
        </w:rPr>
        <w:t xml:space="preserve">Ipertensione </w:t>
      </w:r>
      <w:r w:rsidRPr="00330A40">
        <w:rPr>
          <w:iCs/>
          <w:u w:val="single"/>
          <w:lang w:val="it-IT"/>
        </w:rPr>
        <w:t>(</w:t>
      </w:r>
      <w:r w:rsidRPr="00330A40">
        <w:rPr>
          <w:u w:val="single"/>
          <w:lang w:val="it-IT"/>
        </w:rPr>
        <w:t>vedere paragrafo</w:t>
      </w:r>
      <w:r w:rsidR="00961F70" w:rsidRPr="00330A40">
        <w:rPr>
          <w:iCs/>
          <w:u w:val="single"/>
          <w:lang w:val="it-IT"/>
        </w:rPr>
        <w:t> </w:t>
      </w:r>
      <w:r w:rsidRPr="00330A40">
        <w:rPr>
          <w:iCs/>
          <w:u w:val="single"/>
          <w:lang w:val="it-IT"/>
        </w:rPr>
        <w:t>4.4)</w:t>
      </w:r>
    </w:p>
    <w:p w14:paraId="3FA35C8E" w14:textId="77777777" w:rsidR="009C0666" w:rsidRPr="006A2BF9" w:rsidRDefault="00BB195D" w:rsidP="009C0666">
      <w:pPr>
        <w:rPr>
          <w:lang w:val="it-IT"/>
        </w:rPr>
      </w:pPr>
      <w:r w:rsidRPr="006A2BF9">
        <w:rPr>
          <w:lang w:val="it-IT"/>
        </w:rPr>
        <w:t>Negli</w:t>
      </w:r>
      <w:r w:rsidR="009C0666" w:rsidRPr="006A2BF9">
        <w:rPr>
          <w:lang w:val="it-IT"/>
        </w:rPr>
        <w:t xml:space="preserve"> studi clinici</w:t>
      </w:r>
      <w:r w:rsidRPr="006A2BF9">
        <w:rPr>
          <w:lang w:val="it-IT"/>
        </w:rPr>
        <w:t>, fatta salva la sperimentazione JO25567, l’</w:t>
      </w:r>
      <w:r w:rsidR="009C0666" w:rsidRPr="006A2BF9">
        <w:rPr>
          <w:lang w:val="it-IT"/>
        </w:rPr>
        <w:t xml:space="preserve">incidenza </w:t>
      </w:r>
      <w:r w:rsidRPr="006A2BF9">
        <w:rPr>
          <w:lang w:val="it-IT"/>
        </w:rPr>
        <w:t xml:space="preserve">complessiva </w:t>
      </w:r>
      <w:r w:rsidR="009C0666" w:rsidRPr="006A2BF9">
        <w:rPr>
          <w:lang w:val="it-IT"/>
        </w:rPr>
        <w:t>d</w:t>
      </w:r>
      <w:r w:rsidRPr="006A2BF9">
        <w:rPr>
          <w:lang w:val="it-IT"/>
        </w:rPr>
        <w:t>ell’</w:t>
      </w:r>
      <w:r w:rsidR="009C0666" w:rsidRPr="006A2BF9">
        <w:rPr>
          <w:lang w:val="it-IT"/>
        </w:rPr>
        <w:t xml:space="preserve">ipertensione (di tutti i gradi) </w:t>
      </w:r>
      <w:r w:rsidRPr="006A2BF9">
        <w:rPr>
          <w:lang w:val="it-IT"/>
        </w:rPr>
        <w:t>è stata al massimo</w:t>
      </w:r>
      <w:r w:rsidR="009C0666" w:rsidRPr="006A2BF9">
        <w:rPr>
          <w:lang w:val="it-IT"/>
        </w:rPr>
        <w:t xml:space="preserve"> del </w:t>
      </w:r>
      <w:r w:rsidR="000E13A9" w:rsidRPr="006A2BF9">
        <w:rPr>
          <w:lang w:val="it-IT"/>
        </w:rPr>
        <w:t>42,1</w:t>
      </w:r>
      <w:r w:rsidR="009C0666" w:rsidRPr="006A2BF9">
        <w:rPr>
          <w:lang w:val="it-IT"/>
        </w:rPr>
        <w:t xml:space="preserve">% </w:t>
      </w:r>
      <w:r w:rsidRPr="006A2BF9">
        <w:rPr>
          <w:lang w:val="it-IT"/>
        </w:rPr>
        <w:t xml:space="preserve">nei bracci trattati con </w:t>
      </w:r>
      <w:r w:rsidR="00961F70" w:rsidRPr="006A2BF9">
        <w:rPr>
          <w:szCs w:val="22"/>
          <w:lang w:val="it-IT"/>
        </w:rPr>
        <w:t>bevacizumab</w:t>
      </w:r>
      <w:r w:rsidR="00961F70" w:rsidRPr="006A2BF9">
        <w:rPr>
          <w:lang w:val="it-IT"/>
        </w:rPr>
        <w:t xml:space="preserve"> </w:t>
      </w:r>
      <w:r w:rsidR="009C0666" w:rsidRPr="006A2BF9">
        <w:rPr>
          <w:lang w:val="it-IT"/>
        </w:rPr>
        <w:t>rispetto a</w:t>
      </w:r>
      <w:r w:rsidRPr="006A2BF9">
        <w:rPr>
          <w:lang w:val="it-IT"/>
        </w:rPr>
        <w:t xml:space="preserve"> un massimo del</w:t>
      </w:r>
      <w:r w:rsidR="009C0666" w:rsidRPr="006A2BF9">
        <w:rPr>
          <w:lang w:val="it-IT"/>
        </w:rPr>
        <w:t xml:space="preserve"> 14% </w:t>
      </w:r>
      <w:r w:rsidRPr="006A2BF9">
        <w:rPr>
          <w:lang w:val="it-IT"/>
        </w:rPr>
        <w:t>nei bracci di controll</w:t>
      </w:r>
      <w:r w:rsidR="00CB3094" w:rsidRPr="006A2BF9">
        <w:rPr>
          <w:lang w:val="it-IT"/>
        </w:rPr>
        <w:t>o</w:t>
      </w:r>
      <w:r w:rsidRPr="006A2BF9">
        <w:rPr>
          <w:lang w:val="it-IT"/>
        </w:rPr>
        <w:t>.</w:t>
      </w:r>
      <w:r w:rsidR="000E1D68" w:rsidRPr="006A2BF9">
        <w:rPr>
          <w:lang w:val="it-IT"/>
        </w:rPr>
        <w:t xml:space="preserve"> </w:t>
      </w:r>
      <w:r w:rsidRPr="006A2BF9">
        <w:rPr>
          <w:lang w:val="it-IT"/>
        </w:rPr>
        <w:t>L’incidenza complessiva dell’i</w:t>
      </w:r>
      <w:r w:rsidR="009C0666" w:rsidRPr="006A2BF9">
        <w:rPr>
          <w:lang w:val="it-IT"/>
        </w:rPr>
        <w:t xml:space="preserve">pertensione di </w:t>
      </w:r>
      <w:r w:rsidR="002A7EAF" w:rsidRPr="006A2BF9">
        <w:rPr>
          <w:lang w:val="it-IT"/>
        </w:rPr>
        <w:t>G</w:t>
      </w:r>
      <w:r w:rsidR="009C0666" w:rsidRPr="006A2BF9">
        <w:rPr>
          <w:lang w:val="it-IT"/>
        </w:rPr>
        <w:t>rado</w:t>
      </w:r>
      <w:r w:rsidR="00961F70" w:rsidRPr="006A2BF9">
        <w:rPr>
          <w:lang w:val="it-IT"/>
        </w:rPr>
        <w:t> </w:t>
      </w:r>
      <w:r w:rsidR="009C0666" w:rsidRPr="006A2BF9">
        <w:rPr>
          <w:lang w:val="it-IT"/>
        </w:rPr>
        <w:t>3 e</w:t>
      </w:r>
      <w:r w:rsidR="00961F70" w:rsidRPr="006A2BF9">
        <w:rPr>
          <w:lang w:val="it-IT"/>
        </w:rPr>
        <w:t> </w:t>
      </w:r>
      <w:r w:rsidR="009C0666" w:rsidRPr="006A2BF9">
        <w:rPr>
          <w:lang w:val="it-IT"/>
        </w:rPr>
        <w:t>4</w:t>
      </w:r>
      <w:r w:rsidRPr="006A2BF9">
        <w:rPr>
          <w:lang w:val="it-IT"/>
        </w:rPr>
        <w:t xml:space="preserve"> secondo i criteri NCI-CTC</w:t>
      </w:r>
      <w:r w:rsidR="009C0666" w:rsidRPr="006A2BF9">
        <w:rPr>
          <w:lang w:val="it-IT"/>
        </w:rPr>
        <w:t xml:space="preserve"> è stata </w:t>
      </w:r>
      <w:r w:rsidRPr="006A2BF9">
        <w:rPr>
          <w:lang w:val="it-IT"/>
        </w:rPr>
        <w:t>dello</w:t>
      </w:r>
      <w:r w:rsidR="00311784" w:rsidRPr="006A2BF9">
        <w:rPr>
          <w:lang w:val="it-IT"/>
        </w:rPr>
        <w:t xml:space="preserve"> 0,4</w:t>
      </w:r>
      <w:r w:rsidR="009C0666" w:rsidRPr="006A2BF9">
        <w:rPr>
          <w:lang w:val="it-IT"/>
        </w:rPr>
        <w:t>%</w:t>
      </w:r>
      <w:r w:rsidR="00831616" w:rsidRPr="006A2BF9">
        <w:rPr>
          <w:lang w:val="it-IT"/>
        </w:rPr>
        <w:noBreakHyphen/>
      </w:r>
      <w:r w:rsidR="009C0666" w:rsidRPr="006A2BF9">
        <w:rPr>
          <w:lang w:val="it-IT"/>
        </w:rPr>
        <w:t xml:space="preserve">17,9% </w:t>
      </w:r>
      <w:r w:rsidR="00330A40" w:rsidRPr="006A2BF9">
        <w:rPr>
          <w:lang w:val="it-IT"/>
        </w:rPr>
        <w:t>nei pazienti</w:t>
      </w:r>
      <w:r w:rsidR="009C0666" w:rsidRPr="006A2BF9">
        <w:rPr>
          <w:lang w:val="it-IT"/>
        </w:rPr>
        <w:t xml:space="preserve"> trattati con </w:t>
      </w:r>
      <w:r w:rsidR="00961F70" w:rsidRPr="006A2BF9">
        <w:rPr>
          <w:szCs w:val="22"/>
          <w:lang w:val="it-IT"/>
        </w:rPr>
        <w:t>bevacizumab</w:t>
      </w:r>
      <w:r w:rsidR="009C0666" w:rsidRPr="006A2BF9">
        <w:rPr>
          <w:lang w:val="it-IT"/>
        </w:rPr>
        <w:t xml:space="preserve">. L’ipertensione di </w:t>
      </w:r>
      <w:r w:rsidR="002A7EAF" w:rsidRPr="006A2BF9">
        <w:rPr>
          <w:lang w:val="it-IT"/>
        </w:rPr>
        <w:t>G</w:t>
      </w:r>
      <w:r w:rsidR="009C0666" w:rsidRPr="006A2BF9">
        <w:rPr>
          <w:lang w:val="it-IT"/>
        </w:rPr>
        <w:t>rado</w:t>
      </w:r>
      <w:r w:rsidR="00961F70" w:rsidRPr="006A2BF9">
        <w:rPr>
          <w:lang w:val="it-IT"/>
        </w:rPr>
        <w:t> </w:t>
      </w:r>
      <w:r w:rsidR="009C0666" w:rsidRPr="006A2BF9">
        <w:rPr>
          <w:lang w:val="it-IT"/>
        </w:rPr>
        <w:t xml:space="preserve">4 (crisi ipertensiva) si è manifestata </w:t>
      </w:r>
      <w:r w:rsidR="00FF3B90" w:rsidRPr="006A2BF9">
        <w:rPr>
          <w:lang w:val="it-IT"/>
        </w:rPr>
        <w:t>in un massimo dell’1</w:t>
      </w:r>
      <w:r w:rsidR="009C0666" w:rsidRPr="006A2BF9">
        <w:rPr>
          <w:lang w:val="it-IT"/>
        </w:rPr>
        <w:t xml:space="preserve">,0% dei pazienti trattati con </w:t>
      </w:r>
      <w:r w:rsidR="00961F70" w:rsidRPr="006A2BF9">
        <w:rPr>
          <w:szCs w:val="22"/>
          <w:lang w:val="it-IT"/>
        </w:rPr>
        <w:t>bevacizumab</w:t>
      </w:r>
      <w:r w:rsidR="00961F70" w:rsidRPr="006A2BF9">
        <w:rPr>
          <w:lang w:val="it-IT"/>
        </w:rPr>
        <w:t xml:space="preserve"> </w:t>
      </w:r>
      <w:r w:rsidR="009C0666" w:rsidRPr="006A2BF9">
        <w:rPr>
          <w:lang w:val="it-IT"/>
        </w:rPr>
        <w:t xml:space="preserve">e chemioterapia rispetto </w:t>
      </w:r>
      <w:r w:rsidR="00FF3B90" w:rsidRPr="006A2BF9">
        <w:rPr>
          <w:lang w:val="it-IT"/>
        </w:rPr>
        <w:t xml:space="preserve">ad un massimo di </w:t>
      </w:r>
      <w:r w:rsidR="009C0666" w:rsidRPr="006A2BF9">
        <w:rPr>
          <w:lang w:val="it-IT"/>
        </w:rPr>
        <w:t>0,2% dei pazienti trattati con la stessa chemioterapia da sola</w:t>
      </w:r>
      <w:r w:rsidR="00AC4F92" w:rsidRPr="006A2BF9">
        <w:rPr>
          <w:lang w:val="it-IT"/>
        </w:rPr>
        <w:t>.</w:t>
      </w:r>
    </w:p>
    <w:p w14:paraId="7922827B" w14:textId="77777777" w:rsidR="00BB195D" w:rsidRPr="006A2BF9" w:rsidRDefault="00BB195D" w:rsidP="009C0666">
      <w:pPr>
        <w:rPr>
          <w:lang w:val="it-IT"/>
        </w:rPr>
      </w:pPr>
    </w:p>
    <w:p w14:paraId="3BF4B327" w14:textId="77777777" w:rsidR="00BB195D" w:rsidRPr="006A2BF9" w:rsidRDefault="00BB195D" w:rsidP="00BB195D">
      <w:pPr>
        <w:rPr>
          <w:lang w:val="it-IT"/>
        </w:rPr>
      </w:pPr>
      <w:r w:rsidRPr="006A2BF9">
        <w:rPr>
          <w:lang w:val="it-IT"/>
        </w:rPr>
        <w:t xml:space="preserve">Nello studio JO25567 è stata osservata ipertensione di tutti i gradi nel 77,3% dei pazienti trattati con </w:t>
      </w:r>
      <w:r w:rsidR="00961F70" w:rsidRPr="006A2BF9">
        <w:rPr>
          <w:szCs w:val="22"/>
          <w:lang w:val="it-IT"/>
        </w:rPr>
        <w:t>bevacizumab</w:t>
      </w:r>
      <w:r w:rsidR="00961F70" w:rsidRPr="006A2BF9">
        <w:rPr>
          <w:lang w:val="it-IT"/>
        </w:rPr>
        <w:t xml:space="preserve"> </w:t>
      </w:r>
      <w:r w:rsidRPr="006A2BF9">
        <w:rPr>
          <w:lang w:val="it-IT"/>
        </w:rPr>
        <w:t xml:space="preserve">in associazione </w:t>
      </w:r>
      <w:r w:rsidR="00E40C6A" w:rsidRPr="006A2BF9">
        <w:rPr>
          <w:lang w:val="it-IT"/>
        </w:rPr>
        <w:t xml:space="preserve">a </w:t>
      </w:r>
      <w:r w:rsidRPr="006A2BF9">
        <w:rPr>
          <w:lang w:val="it-IT"/>
        </w:rPr>
        <w:t xml:space="preserve">erlotinib in prima linea per </w:t>
      </w:r>
      <w:r w:rsidR="00CB3094" w:rsidRPr="006A2BF9">
        <w:rPr>
          <w:lang w:val="it-IT"/>
        </w:rPr>
        <w:t xml:space="preserve">il </w:t>
      </w:r>
      <w:r w:rsidRPr="006A2BF9">
        <w:rPr>
          <w:lang w:val="it-IT"/>
        </w:rPr>
        <w:t xml:space="preserve">NSCLC </w:t>
      </w:r>
      <w:r w:rsidR="00E40C6A" w:rsidRPr="006A2BF9">
        <w:rPr>
          <w:lang w:val="it-IT"/>
        </w:rPr>
        <w:t>non squamoso</w:t>
      </w:r>
      <w:r w:rsidRPr="006A2BF9">
        <w:rPr>
          <w:lang w:val="it-IT"/>
        </w:rPr>
        <w:t xml:space="preserve"> con mutazioni attivanti dell’EGFR</w:t>
      </w:r>
      <w:r w:rsidR="00CB3094" w:rsidRPr="006A2BF9">
        <w:rPr>
          <w:lang w:val="it-IT"/>
        </w:rPr>
        <w:t>,</w:t>
      </w:r>
      <w:r w:rsidRPr="006A2BF9">
        <w:rPr>
          <w:lang w:val="it-IT"/>
        </w:rPr>
        <w:t xml:space="preserve"> contro il 14,3% dei soggetti a cui è stato somministrato erlotinib in monoterapia. È stata riscontrata ipertensione di Grado</w:t>
      </w:r>
      <w:r w:rsidR="00961F70" w:rsidRPr="006A2BF9">
        <w:rPr>
          <w:lang w:val="it-IT"/>
        </w:rPr>
        <w:t> </w:t>
      </w:r>
      <w:r w:rsidRPr="006A2BF9">
        <w:rPr>
          <w:lang w:val="it-IT"/>
        </w:rPr>
        <w:t xml:space="preserve">3 nel 60% dei pazienti trattati con </w:t>
      </w:r>
      <w:r w:rsidR="00961F70" w:rsidRPr="006A2BF9">
        <w:rPr>
          <w:szCs w:val="22"/>
          <w:lang w:val="it-IT"/>
        </w:rPr>
        <w:t>bevacizumab</w:t>
      </w:r>
      <w:r w:rsidR="00961F70" w:rsidRPr="006A2BF9">
        <w:rPr>
          <w:lang w:val="it-IT"/>
        </w:rPr>
        <w:t xml:space="preserve"> </w:t>
      </w:r>
      <w:r w:rsidRPr="006A2BF9">
        <w:rPr>
          <w:lang w:val="it-IT"/>
        </w:rPr>
        <w:t xml:space="preserve">in associazione </w:t>
      </w:r>
      <w:r w:rsidR="00E40C6A" w:rsidRPr="006A2BF9">
        <w:rPr>
          <w:lang w:val="it-IT"/>
        </w:rPr>
        <w:t xml:space="preserve">a </w:t>
      </w:r>
      <w:r w:rsidRPr="006A2BF9">
        <w:rPr>
          <w:lang w:val="it-IT"/>
        </w:rPr>
        <w:t>erlotinib rispetto all’11,7% dei soggetti a cui è stato somministrato erlotinib in monoterapia. Non sono stati osservati eventi ipertensivi di Grado</w:t>
      </w:r>
      <w:r w:rsidR="00961F70" w:rsidRPr="006A2BF9">
        <w:rPr>
          <w:lang w:val="it-IT"/>
        </w:rPr>
        <w:t> </w:t>
      </w:r>
      <w:r w:rsidRPr="006A2BF9">
        <w:rPr>
          <w:lang w:val="it-IT"/>
        </w:rPr>
        <w:t>4 o</w:t>
      </w:r>
      <w:r w:rsidR="00961F70" w:rsidRPr="006A2BF9">
        <w:rPr>
          <w:lang w:val="it-IT"/>
        </w:rPr>
        <w:t> </w:t>
      </w:r>
      <w:r w:rsidRPr="006A2BF9">
        <w:rPr>
          <w:lang w:val="it-IT"/>
        </w:rPr>
        <w:t>5.</w:t>
      </w:r>
    </w:p>
    <w:p w14:paraId="3589AC6C" w14:textId="77777777" w:rsidR="009C0666" w:rsidRPr="006A2BF9" w:rsidRDefault="009C0666" w:rsidP="009C0666">
      <w:pPr>
        <w:rPr>
          <w:lang w:val="it-IT"/>
        </w:rPr>
      </w:pPr>
    </w:p>
    <w:p w14:paraId="7DA8691F" w14:textId="77777777" w:rsidR="009C0666" w:rsidRPr="006A2BF9" w:rsidRDefault="009C0666" w:rsidP="009C0666">
      <w:pPr>
        <w:rPr>
          <w:lang w:val="it-IT"/>
        </w:rPr>
      </w:pPr>
      <w:r w:rsidRPr="006A2BF9">
        <w:rPr>
          <w:lang w:val="it-IT"/>
        </w:rPr>
        <w:t xml:space="preserve">Generalmente l’ipertensione è stata adeguatamente controllata con antipertensivi orali, quali inibitori dell’enzima di conversione dell’angiotensina, diuretici e calcio-antagonisti. Tale evento ha determinato in rari casi l’interruzione del trattamento con </w:t>
      </w:r>
      <w:r w:rsidR="00961F70" w:rsidRPr="006A2BF9">
        <w:rPr>
          <w:szCs w:val="22"/>
          <w:lang w:val="it-IT"/>
        </w:rPr>
        <w:t>bevacizumab</w:t>
      </w:r>
      <w:r w:rsidR="00961F70" w:rsidRPr="006A2BF9">
        <w:rPr>
          <w:lang w:val="it-IT"/>
        </w:rPr>
        <w:t xml:space="preserve"> </w:t>
      </w:r>
      <w:r w:rsidRPr="006A2BF9">
        <w:rPr>
          <w:lang w:val="it-IT"/>
        </w:rPr>
        <w:t>o il ricovero.</w:t>
      </w:r>
    </w:p>
    <w:p w14:paraId="40D5CBD0" w14:textId="77777777" w:rsidR="009C0666" w:rsidRPr="006A2BF9" w:rsidRDefault="009C0666" w:rsidP="009C0666">
      <w:pPr>
        <w:rPr>
          <w:lang w:val="it-IT"/>
        </w:rPr>
      </w:pPr>
    </w:p>
    <w:p w14:paraId="64F8C6A6" w14:textId="77777777" w:rsidR="009C0666" w:rsidRPr="006A2BF9" w:rsidRDefault="009C0666" w:rsidP="009C0666">
      <w:pPr>
        <w:rPr>
          <w:lang w:val="it-IT"/>
        </w:rPr>
      </w:pPr>
      <w:r w:rsidRPr="006A2BF9">
        <w:rPr>
          <w:lang w:val="it-IT"/>
        </w:rPr>
        <w:t xml:space="preserve">Sono stati </w:t>
      </w:r>
      <w:r w:rsidR="00E40C6A" w:rsidRPr="006A2BF9">
        <w:rPr>
          <w:lang w:val="it-IT"/>
        </w:rPr>
        <w:t xml:space="preserve">segnalati </w:t>
      </w:r>
      <w:r w:rsidRPr="006A2BF9">
        <w:rPr>
          <w:lang w:val="it-IT"/>
        </w:rPr>
        <w:t>casi molto rari di encefalopatia ipertensiva, alcuni dei quali sono stati fatali.</w:t>
      </w:r>
    </w:p>
    <w:p w14:paraId="36E9B136" w14:textId="77777777" w:rsidR="009C0666" w:rsidRPr="006A2BF9" w:rsidRDefault="009C0666" w:rsidP="009C0666">
      <w:pPr>
        <w:rPr>
          <w:lang w:val="it-IT"/>
        </w:rPr>
      </w:pPr>
    </w:p>
    <w:p w14:paraId="3E403577" w14:textId="77777777" w:rsidR="009C0666" w:rsidRPr="006A2BF9" w:rsidRDefault="009C0666" w:rsidP="009C0666">
      <w:pPr>
        <w:rPr>
          <w:lang w:val="it-IT"/>
        </w:rPr>
      </w:pPr>
      <w:r w:rsidRPr="006A2BF9">
        <w:rPr>
          <w:lang w:val="it-IT"/>
        </w:rPr>
        <w:t xml:space="preserve">Il rischio di ipertensione associata alla terapia con </w:t>
      </w:r>
      <w:r w:rsidR="00961F70" w:rsidRPr="006A2BF9">
        <w:rPr>
          <w:szCs w:val="22"/>
          <w:lang w:val="it-IT"/>
        </w:rPr>
        <w:t>bevacizumab</w:t>
      </w:r>
      <w:r w:rsidR="00961F70" w:rsidRPr="006A2BF9">
        <w:rPr>
          <w:lang w:val="it-IT"/>
        </w:rPr>
        <w:t xml:space="preserve"> </w:t>
      </w:r>
      <w:r w:rsidRPr="006A2BF9">
        <w:rPr>
          <w:lang w:val="it-IT"/>
        </w:rPr>
        <w:t>non è risultato correlato alle caratteristiche basali dei pazienti, alla patologia sottostante o alle terapie concomitanti.</w:t>
      </w:r>
    </w:p>
    <w:p w14:paraId="404FEFB2" w14:textId="77777777" w:rsidR="009C0666" w:rsidRPr="006A2BF9" w:rsidRDefault="009C0666" w:rsidP="009C0666">
      <w:pPr>
        <w:rPr>
          <w:lang w:val="it-IT"/>
        </w:rPr>
      </w:pPr>
    </w:p>
    <w:p w14:paraId="55AB54DB" w14:textId="77777777" w:rsidR="000E13A9" w:rsidRPr="006A2BF9" w:rsidRDefault="000E13A9" w:rsidP="000E13A9">
      <w:pPr>
        <w:rPr>
          <w:i/>
          <w:u w:val="single"/>
          <w:lang w:val="it-IT"/>
        </w:rPr>
      </w:pPr>
      <w:r w:rsidRPr="006A2BF9">
        <w:rPr>
          <w:i/>
          <w:u w:val="single"/>
          <w:lang w:val="it-IT"/>
        </w:rPr>
        <w:t>Sindrome d</w:t>
      </w:r>
      <w:r w:rsidR="005F7285" w:rsidRPr="006A2BF9">
        <w:rPr>
          <w:i/>
          <w:u w:val="single"/>
          <w:lang w:val="it-IT"/>
        </w:rPr>
        <w:t>a</w:t>
      </w:r>
      <w:r w:rsidRPr="006A2BF9">
        <w:rPr>
          <w:i/>
          <w:u w:val="single"/>
          <w:lang w:val="it-IT"/>
        </w:rPr>
        <w:t xml:space="preserve"> encefalopatia posteriore reversibile </w:t>
      </w:r>
      <w:r w:rsidR="0098190E" w:rsidRPr="006A2BF9">
        <w:rPr>
          <w:i/>
          <w:u w:val="single"/>
          <w:lang w:val="it-IT"/>
        </w:rPr>
        <w:t xml:space="preserve">– </w:t>
      </w:r>
      <w:r w:rsidR="00A4711E" w:rsidRPr="006A2BF9">
        <w:rPr>
          <w:i/>
          <w:u w:val="single"/>
          <w:lang w:val="it-IT"/>
        </w:rPr>
        <w:t>(</w:t>
      </w:r>
      <w:r w:rsidR="0098190E" w:rsidRPr="006A2BF9">
        <w:rPr>
          <w:i/>
          <w:u w:val="single"/>
          <w:lang w:val="it-IT"/>
        </w:rPr>
        <w:t>PRES</w:t>
      </w:r>
      <w:r w:rsidR="00A4711E" w:rsidRPr="006A2BF9">
        <w:rPr>
          <w:i/>
          <w:u w:val="single"/>
          <w:lang w:val="it-IT"/>
        </w:rPr>
        <w:t>)</w:t>
      </w:r>
      <w:r w:rsidR="0098190E" w:rsidRPr="006A2BF9">
        <w:rPr>
          <w:i/>
          <w:u w:val="single"/>
          <w:lang w:val="it-IT"/>
        </w:rPr>
        <w:t xml:space="preserve"> </w:t>
      </w:r>
      <w:r w:rsidRPr="006A2BF9">
        <w:rPr>
          <w:u w:val="single"/>
          <w:lang w:val="it-IT"/>
        </w:rPr>
        <w:t>(vedere paragrafo</w:t>
      </w:r>
      <w:r w:rsidR="00961F70" w:rsidRPr="006A2BF9">
        <w:rPr>
          <w:u w:val="single"/>
          <w:lang w:val="it-IT"/>
        </w:rPr>
        <w:t> </w:t>
      </w:r>
      <w:r w:rsidRPr="006A2BF9">
        <w:rPr>
          <w:u w:val="single"/>
          <w:lang w:val="it-IT"/>
        </w:rPr>
        <w:t>4.4)</w:t>
      </w:r>
    </w:p>
    <w:p w14:paraId="28E3438E" w14:textId="77777777" w:rsidR="000E13A9" w:rsidRPr="006A2BF9" w:rsidRDefault="0098190E" w:rsidP="000E13A9">
      <w:pPr>
        <w:rPr>
          <w:lang w:val="it-IT"/>
        </w:rPr>
      </w:pPr>
      <w:r w:rsidRPr="006A2BF9">
        <w:rPr>
          <w:lang w:val="it-IT"/>
        </w:rPr>
        <w:t>In rari casi, durante il trattamento d</w:t>
      </w:r>
      <w:r w:rsidR="00E40C6A" w:rsidRPr="006A2BF9">
        <w:rPr>
          <w:lang w:val="it-IT"/>
        </w:rPr>
        <w:t>e</w:t>
      </w:r>
      <w:r w:rsidRPr="006A2BF9">
        <w:rPr>
          <w:lang w:val="it-IT"/>
        </w:rPr>
        <w:t xml:space="preserve">i pazienti con </w:t>
      </w:r>
      <w:r w:rsidR="00961F70" w:rsidRPr="006A2BF9">
        <w:rPr>
          <w:szCs w:val="22"/>
          <w:lang w:val="it-IT"/>
        </w:rPr>
        <w:t>bevacizumab</w:t>
      </w:r>
      <w:r w:rsidRPr="006A2BF9">
        <w:rPr>
          <w:lang w:val="it-IT"/>
        </w:rPr>
        <w:t>, s</w:t>
      </w:r>
      <w:r w:rsidR="000E13A9" w:rsidRPr="006A2BF9">
        <w:rPr>
          <w:lang w:val="it-IT"/>
        </w:rPr>
        <w:t xml:space="preserve">ono stati riportati segni e sintomi </w:t>
      </w:r>
      <w:r w:rsidR="004C2248" w:rsidRPr="006A2BF9">
        <w:rPr>
          <w:lang w:val="it-IT"/>
        </w:rPr>
        <w:t>correlati</w:t>
      </w:r>
      <w:r w:rsidR="000E13A9" w:rsidRPr="006A2BF9">
        <w:rPr>
          <w:lang w:val="it-IT"/>
        </w:rPr>
        <w:t xml:space="preserve"> con </w:t>
      </w:r>
      <w:r w:rsidR="00640622" w:rsidRPr="006A2BF9">
        <w:rPr>
          <w:lang w:val="it-IT"/>
        </w:rPr>
        <w:t>PRES</w:t>
      </w:r>
      <w:r w:rsidR="000E13A9" w:rsidRPr="006A2BF9">
        <w:rPr>
          <w:lang w:val="it-IT"/>
        </w:rPr>
        <w:t xml:space="preserve">, una rara malattia neurologica. </w:t>
      </w:r>
      <w:r w:rsidR="00D86DB0" w:rsidRPr="006A2BF9">
        <w:rPr>
          <w:lang w:val="it-IT"/>
        </w:rPr>
        <w:t>Le manifestazioni</w:t>
      </w:r>
      <w:r w:rsidR="000E13A9" w:rsidRPr="006A2BF9">
        <w:rPr>
          <w:lang w:val="it-IT"/>
        </w:rPr>
        <w:t xml:space="preserve"> possono includere </w:t>
      </w:r>
      <w:r w:rsidR="00E40C6A" w:rsidRPr="006A2BF9">
        <w:rPr>
          <w:lang w:val="it-IT"/>
        </w:rPr>
        <w:t>crisi convulsive</w:t>
      </w:r>
      <w:r w:rsidR="000E13A9" w:rsidRPr="006A2BF9">
        <w:rPr>
          <w:lang w:val="it-IT"/>
        </w:rPr>
        <w:t xml:space="preserve">, cefalea, alterazione dello stato mentale, disturbi visivi o cecità corticale, con o senza ipertensione associata. La </w:t>
      </w:r>
      <w:r w:rsidR="00D86DB0" w:rsidRPr="006A2BF9">
        <w:rPr>
          <w:lang w:val="it-IT"/>
        </w:rPr>
        <w:t>manifestazione</w:t>
      </w:r>
      <w:r w:rsidR="000E13A9" w:rsidRPr="006A2BF9">
        <w:rPr>
          <w:lang w:val="it-IT"/>
        </w:rPr>
        <w:t xml:space="preserve"> clinica</w:t>
      </w:r>
      <w:r w:rsidR="00D86DB0" w:rsidRPr="006A2BF9">
        <w:rPr>
          <w:lang w:val="it-IT"/>
        </w:rPr>
        <w:t xml:space="preserve"> di PRES è spesso aspecifica </w:t>
      </w:r>
      <w:r w:rsidR="000E13A9" w:rsidRPr="006A2BF9">
        <w:rPr>
          <w:lang w:val="it-IT"/>
        </w:rPr>
        <w:t>quindi la diagnosi</w:t>
      </w:r>
      <w:r w:rsidR="00E83F61" w:rsidRPr="006A2BF9">
        <w:rPr>
          <w:lang w:val="it-IT"/>
        </w:rPr>
        <w:t xml:space="preserve"> di PRES richiede </w:t>
      </w:r>
      <w:r w:rsidR="00D86DB0" w:rsidRPr="006A2BF9">
        <w:rPr>
          <w:lang w:val="it-IT"/>
        </w:rPr>
        <w:t xml:space="preserve">conferma </w:t>
      </w:r>
      <w:r w:rsidR="00BA006B" w:rsidRPr="006A2BF9">
        <w:rPr>
          <w:lang w:val="it-IT"/>
        </w:rPr>
        <w:t>mediante</w:t>
      </w:r>
      <w:r w:rsidR="000E13A9" w:rsidRPr="006A2BF9">
        <w:rPr>
          <w:lang w:val="it-IT"/>
        </w:rPr>
        <w:t xml:space="preserve"> immagini del cervello, preferibilmente</w:t>
      </w:r>
      <w:r w:rsidR="00E83F61" w:rsidRPr="006A2BF9">
        <w:rPr>
          <w:lang w:val="it-IT"/>
        </w:rPr>
        <w:t xml:space="preserve"> </w:t>
      </w:r>
      <w:r w:rsidR="00E40C6A" w:rsidRPr="006A2BF9">
        <w:rPr>
          <w:lang w:val="it-IT"/>
        </w:rPr>
        <w:t xml:space="preserve">risonanza magnetica </w:t>
      </w:r>
      <w:r w:rsidR="00EB291C" w:rsidRPr="006A2BF9">
        <w:rPr>
          <w:lang w:val="it-IT"/>
        </w:rPr>
        <w:t>(RM)</w:t>
      </w:r>
      <w:r w:rsidR="000E13A9" w:rsidRPr="006A2BF9">
        <w:rPr>
          <w:lang w:val="it-IT"/>
        </w:rPr>
        <w:t>.</w:t>
      </w:r>
    </w:p>
    <w:p w14:paraId="31A36AF0" w14:textId="77777777" w:rsidR="000E13A9" w:rsidRPr="006A2BF9" w:rsidRDefault="000E13A9" w:rsidP="000E13A9">
      <w:pPr>
        <w:rPr>
          <w:lang w:val="it-IT"/>
        </w:rPr>
      </w:pPr>
    </w:p>
    <w:p w14:paraId="654A568C" w14:textId="77777777" w:rsidR="000E13A9" w:rsidRPr="006A2BF9" w:rsidRDefault="000E13A9" w:rsidP="000E13A9">
      <w:pPr>
        <w:rPr>
          <w:lang w:val="it-IT"/>
        </w:rPr>
      </w:pPr>
      <w:r w:rsidRPr="006A2BF9">
        <w:rPr>
          <w:lang w:val="it-IT"/>
        </w:rPr>
        <w:t>Nei pazienti con</w:t>
      </w:r>
      <w:r w:rsidR="005F7285" w:rsidRPr="006A2BF9">
        <w:rPr>
          <w:lang w:val="it-IT"/>
        </w:rPr>
        <w:t xml:space="preserve"> sospetto di </w:t>
      </w:r>
      <w:r w:rsidRPr="006A2BF9">
        <w:rPr>
          <w:lang w:val="it-IT"/>
        </w:rPr>
        <w:t xml:space="preserve">PRES, </w:t>
      </w:r>
      <w:r w:rsidR="00D86DB0" w:rsidRPr="006A2BF9">
        <w:rPr>
          <w:lang w:val="it-IT"/>
        </w:rPr>
        <w:t xml:space="preserve">è raccomandato </w:t>
      </w:r>
      <w:r w:rsidRPr="006A2BF9">
        <w:rPr>
          <w:lang w:val="it-IT"/>
        </w:rPr>
        <w:t>il riconoscimento precoce dei si</w:t>
      </w:r>
      <w:r w:rsidR="00BA006B" w:rsidRPr="006A2BF9">
        <w:rPr>
          <w:lang w:val="it-IT"/>
        </w:rPr>
        <w:t xml:space="preserve">ntomi </w:t>
      </w:r>
      <w:r w:rsidR="00B03B5E" w:rsidRPr="006A2BF9">
        <w:rPr>
          <w:lang w:val="it-IT"/>
        </w:rPr>
        <w:t>specifici ed</w:t>
      </w:r>
      <w:r w:rsidR="00BA006B" w:rsidRPr="006A2BF9">
        <w:rPr>
          <w:lang w:val="it-IT"/>
        </w:rPr>
        <w:t xml:space="preserve"> il loro</w:t>
      </w:r>
      <w:r w:rsidRPr="006A2BF9">
        <w:rPr>
          <w:lang w:val="it-IT"/>
        </w:rPr>
        <w:t xml:space="preserve"> </w:t>
      </w:r>
      <w:r w:rsidR="00BA006B" w:rsidRPr="006A2BF9">
        <w:rPr>
          <w:lang w:val="it-IT"/>
        </w:rPr>
        <w:t>trattamento</w:t>
      </w:r>
      <w:r w:rsidR="00E83F61" w:rsidRPr="006A2BF9">
        <w:rPr>
          <w:lang w:val="it-IT"/>
        </w:rPr>
        <w:t xml:space="preserve"> incluso il controllo dell’ipertensione (se associata </w:t>
      </w:r>
      <w:r w:rsidRPr="006A2BF9">
        <w:rPr>
          <w:lang w:val="it-IT"/>
        </w:rPr>
        <w:t xml:space="preserve">a </w:t>
      </w:r>
      <w:r w:rsidR="00472CD8" w:rsidRPr="006A2BF9">
        <w:rPr>
          <w:lang w:val="it-IT"/>
        </w:rPr>
        <w:t xml:space="preserve">severa </w:t>
      </w:r>
      <w:r w:rsidR="00D86DB0" w:rsidRPr="006A2BF9">
        <w:rPr>
          <w:lang w:val="it-IT"/>
        </w:rPr>
        <w:t xml:space="preserve">ipertensione non controllata), </w:t>
      </w:r>
      <w:r w:rsidRPr="006A2BF9">
        <w:rPr>
          <w:lang w:val="it-IT"/>
        </w:rPr>
        <w:t>oltre all'interruzione della terapia con bevacizumab. I sintomi di solito si risolvono o migliorano entro</w:t>
      </w:r>
      <w:r w:rsidR="00D86DB0" w:rsidRPr="006A2BF9">
        <w:rPr>
          <w:lang w:val="it-IT"/>
        </w:rPr>
        <w:t xml:space="preserve"> qualche giorno dal</w:t>
      </w:r>
      <w:r w:rsidRPr="006A2BF9">
        <w:rPr>
          <w:lang w:val="it-IT"/>
        </w:rPr>
        <w:t>l'interruzione del trattamento, anche se alcuni pazienti hanno speriment</w:t>
      </w:r>
      <w:r w:rsidR="00D86DB0" w:rsidRPr="006A2BF9">
        <w:rPr>
          <w:lang w:val="it-IT"/>
        </w:rPr>
        <w:t>ato qualche sequel</w:t>
      </w:r>
      <w:r w:rsidR="000E1D68" w:rsidRPr="006A2BF9">
        <w:rPr>
          <w:lang w:val="it-IT"/>
        </w:rPr>
        <w:t>a</w:t>
      </w:r>
      <w:r w:rsidR="00D86DB0" w:rsidRPr="006A2BF9">
        <w:rPr>
          <w:lang w:val="it-IT"/>
        </w:rPr>
        <w:t xml:space="preserve"> neurologica</w:t>
      </w:r>
      <w:r w:rsidRPr="006A2BF9">
        <w:rPr>
          <w:lang w:val="it-IT"/>
        </w:rPr>
        <w:t xml:space="preserve">. La sicurezza </w:t>
      </w:r>
      <w:r w:rsidR="00D86DB0" w:rsidRPr="006A2BF9">
        <w:rPr>
          <w:lang w:val="it-IT"/>
        </w:rPr>
        <w:t>associata alla ripresa</w:t>
      </w:r>
      <w:r w:rsidRPr="006A2BF9">
        <w:rPr>
          <w:lang w:val="it-IT"/>
        </w:rPr>
        <w:t xml:space="preserve"> </w:t>
      </w:r>
      <w:r w:rsidR="00D86DB0" w:rsidRPr="006A2BF9">
        <w:rPr>
          <w:lang w:val="it-IT"/>
        </w:rPr>
        <w:t>del</w:t>
      </w:r>
      <w:r w:rsidRPr="006A2BF9">
        <w:rPr>
          <w:lang w:val="it-IT"/>
        </w:rPr>
        <w:t xml:space="preserve">la terapia con </w:t>
      </w:r>
      <w:r w:rsidR="00961F70" w:rsidRPr="006A2BF9">
        <w:rPr>
          <w:szCs w:val="22"/>
          <w:lang w:val="it-IT"/>
        </w:rPr>
        <w:t>bevacizumab</w:t>
      </w:r>
      <w:r w:rsidR="00961F70" w:rsidRPr="006A2BF9">
        <w:rPr>
          <w:lang w:val="it-IT"/>
        </w:rPr>
        <w:t xml:space="preserve"> </w:t>
      </w:r>
      <w:r w:rsidRPr="006A2BF9">
        <w:rPr>
          <w:lang w:val="it-IT"/>
        </w:rPr>
        <w:t>in pazienti</w:t>
      </w:r>
      <w:r w:rsidR="00D86DB0" w:rsidRPr="006A2BF9">
        <w:rPr>
          <w:lang w:val="it-IT"/>
        </w:rPr>
        <w:t xml:space="preserve"> che hanno</w:t>
      </w:r>
      <w:r w:rsidRPr="006A2BF9">
        <w:rPr>
          <w:lang w:val="it-IT"/>
        </w:rPr>
        <w:t xml:space="preserve"> precedentem</w:t>
      </w:r>
      <w:r w:rsidR="00D86DB0" w:rsidRPr="006A2BF9">
        <w:rPr>
          <w:lang w:val="it-IT"/>
        </w:rPr>
        <w:t>ente manifestato PRES non è nota</w:t>
      </w:r>
      <w:r w:rsidRPr="006A2BF9">
        <w:rPr>
          <w:lang w:val="it-IT"/>
        </w:rPr>
        <w:t>.</w:t>
      </w:r>
    </w:p>
    <w:p w14:paraId="6FE71F22" w14:textId="77777777" w:rsidR="000E13A9" w:rsidRPr="006A2BF9" w:rsidRDefault="000E13A9" w:rsidP="000E13A9">
      <w:pPr>
        <w:rPr>
          <w:lang w:val="it-IT"/>
        </w:rPr>
      </w:pPr>
    </w:p>
    <w:p w14:paraId="10A2593C" w14:textId="77777777" w:rsidR="000E13A9" w:rsidRPr="006A2BF9" w:rsidRDefault="00AD13EE" w:rsidP="000E13A9">
      <w:pPr>
        <w:rPr>
          <w:lang w:val="it-IT"/>
        </w:rPr>
      </w:pPr>
      <w:r w:rsidRPr="006A2BF9">
        <w:rPr>
          <w:lang w:val="it-IT"/>
        </w:rPr>
        <w:lastRenderedPageBreak/>
        <w:t>S</w:t>
      </w:r>
      <w:r w:rsidR="000E13A9" w:rsidRPr="006A2BF9">
        <w:rPr>
          <w:lang w:val="it-IT"/>
        </w:rPr>
        <w:t>ono</w:t>
      </w:r>
      <w:r w:rsidR="00D86DB0" w:rsidRPr="006A2BF9">
        <w:rPr>
          <w:lang w:val="it-IT"/>
        </w:rPr>
        <w:t xml:space="preserve"> stati </w:t>
      </w:r>
      <w:r w:rsidRPr="006A2BF9">
        <w:rPr>
          <w:lang w:val="it-IT"/>
        </w:rPr>
        <w:t>riportati otto</w:t>
      </w:r>
      <w:r w:rsidR="00D86DB0" w:rsidRPr="006A2BF9">
        <w:rPr>
          <w:lang w:val="it-IT"/>
        </w:rPr>
        <w:t xml:space="preserve"> casi di PRES tra tutti </w:t>
      </w:r>
      <w:r w:rsidRPr="006A2BF9">
        <w:rPr>
          <w:lang w:val="it-IT"/>
        </w:rPr>
        <w:t>gli studi clinici</w:t>
      </w:r>
      <w:r w:rsidR="000E13A9" w:rsidRPr="006A2BF9">
        <w:rPr>
          <w:lang w:val="it-IT"/>
        </w:rPr>
        <w:t xml:space="preserve">. </w:t>
      </w:r>
      <w:r w:rsidR="00D86DB0" w:rsidRPr="006A2BF9">
        <w:rPr>
          <w:lang w:val="it-IT"/>
        </w:rPr>
        <w:t xml:space="preserve">Due </w:t>
      </w:r>
      <w:r w:rsidR="000E13A9" w:rsidRPr="006A2BF9">
        <w:rPr>
          <w:lang w:val="it-IT"/>
        </w:rPr>
        <w:t xml:space="preserve">casi </w:t>
      </w:r>
      <w:r w:rsidR="00BA006B" w:rsidRPr="006A2BF9">
        <w:rPr>
          <w:lang w:val="it-IT"/>
        </w:rPr>
        <w:t>su otto</w:t>
      </w:r>
      <w:r w:rsidR="00D86DB0" w:rsidRPr="006A2BF9">
        <w:rPr>
          <w:lang w:val="it-IT"/>
        </w:rPr>
        <w:t xml:space="preserve"> </w:t>
      </w:r>
      <w:r w:rsidR="000E13A9" w:rsidRPr="006A2BF9">
        <w:rPr>
          <w:lang w:val="it-IT"/>
        </w:rPr>
        <w:t>non hanno avut</w:t>
      </w:r>
      <w:r w:rsidR="00922ADE" w:rsidRPr="006A2BF9">
        <w:rPr>
          <w:lang w:val="it-IT"/>
        </w:rPr>
        <w:t xml:space="preserve">o conferma radiologica tramite </w:t>
      </w:r>
      <w:r w:rsidR="000E13A9" w:rsidRPr="006A2BF9">
        <w:rPr>
          <w:lang w:val="it-IT"/>
        </w:rPr>
        <w:t>R</w:t>
      </w:r>
      <w:r w:rsidR="00922ADE" w:rsidRPr="006A2BF9">
        <w:rPr>
          <w:lang w:val="it-IT"/>
        </w:rPr>
        <w:t>M</w:t>
      </w:r>
      <w:r w:rsidR="000E13A9" w:rsidRPr="006A2BF9">
        <w:rPr>
          <w:lang w:val="it-IT"/>
        </w:rPr>
        <w:t>.</w:t>
      </w:r>
    </w:p>
    <w:p w14:paraId="3F460C44" w14:textId="77777777" w:rsidR="000E13A9" w:rsidRPr="006A2BF9" w:rsidRDefault="000E13A9" w:rsidP="009C0666">
      <w:pPr>
        <w:rPr>
          <w:lang w:val="it-IT"/>
        </w:rPr>
      </w:pPr>
    </w:p>
    <w:p w14:paraId="7D5172C1" w14:textId="77777777" w:rsidR="009C0666" w:rsidRPr="006A2BF9" w:rsidRDefault="009C0666" w:rsidP="009C0666">
      <w:pPr>
        <w:outlineLvl w:val="0"/>
        <w:rPr>
          <w:i/>
          <w:iCs/>
          <w:u w:val="single"/>
          <w:lang w:val="it-IT"/>
        </w:rPr>
      </w:pPr>
      <w:r w:rsidRPr="006A2BF9">
        <w:rPr>
          <w:i/>
          <w:iCs/>
          <w:u w:val="single"/>
          <w:lang w:val="it-IT"/>
        </w:rPr>
        <w:t xml:space="preserve">Proteinuria </w:t>
      </w:r>
      <w:r w:rsidRPr="006A2BF9">
        <w:rPr>
          <w:iCs/>
          <w:u w:val="single"/>
          <w:lang w:val="it-IT"/>
        </w:rPr>
        <w:t>(</w:t>
      </w:r>
      <w:r w:rsidRPr="006A2BF9">
        <w:rPr>
          <w:u w:val="single"/>
          <w:lang w:val="it-IT"/>
        </w:rPr>
        <w:t>vedere paragrafo</w:t>
      </w:r>
      <w:r w:rsidR="00961F70" w:rsidRPr="006A2BF9">
        <w:rPr>
          <w:iCs/>
          <w:u w:val="single"/>
          <w:lang w:val="it-IT"/>
        </w:rPr>
        <w:t> </w:t>
      </w:r>
      <w:r w:rsidRPr="006A2BF9">
        <w:rPr>
          <w:iCs/>
          <w:u w:val="single"/>
          <w:lang w:val="it-IT"/>
        </w:rPr>
        <w:t>4.4)</w:t>
      </w:r>
    </w:p>
    <w:p w14:paraId="38AC3F17" w14:textId="77777777" w:rsidR="009C0666" w:rsidRPr="006A2BF9" w:rsidRDefault="009C0666" w:rsidP="009C0666">
      <w:pPr>
        <w:rPr>
          <w:lang w:val="it-IT"/>
        </w:rPr>
      </w:pPr>
      <w:r w:rsidRPr="006A2BF9">
        <w:rPr>
          <w:lang w:val="it-IT"/>
        </w:rPr>
        <w:t xml:space="preserve">Negli studi clinici la proteinuria è stata riscontrata in una percentuale </w:t>
      </w:r>
      <w:r w:rsidR="00E40C6A" w:rsidRPr="006A2BF9">
        <w:rPr>
          <w:lang w:val="it-IT"/>
        </w:rPr>
        <w:t xml:space="preserve">compresa </w:t>
      </w:r>
      <w:r w:rsidRPr="006A2BF9">
        <w:rPr>
          <w:lang w:val="it-IT"/>
        </w:rPr>
        <w:t xml:space="preserve">tra lo 0,7% e il </w:t>
      </w:r>
      <w:r w:rsidR="00BB195D" w:rsidRPr="006A2BF9">
        <w:rPr>
          <w:lang w:val="it-IT"/>
        </w:rPr>
        <w:t>54,7</w:t>
      </w:r>
      <w:r w:rsidRPr="006A2BF9">
        <w:rPr>
          <w:lang w:val="it-IT"/>
        </w:rPr>
        <w:t xml:space="preserve">% dei pazienti trattati con </w:t>
      </w:r>
      <w:r w:rsidR="00961F70" w:rsidRPr="006A2BF9">
        <w:rPr>
          <w:szCs w:val="22"/>
          <w:lang w:val="it-IT"/>
        </w:rPr>
        <w:t>bevacizumab</w:t>
      </w:r>
      <w:r w:rsidRPr="006A2BF9">
        <w:rPr>
          <w:lang w:val="it-IT"/>
        </w:rPr>
        <w:t>.</w:t>
      </w:r>
    </w:p>
    <w:p w14:paraId="42FD1B44" w14:textId="77777777" w:rsidR="000C14C9" w:rsidRPr="006A2BF9" w:rsidRDefault="000C14C9" w:rsidP="009C0666">
      <w:pPr>
        <w:rPr>
          <w:lang w:val="it-IT"/>
        </w:rPr>
      </w:pPr>
    </w:p>
    <w:p w14:paraId="030BC53E" w14:textId="77777777" w:rsidR="009C0666" w:rsidRPr="006A2BF9" w:rsidRDefault="009C0666" w:rsidP="009C0666">
      <w:pPr>
        <w:rPr>
          <w:lang w:val="it-IT"/>
        </w:rPr>
      </w:pPr>
      <w:r w:rsidRPr="006A2BF9">
        <w:rPr>
          <w:lang w:val="it-IT"/>
        </w:rPr>
        <w:t xml:space="preserve">La proteinuria si è manifestata con una </w:t>
      </w:r>
      <w:r w:rsidR="00DB7900" w:rsidRPr="006A2BF9">
        <w:rPr>
          <w:lang w:val="it-IT"/>
        </w:rPr>
        <w:t>severità</w:t>
      </w:r>
      <w:r w:rsidRPr="006A2BF9">
        <w:rPr>
          <w:lang w:val="it-IT"/>
        </w:rPr>
        <w:t xml:space="preserve"> che </w:t>
      </w:r>
      <w:r w:rsidR="00E40C6A" w:rsidRPr="006A2BF9">
        <w:rPr>
          <w:lang w:val="it-IT"/>
        </w:rPr>
        <w:t>variava</w:t>
      </w:r>
      <w:r w:rsidRPr="006A2BF9">
        <w:rPr>
          <w:lang w:val="it-IT"/>
        </w:rPr>
        <w:t xml:space="preserve"> da una proteinuria clinicamente asintomatica, transitoria e in tracce, ad una sindrome nefrosica; nella maggior parte dei casi si è trattato di proteinuria di </w:t>
      </w:r>
      <w:r w:rsidR="00E54D92" w:rsidRPr="006A2BF9">
        <w:rPr>
          <w:lang w:val="it-IT"/>
        </w:rPr>
        <w:t>G</w:t>
      </w:r>
      <w:r w:rsidRPr="006A2BF9">
        <w:rPr>
          <w:lang w:val="it-IT"/>
        </w:rPr>
        <w:t>rado</w:t>
      </w:r>
      <w:r w:rsidR="00961F70" w:rsidRPr="006A2BF9">
        <w:rPr>
          <w:lang w:val="it-IT"/>
        </w:rPr>
        <w:t> </w:t>
      </w:r>
      <w:r w:rsidRPr="006A2BF9">
        <w:rPr>
          <w:lang w:val="it-IT"/>
        </w:rPr>
        <w:t>1</w:t>
      </w:r>
      <w:r w:rsidR="00E54D92" w:rsidRPr="006A2BF9">
        <w:rPr>
          <w:lang w:val="it-IT"/>
        </w:rPr>
        <w:t xml:space="preserve"> (NCI-CTCAE v.3)</w:t>
      </w:r>
      <w:r w:rsidRPr="006A2BF9">
        <w:rPr>
          <w:lang w:val="it-IT"/>
        </w:rPr>
        <w:t xml:space="preserve">. La proteinuria di </w:t>
      </w:r>
      <w:r w:rsidR="00E54D92" w:rsidRPr="006A2BF9">
        <w:rPr>
          <w:lang w:val="it-IT"/>
        </w:rPr>
        <w:t>G</w:t>
      </w:r>
      <w:r w:rsidRPr="006A2BF9">
        <w:rPr>
          <w:lang w:val="it-IT"/>
        </w:rPr>
        <w:t>rado</w:t>
      </w:r>
      <w:r w:rsidR="00961F70" w:rsidRPr="006A2BF9">
        <w:rPr>
          <w:lang w:val="it-IT"/>
        </w:rPr>
        <w:t> </w:t>
      </w:r>
      <w:r w:rsidRPr="006A2BF9">
        <w:rPr>
          <w:lang w:val="it-IT"/>
        </w:rPr>
        <w:t xml:space="preserve">3 è stata </w:t>
      </w:r>
      <w:r w:rsidR="00E40C6A" w:rsidRPr="006A2BF9">
        <w:rPr>
          <w:lang w:val="it-IT"/>
        </w:rPr>
        <w:t xml:space="preserve">segnalata in un massimo del </w:t>
      </w:r>
      <w:r w:rsidR="0086135E" w:rsidRPr="006A2BF9">
        <w:rPr>
          <w:lang w:val="it-IT"/>
        </w:rPr>
        <w:t>10,9</w:t>
      </w:r>
      <w:r w:rsidR="0057003D" w:rsidRPr="006A2BF9">
        <w:rPr>
          <w:lang w:val="it-IT"/>
        </w:rPr>
        <w:t>%</w:t>
      </w:r>
      <w:r w:rsidR="00FF3B90" w:rsidRPr="006A2BF9">
        <w:rPr>
          <w:lang w:val="it-IT"/>
        </w:rPr>
        <w:t xml:space="preserve"> </w:t>
      </w:r>
      <w:r w:rsidRPr="006A2BF9">
        <w:rPr>
          <w:lang w:val="it-IT"/>
        </w:rPr>
        <w:t xml:space="preserve">dei pazienti trattati. La proteinuria di </w:t>
      </w:r>
      <w:r w:rsidR="002A7EAF" w:rsidRPr="006A2BF9">
        <w:rPr>
          <w:lang w:val="it-IT"/>
        </w:rPr>
        <w:t>G</w:t>
      </w:r>
      <w:r w:rsidRPr="006A2BF9">
        <w:rPr>
          <w:lang w:val="it-IT"/>
        </w:rPr>
        <w:t>rado</w:t>
      </w:r>
      <w:r w:rsidR="00961F70" w:rsidRPr="006A2BF9">
        <w:rPr>
          <w:lang w:val="it-IT"/>
        </w:rPr>
        <w:t> </w:t>
      </w:r>
      <w:r w:rsidRPr="006A2BF9">
        <w:rPr>
          <w:lang w:val="it-IT"/>
        </w:rPr>
        <w:t xml:space="preserve">4 (sindrome nefrosica) è stata osservata </w:t>
      </w:r>
      <w:r w:rsidR="00E40C6A" w:rsidRPr="006A2BF9">
        <w:rPr>
          <w:lang w:val="it-IT"/>
        </w:rPr>
        <w:t>in un massimo de</w:t>
      </w:r>
      <w:r w:rsidR="00E10F07" w:rsidRPr="006A2BF9">
        <w:rPr>
          <w:lang w:val="it-IT"/>
        </w:rPr>
        <w:t>l</w:t>
      </w:r>
      <w:r w:rsidRPr="006A2BF9">
        <w:rPr>
          <w:lang w:val="it-IT"/>
        </w:rPr>
        <w:t xml:space="preserve">l’1,4% dei pazienti trattati. Si raccomanda di controllare la proteinuria prima di iniziare una terapia con </w:t>
      </w:r>
      <w:r w:rsidR="00961F70" w:rsidRPr="006A2BF9">
        <w:rPr>
          <w:szCs w:val="22"/>
          <w:lang w:val="it-IT"/>
        </w:rPr>
        <w:t>bevacizumab</w:t>
      </w:r>
      <w:r w:rsidRPr="006A2BF9">
        <w:rPr>
          <w:lang w:val="it-IT"/>
        </w:rPr>
        <w:t>. In molti studi clinici, livelli di proteinuria ≥ 2 g/24</w:t>
      </w:r>
      <w:r w:rsidR="00961F70" w:rsidRPr="006A2BF9">
        <w:rPr>
          <w:lang w:val="it-IT"/>
        </w:rPr>
        <w:t> </w:t>
      </w:r>
      <w:r w:rsidRPr="006A2BF9">
        <w:rPr>
          <w:lang w:val="it-IT"/>
        </w:rPr>
        <w:t xml:space="preserve">h hanno portato alla sospensione di </w:t>
      </w:r>
      <w:r w:rsidR="00961F70" w:rsidRPr="006A2BF9">
        <w:rPr>
          <w:szCs w:val="22"/>
          <w:lang w:val="it-IT"/>
        </w:rPr>
        <w:t>bevacizumab</w:t>
      </w:r>
      <w:r w:rsidR="00961F70" w:rsidRPr="006A2BF9">
        <w:rPr>
          <w:lang w:val="it-IT"/>
        </w:rPr>
        <w:t xml:space="preserve"> </w:t>
      </w:r>
      <w:r w:rsidRPr="006A2BF9">
        <w:rPr>
          <w:lang w:val="it-IT"/>
        </w:rPr>
        <w:t>fino all</w:t>
      </w:r>
      <w:r w:rsidR="00E16B02" w:rsidRPr="006A2BF9">
        <w:rPr>
          <w:lang w:val="it-IT"/>
        </w:rPr>
        <w:t>’</w:t>
      </w:r>
      <w:r w:rsidRPr="006A2BF9">
        <w:rPr>
          <w:lang w:val="it-IT"/>
        </w:rPr>
        <w:t>abbassamento del livello al di sotto di 2 g/24</w:t>
      </w:r>
      <w:r w:rsidR="00961F70" w:rsidRPr="006A2BF9">
        <w:rPr>
          <w:lang w:val="it-IT"/>
        </w:rPr>
        <w:t> </w:t>
      </w:r>
      <w:r w:rsidRPr="006A2BF9">
        <w:rPr>
          <w:lang w:val="it-IT"/>
        </w:rPr>
        <w:t>h.</w:t>
      </w:r>
    </w:p>
    <w:p w14:paraId="759A7E36" w14:textId="77777777" w:rsidR="009C0666" w:rsidRPr="006A2BF9" w:rsidRDefault="009C0666" w:rsidP="009C0666">
      <w:pPr>
        <w:rPr>
          <w:lang w:val="it-IT"/>
        </w:rPr>
      </w:pPr>
    </w:p>
    <w:p w14:paraId="42E8E1A5" w14:textId="77777777" w:rsidR="009C0666" w:rsidRPr="006A2BF9" w:rsidRDefault="009C0666" w:rsidP="009C0666">
      <w:pPr>
        <w:rPr>
          <w:iCs/>
          <w:u w:val="single"/>
          <w:lang w:val="it-IT"/>
        </w:rPr>
      </w:pPr>
      <w:r w:rsidRPr="006A2BF9">
        <w:rPr>
          <w:i/>
          <w:iCs/>
          <w:u w:val="single"/>
          <w:lang w:val="it-IT"/>
        </w:rPr>
        <w:t xml:space="preserve">Emorragia </w:t>
      </w:r>
      <w:r w:rsidRPr="006A2BF9">
        <w:rPr>
          <w:iCs/>
          <w:u w:val="single"/>
          <w:lang w:val="it-IT"/>
        </w:rPr>
        <w:t>(</w:t>
      </w:r>
      <w:r w:rsidRPr="006A2BF9">
        <w:rPr>
          <w:u w:val="single"/>
          <w:lang w:val="it-IT"/>
        </w:rPr>
        <w:t>vedere paragrafo</w:t>
      </w:r>
      <w:r w:rsidR="00961F70" w:rsidRPr="006A2BF9">
        <w:rPr>
          <w:iCs/>
          <w:u w:val="single"/>
          <w:lang w:val="it-IT"/>
        </w:rPr>
        <w:t> </w:t>
      </w:r>
      <w:r w:rsidRPr="006A2BF9">
        <w:rPr>
          <w:iCs/>
          <w:u w:val="single"/>
          <w:lang w:val="it-IT"/>
        </w:rPr>
        <w:t>4.4)</w:t>
      </w:r>
    </w:p>
    <w:p w14:paraId="7B254371" w14:textId="77777777" w:rsidR="009C0666" w:rsidRPr="006A2BF9" w:rsidRDefault="009C0666" w:rsidP="009C0666">
      <w:pPr>
        <w:rPr>
          <w:lang w:val="it-IT"/>
        </w:rPr>
      </w:pPr>
      <w:r w:rsidRPr="006A2BF9">
        <w:rPr>
          <w:lang w:val="it-IT"/>
        </w:rPr>
        <w:t>Negli studi clinici per tutte le indicazioni, l’incidenza globale d</w:t>
      </w:r>
      <w:r w:rsidR="00CA113E" w:rsidRPr="006A2BF9">
        <w:rPr>
          <w:lang w:val="it-IT"/>
        </w:rPr>
        <w:t>elle reazioni</w:t>
      </w:r>
      <w:r w:rsidRPr="006A2BF9">
        <w:rPr>
          <w:lang w:val="it-IT"/>
        </w:rPr>
        <w:t xml:space="preserve"> emorragic</w:t>
      </w:r>
      <w:r w:rsidR="00CA113E" w:rsidRPr="006A2BF9">
        <w:rPr>
          <w:lang w:val="it-IT"/>
        </w:rPr>
        <w:t>he</w:t>
      </w:r>
      <w:r w:rsidRPr="006A2BF9">
        <w:rPr>
          <w:lang w:val="it-IT"/>
        </w:rPr>
        <w:t xml:space="preserve"> di </w:t>
      </w:r>
      <w:r w:rsidR="00CA113E" w:rsidRPr="006A2BF9">
        <w:rPr>
          <w:lang w:val="it-IT"/>
        </w:rPr>
        <w:t>G</w:t>
      </w:r>
      <w:r w:rsidRPr="006A2BF9">
        <w:rPr>
          <w:lang w:val="it-IT"/>
        </w:rPr>
        <w:t>rado</w:t>
      </w:r>
      <w:r w:rsidR="00961F70" w:rsidRPr="006A2BF9">
        <w:rPr>
          <w:lang w:val="it-IT"/>
        </w:rPr>
        <w:t> </w:t>
      </w:r>
      <w:r w:rsidRPr="006A2BF9">
        <w:rPr>
          <w:lang w:val="it-IT"/>
        </w:rPr>
        <w:t xml:space="preserve">3-5 secondo </w:t>
      </w:r>
      <w:r w:rsidR="008059AB" w:rsidRPr="006A2BF9">
        <w:rPr>
          <w:lang w:val="it-IT"/>
        </w:rPr>
        <w:t>l’</w:t>
      </w:r>
      <w:r w:rsidRPr="006A2BF9">
        <w:rPr>
          <w:lang w:val="it-IT"/>
        </w:rPr>
        <w:t>NCI-CTC</w:t>
      </w:r>
      <w:r w:rsidR="00CA113E" w:rsidRPr="006A2BF9">
        <w:rPr>
          <w:lang w:val="it-IT"/>
        </w:rPr>
        <w:t>AE v.3</w:t>
      </w:r>
      <w:r w:rsidRPr="006A2BF9">
        <w:rPr>
          <w:lang w:val="it-IT"/>
        </w:rPr>
        <w:t xml:space="preserve"> è variata dallo 0,4% al </w:t>
      </w:r>
      <w:r w:rsidR="0057003D" w:rsidRPr="006A2BF9">
        <w:rPr>
          <w:lang w:val="it-IT"/>
        </w:rPr>
        <w:t>6,</w:t>
      </w:r>
      <w:r w:rsidR="00112F59" w:rsidRPr="006A2BF9">
        <w:rPr>
          <w:lang w:val="it-IT"/>
        </w:rPr>
        <w:t>9</w:t>
      </w:r>
      <w:r w:rsidRPr="006A2BF9">
        <w:rPr>
          <w:lang w:val="it-IT"/>
        </w:rPr>
        <w:t xml:space="preserve">%, in pazienti trattati con </w:t>
      </w:r>
      <w:r w:rsidR="00961F70" w:rsidRPr="006A2BF9">
        <w:rPr>
          <w:szCs w:val="22"/>
          <w:lang w:val="it-IT"/>
        </w:rPr>
        <w:t>bevacizumab</w:t>
      </w:r>
      <w:r w:rsidR="00961F70" w:rsidRPr="006A2BF9">
        <w:rPr>
          <w:lang w:val="it-IT"/>
        </w:rPr>
        <w:t xml:space="preserve"> </w:t>
      </w:r>
      <w:r w:rsidRPr="006A2BF9">
        <w:rPr>
          <w:lang w:val="it-IT"/>
        </w:rPr>
        <w:t xml:space="preserve">rispetto a un massimo del </w:t>
      </w:r>
      <w:r w:rsidR="00112F59" w:rsidRPr="006A2BF9">
        <w:rPr>
          <w:lang w:val="it-IT"/>
        </w:rPr>
        <w:t>4,5</w:t>
      </w:r>
      <w:r w:rsidRPr="006A2BF9">
        <w:rPr>
          <w:lang w:val="it-IT"/>
        </w:rPr>
        <w:t xml:space="preserve">% dei pazienti nel gruppo di controllo con chemioterapia. </w:t>
      </w:r>
    </w:p>
    <w:p w14:paraId="5F993159" w14:textId="77777777" w:rsidR="00112F59" w:rsidRPr="006A2BF9" w:rsidRDefault="00112F59" w:rsidP="009C0666">
      <w:pPr>
        <w:rPr>
          <w:lang w:val="it-IT"/>
        </w:rPr>
      </w:pPr>
    </w:p>
    <w:p w14:paraId="1307015F" w14:textId="77777777" w:rsidR="00112F59" w:rsidRPr="006A2BF9" w:rsidRDefault="00112F59" w:rsidP="00112F59">
      <w:pPr>
        <w:rPr>
          <w:lang w:val="it-IT"/>
        </w:rPr>
      </w:pPr>
      <w:r w:rsidRPr="006A2BF9">
        <w:rPr>
          <w:lang w:val="it-IT"/>
        </w:rPr>
        <w:t xml:space="preserve">In uno studio clinico condotto su pazienti affette da </w:t>
      </w:r>
      <w:r w:rsidR="00E0032F">
        <w:rPr>
          <w:lang w:val="it-IT"/>
        </w:rPr>
        <w:t>cancro</w:t>
      </w:r>
      <w:r w:rsidR="00E0032F" w:rsidRPr="00330A40">
        <w:rPr>
          <w:lang w:val="it-IT"/>
        </w:rPr>
        <w:t xml:space="preserve"> </w:t>
      </w:r>
      <w:r w:rsidRPr="00330A40">
        <w:rPr>
          <w:lang w:val="it-IT"/>
        </w:rPr>
        <w:t xml:space="preserve">della cervice persistente, </w:t>
      </w:r>
      <w:r w:rsidR="00053210" w:rsidRPr="00330A40">
        <w:rPr>
          <w:lang w:val="it-IT"/>
        </w:rPr>
        <w:t>ricorrente</w:t>
      </w:r>
      <w:r w:rsidRPr="00330A40">
        <w:rPr>
          <w:lang w:val="it-IT"/>
        </w:rPr>
        <w:t xml:space="preserve"> o metastatico </w:t>
      </w:r>
      <w:r w:rsidRPr="00330A40">
        <w:rPr>
          <w:rFonts w:cs="Arial"/>
          <w:iCs/>
          <w:lang w:val="it-IT"/>
        </w:rPr>
        <w:t>(studio GOG-</w:t>
      </w:r>
      <w:r w:rsidR="00A55C68" w:rsidRPr="00330A40">
        <w:rPr>
          <w:rFonts w:cs="Arial"/>
          <w:iCs/>
          <w:lang w:val="it-IT"/>
        </w:rPr>
        <w:t>0</w:t>
      </w:r>
      <w:r w:rsidRPr="00330A40">
        <w:rPr>
          <w:rFonts w:cs="Arial"/>
          <w:iCs/>
          <w:lang w:val="it-IT"/>
        </w:rPr>
        <w:t>240), sono state segnalate reazioni emorragiche di grado</w:t>
      </w:r>
      <w:r w:rsidR="00961F70" w:rsidRPr="00330A40">
        <w:rPr>
          <w:rFonts w:cs="Arial"/>
          <w:iCs/>
          <w:lang w:val="it-IT"/>
        </w:rPr>
        <w:t> </w:t>
      </w:r>
      <w:r w:rsidRPr="00330A40">
        <w:rPr>
          <w:rFonts w:cs="Arial"/>
          <w:iCs/>
          <w:lang w:val="it-IT"/>
        </w:rPr>
        <w:t>3</w:t>
      </w:r>
      <w:r w:rsidR="00831616" w:rsidRPr="00330A40">
        <w:rPr>
          <w:rFonts w:cs="Arial"/>
          <w:iCs/>
          <w:lang w:val="it-IT"/>
        </w:rPr>
        <w:noBreakHyphen/>
      </w:r>
      <w:r w:rsidRPr="00330A40">
        <w:rPr>
          <w:rFonts w:cs="Arial"/>
          <w:iCs/>
          <w:lang w:val="it-IT"/>
        </w:rPr>
        <w:t xml:space="preserve">5 </w:t>
      </w:r>
      <w:r w:rsidR="00C50843" w:rsidRPr="00330A40">
        <w:rPr>
          <w:rFonts w:cs="Arial"/>
          <w:iCs/>
          <w:lang w:val="it-IT"/>
        </w:rPr>
        <w:t>nell’</w:t>
      </w:r>
      <w:r w:rsidRPr="00330A40">
        <w:rPr>
          <w:rFonts w:cs="Arial"/>
          <w:iCs/>
          <w:lang w:val="it-IT"/>
        </w:rPr>
        <w:t>8,3%</w:t>
      </w:r>
      <w:r w:rsidR="00C50843" w:rsidRPr="00330A40">
        <w:rPr>
          <w:rFonts w:cs="Arial"/>
          <w:iCs/>
          <w:lang w:val="it-IT"/>
        </w:rPr>
        <w:t xml:space="preserve"> massimo</w:t>
      </w:r>
      <w:r w:rsidRPr="00330A40">
        <w:rPr>
          <w:rFonts w:cs="Arial"/>
          <w:iCs/>
          <w:lang w:val="it-IT"/>
        </w:rPr>
        <w:t xml:space="preserve"> delle pazienti trattate con </w:t>
      </w:r>
      <w:r w:rsidR="00961F70" w:rsidRPr="00330A40">
        <w:rPr>
          <w:szCs w:val="22"/>
          <w:lang w:val="it-IT"/>
        </w:rPr>
        <w:t>bevacizumab</w:t>
      </w:r>
      <w:r w:rsidR="00961F70" w:rsidRPr="006A2BF9">
        <w:rPr>
          <w:lang w:val="it-IT"/>
        </w:rPr>
        <w:t xml:space="preserve"> </w:t>
      </w:r>
      <w:r w:rsidR="002E7A16" w:rsidRPr="006A2BF9">
        <w:rPr>
          <w:rFonts w:cs="Arial"/>
          <w:iCs/>
          <w:lang w:val="it-IT"/>
        </w:rPr>
        <w:t xml:space="preserve">in associazione </w:t>
      </w:r>
      <w:r w:rsidR="00E40C6A" w:rsidRPr="006A2BF9">
        <w:rPr>
          <w:rFonts w:cs="Arial"/>
          <w:iCs/>
          <w:lang w:val="it-IT"/>
        </w:rPr>
        <w:t xml:space="preserve">a </w:t>
      </w:r>
      <w:r w:rsidRPr="006A2BF9">
        <w:rPr>
          <w:color w:val="000000"/>
          <w:lang w:val="it-IT"/>
        </w:rPr>
        <w:t>paclitaxel e topotecan c</w:t>
      </w:r>
      <w:r w:rsidR="00C50843" w:rsidRPr="006A2BF9">
        <w:rPr>
          <w:color w:val="000000"/>
          <w:lang w:val="it-IT"/>
        </w:rPr>
        <w:t xml:space="preserve">ontro </w:t>
      </w:r>
      <w:r w:rsidR="00E66D44" w:rsidRPr="006A2BF9">
        <w:rPr>
          <w:color w:val="000000"/>
          <w:lang w:val="it-IT"/>
        </w:rPr>
        <w:t>il</w:t>
      </w:r>
      <w:r w:rsidRPr="006A2BF9">
        <w:rPr>
          <w:color w:val="000000"/>
          <w:lang w:val="it-IT"/>
        </w:rPr>
        <w:t xml:space="preserve"> 4,6% </w:t>
      </w:r>
      <w:r w:rsidR="00E66D44" w:rsidRPr="006A2BF9">
        <w:rPr>
          <w:color w:val="000000"/>
          <w:lang w:val="it-IT"/>
        </w:rPr>
        <w:t xml:space="preserve">massimo </w:t>
      </w:r>
      <w:r w:rsidRPr="006A2BF9">
        <w:rPr>
          <w:rFonts w:cs="Arial"/>
          <w:iCs/>
          <w:lang w:val="it-IT"/>
        </w:rPr>
        <w:t xml:space="preserve">delle pazienti trattate con </w:t>
      </w:r>
      <w:r w:rsidRPr="006A2BF9">
        <w:rPr>
          <w:color w:val="000000"/>
          <w:lang w:val="it-IT"/>
        </w:rPr>
        <w:t>paclitaxel e topotecan</w:t>
      </w:r>
      <w:r w:rsidRPr="006A2BF9">
        <w:rPr>
          <w:rFonts w:cs="Arial"/>
          <w:iCs/>
          <w:lang w:val="it-IT"/>
        </w:rPr>
        <w:t>.</w:t>
      </w:r>
    </w:p>
    <w:p w14:paraId="0ECC4B6B" w14:textId="77777777" w:rsidR="009C0666" w:rsidRPr="006A2BF9" w:rsidRDefault="009C0666" w:rsidP="009C0666">
      <w:pPr>
        <w:rPr>
          <w:lang w:val="it-IT"/>
        </w:rPr>
      </w:pPr>
    </w:p>
    <w:p w14:paraId="4E75FA4C" w14:textId="77777777" w:rsidR="009C0666" w:rsidRPr="006A2BF9" w:rsidRDefault="00CA113E" w:rsidP="009C0666">
      <w:pPr>
        <w:rPr>
          <w:lang w:val="it-IT"/>
        </w:rPr>
      </w:pPr>
      <w:r w:rsidRPr="006A2BF9">
        <w:rPr>
          <w:lang w:val="it-IT"/>
        </w:rPr>
        <w:t>Le reazioni</w:t>
      </w:r>
      <w:r w:rsidR="00D966E3" w:rsidRPr="006A2BF9">
        <w:rPr>
          <w:lang w:val="it-IT"/>
        </w:rPr>
        <w:t xml:space="preserve"> </w:t>
      </w:r>
      <w:r w:rsidR="009C0666" w:rsidRPr="006A2BF9">
        <w:rPr>
          <w:lang w:val="it-IT"/>
        </w:rPr>
        <w:t>emorragic</w:t>
      </w:r>
      <w:r w:rsidRPr="006A2BF9">
        <w:rPr>
          <w:lang w:val="it-IT"/>
        </w:rPr>
        <w:t>he</w:t>
      </w:r>
      <w:r w:rsidR="009C0666" w:rsidRPr="006A2BF9">
        <w:rPr>
          <w:lang w:val="it-IT"/>
        </w:rPr>
        <w:t xml:space="preserve"> osservat</w:t>
      </w:r>
      <w:r w:rsidR="00A4711E" w:rsidRPr="006A2BF9">
        <w:rPr>
          <w:lang w:val="it-IT"/>
        </w:rPr>
        <w:t>e</w:t>
      </w:r>
      <w:r w:rsidR="009C0666" w:rsidRPr="006A2BF9">
        <w:rPr>
          <w:lang w:val="it-IT"/>
        </w:rPr>
        <w:t xml:space="preserve"> negli studi clinici sono stat</w:t>
      </w:r>
      <w:r w:rsidR="00A4711E" w:rsidRPr="006A2BF9">
        <w:rPr>
          <w:lang w:val="it-IT"/>
        </w:rPr>
        <w:t>e</w:t>
      </w:r>
      <w:r w:rsidR="009C0666" w:rsidRPr="006A2BF9">
        <w:rPr>
          <w:lang w:val="it-IT"/>
        </w:rPr>
        <w:t xml:space="preserve"> prevalentemente emorragia associata al tumore (vedere sotto) ed emorragia mucocutanea minore (ad esempio epistassi). </w:t>
      </w:r>
    </w:p>
    <w:p w14:paraId="1F1018D1" w14:textId="77777777" w:rsidR="009C0666" w:rsidRPr="006A2BF9" w:rsidRDefault="009C0666" w:rsidP="009C0666">
      <w:pPr>
        <w:rPr>
          <w:lang w:val="it-IT"/>
        </w:rPr>
      </w:pPr>
    </w:p>
    <w:p w14:paraId="4794D049" w14:textId="77777777" w:rsidR="009C0666" w:rsidRPr="006A2BF9" w:rsidRDefault="009C0666" w:rsidP="001F1A69">
      <w:pPr>
        <w:keepNext/>
        <w:rPr>
          <w:u w:val="single"/>
          <w:lang w:val="it-IT"/>
        </w:rPr>
      </w:pPr>
      <w:r w:rsidRPr="006A2BF9">
        <w:rPr>
          <w:i/>
          <w:u w:val="single"/>
          <w:lang w:val="it-IT"/>
        </w:rPr>
        <w:t>Emorragia associata al tumore</w:t>
      </w:r>
      <w:r w:rsidRPr="006A2BF9">
        <w:rPr>
          <w:u w:val="single"/>
          <w:lang w:val="it-IT"/>
        </w:rPr>
        <w:t xml:space="preserve"> (vedere paragrafo</w:t>
      </w:r>
      <w:r w:rsidR="00961F70" w:rsidRPr="006A2BF9">
        <w:rPr>
          <w:u w:val="single"/>
          <w:lang w:val="it-IT"/>
        </w:rPr>
        <w:t> </w:t>
      </w:r>
      <w:r w:rsidRPr="006A2BF9">
        <w:rPr>
          <w:u w:val="single"/>
          <w:lang w:val="it-IT"/>
        </w:rPr>
        <w:t>4.4)</w:t>
      </w:r>
    </w:p>
    <w:p w14:paraId="33074980" w14:textId="77777777" w:rsidR="009C0666" w:rsidRPr="006A2BF9" w:rsidRDefault="009C0666" w:rsidP="009C0666">
      <w:pPr>
        <w:rPr>
          <w:lang w:val="it-IT"/>
        </w:rPr>
      </w:pPr>
      <w:r w:rsidRPr="006A2BF9">
        <w:rPr>
          <w:lang w:val="it-IT"/>
        </w:rPr>
        <w:t xml:space="preserve">Emorragia polmonare/emottisi massiva o importante è stata osservata principalmente in studi su pazienti con </w:t>
      </w:r>
      <w:r w:rsidR="00EB182B">
        <w:rPr>
          <w:lang w:val="it-IT"/>
        </w:rPr>
        <w:t>cancro del polmone</w:t>
      </w:r>
      <w:r w:rsidRPr="00330A40">
        <w:rPr>
          <w:lang w:val="it-IT"/>
        </w:rPr>
        <w:t xml:space="preserve"> non a piccole cellule (NSCLC). I possibili fattori di rischio comprendono: istologia a cellule squamose, trattamento con </w:t>
      </w:r>
      <w:r w:rsidR="007B5D3E" w:rsidRPr="00330A40">
        <w:rPr>
          <w:lang w:val="it-IT"/>
        </w:rPr>
        <w:t xml:space="preserve">sostanze </w:t>
      </w:r>
      <w:r w:rsidRPr="00330A40">
        <w:rPr>
          <w:lang w:val="it-IT"/>
        </w:rPr>
        <w:t>antireumatic</w:t>
      </w:r>
      <w:r w:rsidR="007B5D3E" w:rsidRPr="00330A40">
        <w:rPr>
          <w:lang w:val="it-IT"/>
        </w:rPr>
        <w:t>he</w:t>
      </w:r>
      <w:r w:rsidRPr="00330A40">
        <w:rPr>
          <w:lang w:val="it-IT"/>
        </w:rPr>
        <w:t>/antinfiammatori</w:t>
      </w:r>
      <w:r w:rsidR="007B5D3E" w:rsidRPr="00330A40">
        <w:rPr>
          <w:lang w:val="it-IT"/>
        </w:rPr>
        <w:t>e</w:t>
      </w:r>
      <w:r w:rsidRPr="00330A40">
        <w:rPr>
          <w:lang w:val="it-IT"/>
        </w:rPr>
        <w:t xml:space="preserve">, trattamento con anticoagulanti, precedente radioterapia, terapia con </w:t>
      </w:r>
      <w:r w:rsidR="00961F70" w:rsidRPr="00330A40">
        <w:rPr>
          <w:szCs w:val="22"/>
          <w:lang w:val="it-IT"/>
        </w:rPr>
        <w:t>bevacizumab</w:t>
      </w:r>
      <w:r w:rsidRPr="00330A40">
        <w:rPr>
          <w:lang w:val="it-IT"/>
        </w:rPr>
        <w:t xml:space="preserve">, anamnesi positiva per aterosclerosi, localizzazione centrale del tumore e cavitazione del tumore prima o durante la terapia. Le uniche variabili che hanno dimostrato correlazioni statisticamente significative con il sanguinamento sono state la terapia con </w:t>
      </w:r>
      <w:r w:rsidR="00961F70" w:rsidRPr="00330A40">
        <w:rPr>
          <w:szCs w:val="22"/>
          <w:lang w:val="it-IT"/>
        </w:rPr>
        <w:t>bevacizumab</w:t>
      </w:r>
      <w:r w:rsidR="00961F70" w:rsidRPr="006A2BF9">
        <w:rPr>
          <w:lang w:val="it-IT"/>
        </w:rPr>
        <w:t xml:space="preserve"> </w:t>
      </w:r>
      <w:r w:rsidRPr="006A2BF9">
        <w:rPr>
          <w:lang w:val="it-IT"/>
        </w:rPr>
        <w:t>e l'istologia a cellule squamose. I pazienti con NSCLC con confermata istologia a cellule squamose o mista con predominanza di cellule squamose sono stati esclusi dagli studi successivi di fase III, mentre sono stati inclusi i pazienti con istologia tumorale sconosciuta.</w:t>
      </w:r>
    </w:p>
    <w:p w14:paraId="399B8A31" w14:textId="77777777" w:rsidR="009C0666" w:rsidRPr="006A2BF9" w:rsidRDefault="009C0666" w:rsidP="009C0666">
      <w:pPr>
        <w:rPr>
          <w:lang w:val="it-IT"/>
        </w:rPr>
      </w:pPr>
    </w:p>
    <w:p w14:paraId="1F1159B6" w14:textId="77777777" w:rsidR="009C0666" w:rsidRPr="006A2BF9" w:rsidRDefault="009C0666" w:rsidP="009C0666">
      <w:pPr>
        <w:rPr>
          <w:lang w:val="it-IT"/>
        </w:rPr>
      </w:pPr>
      <w:r w:rsidRPr="006A2BF9">
        <w:rPr>
          <w:lang w:val="it-IT"/>
        </w:rPr>
        <w:t>Nei pazienti con NSCLC, con l</w:t>
      </w:r>
      <w:r w:rsidR="00961F70" w:rsidRPr="006A2BF9">
        <w:rPr>
          <w:lang w:val="it-IT"/>
        </w:rPr>
        <w:t>’</w:t>
      </w:r>
      <w:r w:rsidRPr="006A2BF9">
        <w:rPr>
          <w:lang w:val="it-IT"/>
        </w:rPr>
        <w:t xml:space="preserve">esclusione di quelli con istologia a predominanza </w:t>
      </w:r>
      <w:r w:rsidR="00E40C6A" w:rsidRPr="006A2BF9">
        <w:rPr>
          <w:lang w:val="it-IT"/>
        </w:rPr>
        <w:t>squamosa</w:t>
      </w:r>
      <w:r w:rsidRPr="006A2BF9">
        <w:rPr>
          <w:lang w:val="it-IT"/>
        </w:rPr>
        <w:t>, sono stat</w:t>
      </w:r>
      <w:r w:rsidR="00E16B02" w:rsidRPr="006A2BF9">
        <w:rPr>
          <w:lang w:val="it-IT"/>
        </w:rPr>
        <w:t>e</w:t>
      </w:r>
      <w:r w:rsidRPr="006A2BF9">
        <w:rPr>
          <w:lang w:val="it-IT"/>
        </w:rPr>
        <w:t xml:space="preserve"> rilevat</w:t>
      </w:r>
      <w:r w:rsidR="00A93223" w:rsidRPr="006A2BF9">
        <w:rPr>
          <w:lang w:val="it-IT"/>
        </w:rPr>
        <w:t>e</w:t>
      </w:r>
      <w:r w:rsidRPr="006A2BF9">
        <w:rPr>
          <w:lang w:val="it-IT"/>
        </w:rPr>
        <w:t xml:space="preserve"> </w:t>
      </w:r>
      <w:r w:rsidR="00A93223" w:rsidRPr="006A2BF9">
        <w:rPr>
          <w:lang w:val="it-IT"/>
        </w:rPr>
        <w:t xml:space="preserve">reazioni </w:t>
      </w:r>
      <w:r w:rsidRPr="006A2BF9">
        <w:rPr>
          <w:lang w:val="it-IT"/>
        </w:rPr>
        <w:t xml:space="preserve">di tutti i </w:t>
      </w:r>
      <w:r w:rsidR="00A93223" w:rsidRPr="006A2BF9">
        <w:rPr>
          <w:lang w:val="it-IT"/>
        </w:rPr>
        <w:t>G</w:t>
      </w:r>
      <w:r w:rsidRPr="006A2BF9">
        <w:rPr>
          <w:lang w:val="it-IT"/>
        </w:rPr>
        <w:t>radi, con una frequenza fino al 9</w:t>
      </w:r>
      <w:r w:rsidR="00BB195D" w:rsidRPr="006A2BF9">
        <w:rPr>
          <w:lang w:val="it-IT"/>
        </w:rPr>
        <w:t>,3</w:t>
      </w:r>
      <w:r w:rsidRPr="006A2BF9">
        <w:rPr>
          <w:lang w:val="it-IT"/>
        </w:rPr>
        <w:t xml:space="preserve">% quando trattati con </w:t>
      </w:r>
      <w:r w:rsidR="00961F70" w:rsidRPr="006A2BF9">
        <w:rPr>
          <w:szCs w:val="22"/>
          <w:lang w:val="it-IT"/>
        </w:rPr>
        <w:t>bevacizumab</w:t>
      </w:r>
      <w:r w:rsidR="00961F70" w:rsidRPr="006A2BF9">
        <w:rPr>
          <w:lang w:val="it-IT"/>
        </w:rPr>
        <w:t xml:space="preserve"> </w:t>
      </w:r>
      <w:r w:rsidRPr="006A2BF9">
        <w:rPr>
          <w:lang w:val="it-IT"/>
        </w:rPr>
        <w:t>e chemioterapia, rispetto a</w:t>
      </w:r>
      <w:r w:rsidR="00BB195D" w:rsidRPr="006A2BF9">
        <w:rPr>
          <w:lang w:val="it-IT"/>
        </w:rPr>
        <w:t xml:space="preserve"> un massimo del</w:t>
      </w:r>
      <w:r w:rsidRPr="006A2BF9">
        <w:rPr>
          <w:lang w:val="it-IT"/>
        </w:rPr>
        <w:t xml:space="preserve"> 5% dei pazienti trattati con sola chemioterapia. </w:t>
      </w:r>
      <w:r w:rsidR="00A93223" w:rsidRPr="006A2BF9">
        <w:rPr>
          <w:lang w:val="it-IT"/>
        </w:rPr>
        <w:t>Reazioni</w:t>
      </w:r>
      <w:r w:rsidR="00E16B02" w:rsidRPr="006A2BF9">
        <w:rPr>
          <w:lang w:val="it-IT"/>
        </w:rPr>
        <w:t xml:space="preserve"> </w:t>
      </w:r>
      <w:r w:rsidRPr="006A2BF9">
        <w:rPr>
          <w:lang w:val="it-IT"/>
        </w:rPr>
        <w:t xml:space="preserve">di </w:t>
      </w:r>
      <w:r w:rsidR="00A93223" w:rsidRPr="006A2BF9">
        <w:rPr>
          <w:lang w:val="it-IT"/>
        </w:rPr>
        <w:t>G</w:t>
      </w:r>
      <w:r w:rsidRPr="006A2BF9">
        <w:rPr>
          <w:lang w:val="it-IT"/>
        </w:rPr>
        <w:t>rado</w:t>
      </w:r>
      <w:r w:rsidR="00961F70" w:rsidRPr="006A2BF9">
        <w:rPr>
          <w:lang w:val="it-IT"/>
        </w:rPr>
        <w:t> </w:t>
      </w:r>
      <w:r w:rsidRPr="006A2BF9">
        <w:rPr>
          <w:lang w:val="it-IT"/>
        </w:rPr>
        <w:t>3-5 sono stat</w:t>
      </w:r>
      <w:r w:rsidR="008059AB" w:rsidRPr="006A2BF9">
        <w:rPr>
          <w:lang w:val="it-IT"/>
        </w:rPr>
        <w:t>e</w:t>
      </w:r>
      <w:r w:rsidRPr="006A2BF9">
        <w:rPr>
          <w:lang w:val="it-IT"/>
        </w:rPr>
        <w:t xml:space="preserve"> osservat</w:t>
      </w:r>
      <w:r w:rsidR="008059AB" w:rsidRPr="006A2BF9">
        <w:rPr>
          <w:lang w:val="it-IT"/>
        </w:rPr>
        <w:t>e</w:t>
      </w:r>
      <w:r w:rsidRPr="006A2BF9">
        <w:rPr>
          <w:lang w:val="it-IT"/>
        </w:rPr>
        <w:t xml:space="preserve"> in una percentuale fino al 2,3% dei pazienti trattati con </w:t>
      </w:r>
      <w:r w:rsidR="00961F70" w:rsidRPr="006A2BF9">
        <w:rPr>
          <w:szCs w:val="22"/>
          <w:lang w:val="it-IT"/>
        </w:rPr>
        <w:t>bevacizumab</w:t>
      </w:r>
      <w:r w:rsidR="00961F70" w:rsidRPr="006A2BF9">
        <w:rPr>
          <w:lang w:val="it-IT"/>
        </w:rPr>
        <w:t xml:space="preserve"> </w:t>
      </w:r>
      <w:r w:rsidRPr="006A2BF9">
        <w:rPr>
          <w:lang w:val="it-IT"/>
        </w:rPr>
        <w:t>e chemioterapia rispetto a &lt; 1% con sola chemioterapia</w:t>
      </w:r>
      <w:r w:rsidR="00A93223" w:rsidRPr="006A2BF9">
        <w:rPr>
          <w:lang w:val="it-IT"/>
        </w:rPr>
        <w:t xml:space="preserve"> (NCI</w:t>
      </w:r>
      <w:r w:rsidR="00DC4C6E" w:rsidRPr="006A2BF9">
        <w:rPr>
          <w:lang w:val="it-IT"/>
        </w:rPr>
        <w:noBreakHyphen/>
      </w:r>
      <w:r w:rsidR="00A93223" w:rsidRPr="006A2BF9">
        <w:rPr>
          <w:lang w:val="it-IT"/>
        </w:rPr>
        <w:t>CTCAE v.3)</w:t>
      </w:r>
      <w:r w:rsidRPr="006A2BF9">
        <w:rPr>
          <w:lang w:val="it-IT"/>
        </w:rPr>
        <w:t>. L</w:t>
      </w:r>
      <w:r w:rsidR="00961F70" w:rsidRPr="006A2BF9">
        <w:rPr>
          <w:lang w:val="it-IT"/>
        </w:rPr>
        <w:t>’</w:t>
      </w:r>
      <w:r w:rsidRPr="006A2BF9">
        <w:rPr>
          <w:lang w:val="it-IT"/>
        </w:rPr>
        <w:t>emorragia/emottisi polmonare importante o massiva può verificarsi improvvisamente e fino a due terzi delle emorragie polmonari gravi hanno avuto esito fatale.</w:t>
      </w:r>
    </w:p>
    <w:p w14:paraId="77AB61C6" w14:textId="77777777" w:rsidR="009C0666" w:rsidRPr="006A2BF9" w:rsidRDefault="009C0666" w:rsidP="009C0666">
      <w:pPr>
        <w:rPr>
          <w:lang w:val="it-IT"/>
        </w:rPr>
      </w:pPr>
    </w:p>
    <w:p w14:paraId="04D2CDCA" w14:textId="77777777" w:rsidR="009C0666" w:rsidRPr="006A2BF9" w:rsidRDefault="009C0666" w:rsidP="009C0666">
      <w:pPr>
        <w:rPr>
          <w:lang w:val="it-IT"/>
        </w:rPr>
      </w:pPr>
      <w:r w:rsidRPr="006A2BF9">
        <w:rPr>
          <w:lang w:val="it-IT"/>
        </w:rPr>
        <w:t>Emorragie gastrointestinali, inclusi sanguinamento rettale e melena</w:t>
      </w:r>
      <w:r w:rsidR="00E40C6A" w:rsidRPr="006A2BF9">
        <w:rPr>
          <w:lang w:val="it-IT"/>
        </w:rPr>
        <w:t>,</w:t>
      </w:r>
      <w:r w:rsidRPr="006A2BF9">
        <w:rPr>
          <w:lang w:val="it-IT"/>
        </w:rPr>
        <w:t xml:space="preserve"> sono stati </w:t>
      </w:r>
      <w:r w:rsidR="00E40C6A" w:rsidRPr="006A2BF9">
        <w:rPr>
          <w:lang w:val="it-IT"/>
        </w:rPr>
        <w:t xml:space="preserve">segnalati </w:t>
      </w:r>
      <w:r w:rsidRPr="006A2BF9">
        <w:rPr>
          <w:lang w:val="it-IT"/>
        </w:rPr>
        <w:t xml:space="preserve">in pazienti con </w:t>
      </w:r>
      <w:r w:rsidR="006970D8">
        <w:rPr>
          <w:lang w:val="it-IT"/>
        </w:rPr>
        <w:t>cancro</w:t>
      </w:r>
      <w:r w:rsidR="006970D8" w:rsidRPr="006A2BF9">
        <w:rPr>
          <w:lang w:val="it-IT"/>
        </w:rPr>
        <w:t xml:space="preserve"> </w:t>
      </w:r>
      <w:r w:rsidRPr="006A2BF9">
        <w:rPr>
          <w:lang w:val="it-IT"/>
        </w:rPr>
        <w:t>colorettale e sono state valutate come emorragie associate al tumore.</w:t>
      </w:r>
    </w:p>
    <w:p w14:paraId="262D5E61" w14:textId="77777777" w:rsidR="009C0666" w:rsidRPr="006A2BF9" w:rsidRDefault="009C0666" w:rsidP="009C0666">
      <w:pPr>
        <w:rPr>
          <w:lang w:val="it-IT"/>
        </w:rPr>
      </w:pPr>
    </w:p>
    <w:p w14:paraId="358A7838" w14:textId="77777777" w:rsidR="009C0666" w:rsidRPr="006A2BF9" w:rsidRDefault="009C0666" w:rsidP="009C0666">
      <w:pPr>
        <w:rPr>
          <w:lang w:val="it-IT"/>
        </w:rPr>
      </w:pPr>
      <w:r w:rsidRPr="006A2BF9">
        <w:rPr>
          <w:lang w:val="it-IT"/>
        </w:rPr>
        <w:t xml:space="preserve">Emorragia associata al tumore è stata raramente </w:t>
      </w:r>
      <w:r w:rsidR="00E40C6A" w:rsidRPr="006A2BF9">
        <w:rPr>
          <w:lang w:val="it-IT"/>
        </w:rPr>
        <w:t xml:space="preserve">segnalata </w:t>
      </w:r>
      <w:r w:rsidRPr="006A2BF9">
        <w:rPr>
          <w:lang w:val="it-IT"/>
        </w:rPr>
        <w:t xml:space="preserve">anche in tumori di altro tipo e di altra localizzazione, </w:t>
      </w:r>
      <w:r w:rsidR="00E53A1B" w:rsidRPr="006A2BF9">
        <w:rPr>
          <w:lang w:val="it-IT"/>
        </w:rPr>
        <w:t>inclusi</w:t>
      </w:r>
      <w:r w:rsidRPr="006A2BF9">
        <w:rPr>
          <w:lang w:val="it-IT"/>
        </w:rPr>
        <w:t xml:space="preserve"> </w:t>
      </w:r>
      <w:r w:rsidR="00E53A1B" w:rsidRPr="006A2BF9">
        <w:rPr>
          <w:lang w:val="it-IT"/>
        </w:rPr>
        <w:t xml:space="preserve">casi </w:t>
      </w:r>
      <w:r w:rsidRPr="006A2BF9">
        <w:rPr>
          <w:lang w:val="it-IT"/>
        </w:rPr>
        <w:t xml:space="preserve">di emorragia del sistema nervoso centrale (SNC) in </w:t>
      </w:r>
      <w:r w:rsidR="00E53A1B" w:rsidRPr="006A2BF9">
        <w:rPr>
          <w:lang w:val="it-IT"/>
        </w:rPr>
        <w:t>pazienti</w:t>
      </w:r>
      <w:r w:rsidRPr="006A2BF9">
        <w:rPr>
          <w:lang w:val="it-IT"/>
        </w:rPr>
        <w:t xml:space="preserve"> con metastasi a livello del SNC (vedere paragrafo</w:t>
      </w:r>
      <w:r w:rsidR="00C4160C" w:rsidRPr="006A2BF9">
        <w:rPr>
          <w:lang w:val="it-IT"/>
        </w:rPr>
        <w:t> </w:t>
      </w:r>
      <w:r w:rsidRPr="006A2BF9">
        <w:rPr>
          <w:lang w:val="it-IT"/>
        </w:rPr>
        <w:t>4.</w:t>
      </w:r>
      <w:r w:rsidR="00E53A1B" w:rsidRPr="006A2BF9">
        <w:rPr>
          <w:lang w:val="it-IT"/>
        </w:rPr>
        <w:t>4</w:t>
      </w:r>
      <w:r w:rsidRPr="006A2BF9">
        <w:rPr>
          <w:lang w:val="it-IT"/>
        </w:rPr>
        <w:t>).</w:t>
      </w:r>
    </w:p>
    <w:p w14:paraId="1C32D30A" w14:textId="77777777" w:rsidR="009C0666" w:rsidRPr="006A2BF9" w:rsidRDefault="009C0666" w:rsidP="009C0666">
      <w:pPr>
        <w:rPr>
          <w:lang w:val="it-IT"/>
        </w:rPr>
      </w:pPr>
    </w:p>
    <w:p w14:paraId="64D6E02D" w14:textId="77777777" w:rsidR="00E53A1B" w:rsidRPr="006A2BF9" w:rsidRDefault="00E53A1B" w:rsidP="00E53A1B">
      <w:pPr>
        <w:rPr>
          <w:lang w:val="it-IT"/>
        </w:rPr>
      </w:pPr>
      <w:r w:rsidRPr="006A2BF9">
        <w:rPr>
          <w:lang w:val="it-IT"/>
        </w:rPr>
        <w:t xml:space="preserve">L’incidenza di emorragie a livello del SNC in pazienti con metastasi non pretrattate del SNC e che ricevono bevacizumab non è stata valutata prospetticamente in studi clinici randomizzati. In un’analisi </w:t>
      </w:r>
      <w:r w:rsidRPr="006A2BF9">
        <w:rPr>
          <w:lang w:val="it-IT"/>
        </w:rPr>
        <w:lastRenderedPageBreak/>
        <w:t>retrospettiva esplorativa dei dati di 13</w:t>
      </w:r>
      <w:r w:rsidR="00C4160C" w:rsidRPr="006A2BF9">
        <w:rPr>
          <w:lang w:val="it-IT"/>
        </w:rPr>
        <w:t> </w:t>
      </w:r>
      <w:r w:rsidRPr="006A2BF9">
        <w:rPr>
          <w:lang w:val="it-IT"/>
        </w:rPr>
        <w:t>studi randomizzati completati in pazienti con diverse tipologie di tumore, 3</w:t>
      </w:r>
      <w:r w:rsidR="00C4160C" w:rsidRPr="006A2BF9">
        <w:rPr>
          <w:lang w:val="it-IT"/>
        </w:rPr>
        <w:t> </w:t>
      </w:r>
      <w:r w:rsidRPr="006A2BF9">
        <w:rPr>
          <w:lang w:val="it-IT"/>
        </w:rPr>
        <w:t>pazienti su</w:t>
      </w:r>
      <w:r w:rsidR="00C4160C" w:rsidRPr="006A2BF9">
        <w:rPr>
          <w:lang w:val="it-IT"/>
        </w:rPr>
        <w:t> </w:t>
      </w:r>
      <w:r w:rsidRPr="006A2BF9">
        <w:rPr>
          <w:lang w:val="it-IT"/>
        </w:rPr>
        <w:t xml:space="preserve">91 (3,3%) con metastasi cerebrali hanno avuto emorragie del SNC (tutte di </w:t>
      </w:r>
      <w:r w:rsidR="002A7EAF" w:rsidRPr="006A2BF9">
        <w:rPr>
          <w:lang w:val="it-IT"/>
        </w:rPr>
        <w:t>G</w:t>
      </w:r>
      <w:r w:rsidRPr="006A2BF9">
        <w:rPr>
          <w:lang w:val="it-IT"/>
        </w:rPr>
        <w:t>rado</w:t>
      </w:r>
      <w:r w:rsidR="00C4160C" w:rsidRPr="006A2BF9">
        <w:rPr>
          <w:lang w:val="it-IT"/>
        </w:rPr>
        <w:t> </w:t>
      </w:r>
      <w:r w:rsidRPr="006A2BF9">
        <w:rPr>
          <w:lang w:val="it-IT"/>
        </w:rPr>
        <w:t xml:space="preserve">4) </w:t>
      </w:r>
      <w:r w:rsidR="003B6E1C" w:rsidRPr="006A2BF9">
        <w:rPr>
          <w:lang w:val="it-IT"/>
        </w:rPr>
        <w:t>quando</w:t>
      </w:r>
      <w:r w:rsidRPr="006A2BF9">
        <w:rPr>
          <w:lang w:val="it-IT"/>
        </w:rPr>
        <w:t xml:space="preserve"> trattati con bevacizumab, rispetto ad 1 caso (di </w:t>
      </w:r>
      <w:r w:rsidR="00A93223" w:rsidRPr="006A2BF9">
        <w:rPr>
          <w:lang w:val="it-IT"/>
        </w:rPr>
        <w:t>G</w:t>
      </w:r>
      <w:r w:rsidRPr="006A2BF9">
        <w:rPr>
          <w:lang w:val="it-IT"/>
        </w:rPr>
        <w:t>rado</w:t>
      </w:r>
      <w:r w:rsidR="00C4160C" w:rsidRPr="006A2BF9">
        <w:rPr>
          <w:lang w:val="it-IT"/>
        </w:rPr>
        <w:t> </w:t>
      </w:r>
      <w:r w:rsidRPr="006A2BF9">
        <w:rPr>
          <w:lang w:val="it-IT"/>
        </w:rPr>
        <w:t>5) su 96</w:t>
      </w:r>
      <w:r w:rsidR="00C4160C" w:rsidRPr="006A2BF9">
        <w:rPr>
          <w:lang w:val="it-IT"/>
        </w:rPr>
        <w:t> </w:t>
      </w:r>
      <w:r w:rsidRPr="006A2BF9">
        <w:rPr>
          <w:lang w:val="it-IT"/>
        </w:rPr>
        <w:t xml:space="preserve">pazienti (1%) che non erano stati esposti a bevacizumab. In due studi </w:t>
      </w:r>
      <w:r w:rsidR="00A56E42" w:rsidRPr="006A2BF9">
        <w:rPr>
          <w:lang w:val="it-IT"/>
        </w:rPr>
        <w:t>successivi</w:t>
      </w:r>
      <w:r w:rsidRPr="006A2BF9">
        <w:rPr>
          <w:lang w:val="it-IT"/>
        </w:rPr>
        <w:t xml:space="preserve"> in pazienti con metastasi cerebrali pretrattate</w:t>
      </w:r>
      <w:r w:rsidR="00A56E42" w:rsidRPr="006A2BF9">
        <w:rPr>
          <w:lang w:val="it-IT"/>
        </w:rPr>
        <w:t xml:space="preserve"> (che hanno coinvolto circa 800</w:t>
      </w:r>
      <w:r w:rsidR="00C4160C" w:rsidRPr="006A2BF9">
        <w:rPr>
          <w:lang w:val="it-IT"/>
        </w:rPr>
        <w:t> </w:t>
      </w:r>
      <w:r w:rsidR="00A56E42" w:rsidRPr="006A2BF9">
        <w:rPr>
          <w:lang w:val="it-IT"/>
        </w:rPr>
        <w:t>pazienti)</w:t>
      </w:r>
      <w:r w:rsidRPr="006A2BF9">
        <w:rPr>
          <w:lang w:val="it-IT"/>
        </w:rPr>
        <w:t xml:space="preserve">, un caso di emorragia a livello del SNC di </w:t>
      </w:r>
      <w:r w:rsidR="002A7EAF" w:rsidRPr="006A2BF9">
        <w:rPr>
          <w:lang w:val="it-IT"/>
        </w:rPr>
        <w:t>G</w:t>
      </w:r>
      <w:r w:rsidRPr="006A2BF9">
        <w:rPr>
          <w:lang w:val="it-IT"/>
        </w:rPr>
        <w:t>rado</w:t>
      </w:r>
      <w:r w:rsidR="00C4160C" w:rsidRPr="006A2BF9">
        <w:rPr>
          <w:lang w:val="it-IT"/>
        </w:rPr>
        <w:t> </w:t>
      </w:r>
      <w:r w:rsidRPr="006A2BF9">
        <w:rPr>
          <w:lang w:val="it-IT"/>
        </w:rPr>
        <w:t>2 si è verificato su 83</w:t>
      </w:r>
      <w:r w:rsidR="00C4160C" w:rsidRPr="006A2BF9">
        <w:rPr>
          <w:lang w:val="it-IT"/>
        </w:rPr>
        <w:t> </w:t>
      </w:r>
      <w:r w:rsidRPr="006A2BF9">
        <w:rPr>
          <w:lang w:val="it-IT"/>
        </w:rPr>
        <w:t>pazienti trattati con beva</w:t>
      </w:r>
      <w:r w:rsidR="000E1D68" w:rsidRPr="006A2BF9">
        <w:rPr>
          <w:lang w:val="it-IT"/>
        </w:rPr>
        <w:t>cizumab (1,2%) al momento dell’</w:t>
      </w:r>
      <w:r w:rsidRPr="006A2BF9">
        <w:rPr>
          <w:lang w:val="it-IT"/>
        </w:rPr>
        <w:t>analisi di sicurezza</w:t>
      </w:r>
      <w:r w:rsidR="00A93223" w:rsidRPr="006A2BF9">
        <w:rPr>
          <w:lang w:val="it-IT"/>
        </w:rPr>
        <w:t xml:space="preserve"> </w:t>
      </w:r>
      <w:r w:rsidR="008059AB" w:rsidRPr="006A2BF9">
        <w:rPr>
          <w:lang w:val="it-IT"/>
        </w:rPr>
        <w:t xml:space="preserve">ad </w:t>
      </w:r>
      <w:r w:rsidR="008059AB" w:rsidRPr="006A2BF9">
        <w:rPr>
          <w:i/>
          <w:lang w:val="it-IT"/>
        </w:rPr>
        <w:t>inter</w:t>
      </w:r>
      <w:r w:rsidR="00831F5D" w:rsidRPr="006A2BF9">
        <w:rPr>
          <w:i/>
          <w:lang w:val="it-IT"/>
        </w:rPr>
        <w:t>i</w:t>
      </w:r>
      <w:r w:rsidR="008059AB" w:rsidRPr="006A2BF9">
        <w:rPr>
          <w:i/>
          <w:lang w:val="it-IT"/>
        </w:rPr>
        <w:t>m</w:t>
      </w:r>
      <w:r w:rsidR="008059AB" w:rsidRPr="006A2BF9">
        <w:rPr>
          <w:lang w:val="it-IT"/>
        </w:rPr>
        <w:t xml:space="preserve"> </w:t>
      </w:r>
      <w:r w:rsidR="00A93223" w:rsidRPr="006A2BF9">
        <w:rPr>
          <w:lang w:val="it-IT"/>
        </w:rPr>
        <w:t>(NCI-CTCAE v.3)</w:t>
      </w:r>
      <w:r w:rsidRPr="006A2BF9">
        <w:rPr>
          <w:lang w:val="it-IT"/>
        </w:rPr>
        <w:t>.</w:t>
      </w:r>
    </w:p>
    <w:p w14:paraId="22630B5F" w14:textId="77777777" w:rsidR="00E53A1B" w:rsidRPr="006A2BF9" w:rsidRDefault="00E53A1B" w:rsidP="009C0666">
      <w:pPr>
        <w:rPr>
          <w:lang w:val="it-IT"/>
        </w:rPr>
      </w:pPr>
    </w:p>
    <w:p w14:paraId="4CB7FA00" w14:textId="77777777" w:rsidR="009C0666" w:rsidRPr="00330A40" w:rsidRDefault="009C0666" w:rsidP="009C0666">
      <w:pPr>
        <w:rPr>
          <w:lang w:val="it-IT"/>
        </w:rPr>
      </w:pPr>
      <w:r w:rsidRPr="006A2BF9">
        <w:rPr>
          <w:lang w:val="it-IT"/>
        </w:rPr>
        <w:t xml:space="preserve">In tutti gli studi clinici con </w:t>
      </w:r>
      <w:r w:rsidR="00C4160C" w:rsidRPr="006A2BF9">
        <w:rPr>
          <w:szCs w:val="22"/>
          <w:lang w:val="it-IT"/>
        </w:rPr>
        <w:t>bevacizumab</w:t>
      </w:r>
      <w:r w:rsidR="00C4160C" w:rsidRPr="006A2BF9">
        <w:rPr>
          <w:lang w:val="it-IT"/>
        </w:rPr>
        <w:t xml:space="preserve"> </w:t>
      </w:r>
      <w:r w:rsidRPr="006A2BF9">
        <w:rPr>
          <w:lang w:val="it-IT"/>
        </w:rPr>
        <w:t xml:space="preserve">un’emorragia mucocutanea è stata osservata </w:t>
      </w:r>
      <w:r w:rsidR="007732E9" w:rsidRPr="006A2BF9">
        <w:rPr>
          <w:lang w:val="it-IT"/>
        </w:rPr>
        <w:t>in una percentuale fino al 50%</w:t>
      </w:r>
      <w:r w:rsidRPr="006A2BF9">
        <w:rPr>
          <w:lang w:val="it-IT"/>
        </w:rPr>
        <w:t xml:space="preserve"> dei pazienti trattati con </w:t>
      </w:r>
      <w:r w:rsidR="00B94CA8" w:rsidRPr="006A2BF9">
        <w:rPr>
          <w:szCs w:val="22"/>
          <w:lang w:val="it-IT"/>
        </w:rPr>
        <w:t>bevacizumab</w:t>
      </w:r>
      <w:r w:rsidRPr="006A2BF9">
        <w:rPr>
          <w:lang w:val="it-IT"/>
        </w:rPr>
        <w:t xml:space="preserve">. </w:t>
      </w:r>
      <w:r w:rsidR="00330A40" w:rsidRPr="00330A40">
        <w:rPr>
          <w:lang w:val="it-IT"/>
        </w:rPr>
        <w:t xml:space="preserve">Nella maggior parte dei casi si è trattato di epistassi di Grado 1 secondo l’NCI-CTCAE v.3, di durata inferiore a 5 minuti e risoltasi senza intervento medico e senza la necessità di variare </w:t>
      </w:r>
      <w:r w:rsidR="00330A40">
        <w:rPr>
          <w:lang w:val="it-IT"/>
        </w:rPr>
        <w:t xml:space="preserve">il regime </w:t>
      </w:r>
      <w:r w:rsidR="00330A40" w:rsidRPr="00330A40">
        <w:rPr>
          <w:lang w:val="it-IT"/>
        </w:rPr>
        <w:t xml:space="preserve">posologico di </w:t>
      </w:r>
      <w:r w:rsidR="00330A40" w:rsidRPr="00330A40">
        <w:rPr>
          <w:szCs w:val="22"/>
          <w:lang w:val="it-IT"/>
        </w:rPr>
        <w:t>bevacizumab</w:t>
      </w:r>
      <w:r w:rsidR="00330A40" w:rsidRPr="00330A40">
        <w:rPr>
          <w:lang w:val="it-IT"/>
        </w:rPr>
        <w:t>.</w:t>
      </w:r>
      <w:r w:rsidRPr="00330A40">
        <w:rPr>
          <w:lang w:val="it-IT"/>
        </w:rPr>
        <w:t xml:space="preserve"> I dati sulla sicurezza clinica suggeriscono che l'incidenza delle emorragie mucocutanee minori (ad es. epistassi) possa essere dose dipendente.</w:t>
      </w:r>
    </w:p>
    <w:p w14:paraId="48FEBE92" w14:textId="77777777" w:rsidR="009C0666" w:rsidRPr="00330A40" w:rsidRDefault="009C0666" w:rsidP="009C0666">
      <w:pPr>
        <w:rPr>
          <w:lang w:val="it-IT"/>
        </w:rPr>
      </w:pPr>
    </w:p>
    <w:p w14:paraId="6FE1C871" w14:textId="77777777" w:rsidR="009C0666" w:rsidRPr="00330A40" w:rsidRDefault="009C0666" w:rsidP="009C0666">
      <w:pPr>
        <w:rPr>
          <w:lang w:val="it-IT"/>
        </w:rPr>
      </w:pPr>
      <w:r w:rsidRPr="00330A40">
        <w:rPr>
          <w:lang w:val="it-IT"/>
        </w:rPr>
        <w:t xml:space="preserve">Sono inoltre </w:t>
      </w:r>
      <w:r w:rsidR="005752BE" w:rsidRPr="00330A40">
        <w:rPr>
          <w:lang w:val="it-IT"/>
        </w:rPr>
        <w:t>state registrate</w:t>
      </w:r>
      <w:r w:rsidRPr="00330A40">
        <w:rPr>
          <w:lang w:val="it-IT"/>
        </w:rPr>
        <w:t xml:space="preserve">, meno frequentemente, </w:t>
      </w:r>
      <w:r w:rsidR="00A93223" w:rsidRPr="00330A40">
        <w:rPr>
          <w:lang w:val="it-IT"/>
        </w:rPr>
        <w:t>reazioni</w:t>
      </w:r>
      <w:r w:rsidR="00D966E3" w:rsidRPr="00330A40">
        <w:rPr>
          <w:lang w:val="it-IT"/>
        </w:rPr>
        <w:t xml:space="preserve"> </w:t>
      </w:r>
      <w:r w:rsidRPr="00330A40">
        <w:rPr>
          <w:lang w:val="it-IT"/>
        </w:rPr>
        <w:t>di emorragia mucocutanea minore in altri siti</w:t>
      </w:r>
      <w:r w:rsidR="005752BE" w:rsidRPr="00330A40">
        <w:rPr>
          <w:lang w:val="it-IT"/>
        </w:rPr>
        <w:t>,</w:t>
      </w:r>
      <w:r w:rsidRPr="00330A40">
        <w:rPr>
          <w:lang w:val="it-IT"/>
        </w:rPr>
        <w:t xml:space="preserve"> ad esempio sanguinamento gengivale o vaginale.</w:t>
      </w:r>
    </w:p>
    <w:p w14:paraId="43D39C59" w14:textId="77777777" w:rsidR="009C0666" w:rsidRPr="00330A40" w:rsidRDefault="009C0666" w:rsidP="009C0666">
      <w:pPr>
        <w:rPr>
          <w:lang w:val="it-IT"/>
        </w:rPr>
      </w:pPr>
    </w:p>
    <w:p w14:paraId="2821E191" w14:textId="77777777" w:rsidR="009C0666" w:rsidRPr="006A2BF9" w:rsidRDefault="009C0666" w:rsidP="00114E46">
      <w:pPr>
        <w:keepNext/>
        <w:keepLines/>
        <w:outlineLvl w:val="0"/>
        <w:rPr>
          <w:i/>
          <w:iCs/>
          <w:u w:val="single"/>
          <w:lang w:val="it-IT"/>
        </w:rPr>
      </w:pPr>
      <w:r w:rsidRPr="00330A40">
        <w:rPr>
          <w:i/>
          <w:iCs/>
          <w:u w:val="single"/>
          <w:lang w:val="it-IT"/>
        </w:rPr>
        <w:t xml:space="preserve">Tromboembolia </w:t>
      </w:r>
      <w:r w:rsidRPr="006A2BF9">
        <w:rPr>
          <w:iCs/>
          <w:u w:val="single"/>
          <w:lang w:val="it-IT"/>
        </w:rPr>
        <w:t>(</w:t>
      </w:r>
      <w:r w:rsidRPr="006A2BF9">
        <w:rPr>
          <w:u w:val="single"/>
          <w:lang w:val="it-IT"/>
        </w:rPr>
        <w:t>vedere paragrafo</w:t>
      </w:r>
      <w:r w:rsidR="00C4160C" w:rsidRPr="006A2BF9">
        <w:rPr>
          <w:u w:val="single"/>
          <w:lang w:val="it-IT"/>
        </w:rPr>
        <w:t> </w:t>
      </w:r>
      <w:r w:rsidRPr="006A2BF9">
        <w:rPr>
          <w:iCs/>
          <w:u w:val="single"/>
          <w:lang w:val="it-IT"/>
        </w:rPr>
        <w:t>4.4)</w:t>
      </w:r>
    </w:p>
    <w:p w14:paraId="36D74C58" w14:textId="77777777" w:rsidR="009C0666" w:rsidRPr="006A2BF9" w:rsidRDefault="009C0666" w:rsidP="00114E46">
      <w:pPr>
        <w:keepNext/>
        <w:keepLines/>
        <w:rPr>
          <w:lang w:val="it-IT"/>
        </w:rPr>
      </w:pPr>
      <w:r w:rsidRPr="006A2BF9">
        <w:rPr>
          <w:i/>
          <w:iCs/>
          <w:lang w:val="it-IT"/>
        </w:rPr>
        <w:t>Tromboembolia arteriosa:</w:t>
      </w:r>
      <w:r w:rsidR="001544CA" w:rsidRPr="006A2BF9">
        <w:rPr>
          <w:i/>
          <w:iCs/>
          <w:lang w:val="it-IT"/>
        </w:rPr>
        <w:t xml:space="preserve"> </w:t>
      </w:r>
      <w:r w:rsidR="00BF21E5" w:rsidRPr="006A2BF9">
        <w:rPr>
          <w:lang w:val="it-IT"/>
        </w:rPr>
        <w:t>è</w:t>
      </w:r>
      <w:r w:rsidRPr="006A2BF9">
        <w:rPr>
          <w:lang w:val="it-IT"/>
        </w:rPr>
        <w:t xml:space="preserve"> stata osservata in pazienti trattati con </w:t>
      </w:r>
      <w:r w:rsidR="00BF21E5" w:rsidRPr="006A2BF9">
        <w:rPr>
          <w:szCs w:val="22"/>
          <w:lang w:val="it-IT"/>
        </w:rPr>
        <w:t>bevacizumab</w:t>
      </w:r>
      <w:r w:rsidR="00BF21E5" w:rsidRPr="006A2BF9">
        <w:rPr>
          <w:lang w:val="it-IT"/>
        </w:rPr>
        <w:t xml:space="preserve"> </w:t>
      </w:r>
      <w:r w:rsidRPr="006A2BF9">
        <w:rPr>
          <w:lang w:val="it-IT"/>
        </w:rPr>
        <w:t xml:space="preserve">in tutte le indicazioni un’aumentata incidenza di </w:t>
      </w:r>
      <w:r w:rsidR="00160639" w:rsidRPr="006A2BF9">
        <w:rPr>
          <w:lang w:val="it-IT"/>
        </w:rPr>
        <w:t>reazioni</w:t>
      </w:r>
      <w:r w:rsidRPr="006A2BF9">
        <w:rPr>
          <w:lang w:val="it-IT"/>
        </w:rPr>
        <w:t xml:space="preserve"> tromboembolic</w:t>
      </w:r>
      <w:r w:rsidR="00160639" w:rsidRPr="006A2BF9">
        <w:rPr>
          <w:lang w:val="it-IT"/>
        </w:rPr>
        <w:t>he</w:t>
      </w:r>
      <w:r w:rsidRPr="006A2BF9">
        <w:rPr>
          <w:lang w:val="it-IT"/>
        </w:rPr>
        <w:t xml:space="preserve"> arterios</w:t>
      </w:r>
      <w:r w:rsidR="00160639" w:rsidRPr="006A2BF9">
        <w:rPr>
          <w:lang w:val="it-IT"/>
        </w:rPr>
        <w:t>e</w:t>
      </w:r>
      <w:r w:rsidRPr="006A2BF9">
        <w:rPr>
          <w:lang w:val="it-IT"/>
        </w:rPr>
        <w:t xml:space="preserve">, inclusi accidenti cerebrovascolari, infarto </w:t>
      </w:r>
      <w:r w:rsidR="00D966E3" w:rsidRPr="006A2BF9">
        <w:rPr>
          <w:lang w:val="it-IT"/>
        </w:rPr>
        <w:t xml:space="preserve">del </w:t>
      </w:r>
      <w:r w:rsidRPr="006A2BF9">
        <w:rPr>
          <w:lang w:val="it-IT"/>
        </w:rPr>
        <w:t>miocardio, attacchi ischemici transitori e altr</w:t>
      </w:r>
      <w:r w:rsidR="00160639" w:rsidRPr="006A2BF9">
        <w:rPr>
          <w:lang w:val="it-IT"/>
        </w:rPr>
        <w:t>e</w:t>
      </w:r>
      <w:r w:rsidRPr="006A2BF9">
        <w:rPr>
          <w:lang w:val="it-IT"/>
        </w:rPr>
        <w:t xml:space="preserve"> </w:t>
      </w:r>
      <w:r w:rsidR="00160639" w:rsidRPr="006A2BF9">
        <w:rPr>
          <w:lang w:val="it-IT"/>
        </w:rPr>
        <w:t>reazioni</w:t>
      </w:r>
      <w:r w:rsidR="004C3C77" w:rsidRPr="006A2BF9">
        <w:rPr>
          <w:lang w:val="it-IT"/>
        </w:rPr>
        <w:t xml:space="preserve"> </w:t>
      </w:r>
      <w:r w:rsidRPr="006A2BF9">
        <w:rPr>
          <w:lang w:val="it-IT"/>
        </w:rPr>
        <w:t>tromboemboli</w:t>
      </w:r>
      <w:r w:rsidR="00160639" w:rsidRPr="006A2BF9">
        <w:rPr>
          <w:lang w:val="it-IT"/>
        </w:rPr>
        <w:t>che</w:t>
      </w:r>
      <w:r w:rsidRPr="006A2BF9">
        <w:rPr>
          <w:lang w:val="it-IT"/>
        </w:rPr>
        <w:t xml:space="preserve"> arterios</w:t>
      </w:r>
      <w:r w:rsidR="00160639" w:rsidRPr="006A2BF9">
        <w:rPr>
          <w:lang w:val="it-IT"/>
        </w:rPr>
        <w:t>e</w:t>
      </w:r>
      <w:r w:rsidRPr="006A2BF9">
        <w:rPr>
          <w:lang w:val="it-IT"/>
        </w:rPr>
        <w:t>.</w:t>
      </w:r>
    </w:p>
    <w:p w14:paraId="7C98AF8C" w14:textId="77777777" w:rsidR="009C0666" w:rsidRPr="006A2BF9" w:rsidRDefault="009C0666" w:rsidP="009C0666">
      <w:pPr>
        <w:rPr>
          <w:lang w:val="it-IT"/>
        </w:rPr>
      </w:pPr>
    </w:p>
    <w:p w14:paraId="08937710" w14:textId="77777777" w:rsidR="009C0666" w:rsidRPr="006A2BF9" w:rsidRDefault="009C0666" w:rsidP="009C0666">
      <w:pPr>
        <w:rPr>
          <w:lang w:val="it-IT"/>
        </w:rPr>
      </w:pPr>
      <w:r w:rsidRPr="006A2BF9">
        <w:rPr>
          <w:lang w:val="it-IT"/>
        </w:rPr>
        <w:t>Negli studi clinici, l’incidenza globale d</w:t>
      </w:r>
      <w:r w:rsidR="00160639" w:rsidRPr="006A2BF9">
        <w:rPr>
          <w:lang w:val="it-IT"/>
        </w:rPr>
        <w:t>elle reazioni</w:t>
      </w:r>
      <w:r w:rsidRPr="006A2BF9">
        <w:rPr>
          <w:lang w:val="it-IT"/>
        </w:rPr>
        <w:t xml:space="preserve"> tromboembolic</w:t>
      </w:r>
      <w:r w:rsidR="00160639" w:rsidRPr="006A2BF9">
        <w:rPr>
          <w:lang w:val="it-IT"/>
        </w:rPr>
        <w:t>he</w:t>
      </w:r>
      <w:r w:rsidRPr="006A2BF9">
        <w:rPr>
          <w:lang w:val="it-IT"/>
        </w:rPr>
        <w:t xml:space="preserve"> arterios</w:t>
      </w:r>
      <w:r w:rsidR="00160639" w:rsidRPr="006A2BF9">
        <w:rPr>
          <w:lang w:val="it-IT"/>
        </w:rPr>
        <w:t>e</w:t>
      </w:r>
      <w:r w:rsidRPr="006A2BF9">
        <w:rPr>
          <w:iCs/>
          <w:lang w:val="it-IT"/>
        </w:rPr>
        <w:t xml:space="preserve"> arrivava fino al 3,8% nei bracci contenenti </w:t>
      </w:r>
      <w:r w:rsidR="00BF21E5" w:rsidRPr="006A2BF9">
        <w:rPr>
          <w:szCs w:val="22"/>
          <w:lang w:val="it-IT"/>
        </w:rPr>
        <w:t>bevacizumab</w:t>
      </w:r>
      <w:r w:rsidR="00BF21E5" w:rsidRPr="006A2BF9">
        <w:rPr>
          <w:lang w:val="it-IT"/>
        </w:rPr>
        <w:t xml:space="preserve"> </w:t>
      </w:r>
      <w:r w:rsidR="008059AB" w:rsidRPr="006A2BF9">
        <w:rPr>
          <w:iCs/>
          <w:lang w:val="it-IT"/>
        </w:rPr>
        <w:t>rispetto</w:t>
      </w:r>
      <w:r w:rsidRPr="006A2BF9">
        <w:rPr>
          <w:iCs/>
          <w:lang w:val="it-IT"/>
        </w:rPr>
        <w:t xml:space="preserve"> a</w:t>
      </w:r>
      <w:r w:rsidR="008059AB" w:rsidRPr="006A2BF9">
        <w:rPr>
          <w:iCs/>
          <w:lang w:val="it-IT"/>
        </w:rPr>
        <w:t>d</w:t>
      </w:r>
      <w:r w:rsidRPr="006A2BF9">
        <w:rPr>
          <w:iCs/>
          <w:lang w:val="it-IT"/>
        </w:rPr>
        <w:t xml:space="preserve"> un massimo del</w:t>
      </w:r>
      <w:r w:rsidR="00BF21E5" w:rsidRPr="006A2BF9">
        <w:rPr>
          <w:iCs/>
          <w:lang w:val="it-IT"/>
        </w:rPr>
        <w:t xml:space="preserve"> </w:t>
      </w:r>
      <w:r w:rsidR="00ED332A" w:rsidRPr="006A2BF9">
        <w:rPr>
          <w:iCs/>
          <w:lang w:val="it-IT"/>
        </w:rPr>
        <w:t>2,1</w:t>
      </w:r>
      <w:r w:rsidRPr="006A2BF9">
        <w:rPr>
          <w:iCs/>
          <w:lang w:val="it-IT"/>
        </w:rPr>
        <w:t xml:space="preserve">% nei bracci di controllo con chemioterapia. Eventi ad esito fatale sono stati </w:t>
      </w:r>
      <w:r w:rsidR="005752BE" w:rsidRPr="006A2BF9">
        <w:rPr>
          <w:iCs/>
          <w:lang w:val="it-IT"/>
        </w:rPr>
        <w:t xml:space="preserve">segnalati </w:t>
      </w:r>
      <w:r w:rsidRPr="006A2BF9">
        <w:rPr>
          <w:iCs/>
          <w:lang w:val="it-IT"/>
        </w:rPr>
        <w:t xml:space="preserve">nello 0,8% dei pazienti trattati con </w:t>
      </w:r>
      <w:r w:rsidR="00BF21E5" w:rsidRPr="006A2BF9">
        <w:rPr>
          <w:szCs w:val="22"/>
          <w:lang w:val="it-IT"/>
        </w:rPr>
        <w:t>bevacizumab</w:t>
      </w:r>
      <w:r w:rsidR="00BF21E5" w:rsidRPr="006A2BF9">
        <w:rPr>
          <w:lang w:val="it-IT"/>
        </w:rPr>
        <w:t xml:space="preserve"> </w:t>
      </w:r>
      <w:r w:rsidRPr="006A2BF9">
        <w:rPr>
          <w:iCs/>
          <w:lang w:val="it-IT"/>
        </w:rPr>
        <w:t xml:space="preserve">in confronto allo 0,5% dei pazienti trattati con chemioterapia da sola. Accidenti cerebrovascolari (inclusi attacchi ischemici transitori) </w:t>
      </w:r>
      <w:r w:rsidRPr="006A2BF9">
        <w:rPr>
          <w:lang w:val="it-IT"/>
        </w:rPr>
        <w:t xml:space="preserve">sono stati </w:t>
      </w:r>
      <w:r w:rsidR="005752BE" w:rsidRPr="006A2BF9">
        <w:rPr>
          <w:lang w:val="it-IT"/>
        </w:rPr>
        <w:t xml:space="preserve">segnalati </w:t>
      </w:r>
      <w:r w:rsidRPr="006A2BF9">
        <w:rPr>
          <w:lang w:val="it-IT"/>
        </w:rPr>
        <w:t>in un massimo del 2,</w:t>
      </w:r>
      <w:r w:rsidR="00BB195D" w:rsidRPr="006A2BF9">
        <w:rPr>
          <w:lang w:val="it-IT"/>
        </w:rPr>
        <w:t>7</w:t>
      </w:r>
      <w:r w:rsidRPr="006A2BF9">
        <w:rPr>
          <w:lang w:val="it-IT"/>
        </w:rPr>
        <w:t xml:space="preserve">% dei pazienti trattati con </w:t>
      </w:r>
      <w:r w:rsidR="00BF21E5" w:rsidRPr="006A2BF9">
        <w:rPr>
          <w:szCs w:val="22"/>
          <w:lang w:val="it-IT"/>
        </w:rPr>
        <w:t>bevacizumab</w:t>
      </w:r>
      <w:r w:rsidR="00BF21E5" w:rsidRPr="006A2BF9">
        <w:rPr>
          <w:lang w:val="it-IT"/>
        </w:rPr>
        <w:t xml:space="preserve"> </w:t>
      </w:r>
      <w:r w:rsidRPr="006A2BF9">
        <w:rPr>
          <w:lang w:val="it-IT"/>
        </w:rPr>
        <w:t xml:space="preserve">in associazione </w:t>
      </w:r>
      <w:r w:rsidR="005752BE" w:rsidRPr="006A2BF9">
        <w:rPr>
          <w:lang w:val="it-IT"/>
        </w:rPr>
        <w:t xml:space="preserve">a </w:t>
      </w:r>
      <w:r w:rsidRPr="006A2BF9">
        <w:rPr>
          <w:lang w:val="it-IT"/>
        </w:rPr>
        <w:t>chemioterapia rispetto a</w:t>
      </w:r>
      <w:r w:rsidR="00BB195D" w:rsidRPr="006A2BF9">
        <w:rPr>
          <w:lang w:val="it-IT"/>
        </w:rPr>
        <w:t xml:space="preserve"> un massimo dello</w:t>
      </w:r>
      <w:r w:rsidRPr="006A2BF9">
        <w:rPr>
          <w:lang w:val="it-IT"/>
        </w:rPr>
        <w:t xml:space="preserve"> 0,5% dei pazienti trattati con la sola chemioterapia. L’infarto miocardico è stato registrato </w:t>
      </w:r>
      <w:r w:rsidR="00BB195D" w:rsidRPr="006A2BF9">
        <w:rPr>
          <w:lang w:val="it-IT"/>
        </w:rPr>
        <w:t>in un massimo de</w:t>
      </w:r>
      <w:r w:rsidRPr="006A2BF9">
        <w:rPr>
          <w:lang w:val="it-IT"/>
        </w:rPr>
        <w:t xml:space="preserve">ll’1,4% dei pazienti trattati con </w:t>
      </w:r>
      <w:r w:rsidR="00BF21E5" w:rsidRPr="006A2BF9">
        <w:rPr>
          <w:szCs w:val="22"/>
          <w:lang w:val="it-IT"/>
        </w:rPr>
        <w:t>bevacizumab</w:t>
      </w:r>
      <w:r w:rsidR="00BF21E5" w:rsidRPr="006A2BF9">
        <w:rPr>
          <w:lang w:val="it-IT"/>
        </w:rPr>
        <w:t xml:space="preserve"> </w:t>
      </w:r>
      <w:r w:rsidRPr="006A2BF9">
        <w:rPr>
          <w:lang w:val="it-IT"/>
        </w:rPr>
        <w:t xml:space="preserve">in associazione </w:t>
      </w:r>
      <w:r w:rsidR="005752BE" w:rsidRPr="006A2BF9">
        <w:rPr>
          <w:lang w:val="it-IT"/>
        </w:rPr>
        <w:t xml:space="preserve">a </w:t>
      </w:r>
      <w:r w:rsidRPr="006A2BF9">
        <w:rPr>
          <w:lang w:val="it-IT"/>
        </w:rPr>
        <w:t>chemioterapia rispetto</w:t>
      </w:r>
      <w:r w:rsidR="00BB195D" w:rsidRPr="006A2BF9">
        <w:rPr>
          <w:lang w:val="it-IT"/>
        </w:rPr>
        <w:t xml:space="preserve"> a un massimo dello</w:t>
      </w:r>
      <w:r w:rsidRPr="006A2BF9">
        <w:rPr>
          <w:lang w:val="it-IT"/>
        </w:rPr>
        <w:t xml:space="preserve"> 0,7% dei pazienti trattati con la sola chemioterapia.</w:t>
      </w:r>
    </w:p>
    <w:p w14:paraId="1C4B5531" w14:textId="77777777" w:rsidR="009C0666" w:rsidRPr="006A2BF9" w:rsidRDefault="009C0666" w:rsidP="009C0666">
      <w:pPr>
        <w:rPr>
          <w:lang w:val="it-IT"/>
        </w:rPr>
      </w:pPr>
    </w:p>
    <w:p w14:paraId="110FEB02" w14:textId="77777777" w:rsidR="009C0666" w:rsidRPr="006A2BF9" w:rsidRDefault="009C0666" w:rsidP="009C0666">
      <w:pPr>
        <w:outlineLvl w:val="0"/>
        <w:rPr>
          <w:iCs/>
          <w:lang w:val="it-IT"/>
        </w:rPr>
      </w:pPr>
      <w:r w:rsidRPr="006A2BF9">
        <w:rPr>
          <w:iCs/>
          <w:lang w:val="it-IT"/>
        </w:rPr>
        <w:t>In uno studio clinico</w:t>
      </w:r>
      <w:r w:rsidR="0034432B" w:rsidRPr="006A2BF9">
        <w:rPr>
          <w:iCs/>
          <w:lang w:val="it-IT"/>
        </w:rPr>
        <w:t xml:space="preserve"> </w:t>
      </w:r>
      <w:r w:rsidR="00854CA4" w:rsidRPr="006A2BF9">
        <w:rPr>
          <w:iCs/>
          <w:lang w:val="it-IT"/>
        </w:rPr>
        <w:t>che ha valutato</w:t>
      </w:r>
      <w:r w:rsidR="0034432B" w:rsidRPr="006A2BF9">
        <w:rPr>
          <w:iCs/>
          <w:lang w:val="it-IT"/>
        </w:rPr>
        <w:t xml:space="preserve"> </w:t>
      </w:r>
      <w:r w:rsidR="00BF21E5" w:rsidRPr="006A2BF9">
        <w:rPr>
          <w:szCs w:val="22"/>
          <w:lang w:val="it-IT"/>
        </w:rPr>
        <w:t>bevacizumab</w:t>
      </w:r>
      <w:r w:rsidR="00BF21E5" w:rsidRPr="006A2BF9">
        <w:rPr>
          <w:lang w:val="it-IT"/>
        </w:rPr>
        <w:t xml:space="preserve"> </w:t>
      </w:r>
      <w:r w:rsidR="0034432B" w:rsidRPr="006A2BF9">
        <w:rPr>
          <w:iCs/>
          <w:lang w:val="it-IT"/>
        </w:rPr>
        <w:t>in</w:t>
      </w:r>
      <w:r w:rsidR="004C3C77" w:rsidRPr="006A2BF9">
        <w:rPr>
          <w:iCs/>
          <w:lang w:val="it-IT"/>
        </w:rPr>
        <w:t xml:space="preserve"> </w:t>
      </w:r>
      <w:r w:rsidR="003A32A4" w:rsidRPr="006A2BF9">
        <w:rPr>
          <w:iCs/>
          <w:lang w:val="it-IT"/>
        </w:rPr>
        <w:t>associazione</w:t>
      </w:r>
      <w:r w:rsidR="0034432B" w:rsidRPr="006A2BF9">
        <w:rPr>
          <w:iCs/>
          <w:lang w:val="it-IT"/>
        </w:rPr>
        <w:t xml:space="preserve"> </w:t>
      </w:r>
      <w:r w:rsidR="005752BE" w:rsidRPr="006A2BF9">
        <w:rPr>
          <w:iCs/>
          <w:lang w:val="it-IT"/>
        </w:rPr>
        <w:t xml:space="preserve">a </w:t>
      </w:r>
      <w:r w:rsidR="0034432B" w:rsidRPr="006A2BF9">
        <w:rPr>
          <w:iCs/>
          <w:lang w:val="it-IT"/>
        </w:rPr>
        <w:t>5-fluorouracile/acido folinico</w:t>
      </w:r>
      <w:r w:rsidRPr="006A2BF9">
        <w:rPr>
          <w:iCs/>
          <w:lang w:val="it-IT"/>
        </w:rPr>
        <w:t xml:space="preserve">, AVF2192g, sono stati inclusi pazienti con </w:t>
      </w:r>
      <w:r w:rsidR="006970D8">
        <w:rPr>
          <w:iCs/>
          <w:lang w:val="it-IT"/>
        </w:rPr>
        <w:t>cancro</w:t>
      </w:r>
      <w:r w:rsidR="006970D8" w:rsidRPr="006A2BF9">
        <w:rPr>
          <w:iCs/>
          <w:lang w:val="it-IT"/>
        </w:rPr>
        <w:t xml:space="preserve"> </w:t>
      </w:r>
      <w:r w:rsidRPr="006A2BF9">
        <w:rPr>
          <w:iCs/>
          <w:lang w:val="it-IT"/>
        </w:rPr>
        <w:t xml:space="preserve">colorettale metastatico che non erano candidati al trattamento con irinotecan. In questo studio </w:t>
      </w:r>
      <w:r w:rsidR="005165E8" w:rsidRPr="006A2BF9">
        <w:rPr>
          <w:iCs/>
          <w:lang w:val="it-IT"/>
        </w:rPr>
        <w:t>le</w:t>
      </w:r>
      <w:r w:rsidRPr="006A2BF9">
        <w:rPr>
          <w:iCs/>
          <w:lang w:val="it-IT"/>
        </w:rPr>
        <w:t xml:space="preserve"> </w:t>
      </w:r>
      <w:r w:rsidR="005165E8" w:rsidRPr="006A2BF9">
        <w:rPr>
          <w:iCs/>
          <w:lang w:val="it-IT"/>
        </w:rPr>
        <w:t>reazioni</w:t>
      </w:r>
      <w:r w:rsidRPr="006A2BF9">
        <w:rPr>
          <w:iCs/>
          <w:lang w:val="it-IT"/>
        </w:rPr>
        <w:t xml:space="preserve"> tromboembolic</w:t>
      </w:r>
      <w:r w:rsidR="005165E8" w:rsidRPr="006A2BF9">
        <w:rPr>
          <w:iCs/>
          <w:lang w:val="it-IT"/>
        </w:rPr>
        <w:t>he</w:t>
      </w:r>
      <w:r w:rsidRPr="006A2BF9">
        <w:rPr>
          <w:iCs/>
          <w:lang w:val="it-IT"/>
        </w:rPr>
        <w:t xml:space="preserve"> arterios</w:t>
      </w:r>
      <w:r w:rsidR="005165E8" w:rsidRPr="006A2BF9">
        <w:rPr>
          <w:iCs/>
          <w:lang w:val="it-IT"/>
        </w:rPr>
        <w:t>e</w:t>
      </w:r>
      <w:r w:rsidRPr="006A2BF9">
        <w:rPr>
          <w:iCs/>
          <w:lang w:val="it-IT"/>
        </w:rPr>
        <w:t xml:space="preserve"> sono stat</w:t>
      </w:r>
      <w:r w:rsidR="00431D8B" w:rsidRPr="006A2BF9">
        <w:rPr>
          <w:iCs/>
          <w:lang w:val="it-IT"/>
        </w:rPr>
        <w:t>e</w:t>
      </w:r>
      <w:r w:rsidRPr="006A2BF9">
        <w:rPr>
          <w:iCs/>
          <w:lang w:val="it-IT"/>
        </w:rPr>
        <w:t xml:space="preserve"> osservat</w:t>
      </w:r>
      <w:r w:rsidR="00D966E3" w:rsidRPr="006A2BF9">
        <w:rPr>
          <w:iCs/>
          <w:lang w:val="it-IT"/>
        </w:rPr>
        <w:t>e</w:t>
      </w:r>
      <w:r w:rsidRPr="006A2BF9">
        <w:rPr>
          <w:iCs/>
          <w:lang w:val="it-IT"/>
        </w:rPr>
        <w:t xml:space="preserve"> nell’11% (11/100) dei pazienti rispetto al 5,8% (6/104) del gruppo di controllo con la chemioterapia.</w:t>
      </w:r>
    </w:p>
    <w:p w14:paraId="2AB753AA" w14:textId="77777777" w:rsidR="009C0666" w:rsidRPr="006A2BF9" w:rsidRDefault="009C0666" w:rsidP="009C0666">
      <w:pPr>
        <w:outlineLvl w:val="0"/>
        <w:rPr>
          <w:lang w:val="it-IT"/>
        </w:rPr>
      </w:pPr>
    </w:p>
    <w:p w14:paraId="5611737A" w14:textId="77777777" w:rsidR="009C0666" w:rsidRPr="006A2BF9" w:rsidRDefault="009C0666" w:rsidP="00185751">
      <w:pPr>
        <w:outlineLvl w:val="0"/>
        <w:rPr>
          <w:iCs/>
          <w:lang w:val="it-IT"/>
        </w:rPr>
      </w:pPr>
      <w:r w:rsidRPr="006A2BF9">
        <w:rPr>
          <w:i/>
          <w:iCs/>
          <w:lang w:val="it-IT"/>
        </w:rPr>
        <w:t>Tromboembolia venosa:</w:t>
      </w:r>
      <w:r w:rsidR="001544CA" w:rsidRPr="006A2BF9">
        <w:rPr>
          <w:i/>
          <w:iCs/>
          <w:lang w:val="it-IT"/>
        </w:rPr>
        <w:t xml:space="preserve"> </w:t>
      </w:r>
      <w:r w:rsidR="00BF21E5" w:rsidRPr="006A2BF9">
        <w:rPr>
          <w:iCs/>
          <w:lang w:val="it-IT"/>
        </w:rPr>
        <w:t>n</w:t>
      </w:r>
      <w:r w:rsidRPr="006A2BF9">
        <w:rPr>
          <w:iCs/>
          <w:lang w:val="it-IT"/>
        </w:rPr>
        <w:t>egli studi clinici, l’incidenza de</w:t>
      </w:r>
      <w:r w:rsidR="005165E8" w:rsidRPr="006A2BF9">
        <w:rPr>
          <w:iCs/>
          <w:lang w:val="it-IT"/>
        </w:rPr>
        <w:t>lle</w:t>
      </w:r>
      <w:r w:rsidRPr="006A2BF9">
        <w:rPr>
          <w:iCs/>
          <w:lang w:val="it-IT"/>
        </w:rPr>
        <w:t xml:space="preserve"> </w:t>
      </w:r>
      <w:r w:rsidR="005165E8" w:rsidRPr="006A2BF9">
        <w:rPr>
          <w:iCs/>
          <w:lang w:val="it-IT"/>
        </w:rPr>
        <w:t>reazioni</w:t>
      </w:r>
      <w:r w:rsidR="00A4711E" w:rsidRPr="006A2BF9">
        <w:rPr>
          <w:iCs/>
          <w:lang w:val="it-IT"/>
        </w:rPr>
        <w:t xml:space="preserve"> </w:t>
      </w:r>
      <w:r w:rsidRPr="006A2BF9">
        <w:rPr>
          <w:iCs/>
          <w:lang w:val="it-IT"/>
        </w:rPr>
        <w:t>tromboembolic</w:t>
      </w:r>
      <w:r w:rsidR="005165E8" w:rsidRPr="006A2BF9">
        <w:rPr>
          <w:iCs/>
          <w:lang w:val="it-IT"/>
        </w:rPr>
        <w:t>he venose</w:t>
      </w:r>
      <w:r w:rsidRPr="006A2BF9">
        <w:rPr>
          <w:iCs/>
          <w:lang w:val="it-IT"/>
        </w:rPr>
        <w:t xml:space="preserve"> </w:t>
      </w:r>
      <w:r w:rsidR="008059AB" w:rsidRPr="006A2BF9">
        <w:rPr>
          <w:iCs/>
          <w:lang w:val="it-IT"/>
        </w:rPr>
        <w:t xml:space="preserve">è </w:t>
      </w:r>
      <w:r w:rsidRPr="006A2BF9">
        <w:rPr>
          <w:iCs/>
          <w:lang w:val="it-IT"/>
        </w:rPr>
        <w:t>stat</w:t>
      </w:r>
      <w:r w:rsidR="008059AB" w:rsidRPr="006A2BF9">
        <w:rPr>
          <w:iCs/>
          <w:lang w:val="it-IT"/>
        </w:rPr>
        <w:t>a</w:t>
      </w:r>
      <w:r w:rsidRPr="006A2BF9">
        <w:rPr>
          <w:iCs/>
          <w:lang w:val="it-IT"/>
        </w:rPr>
        <w:t xml:space="preserve"> simil</w:t>
      </w:r>
      <w:r w:rsidR="008059AB" w:rsidRPr="006A2BF9">
        <w:rPr>
          <w:iCs/>
          <w:lang w:val="it-IT"/>
        </w:rPr>
        <w:t>e</w:t>
      </w:r>
      <w:r w:rsidRPr="006A2BF9">
        <w:rPr>
          <w:iCs/>
          <w:lang w:val="it-IT"/>
        </w:rPr>
        <w:t xml:space="preserve"> nei pazienti trattati con </w:t>
      </w:r>
      <w:r w:rsidR="00BF21E5" w:rsidRPr="006A2BF9">
        <w:rPr>
          <w:szCs w:val="22"/>
          <w:lang w:val="it-IT"/>
        </w:rPr>
        <w:t>bevacizumab</w:t>
      </w:r>
      <w:r w:rsidR="00BF21E5" w:rsidRPr="006A2BF9">
        <w:rPr>
          <w:lang w:val="it-IT"/>
        </w:rPr>
        <w:t xml:space="preserve"> </w:t>
      </w:r>
      <w:r w:rsidRPr="006A2BF9">
        <w:rPr>
          <w:iCs/>
          <w:lang w:val="it-IT"/>
        </w:rPr>
        <w:t xml:space="preserve">in </w:t>
      </w:r>
      <w:r w:rsidR="003A32A4" w:rsidRPr="006A2BF9">
        <w:rPr>
          <w:iCs/>
          <w:lang w:val="it-IT"/>
        </w:rPr>
        <w:t xml:space="preserve">associazione </w:t>
      </w:r>
      <w:r w:rsidR="00A05598" w:rsidRPr="006A2BF9">
        <w:rPr>
          <w:iCs/>
          <w:lang w:val="it-IT"/>
        </w:rPr>
        <w:t xml:space="preserve">a </w:t>
      </w:r>
      <w:r w:rsidRPr="006A2BF9">
        <w:rPr>
          <w:iCs/>
          <w:lang w:val="it-IT"/>
        </w:rPr>
        <w:t xml:space="preserve">chemioterapia rispetto a quelli trattati con la chemioterapia di controllo da sola. </w:t>
      </w:r>
      <w:r w:rsidR="005165E8" w:rsidRPr="006A2BF9">
        <w:rPr>
          <w:iCs/>
          <w:lang w:val="it-IT"/>
        </w:rPr>
        <w:t>Le reazioni</w:t>
      </w:r>
      <w:r w:rsidRPr="006A2BF9">
        <w:rPr>
          <w:iCs/>
          <w:lang w:val="it-IT"/>
        </w:rPr>
        <w:t xml:space="preserve"> tromboembolic</w:t>
      </w:r>
      <w:r w:rsidR="005165E8" w:rsidRPr="006A2BF9">
        <w:rPr>
          <w:iCs/>
          <w:lang w:val="it-IT"/>
        </w:rPr>
        <w:t>he</w:t>
      </w:r>
      <w:r w:rsidRPr="006A2BF9">
        <w:rPr>
          <w:iCs/>
          <w:lang w:val="it-IT"/>
        </w:rPr>
        <w:t xml:space="preserve"> venos</w:t>
      </w:r>
      <w:r w:rsidR="005165E8" w:rsidRPr="006A2BF9">
        <w:rPr>
          <w:iCs/>
          <w:lang w:val="it-IT"/>
        </w:rPr>
        <w:t>e</w:t>
      </w:r>
      <w:r w:rsidRPr="006A2BF9">
        <w:rPr>
          <w:iCs/>
          <w:lang w:val="it-IT"/>
        </w:rPr>
        <w:t xml:space="preserve"> includono trombosi venosa profonda, embolia polmonare e tromboflebite.</w:t>
      </w:r>
    </w:p>
    <w:p w14:paraId="7687FD89" w14:textId="77777777" w:rsidR="009C0666" w:rsidRPr="006A2BF9" w:rsidRDefault="009C0666" w:rsidP="009C0666">
      <w:pPr>
        <w:outlineLvl w:val="0"/>
        <w:rPr>
          <w:iCs/>
          <w:lang w:val="it-IT"/>
        </w:rPr>
      </w:pPr>
    </w:p>
    <w:p w14:paraId="5A167863" w14:textId="77777777" w:rsidR="009C0666" w:rsidRPr="006A2BF9" w:rsidRDefault="009C0666" w:rsidP="009C0666">
      <w:pPr>
        <w:outlineLvl w:val="0"/>
        <w:rPr>
          <w:lang w:val="it-IT"/>
        </w:rPr>
      </w:pPr>
      <w:r w:rsidRPr="006A2BF9">
        <w:rPr>
          <w:lang w:val="it-IT"/>
        </w:rPr>
        <w:t>Negli studi clinici per tutte le indicazioni, l’incidenza globale d</w:t>
      </w:r>
      <w:r w:rsidR="005165E8" w:rsidRPr="006A2BF9">
        <w:rPr>
          <w:lang w:val="it-IT"/>
        </w:rPr>
        <w:t>elle reazioni</w:t>
      </w:r>
      <w:r w:rsidRPr="006A2BF9">
        <w:rPr>
          <w:lang w:val="it-IT"/>
        </w:rPr>
        <w:t xml:space="preserve"> tromboemboli</w:t>
      </w:r>
      <w:r w:rsidR="005165E8" w:rsidRPr="006A2BF9">
        <w:rPr>
          <w:lang w:val="it-IT"/>
        </w:rPr>
        <w:t>che</w:t>
      </w:r>
      <w:r w:rsidRPr="006A2BF9">
        <w:rPr>
          <w:lang w:val="it-IT"/>
        </w:rPr>
        <w:t xml:space="preserve"> venos</w:t>
      </w:r>
      <w:r w:rsidR="005165E8" w:rsidRPr="006A2BF9">
        <w:rPr>
          <w:lang w:val="it-IT"/>
        </w:rPr>
        <w:t>e</w:t>
      </w:r>
      <w:r w:rsidRPr="006A2BF9">
        <w:rPr>
          <w:lang w:val="it-IT"/>
        </w:rPr>
        <w:t xml:space="preserve"> </w:t>
      </w:r>
      <w:r w:rsidR="00F42378" w:rsidRPr="006A2BF9">
        <w:rPr>
          <w:lang w:val="it-IT"/>
        </w:rPr>
        <w:t>è</w:t>
      </w:r>
      <w:r w:rsidRPr="006A2BF9">
        <w:rPr>
          <w:lang w:val="it-IT"/>
        </w:rPr>
        <w:t xml:space="preserve"> variat</w:t>
      </w:r>
      <w:r w:rsidR="004A7B4B" w:rsidRPr="006A2BF9">
        <w:rPr>
          <w:lang w:val="it-IT"/>
        </w:rPr>
        <w:t>a</w:t>
      </w:r>
      <w:r w:rsidRPr="006A2BF9">
        <w:rPr>
          <w:lang w:val="it-IT"/>
        </w:rPr>
        <w:t xml:space="preserve"> dal 2,8% al 17,3% dei pazienti trattati con </w:t>
      </w:r>
      <w:r w:rsidR="00BF21E5" w:rsidRPr="006A2BF9">
        <w:rPr>
          <w:szCs w:val="22"/>
          <w:lang w:val="it-IT"/>
        </w:rPr>
        <w:t>bevacizumab</w:t>
      </w:r>
      <w:r w:rsidR="00BF21E5" w:rsidRPr="006A2BF9">
        <w:rPr>
          <w:lang w:val="it-IT"/>
        </w:rPr>
        <w:t xml:space="preserve"> </w:t>
      </w:r>
      <w:r w:rsidRPr="006A2BF9">
        <w:rPr>
          <w:lang w:val="it-IT"/>
        </w:rPr>
        <w:t>in confronto al 3,2%</w:t>
      </w:r>
      <w:r w:rsidR="00831616" w:rsidRPr="006A2BF9">
        <w:rPr>
          <w:lang w:val="it-IT"/>
        </w:rPr>
        <w:noBreakHyphen/>
      </w:r>
      <w:r w:rsidRPr="006A2BF9">
        <w:rPr>
          <w:lang w:val="it-IT"/>
        </w:rPr>
        <w:t xml:space="preserve">15,6% dei </w:t>
      </w:r>
      <w:r w:rsidR="0070182D" w:rsidRPr="006A2BF9">
        <w:rPr>
          <w:lang w:val="it-IT"/>
        </w:rPr>
        <w:t>bracci di controllo</w:t>
      </w:r>
      <w:r w:rsidRPr="006A2BF9">
        <w:rPr>
          <w:lang w:val="it-IT"/>
        </w:rPr>
        <w:t>.</w:t>
      </w:r>
    </w:p>
    <w:p w14:paraId="2B15657A" w14:textId="77777777" w:rsidR="0070182D" w:rsidRPr="006A2BF9" w:rsidRDefault="0070182D" w:rsidP="009C0666">
      <w:pPr>
        <w:outlineLvl w:val="0"/>
        <w:rPr>
          <w:lang w:val="it-IT"/>
        </w:rPr>
      </w:pPr>
    </w:p>
    <w:p w14:paraId="6EE2C84B" w14:textId="77777777" w:rsidR="009C0666" w:rsidRPr="00330A40" w:rsidRDefault="005165E8" w:rsidP="009C0666">
      <w:pPr>
        <w:rPr>
          <w:lang w:val="it-IT"/>
        </w:rPr>
      </w:pPr>
      <w:bookmarkStart w:id="1" w:name="OLE_LINK1"/>
      <w:bookmarkStart w:id="2" w:name="OLE_LINK2"/>
      <w:r w:rsidRPr="006A2BF9">
        <w:rPr>
          <w:lang w:val="it-IT"/>
        </w:rPr>
        <w:t>Reazioni</w:t>
      </w:r>
      <w:r w:rsidR="009C0666" w:rsidRPr="006A2BF9">
        <w:rPr>
          <w:lang w:val="it-IT"/>
        </w:rPr>
        <w:t xml:space="preserve"> </w:t>
      </w:r>
      <w:r w:rsidR="00D966E3" w:rsidRPr="006A2BF9">
        <w:rPr>
          <w:lang w:val="it-IT"/>
        </w:rPr>
        <w:t xml:space="preserve">tromboemboliche </w:t>
      </w:r>
      <w:r w:rsidR="009C0666" w:rsidRPr="006A2BF9">
        <w:rPr>
          <w:lang w:val="it-IT"/>
        </w:rPr>
        <w:t>venos</w:t>
      </w:r>
      <w:r w:rsidRPr="006A2BF9">
        <w:rPr>
          <w:lang w:val="it-IT"/>
        </w:rPr>
        <w:t>e</w:t>
      </w:r>
      <w:r w:rsidR="009C0666" w:rsidRPr="006A2BF9">
        <w:rPr>
          <w:lang w:val="it-IT"/>
        </w:rPr>
        <w:t xml:space="preserve"> di </w:t>
      </w:r>
      <w:r w:rsidRPr="006A2BF9">
        <w:rPr>
          <w:lang w:val="it-IT"/>
        </w:rPr>
        <w:t>G</w:t>
      </w:r>
      <w:r w:rsidR="009C0666" w:rsidRPr="006A2BF9">
        <w:rPr>
          <w:lang w:val="it-IT"/>
        </w:rPr>
        <w:t>rado</w:t>
      </w:r>
      <w:r w:rsidR="00BF21E5" w:rsidRPr="006A2BF9">
        <w:rPr>
          <w:lang w:val="it-IT"/>
        </w:rPr>
        <w:t> </w:t>
      </w:r>
      <w:r w:rsidR="009C0666" w:rsidRPr="006A2BF9">
        <w:rPr>
          <w:lang w:val="it-IT"/>
        </w:rPr>
        <w:t>3</w:t>
      </w:r>
      <w:r w:rsidR="00831616" w:rsidRPr="006A2BF9">
        <w:rPr>
          <w:lang w:val="it-IT"/>
        </w:rPr>
        <w:noBreakHyphen/>
      </w:r>
      <w:r w:rsidR="009C0666" w:rsidRPr="006A2BF9">
        <w:rPr>
          <w:lang w:val="it-IT"/>
        </w:rPr>
        <w:t>5</w:t>
      </w:r>
      <w:r w:rsidRPr="006A2BF9">
        <w:rPr>
          <w:lang w:val="it-IT"/>
        </w:rPr>
        <w:t xml:space="preserve"> (NCI-CTCAE v.3)</w:t>
      </w:r>
      <w:r w:rsidR="009C0666" w:rsidRPr="006A2BF9">
        <w:rPr>
          <w:lang w:val="it-IT"/>
        </w:rPr>
        <w:t xml:space="preserve"> </w:t>
      </w:r>
      <w:r w:rsidR="0070182D" w:rsidRPr="006A2BF9">
        <w:rPr>
          <w:lang w:val="it-IT"/>
        </w:rPr>
        <w:t>sono stat</w:t>
      </w:r>
      <w:r w:rsidR="008059AB" w:rsidRPr="006A2BF9">
        <w:rPr>
          <w:lang w:val="it-IT"/>
        </w:rPr>
        <w:t>e</w:t>
      </w:r>
      <w:r w:rsidR="0070182D" w:rsidRPr="006A2BF9">
        <w:rPr>
          <w:lang w:val="it-IT"/>
        </w:rPr>
        <w:t xml:space="preserve"> </w:t>
      </w:r>
      <w:r w:rsidR="00A05598" w:rsidRPr="006A2BF9">
        <w:rPr>
          <w:lang w:val="it-IT"/>
        </w:rPr>
        <w:t xml:space="preserve">segnalate </w:t>
      </w:r>
      <w:r w:rsidR="0070182D" w:rsidRPr="006A2BF9">
        <w:rPr>
          <w:lang w:val="it-IT"/>
        </w:rPr>
        <w:t xml:space="preserve">fino ad un massimo del 7,8% </w:t>
      </w:r>
      <w:r w:rsidR="00CA630B" w:rsidRPr="006A2BF9">
        <w:rPr>
          <w:lang w:val="it-IT"/>
        </w:rPr>
        <w:t xml:space="preserve">dei </w:t>
      </w:r>
      <w:r w:rsidR="0070182D" w:rsidRPr="006A2BF9">
        <w:rPr>
          <w:lang w:val="it-IT"/>
        </w:rPr>
        <w:t>pazienti trattati con chemioterapia più bevacizumab</w:t>
      </w:r>
      <w:r w:rsidR="009C0666" w:rsidRPr="006A2BF9">
        <w:rPr>
          <w:lang w:val="it-IT"/>
        </w:rPr>
        <w:t xml:space="preserve"> in confronto a</w:t>
      </w:r>
      <w:r w:rsidR="0070182D" w:rsidRPr="006A2BF9">
        <w:rPr>
          <w:lang w:val="it-IT"/>
        </w:rPr>
        <w:t>d un massimo del</w:t>
      </w:r>
      <w:r w:rsidR="009C0666" w:rsidRPr="006A2BF9">
        <w:rPr>
          <w:lang w:val="it-IT"/>
        </w:rPr>
        <w:t xml:space="preserve"> </w:t>
      </w:r>
      <w:r w:rsidR="0070182D" w:rsidRPr="006A2BF9">
        <w:rPr>
          <w:lang w:val="it-IT"/>
        </w:rPr>
        <w:t>4,9</w:t>
      </w:r>
      <w:r w:rsidR="009C0666" w:rsidRPr="006A2BF9">
        <w:rPr>
          <w:lang w:val="it-IT"/>
        </w:rPr>
        <w:t xml:space="preserve">% </w:t>
      </w:r>
      <w:r w:rsidR="00CA630B" w:rsidRPr="006A2BF9">
        <w:rPr>
          <w:lang w:val="it-IT"/>
        </w:rPr>
        <w:t xml:space="preserve">dei </w:t>
      </w:r>
      <w:r w:rsidR="0070182D" w:rsidRPr="006A2BF9">
        <w:rPr>
          <w:lang w:val="it-IT"/>
        </w:rPr>
        <w:t>pazienti trattati solo</w:t>
      </w:r>
      <w:r w:rsidR="009C0666" w:rsidRPr="006A2BF9">
        <w:rPr>
          <w:lang w:val="it-IT"/>
        </w:rPr>
        <w:t xml:space="preserve"> con chemioterapia</w:t>
      </w:r>
      <w:r w:rsidR="00C50843" w:rsidRPr="006A2BF9">
        <w:rPr>
          <w:lang w:val="it-IT"/>
        </w:rPr>
        <w:t xml:space="preserve"> (nelle diverse indicazioni, ad esclusione del </w:t>
      </w:r>
      <w:r w:rsidR="005F2C7F">
        <w:rPr>
          <w:lang w:val="it-IT"/>
        </w:rPr>
        <w:t>cancro</w:t>
      </w:r>
      <w:r w:rsidR="005F2C7F" w:rsidRPr="00330A40">
        <w:rPr>
          <w:lang w:val="it-IT"/>
        </w:rPr>
        <w:t xml:space="preserve"> </w:t>
      </w:r>
      <w:r w:rsidR="00C50843" w:rsidRPr="00330A40">
        <w:rPr>
          <w:lang w:val="it-IT"/>
        </w:rPr>
        <w:t xml:space="preserve">della cervice persistente, </w:t>
      </w:r>
      <w:r w:rsidR="00053210" w:rsidRPr="00330A40">
        <w:rPr>
          <w:lang w:val="it-IT"/>
        </w:rPr>
        <w:t>ricorrente</w:t>
      </w:r>
      <w:r w:rsidR="00C50843" w:rsidRPr="00330A40">
        <w:rPr>
          <w:lang w:val="it-IT"/>
        </w:rPr>
        <w:t xml:space="preserve"> o metastatico)</w:t>
      </w:r>
      <w:r w:rsidR="009C0666" w:rsidRPr="00330A40">
        <w:rPr>
          <w:lang w:val="it-IT"/>
        </w:rPr>
        <w:t>.</w:t>
      </w:r>
      <w:bookmarkEnd w:id="1"/>
      <w:bookmarkEnd w:id="2"/>
    </w:p>
    <w:p w14:paraId="0D2AD052" w14:textId="77777777" w:rsidR="009C0666" w:rsidRPr="00330A40" w:rsidRDefault="009C0666" w:rsidP="009C0666">
      <w:pPr>
        <w:rPr>
          <w:lang w:val="it-IT"/>
        </w:rPr>
      </w:pPr>
    </w:p>
    <w:p w14:paraId="3E86A2FF" w14:textId="77777777" w:rsidR="00C50843" w:rsidRPr="006A2BF9" w:rsidRDefault="00C50843" w:rsidP="00C50843">
      <w:pPr>
        <w:rPr>
          <w:lang w:val="it-IT"/>
        </w:rPr>
      </w:pPr>
      <w:r w:rsidRPr="00330A40">
        <w:rPr>
          <w:lang w:val="it-IT"/>
        </w:rPr>
        <w:t xml:space="preserve">In uno studio clinico condotto su pazienti affette da </w:t>
      </w:r>
      <w:r w:rsidR="005F2C7F">
        <w:rPr>
          <w:lang w:val="it-IT"/>
        </w:rPr>
        <w:t>cancro</w:t>
      </w:r>
      <w:r w:rsidR="005F2C7F" w:rsidRPr="00330A40">
        <w:rPr>
          <w:lang w:val="it-IT"/>
        </w:rPr>
        <w:t xml:space="preserve"> </w:t>
      </w:r>
      <w:r w:rsidRPr="00330A40">
        <w:rPr>
          <w:lang w:val="it-IT"/>
        </w:rPr>
        <w:t xml:space="preserve">della cervice persistente, </w:t>
      </w:r>
      <w:r w:rsidR="00053210" w:rsidRPr="00330A40">
        <w:rPr>
          <w:lang w:val="it-IT"/>
        </w:rPr>
        <w:t>ricorrente</w:t>
      </w:r>
      <w:r w:rsidRPr="00330A40">
        <w:rPr>
          <w:lang w:val="it-IT"/>
        </w:rPr>
        <w:t xml:space="preserve"> o metastatico </w:t>
      </w:r>
      <w:r w:rsidRPr="00330A40">
        <w:rPr>
          <w:rFonts w:cs="Arial"/>
          <w:iCs/>
          <w:lang w:val="it-IT"/>
        </w:rPr>
        <w:t xml:space="preserve">(studio GOG-0240), sono stati segnalati eventi tromboembolici </w:t>
      </w:r>
      <w:r w:rsidR="00E66D44" w:rsidRPr="00330A40">
        <w:rPr>
          <w:rFonts w:cs="Arial"/>
          <w:iCs/>
          <w:lang w:val="it-IT"/>
        </w:rPr>
        <w:t xml:space="preserve">venosi </w:t>
      </w:r>
      <w:r w:rsidRPr="00330A40">
        <w:rPr>
          <w:rFonts w:cs="Arial"/>
          <w:iCs/>
          <w:lang w:val="it-IT"/>
        </w:rPr>
        <w:t>di grado</w:t>
      </w:r>
      <w:r w:rsidR="00BF21E5" w:rsidRPr="00330A40">
        <w:rPr>
          <w:rFonts w:cs="Arial"/>
          <w:iCs/>
          <w:lang w:val="it-IT"/>
        </w:rPr>
        <w:t> </w:t>
      </w:r>
      <w:r w:rsidRPr="00330A40">
        <w:rPr>
          <w:rFonts w:cs="Arial"/>
          <w:iCs/>
          <w:lang w:val="it-IT"/>
        </w:rPr>
        <w:t>3</w:t>
      </w:r>
      <w:r w:rsidR="00831616" w:rsidRPr="00330A40">
        <w:rPr>
          <w:rFonts w:cs="Arial"/>
          <w:iCs/>
          <w:lang w:val="it-IT"/>
        </w:rPr>
        <w:noBreakHyphen/>
      </w:r>
      <w:r w:rsidRPr="006A2BF9">
        <w:rPr>
          <w:rFonts w:cs="Arial"/>
          <w:iCs/>
          <w:lang w:val="it-IT"/>
        </w:rPr>
        <w:t>5 nel 15,6% massimo delle pazienti tratta</w:t>
      </w:r>
      <w:r w:rsidR="002E7A16" w:rsidRPr="006A2BF9">
        <w:rPr>
          <w:rFonts w:cs="Arial"/>
          <w:iCs/>
          <w:lang w:val="it-IT"/>
        </w:rPr>
        <w:t xml:space="preserve">te con </w:t>
      </w:r>
      <w:r w:rsidR="00BF21E5" w:rsidRPr="006A2BF9">
        <w:rPr>
          <w:szCs w:val="22"/>
          <w:lang w:val="it-IT"/>
        </w:rPr>
        <w:t>bevacizumab</w:t>
      </w:r>
      <w:r w:rsidR="00BF21E5" w:rsidRPr="006A2BF9">
        <w:rPr>
          <w:lang w:val="it-IT"/>
        </w:rPr>
        <w:t xml:space="preserve"> </w:t>
      </w:r>
      <w:r w:rsidR="002E7A16" w:rsidRPr="006A2BF9">
        <w:rPr>
          <w:rFonts w:cs="Arial"/>
          <w:iCs/>
          <w:lang w:val="it-IT"/>
        </w:rPr>
        <w:t xml:space="preserve">in associazione </w:t>
      </w:r>
      <w:r w:rsidR="00ED4EEE" w:rsidRPr="006A2BF9">
        <w:rPr>
          <w:rFonts w:cs="Arial"/>
          <w:iCs/>
          <w:lang w:val="it-IT"/>
        </w:rPr>
        <w:t xml:space="preserve">a </w:t>
      </w:r>
      <w:r w:rsidRPr="006A2BF9">
        <w:rPr>
          <w:color w:val="000000"/>
          <w:lang w:val="it-IT"/>
        </w:rPr>
        <w:t xml:space="preserve">paclitaxel e cisplatino contro </w:t>
      </w:r>
      <w:r w:rsidR="00E66D44" w:rsidRPr="006A2BF9">
        <w:rPr>
          <w:color w:val="000000"/>
          <w:lang w:val="it-IT"/>
        </w:rPr>
        <w:t>il</w:t>
      </w:r>
      <w:r w:rsidRPr="006A2BF9">
        <w:rPr>
          <w:color w:val="000000"/>
          <w:lang w:val="it-IT"/>
        </w:rPr>
        <w:t xml:space="preserve"> 7,0% </w:t>
      </w:r>
      <w:r w:rsidR="00E66D44" w:rsidRPr="006A2BF9">
        <w:rPr>
          <w:color w:val="000000"/>
          <w:lang w:val="it-IT"/>
        </w:rPr>
        <w:t xml:space="preserve">massimo </w:t>
      </w:r>
      <w:r w:rsidRPr="006A2BF9">
        <w:rPr>
          <w:rFonts w:cs="Arial"/>
          <w:iCs/>
          <w:lang w:val="it-IT"/>
        </w:rPr>
        <w:t xml:space="preserve">delle pazienti trattate con </w:t>
      </w:r>
      <w:r w:rsidRPr="006A2BF9">
        <w:rPr>
          <w:color w:val="000000"/>
          <w:lang w:val="it-IT"/>
        </w:rPr>
        <w:t>paclitaxel e cisplatino</w:t>
      </w:r>
      <w:r w:rsidRPr="006A2BF9">
        <w:rPr>
          <w:rFonts w:cs="Arial"/>
          <w:iCs/>
          <w:lang w:val="it-IT"/>
        </w:rPr>
        <w:t>.</w:t>
      </w:r>
    </w:p>
    <w:p w14:paraId="4E27D5DF" w14:textId="77777777" w:rsidR="00C50843" w:rsidRPr="006A2BF9" w:rsidRDefault="00C50843" w:rsidP="009C0666">
      <w:pPr>
        <w:rPr>
          <w:lang w:val="it-IT"/>
        </w:rPr>
      </w:pPr>
    </w:p>
    <w:p w14:paraId="69449F8E" w14:textId="77777777" w:rsidR="009C0666" w:rsidRPr="006A2BF9" w:rsidRDefault="009C0666" w:rsidP="009C0666">
      <w:pPr>
        <w:rPr>
          <w:lang w:val="it-IT"/>
        </w:rPr>
      </w:pPr>
      <w:r w:rsidRPr="006A2BF9">
        <w:rPr>
          <w:lang w:val="it-IT"/>
        </w:rPr>
        <w:lastRenderedPageBreak/>
        <w:t>I pazienti che hanno manifestato un</w:t>
      </w:r>
      <w:r w:rsidR="005165E8" w:rsidRPr="006A2BF9">
        <w:rPr>
          <w:lang w:val="it-IT"/>
        </w:rPr>
        <w:t>a reazione</w:t>
      </w:r>
      <w:r w:rsidRPr="006A2BF9">
        <w:rPr>
          <w:lang w:val="it-IT"/>
        </w:rPr>
        <w:t xml:space="preserve"> tromboembolic</w:t>
      </w:r>
      <w:r w:rsidR="005165E8" w:rsidRPr="006A2BF9">
        <w:rPr>
          <w:lang w:val="it-IT"/>
        </w:rPr>
        <w:t>a</w:t>
      </w:r>
      <w:r w:rsidRPr="006A2BF9">
        <w:rPr>
          <w:lang w:val="it-IT"/>
        </w:rPr>
        <w:t xml:space="preserve"> venos</w:t>
      </w:r>
      <w:r w:rsidR="005165E8" w:rsidRPr="006A2BF9">
        <w:rPr>
          <w:lang w:val="it-IT"/>
        </w:rPr>
        <w:t>a</w:t>
      </w:r>
      <w:r w:rsidRPr="006A2BF9">
        <w:rPr>
          <w:lang w:val="it-IT"/>
        </w:rPr>
        <w:t xml:space="preserve"> possono essere a rischio maggiore di recidiva se ricevono </w:t>
      </w:r>
      <w:r w:rsidR="00BF21E5" w:rsidRPr="006A2BF9">
        <w:rPr>
          <w:szCs w:val="22"/>
          <w:lang w:val="it-IT"/>
        </w:rPr>
        <w:t>bevacizumab</w:t>
      </w:r>
      <w:r w:rsidR="00BF21E5" w:rsidRPr="006A2BF9">
        <w:rPr>
          <w:lang w:val="it-IT"/>
        </w:rPr>
        <w:t xml:space="preserve"> </w:t>
      </w:r>
      <w:r w:rsidRPr="006A2BF9">
        <w:rPr>
          <w:lang w:val="it-IT"/>
        </w:rPr>
        <w:t xml:space="preserve">in </w:t>
      </w:r>
      <w:r w:rsidR="003A32A4" w:rsidRPr="006A2BF9">
        <w:rPr>
          <w:lang w:val="it-IT"/>
        </w:rPr>
        <w:t xml:space="preserve">associazione </w:t>
      </w:r>
      <w:r w:rsidR="00ED4EEE" w:rsidRPr="006A2BF9">
        <w:rPr>
          <w:lang w:val="it-IT"/>
        </w:rPr>
        <w:t xml:space="preserve">a </w:t>
      </w:r>
      <w:r w:rsidRPr="006A2BF9">
        <w:rPr>
          <w:lang w:val="it-IT"/>
        </w:rPr>
        <w:t>chemioterapia rispetto alla chemioterapia da sola.</w:t>
      </w:r>
    </w:p>
    <w:p w14:paraId="08A9F8BC" w14:textId="77777777" w:rsidR="009C0666" w:rsidRPr="006A2BF9" w:rsidRDefault="009C0666" w:rsidP="009C0666">
      <w:pPr>
        <w:outlineLvl w:val="0"/>
        <w:rPr>
          <w:lang w:val="it-IT"/>
        </w:rPr>
      </w:pPr>
    </w:p>
    <w:p w14:paraId="7BB7F838" w14:textId="77777777" w:rsidR="009C0666" w:rsidRPr="006A2BF9" w:rsidRDefault="009C0666" w:rsidP="00EB756F">
      <w:pPr>
        <w:keepNext/>
        <w:keepLines/>
        <w:outlineLvl w:val="0"/>
        <w:rPr>
          <w:i/>
          <w:iCs/>
          <w:u w:val="single"/>
          <w:lang w:val="it-IT"/>
        </w:rPr>
      </w:pPr>
      <w:r w:rsidRPr="006A2BF9">
        <w:rPr>
          <w:i/>
          <w:iCs/>
          <w:u w:val="single"/>
          <w:lang w:val="it-IT"/>
        </w:rPr>
        <w:t>Insufficienza cardiaca congestizia (ICC)</w:t>
      </w:r>
    </w:p>
    <w:p w14:paraId="5BBA77D3" w14:textId="77777777" w:rsidR="004A057D" w:rsidRPr="006A2BF9" w:rsidRDefault="004A057D" w:rsidP="004A057D">
      <w:pPr>
        <w:rPr>
          <w:lang w:val="it-IT"/>
        </w:rPr>
      </w:pPr>
      <w:r w:rsidRPr="006A2BF9">
        <w:rPr>
          <w:lang w:val="it-IT"/>
        </w:rPr>
        <w:t xml:space="preserve">Negli studi clinici con </w:t>
      </w:r>
      <w:r w:rsidR="00BF21E5" w:rsidRPr="006A2BF9">
        <w:rPr>
          <w:szCs w:val="22"/>
          <w:lang w:val="it-IT"/>
        </w:rPr>
        <w:t>bevacizumab</w:t>
      </w:r>
      <w:r w:rsidRPr="006A2BF9">
        <w:rPr>
          <w:lang w:val="it-IT"/>
        </w:rPr>
        <w:t xml:space="preserve">, l’insufficienza cardiaca congestizia (ICC) si è verificata in tutte le indicazioni tumorali studiate sinora, ma si è manifestata principalmente in pazienti con </w:t>
      </w:r>
      <w:r w:rsidR="00EB182B">
        <w:rPr>
          <w:lang w:val="it-IT"/>
        </w:rPr>
        <w:t>cancro della mammella</w:t>
      </w:r>
      <w:r w:rsidRPr="00330A40">
        <w:rPr>
          <w:lang w:val="it-IT"/>
        </w:rPr>
        <w:t xml:space="preserve"> metastatico. Nei quattro studi di fase III (AVF2119g, E2100, BO17708 e AVF3694g) in pazienti con </w:t>
      </w:r>
      <w:r w:rsidR="00EB182B">
        <w:rPr>
          <w:lang w:val="it-IT"/>
        </w:rPr>
        <w:t>cancro della mammella</w:t>
      </w:r>
      <w:r w:rsidRPr="00330A40">
        <w:rPr>
          <w:lang w:val="it-IT"/>
        </w:rPr>
        <w:t xml:space="preserve"> metastatico è stata segnalata ICC di </w:t>
      </w:r>
      <w:r w:rsidR="005165E8" w:rsidRPr="00330A40">
        <w:rPr>
          <w:lang w:val="it-IT"/>
        </w:rPr>
        <w:t>G</w:t>
      </w:r>
      <w:r w:rsidRPr="00330A40">
        <w:rPr>
          <w:lang w:val="it-IT"/>
        </w:rPr>
        <w:t>rado</w:t>
      </w:r>
      <w:r w:rsidR="00BF21E5" w:rsidRPr="00330A40">
        <w:rPr>
          <w:lang w:val="it-IT"/>
        </w:rPr>
        <w:t> </w:t>
      </w:r>
      <w:r w:rsidRPr="00330A40">
        <w:rPr>
          <w:lang w:val="it-IT"/>
        </w:rPr>
        <w:t>3</w:t>
      </w:r>
      <w:r w:rsidR="005165E8" w:rsidRPr="00330A40">
        <w:rPr>
          <w:lang w:val="it-IT"/>
        </w:rPr>
        <w:t xml:space="preserve"> (NCI-CTCAE v.3)</w:t>
      </w:r>
      <w:r w:rsidRPr="00330A40">
        <w:rPr>
          <w:lang w:val="it-IT"/>
        </w:rPr>
        <w:t xml:space="preserve"> o superiore con un’incidenza fino al 3,5% dei pazienti trattati con </w:t>
      </w:r>
      <w:r w:rsidR="00BF21E5" w:rsidRPr="00330A40">
        <w:rPr>
          <w:szCs w:val="22"/>
          <w:lang w:val="it-IT"/>
        </w:rPr>
        <w:t>bevacizumab</w:t>
      </w:r>
      <w:r w:rsidR="00BF21E5" w:rsidRPr="00330A40">
        <w:rPr>
          <w:lang w:val="it-IT"/>
        </w:rPr>
        <w:t xml:space="preserve"> </w:t>
      </w:r>
      <w:r w:rsidRPr="00330A40">
        <w:rPr>
          <w:lang w:val="it-IT"/>
        </w:rPr>
        <w:t xml:space="preserve">in </w:t>
      </w:r>
      <w:r w:rsidR="003A32A4" w:rsidRPr="00330A40">
        <w:rPr>
          <w:lang w:val="it-IT"/>
        </w:rPr>
        <w:t xml:space="preserve">associazione </w:t>
      </w:r>
      <w:r w:rsidRPr="00330A40">
        <w:rPr>
          <w:lang w:val="it-IT"/>
        </w:rPr>
        <w:t xml:space="preserve">a chemioterapia rispetto a un massimo di 0,9% nei bracci di controllo. Per i pazienti inclusi nello studio AVF3694g trattati con antracicline in concomitanza a bevacizumab, l’incidenza di ICC di </w:t>
      </w:r>
      <w:r w:rsidR="005165E8" w:rsidRPr="00330A40">
        <w:rPr>
          <w:lang w:val="it-IT"/>
        </w:rPr>
        <w:t>G</w:t>
      </w:r>
      <w:r w:rsidRPr="00330A40">
        <w:rPr>
          <w:lang w:val="it-IT"/>
        </w:rPr>
        <w:t>rado</w:t>
      </w:r>
      <w:r w:rsidR="00BF21E5" w:rsidRPr="00330A40">
        <w:rPr>
          <w:lang w:val="it-IT"/>
        </w:rPr>
        <w:t> </w:t>
      </w:r>
      <w:r w:rsidRPr="00330A40">
        <w:rPr>
          <w:lang w:val="it-IT"/>
        </w:rPr>
        <w:t>3 o superiore per i rispettivi bracci con bevacizumab e di controllo è risultata simile a quella osserva</w:t>
      </w:r>
      <w:r w:rsidRPr="006A2BF9">
        <w:rPr>
          <w:lang w:val="it-IT"/>
        </w:rPr>
        <w:t xml:space="preserve">ta in altri studi condotti sul </w:t>
      </w:r>
      <w:r w:rsidR="00C35913">
        <w:rPr>
          <w:lang w:val="it-IT"/>
        </w:rPr>
        <w:t>cancro</w:t>
      </w:r>
      <w:r w:rsidR="00C35913" w:rsidRPr="006A2BF9">
        <w:rPr>
          <w:lang w:val="it-IT"/>
        </w:rPr>
        <w:t xml:space="preserve"> </w:t>
      </w:r>
      <w:r w:rsidRPr="006A2BF9">
        <w:rPr>
          <w:lang w:val="it-IT"/>
        </w:rPr>
        <w:t>della mammella metastatico: 2,9% nel braccio trattato con antracicline</w:t>
      </w:r>
      <w:r w:rsidR="003D4A0E" w:rsidRPr="006A2BF9">
        <w:rPr>
          <w:lang w:val="it-IT"/>
        </w:rPr>
        <w:t> </w:t>
      </w:r>
      <w:r w:rsidRPr="006A2BF9">
        <w:rPr>
          <w:lang w:val="it-IT"/>
        </w:rPr>
        <w:t>+</w:t>
      </w:r>
      <w:r w:rsidR="003D4A0E" w:rsidRPr="006A2BF9">
        <w:rPr>
          <w:lang w:val="it-IT"/>
        </w:rPr>
        <w:t> </w:t>
      </w:r>
      <w:r w:rsidRPr="006A2BF9">
        <w:rPr>
          <w:lang w:val="it-IT"/>
        </w:rPr>
        <w:t>bevacizumab e 0% nel braccio trattato con antracicline</w:t>
      </w:r>
      <w:r w:rsidR="003D4A0E" w:rsidRPr="006A2BF9">
        <w:rPr>
          <w:lang w:val="it-IT"/>
        </w:rPr>
        <w:t> </w:t>
      </w:r>
      <w:r w:rsidRPr="006A2BF9">
        <w:rPr>
          <w:lang w:val="it-IT"/>
        </w:rPr>
        <w:t>+</w:t>
      </w:r>
      <w:r w:rsidR="003D4A0E" w:rsidRPr="006A2BF9">
        <w:rPr>
          <w:lang w:val="it-IT"/>
        </w:rPr>
        <w:t> </w:t>
      </w:r>
      <w:r w:rsidRPr="006A2BF9">
        <w:rPr>
          <w:lang w:val="it-IT"/>
        </w:rPr>
        <w:t xml:space="preserve">placebo. Inoltre, nello studio AVF3694g l’incidenza osservata di ICC di qualunque </w:t>
      </w:r>
      <w:r w:rsidR="005165E8" w:rsidRPr="006A2BF9">
        <w:rPr>
          <w:lang w:val="it-IT"/>
        </w:rPr>
        <w:t>G</w:t>
      </w:r>
      <w:r w:rsidRPr="006A2BF9">
        <w:rPr>
          <w:lang w:val="it-IT"/>
        </w:rPr>
        <w:t>rado è stata simile per il braccio trattato con antracicline</w:t>
      </w:r>
      <w:r w:rsidR="003D4A0E" w:rsidRPr="006A2BF9">
        <w:rPr>
          <w:lang w:val="it-IT"/>
        </w:rPr>
        <w:t> </w:t>
      </w:r>
      <w:r w:rsidRPr="006A2BF9">
        <w:rPr>
          <w:lang w:val="it-IT"/>
        </w:rPr>
        <w:t>+</w:t>
      </w:r>
      <w:r w:rsidR="003D4A0E" w:rsidRPr="006A2BF9">
        <w:rPr>
          <w:lang w:val="it-IT"/>
        </w:rPr>
        <w:t> </w:t>
      </w:r>
      <w:r w:rsidR="00BF21E5" w:rsidRPr="006A2BF9">
        <w:rPr>
          <w:szCs w:val="22"/>
          <w:lang w:val="it-IT"/>
        </w:rPr>
        <w:t>bevacizumab</w:t>
      </w:r>
      <w:r w:rsidR="00BF21E5" w:rsidRPr="006A2BF9">
        <w:rPr>
          <w:lang w:val="it-IT"/>
        </w:rPr>
        <w:t xml:space="preserve"> </w:t>
      </w:r>
      <w:r w:rsidRPr="006A2BF9">
        <w:rPr>
          <w:lang w:val="it-IT"/>
        </w:rPr>
        <w:t>(6,2%) e per il braccio trattato con antracicline</w:t>
      </w:r>
      <w:r w:rsidR="003D4A0E" w:rsidRPr="006A2BF9">
        <w:rPr>
          <w:lang w:val="it-IT"/>
        </w:rPr>
        <w:t> </w:t>
      </w:r>
      <w:r w:rsidRPr="006A2BF9">
        <w:rPr>
          <w:lang w:val="it-IT"/>
        </w:rPr>
        <w:t>+</w:t>
      </w:r>
      <w:r w:rsidR="003D4A0E" w:rsidRPr="006A2BF9">
        <w:rPr>
          <w:lang w:val="it-IT"/>
        </w:rPr>
        <w:t> </w:t>
      </w:r>
      <w:r w:rsidRPr="006A2BF9">
        <w:rPr>
          <w:lang w:val="it-IT"/>
        </w:rPr>
        <w:t>placebo (6,0%).</w:t>
      </w:r>
    </w:p>
    <w:p w14:paraId="1B93C0AE" w14:textId="77777777" w:rsidR="004A057D" w:rsidRPr="006A2BF9" w:rsidRDefault="004A057D" w:rsidP="004A057D">
      <w:pPr>
        <w:rPr>
          <w:lang w:val="it-IT"/>
        </w:rPr>
      </w:pPr>
    </w:p>
    <w:p w14:paraId="0E53A3B0" w14:textId="77777777" w:rsidR="004A057D" w:rsidRPr="006A2BF9" w:rsidRDefault="004A057D" w:rsidP="004A057D">
      <w:pPr>
        <w:rPr>
          <w:lang w:val="it-IT"/>
        </w:rPr>
      </w:pPr>
      <w:r w:rsidRPr="006A2BF9">
        <w:rPr>
          <w:lang w:val="it-IT"/>
        </w:rPr>
        <w:t>La maggior parte d</w:t>
      </w:r>
      <w:r w:rsidR="00E27928" w:rsidRPr="006A2BF9">
        <w:rPr>
          <w:lang w:val="it-IT"/>
        </w:rPr>
        <w:t xml:space="preserve">ei </w:t>
      </w:r>
      <w:r w:rsidRPr="006A2BF9">
        <w:rPr>
          <w:lang w:val="it-IT"/>
        </w:rPr>
        <w:t>pazienti che ha sviluppato ICC durante gli studi clinici nel mBC ha mostrato un miglioramento dei sintomi e/o della funzione ventricolare sinistra dopo terapia medica appropriata.</w:t>
      </w:r>
    </w:p>
    <w:p w14:paraId="39BB4D90" w14:textId="77777777" w:rsidR="009C0666" w:rsidRPr="006A2BF9" w:rsidRDefault="009C0666" w:rsidP="009C0666">
      <w:pPr>
        <w:rPr>
          <w:lang w:val="it-IT"/>
        </w:rPr>
      </w:pPr>
    </w:p>
    <w:p w14:paraId="619B50BF" w14:textId="77777777" w:rsidR="009C0666" w:rsidRPr="006A2BF9" w:rsidRDefault="009C0666" w:rsidP="009C0666">
      <w:pPr>
        <w:rPr>
          <w:lang w:val="it-IT"/>
        </w:rPr>
      </w:pPr>
      <w:r w:rsidRPr="006A2BF9">
        <w:rPr>
          <w:lang w:val="it-IT"/>
        </w:rPr>
        <w:t xml:space="preserve">Nella maggioranza degli studi clinici con </w:t>
      </w:r>
      <w:r w:rsidR="00BF21E5" w:rsidRPr="006A2BF9">
        <w:rPr>
          <w:szCs w:val="22"/>
          <w:lang w:val="it-IT"/>
        </w:rPr>
        <w:t>bevacizumab</w:t>
      </w:r>
      <w:r w:rsidRPr="006A2BF9">
        <w:rPr>
          <w:lang w:val="it-IT"/>
        </w:rPr>
        <w:t>, pazienti con pre-esistente ICC di stadio II</w:t>
      </w:r>
      <w:r w:rsidR="00831616" w:rsidRPr="006A2BF9">
        <w:rPr>
          <w:lang w:val="it-IT"/>
        </w:rPr>
        <w:noBreakHyphen/>
      </w:r>
      <w:r w:rsidRPr="006A2BF9">
        <w:rPr>
          <w:lang w:val="it-IT"/>
        </w:rPr>
        <w:t>IV secondo la NYHA (</w:t>
      </w:r>
      <w:r w:rsidRPr="006A2BF9">
        <w:rPr>
          <w:i/>
          <w:lang w:val="it-IT"/>
        </w:rPr>
        <w:t>New York Heart Association</w:t>
      </w:r>
      <w:r w:rsidRPr="006A2BF9">
        <w:rPr>
          <w:lang w:val="it-IT"/>
        </w:rPr>
        <w:t>) sono stati esclusi e pertanto non sono disponibili informazioni sul rischio di ICC in questa popolazione.</w:t>
      </w:r>
    </w:p>
    <w:p w14:paraId="1E759B83" w14:textId="77777777" w:rsidR="009C0666" w:rsidRPr="006A2BF9" w:rsidRDefault="009C0666" w:rsidP="009C0666">
      <w:pPr>
        <w:rPr>
          <w:lang w:val="it-IT"/>
        </w:rPr>
      </w:pPr>
    </w:p>
    <w:p w14:paraId="20DBA830" w14:textId="77777777" w:rsidR="009C0666" w:rsidRPr="006A2BF9" w:rsidRDefault="009C0666" w:rsidP="009C0666">
      <w:pPr>
        <w:rPr>
          <w:lang w:val="it-IT"/>
        </w:rPr>
      </w:pPr>
      <w:r w:rsidRPr="006A2BF9">
        <w:rPr>
          <w:lang w:val="it-IT"/>
        </w:rPr>
        <w:t>La precedente esposizione alle antracicline e/o precedente radioterapia alla parete toracica possono rappresentare fattori di rischio per lo sviluppo di ICC.</w:t>
      </w:r>
    </w:p>
    <w:p w14:paraId="25D00ABD" w14:textId="77777777" w:rsidR="003C2354" w:rsidRPr="006A2BF9" w:rsidRDefault="003C2354" w:rsidP="009C0666">
      <w:pPr>
        <w:rPr>
          <w:lang w:val="it-IT"/>
        </w:rPr>
      </w:pPr>
    </w:p>
    <w:p w14:paraId="3938AB35" w14:textId="77777777" w:rsidR="005B7D40" w:rsidRPr="006A2BF9" w:rsidRDefault="00D57ABF" w:rsidP="009C0666">
      <w:pPr>
        <w:rPr>
          <w:lang w:val="it-IT"/>
        </w:rPr>
      </w:pPr>
      <w:r w:rsidRPr="006A2BF9">
        <w:rPr>
          <w:lang w:val="it-IT"/>
        </w:rPr>
        <w:t>Si è</w:t>
      </w:r>
      <w:r w:rsidR="001544CA" w:rsidRPr="006A2BF9">
        <w:rPr>
          <w:lang w:val="it-IT"/>
        </w:rPr>
        <w:t xml:space="preserve"> osservato u</w:t>
      </w:r>
      <w:r w:rsidR="003C2354" w:rsidRPr="006A2BF9">
        <w:rPr>
          <w:lang w:val="it-IT"/>
        </w:rPr>
        <w:t>n</w:t>
      </w:r>
      <w:r w:rsidR="00AB060C" w:rsidRPr="006A2BF9">
        <w:rPr>
          <w:lang w:val="it-IT"/>
        </w:rPr>
        <w:t xml:space="preserve"> aumento dell’incidenza </w:t>
      </w:r>
      <w:r w:rsidR="003C2354" w:rsidRPr="006A2BF9">
        <w:rPr>
          <w:lang w:val="it-IT"/>
        </w:rPr>
        <w:t xml:space="preserve">di ICC </w:t>
      </w:r>
      <w:r w:rsidR="0022568E" w:rsidRPr="006A2BF9">
        <w:rPr>
          <w:lang w:val="it-IT"/>
        </w:rPr>
        <w:t>in uno</w:t>
      </w:r>
      <w:r w:rsidR="003C2354" w:rsidRPr="006A2BF9">
        <w:rPr>
          <w:lang w:val="it-IT"/>
        </w:rPr>
        <w:t xml:space="preserve"> studi</w:t>
      </w:r>
      <w:r w:rsidR="0022568E" w:rsidRPr="006A2BF9">
        <w:rPr>
          <w:lang w:val="it-IT"/>
        </w:rPr>
        <w:t>o clinico condotto</w:t>
      </w:r>
      <w:r w:rsidR="003C2354" w:rsidRPr="006A2BF9">
        <w:rPr>
          <w:lang w:val="it-IT"/>
        </w:rPr>
        <w:t xml:space="preserve"> su pazienti affetti da linfoma diffuso a grandi cellule B quando trattati co</w:t>
      </w:r>
      <w:r w:rsidR="0022568E" w:rsidRPr="006A2BF9">
        <w:rPr>
          <w:lang w:val="it-IT"/>
        </w:rPr>
        <w:t xml:space="preserve">n bevacizumab in </w:t>
      </w:r>
      <w:r w:rsidR="00154871" w:rsidRPr="006A2BF9">
        <w:rPr>
          <w:lang w:val="it-IT"/>
        </w:rPr>
        <w:t>associazione</w:t>
      </w:r>
      <w:r w:rsidR="003A32A4" w:rsidRPr="006A2BF9">
        <w:rPr>
          <w:lang w:val="it-IT"/>
        </w:rPr>
        <w:t xml:space="preserve"> </w:t>
      </w:r>
      <w:r w:rsidR="0022568E" w:rsidRPr="006A2BF9">
        <w:rPr>
          <w:lang w:val="it-IT"/>
        </w:rPr>
        <w:t>a</w:t>
      </w:r>
      <w:r w:rsidR="003C2354" w:rsidRPr="006A2BF9">
        <w:rPr>
          <w:lang w:val="it-IT"/>
        </w:rPr>
        <w:t xml:space="preserve"> un</w:t>
      </w:r>
      <w:r w:rsidR="003B2948" w:rsidRPr="006A2BF9">
        <w:rPr>
          <w:lang w:val="it-IT"/>
        </w:rPr>
        <w:t>a dose cumulativa</w:t>
      </w:r>
      <w:r w:rsidR="003C2354" w:rsidRPr="006A2BF9">
        <w:rPr>
          <w:lang w:val="it-IT"/>
        </w:rPr>
        <w:t xml:space="preserve"> di doxorubicina superiore a 300</w:t>
      </w:r>
      <w:r w:rsidR="0022568E" w:rsidRPr="006A2BF9">
        <w:rPr>
          <w:lang w:val="it-IT"/>
        </w:rPr>
        <w:t> </w:t>
      </w:r>
      <w:r w:rsidR="003C2354" w:rsidRPr="006A2BF9">
        <w:rPr>
          <w:lang w:val="it-IT"/>
        </w:rPr>
        <w:t>mg/m</w:t>
      </w:r>
      <w:r w:rsidR="003C2354" w:rsidRPr="006A2BF9">
        <w:rPr>
          <w:vertAlign w:val="superscript"/>
          <w:lang w:val="it-IT"/>
        </w:rPr>
        <w:t>2</w:t>
      </w:r>
      <w:r w:rsidR="00AB060C" w:rsidRPr="006A2BF9">
        <w:rPr>
          <w:lang w:val="it-IT"/>
        </w:rPr>
        <w:t>. Tale</w:t>
      </w:r>
      <w:r w:rsidR="003C2354" w:rsidRPr="006A2BF9">
        <w:rPr>
          <w:lang w:val="it-IT"/>
        </w:rPr>
        <w:t xml:space="preserve"> studi</w:t>
      </w:r>
      <w:r w:rsidR="00AB060C" w:rsidRPr="006A2BF9">
        <w:rPr>
          <w:lang w:val="it-IT"/>
        </w:rPr>
        <w:t>o</w:t>
      </w:r>
      <w:r w:rsidR="0022568E" w:rsidRPr="006A2BF9">
        <w:rPr>
          <w:lang w:val="it-IT"/>
        </w:rPr>
        <w:t xml:space="preserve"> di fase</w:t>
      </w:r>
      <w:r w:rsidR="00831616" w:rsidRPr="006A2BF9">
        <w:rPr>
          <w:lang w:val="it-IT"/>
        </w:rPr>
        <w:t> </w:t>
      </w:r>
      <w:r w:rsidR="0022568E" w:rsidRPr="006A2BF9">
        <w:rPr>
          <w:lang w:val="it-IT"/>
        </w:rPr>
        <w:t xml:space="preserve">III </w:t>
      </w:r>
      <w:r w:rsidR="00AB060C" w:rsidRPr="006A2BF9">
        <w:rPr>
          <w:lang w:val="it-IT"/>
        </w:rPr>
        <w:t>aveva</w:t>
      </w:r>
      <w:r w:rsidR="003C2354" w:rsidRPr="006A2BF9">
        <w:rPr>
          <w:lang w:val="it-IT"/>
        </w:rPr>
        <w:t xml:space="preserve"> l’obiet</w:t>
      </w:r>
      <w:r w:rsidR="00AB060C" w:rsidRPr="006A2BF9">
        <w:rPr>
          <w:lang w:val="it-IT"/>
        </w:rPr>
        <w:t>tivo di confrontare rituximab/ciclofosfamide/</w:t>
      </w:r>
      <w:r w:rsidR="007E5CCD" w:rsidRPr="006A2BF9">
        <w:rPr>
          <w:lang w:val="it-IT"/>
        </w:rPr>
        <w:t>doxorubicina/</w:t>
      </w:r>
      <w:r w:rsidR="00AB060C" w:rsidRPr="006A2BF9">
        <w:rPr>
          <w:lang w:val="it-IT"/>
        </w:rPr>
        <w:t>vincristina</w:t>
      </w:r>
      <w:r w:rsidR="003C2354" w:rsidRPr="006A2BF9">
        <w:rPr>
          <w:lang w:val="it-IT"/>
        </w:rPr>
        <w:t>/prednisone (R</w:t>
      </w:r>
      <w:r w:rsidR="00DC4C6E" w:rsidRPr="006A2BF9">
        <w:rPr>
          <w:lang w:val="it-IT"/>
        </w:rPr>
        <w:noBreakHyphen/>
      </w:r>
      <w:r w:rsidR="003C2354" w:rsidRPr="006A2BF9">
        <w:rPr>
          <w:lang w:val="it-IT"/>
        </w:rPr>
        <w:t xml:space="preserve">CHOP) in </w:t>
      </w:r>
      <w:r w:rsidR="003A32A4" w:rsidRPr="006A2BF9">
        <w:rPr>
          <w:lang w:val="it-IT"/>
        </w:rPr>
        <w:t xml:space="preserve">associazione </w:t>
      </w:r>
      <w:r w:rsidR="003C2354" w:rsidRPr="006A2BF9">
        <w:rPr>
          <w:lang w:val="it-IT"/>
        </w:rPr>
        <w:t xml:space="preserve">a bevacizumab con R-CHOP senza bevacizumab. </w:t>
      </w:r>
      <w:r w:rsidR="00AB060C" w:rsidRPr="006A2BF9">
        <w:rPr>
          <w:lang w:val="it-IT"/>
        </w:rPr>
        <w:t>Mentre l’incidenza</w:t>
      </w:r>
      <w:r w:rsidR="003C2354" w:rsidRPr="006A2BF9">
        <w:rPr>
          <w:lang w:val="it-IT"/>
        </w:rPr>
        <w:t xml:space="preserve"> di ICC è stata, in entrambi i bracci di studio</w:t>
      </w:r>
      <w:r w:rsidR="0022568E" w:rsidRPr="006A2BF9">
        <w:rPr>
          <w:lang w:val="it-IT"/>
        </w:rPr>
        <w:t>,</w:t>
      </w:r>
      <w:r w:rsidR="003C2354" w:rsidRPr="006A2BF9">
        <w:rPr>
          <w:lang w:val="it-IT"/>
        </w:rPr>
        <w:t xml:space="preserve"> superiore a quella </w:t>
      </w:r>
      <w:r w:rsidR="00AB060C" w:rsidRPr="006A2BF9">
        <w:rPr>
          <w:lang w:val="it-IT"/>
        </w:rPr>
        <w:t>precedentemente osservata</w:t>
      </w:r>
      <w:r w:rsidR="003C2354" w:rsidRPr="006A2BF9">
        <w:rPr>
          <w:lang w:val="it-IT"/>
        </w:rPr>
        <w:t xml:space="preserve"> per doxorubina</w:t>
      </w:r>
      <w:r w:rsidR="00AB060C" w:rsidRPr="006A2BF9">
        <w:rPr>
          <w:lang w:val="it-IT"/>
        </w:rPr>
        <w:t xml:space="preserve">, la </w:t>
      </w:r>
      <w:r w:rsidR="0022568E" w:rsidRPr="006A2BF9">
        <w:rPr>
          <w:lang w:val="it-IT"/>
        </w:rPr>
        <w:t>percentuale</w:t>
      </w:r>
      <w:r w:rsidR="00AB060C" w:rsidRPr="006A2BF9">
        <w:rPr>
          <w:lang w:val="it-IT"/>
        </w:rPr>
        <w:t xml:space="preserve"> è stata</w:t>
      </w:r>
      <w:r w:rsidR="003C2354" w:rsidRPr="006A2BF9">
        <w:rPr>
          <w:lang w:val="it-IT"/>
        </w:rPr>
        <w:t xml:space="preserve"> superiore nel braccio trattato con R-CHOP e bevacizumab.</w:t>
      </w:r>
      <w:r w:rsidR="007E5CCD" w:rsidRPr="006A2BF9">
        <w:rPr>
          <w:lang w:val="it-IT"/>
        </w:rPr>
        <w:t xml:space="preserve"> </w:t>
      </w:r>
      <w:r w:rsidR="00423D1D" w:rsidRPr="006A2BF9">
        <w:rPr>
          <w:lang w:val="it-IT"/>
        </w:rPr>
        <w:t>Q</w:t>
      </w:r>
      <w:r w:rsidR="007E5CCD" w:rsidRPr="006A2BF9">
        <w:rPr>
          <w:lang w:val="it-IT"/>
        </w:rPr>
        <w:t xml:space="preserve">uesti risultati </w:t>
      </w:r>
      <w:r w:rsidR="00423D1D" w:rsidRPr="006A2BF9">
        <w:rPr>
          <w:lang w:val="it-IT"/>
        </w:rPr>
        <w:t xml:space="preserve">suggeriscono che si deve </w:t>
      </w:r>
      <w:r w:rsidR="00ED4EEE" w:rsidRPr="006A2BF9">
        <w:rPr>
          <w:lang w:val="it-IT"/>
        </w:rPr>
        <w:t xml:space="preserve">prendere in considerazione </w:t>
      </w:r>
      <w:r w:rsidR="003B2948" w:rsidRPr="006A2BF9">
        <w:rPr>
          <w:lang w:val="it-IT"/>
        </w:rPr>
        <w:t>un’</w:t>
      </w:r>
      <w:r w:rsidR="00423D1D" w:rsidRPr="006A2BF9">
        <w:rPr>
          <w:lang w:val="it-IT"/>
        </w:rPr>
        <w:t>attenta</w:t>
      </w:r>
      <w:r w:rsidR="007E5CCD" w:rsidRPr="006A2BF9">
        <w:rPr>
          <w:lang w:val="it-IT"/>
        </w:rPr>
        <w:t xml:space="preserve"> osservazione clinica con appropriata valutazione </w:t>
      </w:r>
      <w:r w:rsidR="00423D1D" w:rsidRPr="006A2BF9">
        <w:rPr>
          <w:lang w:val="it-IT"/>
        </w:rPr>
        <w:t>cardiologica</w:t>
      </w:r>
      <w:r w:rsidR="007E5CCD" w:rsidRPr="006A2BF9">
        <w:rPr>
          <w:lang w:val="it-IT"/>
        </w:rPr>
        <w:t xml:space="preserve"> </w:t>
      </w:r>
      <w:r w:rsidR="00423D1D" w:rsidRPr="006A2BF9">
        <w:rPr>
          <w:lang w:val="it-IT"/>
        </w:rPr>
        <w:t>ne</w:t>
      </w:r>
      <w:r w:rsidR="00EF22F2" w:rsidRPr="006A2BF9">
        <w:rPr>
          <w:lang w:val="it-IT"/>
        </w:rPr>
        <w:t xml:space="preserve">i </w:t>
      </w:r>
      <w:r w:rsidR="007E5CCD" w:rsidRPr="006A2BF9">
        <w:rPr>
          <w:lang w:val="it-IT"/>
        </w:rPr>
        <w:t>pazienti esposti a do</w:t>
      </w:r>
      <w:r w:rsidR="003B2948" w:rsidRPr="006A2BF9">
        <w:rPr>
          <w:lang w:val="it-IT"/>
        </w:rPr>
        <w:t>si</w:t>
      </w:r>
      <w:r w:rsidR="007E5CCD" w:rsidRPr="006A2BF9">
        <w:rPr>
          <w:lang w:val="it-IT"/>
        </w:rPr>
        <w:t xml:space="preserve"> cumulativ</w:t>
      </w:r>
      <w:r w:rsidR="003B2948" w:rsidRPr="006A2BF9">
        <w:rPr>
          <w:lang w:val="it-IT"/>
        </w:rPr>
        <w:t>e</w:t>
      </w:r>
      <w:r w:rsidR="007E5CCD" w:rsidRPr="006A2BF9">
        <w:rPr>
          <w:lang w:val="it-IT"/>
        </w:rPr>
        <w:t xml:space="preserve"> di doxorubicina superior</w:t>
      </w:r>
      <w:r w:rsidR="003B2948" w:rsidRPr="006A2BF9">
        <w:rPr>
          <w:lang w:val="it-IT"/>
        </w:rPr>
        <w:t>i</w:t>
      </w:r>
      <w:r w:rsidR="007E5CCD" w:rsidRPr="006A2BF9">
        <w:rPr>
          <w:lang w:val="it-IT"/>
        </w:rPr>
        <w:t xml:space="preserve"> a 300 mg/m</w:t>
      </w:r>
      <w:r w:rsidR="007E5CCD" w:rsidRPr="006A2BF9">
        <w:rPr>
          <w:vertAlign w:val="superscript"/>
          <w:lang w:val="it-IT"/>
        </w:rPr>
        <w:t xml:space="preserve">2 </w:t>
      </w:r>
      <w:r w:rsidR="007E5CCD" w:rsidRPr="006A2BF9">
        <w:rPr>
          <w:lang w:val="it-IT"/>
        </w:rPr>
        <w:t xml:space="preserve">quando </w:t>
      </w:r>
      <w:r w:rsidR="003B2948" w:rsidRPr="006A2BF9">
        <w:rPr>
          <w:lang w:val="it-IT"/>
        </w:rPr>
        <w:t xml:space="preserve">sono </w:t>
      </w:r>
      <w:r w:rsidR="007E5CCD" w:rsidRPr="006A2BF9">
        <w:rPr>
          <w:lang w:val="it-IT"/>
        </w:rPr>
        <w:t xml:space="preserve">in </w:t>
      </w:r>
      <w:r w:rsidR="003A32A4" w:rsidRPr="006A2BF9">
        <w:rPr>
          <w:lang w:val="it-IT"/>
        </w:rPr>
        <w:t xml:space="preserve">associazione </w:t>
      </w:r>
      <w:r w:rsidR="007E5CCD" w:rsidRPr="006A2BF9">
        <w:rPr>
          <w:lang w:val="it-IT"/>
        </w:rPr>
        <w:t>a bevacizumab.</w:t>
      </w:r>
    </w:p>
    <w:p w14:paraId="4E0CF315" w14:textId="77777777" w:rsidR="003C2354" w:rsidRPr="006A2BF9" w:rsidRDefault="003C2354" w:rsidP="009C0666">
      <w:pPr>
        <w:rPr>
          <w:lang w:val="it-IT"/>
        </w:rPr>
      </w:pPr>
    </w:p>
    <w:p w14:paraId="61D65CDF" w14:textId="77777777" w:rsidR="005B7D40" w:rsidRPr="006A2BF9" w:rsidRDefault="005B7D40" w:rsidP="005B7D40">
      <w:pPr>
        <w:rPr>
          <w:i/>
          <w:u w:val="single"/>
          <w:lang w:val="it-IT"/>
        </w:rPr>
      </w:pPr>
      <w:r w:rsidRPr="006A2BF9">
        <w:rPr>
          <w:i/>
          <w:u w:val="single"/>
          <w:lang w:val="it-IT"/>
        </w:rPr>
        <w:t>Reazioni di ipersensibilità</w:t>
      </w:r>
      <w:r w:rsidR="00A01B02" w:rsidRPr="00B74D84">
        <w:rPr>
          <w:i/>
          <w:u w:val="single"/>
          <w:lang w:val="it-IT"/>
        </w:rPr>
        <w:t xml:space="preserve"> (incluso shock anafilattico)</w:t>
      </w:r>
      <w:r w:rsidR="0075041E" w:rsidRPr="006A2BF9">
        <w:rPr>
          <w:i/>
          <w:u w:val="single"/>
          <w:lang w:val="it-IT"/>
        </w:rPr>
        <w:t>/</w:t>
      </w:r>
      <w:r w:rsidRPr="006A2BF9">
        <w:rPr>
          <w:i/>
          <w:u w:val="single"/>
          <w:lang w:val="it-IT"/>
        </w:rPr>
        <w:t xml:space="preserve">reazioni all’infusione </w:t>
      </w:r>
      <w:r w:rsidRPr="006A2BF9">
        <w:rPr>
          <w:u w:val="single"/>
          <w:lang w:val="it-IT"/>
        </w:rPr>
        <w:t>(vedere paragrafo</w:t>
      </w:r>
      <w:r w:rsidR="00831616" w:rsidRPr="006A2BF9">
        <w:rPr>
          <w:u w:val="single"/>
          <w:lang w:val="it-IT"/>
        </w:rPr>
        <w:t> </w:t>
      </w:r>
      <w:r w:rsidRPr="006A2BF9">
        <w:rPr>
          <w:u w:val="single"/>
          <w:lang w:val="it-IT"/>
        </w:rPr>
        <w:t xml:space="preserve">4.4 e </w:t>
      </w:r>
      <w:r w:rsidR="00554772" w:rsidRPr="006A2BF9">
        <w:rPr>
          <w:i/>
          <w:u w:val="single"/>
          <w:lang w:val="it-IT"/>
        </w:rPr>
        <w:t>E</w:t>
      </w:r>
      <w:r w:rsidRPr="006A2BF9">
        <w:rPr>
          <w:i/>
          <w:u w:val="single"/>
          <w:lang w:val="it-IT"/>
        </w:rPr>
        <w:t>sperienza post</w:t>
      </w:r>
      <w:r w:rsidR="00554772" w:rsidRPr="006A2BF9">
        <w:rPr>
          <w:i/>
          <w:u w:val="single"/>
          <w:lang w:val="it-IT"/>
        </w:rPr>
        <w:t>-</w:t>
      </w:r>
      <w:r w:rsidRPr="006A2BF9">
        <w:rPr>
          <w:i/>
          <w:u w:val="single"/>
          <w:lang w:val="it-IT"/>
        </w:rPr>
        <w:t xml:space="preserve">commercializzazione </w:t>
      </w:r>
      <w:r w:rsidRPr="006A2BF9">
        <w:rPr>
          <w:u w:val="single"/>
          <w:lang w:val="it-IT"/>
        </w:rPr>
        <w:t>sotto)</w:t>
      </w:r>
    </w:p>
    <w:p w14:paraId="77B5B498" w14:textId="77777777" w:rsidR="005B7D40" w:rsidRPr="006A2BF9" w:rsidRDefault="003B645E" w:rsidP="009C0666">
      <w:pPr>
        <w:rPr>
          <w:lang w:val="it-IT"/>
        </w:rPr>
      </w:pPr>
      <w:r w:rsidRPr="006A2BF9">
        <w:rPr>
          <w:lang w:val="it-IT"/>
        </w:rPr>
        <w:t>In alcuni studi clinici s</w:t>
      </w:r>
      <w:r w:rsidR="005B7D40" w:rsidRPr="006A2BF9">
        <w:rPr>
          <w:lang w:val="it-IT"/>
        </w:rPr>
        <w:t xml:space="preserve">ono state </w:t>
      </w:r>
      <w:r w:rsidR="00ED4EEE" w:rsidRPr="006A2BF9">
        <w:rPr>
          <w:lang w:val="it-IT"/>
        </w:rPr>
        <w:t xml:space="preserve">segnalate </w:t>
      </w:r>
      <w:r w:rsidR="005B7D40" w:rsidRPr="006A2BF9">
        <w:rPr>
          <w:lang w:val="it-IT"/>
        </w:rPr>
        <w:t>reazioni anafilattiche o tipo</w:t>
      </w:r>
      <w:r w:rsidR="00D077B8" w:rsidRPr="006A2BF9">
        <w:rPr>
          <w:lang w:val="it-IT"/>
        </w:rPr>
        <w:t xml:space="preserve"> </w:t>
      </w:r>
      <w:r w:rsidR="005B7D40" w:rsidRPr="006A2BF9">
        <w:rPr>
          <w:lang w:val="it-IT"/>
        </w:rPr>
        <w:t>anafilattoid</w:t>
      </w:r>
      <w:r w:rsidR="008059AB" w:rsidRPr="006A2BF9">
        <w:rPr>
          <w:lang w:val="it-IT"/>
        </w:rPr>
        <w:t>e</w:t>
      </w:r>
      <w:r w:rsidR="005B7D40" w:rsidRPr="006A2BF9">
        <w:rPr>
          <w:lang w:val="it-IT"/>
        </w:rPr>
        <w:t xml:space="preserve"> più frequenti in pazienti che </w:t>
      </w:r>
      <w:r w:rsidR="00D077B8" w:rsidRPr="006A2BF9">
        <w:rPr>
          <w:lang w:val="it-IT"/>
        </w:rPr>
        <w:t xml:space="preserve">hanno ricevuto </w:t>
      </w:r>
      <w:r w:rsidR="0030186D" w:rsidRPr="006A2BF9">
        <w:rPr>
          <w:szCs w:val="22"/>
          <w:lang w:val="it-IT"/>
        </w:rPr>
        <w:t>bevacizumab</w:t>
      </w:r>
      <w:r w:rsidR="0030186D" w:rsidRPr="006A2BF9">
        <w:rPr>
          <w:lang w:val="it-IT"/>
        </w:rPr>
        <w:t xml:space="preserve"> </w:t>
      </w:r>
      <w:r w:rsidR="005B7D40" w:rsidRPr="006A2BF9">
        <w:rPr>
          <w:lang w:val="it-IT"/>
        </w:rPr>
        <w:t xml:space="preserve">in associazione a chemioterapia rispetto a quelli con sola chemioterapia. L’incidenza di queste reazioni in alcuni studi clinici </w:t>
      </w:r>
      <w:r w:rsidR="008059AB" w:rsidRPr="006A2BF9">
        <w:rPr>
          <w:lang w:val="it-IT"/>
        </w:rPr>
        <w:t xml:space="preserve">con </w:t>
      </w:r>
      <w:r w:rsidR="0030186D" w:rsidRPr="006A2BF9">
        <w:rPr>
          <w:szCs w:val="22"/>
          <w:lang w:val="it-IT"/>
        </w:rPr>
        <w:t>bevacizumab</w:t>
      </w:r>
      <w:r w:rsidR="0030186D" w:rsidRPr="006A2BF9">
        <w:rPr>
          <w:lang w:val="it-IT"/>
        </w:rPr>
        <w:t xml:space="preserve"> </w:t>
      </w:r>
      <w:r w:rsidR="005B7D40" w:rsidRPr="006A2BF9">
        <w:rPr>
          <w:lang w:val="it-IT"/>
        </w:rPr>
        <w:t>è comune (fino al 5% dei pazienti trattati con bevacizumab).</w:t>
      </w:r>
    </w:p>
    <w:p w14:paraId="10DE2667" w14:textId="77777777" w:rsidR="009C0666" w:rsidRPr="006A2BF9" w:rsidRDefault="009C0666" w:rsidP="009C0666">
      <w:pPr>
        <w:rPr>
          <w:lang w:val="it-IT"/>
        </w:rPr>
      </w:pPr>
    </w:p>
    <w:p w14:paraId="35740892" w14:textId="77777777" w:rsidR="00C50843" w:rsidRPr="006A2BF9" w:rsidRDefault="00C50843" w:rsidP="00C65E97">
      <w:pPr>
        <w:keepNext/>
        <w:rPr>
          <w:i/>
          <w:u w:val="single"/>
          <w:lang w:val="it-IT"/>
        </w:rPr>
      </w:pPr>
      <w:r w:rsidRPr="006A2BF9">
        <w:rPr>
          <w:i/>
          <w:u w:val="single"/>
          <w:lang w:val="it-IT"/>
        </w:rPr>
        <w:t>Infezioni</w:t>
      </w:r>
    </w:p>
    <w:p w14:paraId="3F79A9FF" w14:textId="77777777" w:rsidR="00C50843" w:rsidRPr="006A2BF9" w:rsidRDefault="00C50843" w:rsidP="00C50843">
      <w:pPr>
        <w:rPr>
          <w:lang w:val="it-IT"/>
        </w:rPr>
      </w:pPr>
      <w:r w:rsidRPr="006A2BF9">
        <w:rPr>
          <w:lang w:val="it-IT"/>
        </w:rPr>
        <w:t xml:space="preserve">In uno studio clinico condotto su pazienti affette da </w:t>
      </w:r>
      <w:r w:rsidR="006970D8">
        <w:rPr>
          <w:lang w:val="it-IT"/>
        </w:rPr>
        <w:t>cancro</w:t>
      </w:r>
      <w:r w:rsidR="006970D8" w:rsidRPr="006A2BF9">
        <w:rPr>
          <w:lang w:val="it-IT"/>
        </w:rPr>
        <w:t xml:space="preserve"> </w:t>
      </w:r>
      <w:r w:rsidRPr="006A2BF9">
        <w:rPr>
          <w:lang w:val="it-IT"/>
        </w:rPr>
        <w:t xml:space="preserve">della cervice persistente, </w:t>
      </w:r>
      <w:r w:rsidR="00053210" w:rsidRPr="006A2BF9">
        <w:rPr>
          <w:lang w:val="it-IT"/>
        </w:rPr>
        <w:t>ricorrente</w:t>
      </w:r>
      <w:r w:rsidRPr="006A2BF9">
        <w:rPr>
          <w:lang w:val="it-IT"/>
        </w:rPr>
        <w:t xml:space="preserve"> o metastatico </w:t>
      </w:r>
      <w:r w:rsidRPr="006A2BF9">
        <w:rPr>
          <w:rFonts w:cs="Arial"/>
          <w:iCs/>
          <w:lang w:val="it-IT"/>
        </w:rPr>
        <w:t>(studio GOG-0240), sono state segnalate infezioni di grado</w:t>
      </w:r>
      <w:r w:rsidR="0030186D" w:rsidRPr="006A2BF9">
        <w:rPr>
          <w:rFonts w:cs="Arial"/>
          <w:iCs/>
          <w:lang w:val="it-IT"/>
        </w:rPr>
        <w:t> </w:t>
      </w:r>
      <w:r w:rsidRPr="006A2BF9">
        <w:rPr>
          <w:rFonts w:cs="Arial"/>
          <w:iCs/>
          <w:lang w:val="it-IT"/>
        </w:rPr>
        <w:t>3</w:t>
      </w:r>
      <w:r w:rsidR="00831616" w:rsidRPr="006A2BF9">
        <w:rPr>
          <w:rFonts w:cs="Arial"/>
          <w:iCs/>
          <w:lang w:val="it-IT"/>
        </w:rPr>
        <w:noBreakHyphen/>
      </w:r>
      <w:r w:rsidRPr="006A2BF9">
        <w:rPr>
          <w:rFonts w:cs="Arial"/>
          <w:iCs/>
          <w:lang w:val="it-IT"/>
        </w:rPr>
        <w:t>5 nel 24% massimo delle pazienti tratta</w:t>
      </w:r>
      <w:r w:rsidR="002E7A16" w:rsidRPr="006A2BF9">
        <w:rPr>
          <w:rFonts w:cs="Arial"/>
          <w:iCs/>
          <w:lang w:val="it-IT"/>
        </w:rPr>
        <w:t xml:space="preserve">te con </w:t>
      </w:r>
      <w:r w:rsidR="00B94CA8" w:rsidRPr="006A2BF9">
        <w:rPr>
          <w:szCs w:val="22"/>
          <w:lang w:val="it-IT"/>
        </w:rPr>
        <w:t>bevacizumab</w:t>
      </w:r>
      <w:r w:rsidR="00B94CA8" w:rsidRPr="006A2BF9">
        <w:rPr>
          <w:lang w:val="it-IT"/>
        </w:rPr>
        <w:t xml:space="preserve"> </w:t>
      </w:r>
      <w:r w:rsidR="002E7A16" w:rsidRPr="006A2BF9">
        <w:rPr>
          <w:rFonts w:cs="Arial"/>
          <w:iCs/>
          <w:lang w:val="it-IT"/>
        </w:rPr>
        <w:t xml:space="preserve">in associazione </w:t>
      </w:r>
      <w:r w:rsidR="00C35913">
        <w:rPr>
          <w:rFonts w:cs="Arial"/>
          <w:iCs/>
          <w:lang w:val="it-IT"/>
        </w:rPr>
        <w:t>a</w:t>
      </w:r>
      <w:r w:rsidR="00C35913" w:rsidRPr="006A2BF9">
        <w:rPr>
          <w:rFonts w:cs="Arial"/>
          <w:iCs/>
          <w:lang w:val="it-IT"/>
        </w:rPr>
        <w:t xml:space="preserve"> </w:t>
      </w:r>
      <w:r w:rsidRPr="006A2BF9">
        <w:rPr>
          <w:color w:val="000000"/>
          <w:lang w:val="it-IT"/>
        </w:rPr>
        <w:t xml:space="preserve">paclitaxel e topotecan contro </w:t>
      </w:r>
      <w:r w:rsidR="008A7B44" w:rsidRPr="006A2BF9">
        <w:rPr>
          <w:color w:val="000000"/>
          <w:lang w:val="it-IT"/>
        </w:rPr>
        <w:t>i</w:t>
      </w:r>
      <w:r w:rsidRPr="006A2BF9">
        <w:rPr>
          <w:color w:val="000000"/>
          <w:lang w:val="it-IT"/>
        </w:rPr>
        <w:t xml:space="preserve">l 13% </w:t>
      </w:r>
      <w:r w:rsidR="008A7B44" w:rsidRPr="006A2BF9">
        <w:rPr>
          <w:color w:val="000000"/>
          <w:lang w:val="it-IT"/>
        </w:rPr>
        <w:t xml:space="preserve">massimo </w:t>
      </w:r>
      <w:r w:rsidRPr="006A2BF9">
        <w:rPr>
          <w:rFonts w:cs="Arial"/>
          <w:iCs/>
          <w:lang w:val="it-IT"/>
        </w:rPr>
        <w:t xml:space="preserve">delle pazienti trattate con </w:t>
      </w:r>
      <w:r w:rsidRPr="006A2BF9">
        <w:rPr>
          <w:color w:val="000000"/>
          <w:lang w:val="it-IT"/>
        </w:rPr>
        <w:t>paclitaxel e topotecan</w:t>
      </w:r>
      <w:r w:rsidRPr="006A2BF9">
        <w:rPr>
          <w:rFonts w:cs="Arial"/>
          <w:iCs/>
          <w:lang w:val="it-IT"/>
        </w:rPr>
        <w:t>.</w:t>
      </w:r>
    </w:p>
    <w:p w14:paraId="397B7720" w14:textId="77777777" w:rsidR="00C50843" w:rsidRPr="006A2BF9" w:rsidRDefault="00C50843" w:rsidP="006B4579">
      <w:pPr>
        <w:rPr>
          <w:i/>
          <w:iCs/>
          <w:lang w:val="it-IT"/>
        </w:rPr>
      </w:pPr>
    </w:p>
    <w:p w14:paraId="5095D825" w14:textId="77777777" w:rsidR="006B4579" w:rsidRPr="006A2BF9" w:rsidRDefault="006B4579" w:rsidP="006B4579">
      <w:pPr>
        <w:rPr>
          <w:i/>
          <w:iCs/>
          <w:u w:val="single"/>
          <w:lang w:val="it-IT"/>
        </w:rPr>
      </w:pPr>
      <w:r w:rsidRPr="006A2BF9">
        <w:rPr>
          <w:i/>
          <w:iCs/>
          <w:u w:val="single"/>
          <w:lang w:val="it-IT"/>
        </w:rPr>
        <w:t xml:space="preserve">Insufficienza ovarica/fertilità </w:t>
      </w:r>
      <w:r w:rsidRPr="006A2BF9">
        <w:rPr>
          <w:iCs/>
          <w:u w:val="single"/>
          <w:lang w:val="it-IT"/>
        </w:rPr>
        <w:t>(vedere paragrafi</w:t>
      </w:r>
      <w:r w:rsidR="0030186D" w:rsidRPr="006A2BF9">
        <w:rPr>
          <w:iCs/>
          <w:u w:val="single"/>
          <w:lang w:val="it-IT"/>
        </w:rPr>
        <w:t> </w:t>
      </w:r>
      <w:r w:rsidRPr="006A2BF9">
        <w:rPr>
          <w:iCs/>
          <w:u w:val="single"/>
          <w:lang w:val="it-IT"/>
        </w:rPr>
        <w:t>4.4 e</w:t>
      </w:r>
      <w:r w:rsidR="0030186D" w:rsidRPr="006A2BF9">
        <w:rPr>
          <w:iCs/>
          <w:u w:val="single"/>
          <w:lang w:val="it-IT"/>
        </w:rPr>
        <w:t> </w:t>
      </w:r>
      <w:r w:rsidRPr="006A2BF9">
        <w:rPr>
          <w:iCs/>
          <w:u w:val="single"/>
          <w:lang w:val="it-IT"/>
        </w:rPr>
        <w:t>4.6)</w:t>
      </w:r>
    </w:p>
    <w:p w14:paraId="1F91F543" w14:textId="77777777" w:rsidR="006B4579" w:rsidRPr="006A2BF9" w:rsidRDefault="006B4579" w:rsidP="006B4579">
      <w:pPr>
        <w:rPr>
          <w:iCs/>
          <w:lang w:val="it-IT"/>
        </w:rPr>
      </w:pPr>
      <w:r w:rsidRPr="006A2BF9">
        <w:rPr>
          <w:iCs/>
          <w:lang w:val="it-IT"/>
        </w:rPr>
        <w:t xml:space="preserve">Nello studio di fase III NSABP C-08 con </w:t>
      </w:r>
      <w:r w:rsidR="0030186D" w:rsidRPr="006A2BF9">
        <w:rPr>
          <w:szCs w:val="22"/>
          <w:lang w:val="it-IT"/>
        </w:rPr>
        <w:t>bevacizumab</w:t>
      </w:r>
      <w:r w:rsidR="0030186D" w:rsidRPr="006A2BF9">
        <w:rPr>
          <w:lang w:val="it-IT"/>
        </w:rPr>
        <w:t xml:space="preserve"> </w:t>
      </w:r>
      <w:r w:rsidRPr="006A2BF9">
        <w:rPr>
          <w:iCs/>
          <w:lang w:val="it-IT"/>
        </w:rPr>
        <w:t>nel trattamento adiuvante condotto in pazienti affett</w:t>
      </w:r>
      <w:r w:rsidR="00443EFD" w:rsidRPr="006A2BF9">
        <w:rPr>
          <w:iCs/>
          <w:lang w:val="it-IT"/>
        </w:rPr>
        <w:t>e</w:t>
      </w:r>
      <w:r w:rsidRPr="006A2BF9">
        <w:rPr>
          <w:iCs/>
          <w:lang w:val="it-IT"/>
        </w:rPr>
        <w:t xml:space="preserve"> da </w:t>
      </w:r>
      <w:r w:rsidR="00593C11" w:rsidRPr="006A2BF9">
        <w:rPr>
          <w:iCs/>
          <w:lang w:val="it-IT"/>
        </w:rPr>
        <w:t>c</w:t>
      </w:r>
      <w:r w:rsidR="00593C11">
        <w:rPr>
          <w:iCs/>
          <w:lang w:val="it-IT"/>
        </w:rPr>
        <w:t>ancro</w:t>
      </w:r>
      <w:r w:rsidR="00593C11" w:rsidRPr="00330A40">
        <w:rPr>
          <w:iCs/>
          <w:lang w:val="it-IT"/>
        </w:rPr>
        <w:t xml:space="preserve"> </w:t>
      </w:r>
      <w:r w:rsidRPr="00330A40">
        <w:rPr>
          <w:iCs/>
          <w:lang w:val="it-IT"/>
        </w:rPr>
        <w:t>del colon, l’incidenza di nuovi casi di insufficienza ovarica, definita come amenorrea della durata di 3</w:t>
      </w:r>
      <w:r w:rsidR="0030186D" w:rsidRPr="00330A40">
        <w:rPr>
          <w:iCs/>
          <w:lang w:val="it-IT"/>
        </w:rPr>
        <w:t> </w:t>
      </w:r>
      <w:r w:rsidRPr="00330A40">
        <w:rPr>
          <w:iCs/>
          <w:lang w:val="it-IT"/>
        </w:rPr>
        <w:t>mesi o più, con livelli ematici di FSH ≥</w:t>
      </w:r>
      <w:r w:rsidR="00831616" w:rsidRPr="00330A40">
        <w:rPr>
          <w:iCs/>
          <w:lang w:val="it-IT"/>
        </w:rPr>
        <w:t> </w:t>
      </w:r>
      <w:r w:rsidRPr="006A2BF9">
        <w:rPr>
          <w:iCs/>
          <w:lang w:val="it-IT"/>
        </w:rPr>
        <w:t>30 mUI/</w:t>
      </w:r>
      <w:r w:rsidR="00B64026" w:rsidRPr="006A2BF9">
        <w:rPr>
          <w:iCs/>
          <w:lang w:val="it-IT"/>
        </w:rPr>
        <w:t>mL</w:t>
      </w:r>
      <w:r w:rsidRPr="006A2BF9">
        <w:rPr>
          <w:iCs/>
          <w:lang w:val="it-IT"/>
        </w:rPr>
        <w:t xml:space="preserve"> e negatività per il test di gravidanza su β-HCG sieriche, è stata analizzata su 295</w:t>
      </w:r>
      <w:r w:rsidR="0030186D" w:rsidRPr="006A2BF9">
        <w:rPr>
          <w:iCs/>
          <w:lang w:val="it-IT"/>
        </w:rPr>
        <w:t> </w:t>
      </w:r>
      <w:r w:rsidRPr="006A2BF9">
        <w:rPr>
          <w:iCs/>
          <w:lang w:val="it-IT"/>
        </w:rPr>
        <w:t xml:space="preserve">donne in premenopausa. Nuovi casi di </w:t>
      </w:r>
      <w:r w:rsidRPr="006A2BF9">
        <w:rPr>
          <w:iCs/>
          <w:lang w:val="it-IT"/>
        </w:rPr>
        <w:lastRenderedPageBreak/>
        <w:t>insufficienza ovarica sono stati riportati nel 2,6% de</w:t>
      </w:r>
      <w:r w:rsidR="00443EFD" w:rsidRPr="006A2BF9">
        <w:rPr>
          <w:iCs/>
          <w:lang w:val="it-IT"/>
        </w:rPr>
        <w:t>lle</w:t>
      </w:r>
      <w:r w:rsidRPr="006A2BF9">
        <w:rPr>
          <w:iCs/>
          <w:lang w:val="it-IT"/>
        </w:rPr>
        <w:t xml:space="preserve"> pazienti trattat</w:t>
      </w:r>
      <w:r w:rsidR="00443EFD" w:rsidRPr="006A2BF9">
        <w:rPr>
          <w:iCs/>
          <w:lang w:val="it-IT"/>
        </w:rPr>
        <w:t>e</w:t>
      </w:r>
      <w:r w:rsidRPr="006A2BF9">
        <w:rPr>
          <w:iCs/>
          <w:lang w:val="it-IT"/>
        </w:rPr>
        <w:t xml:space="preserve"> con mFOLFOX-6 rispetto al 39% del gruppo di pazienti trattat</w:t>
      </w:r>
      <w:r w:rsidR="00443EFD" w:rsidRPr="006A2BF9">
        <w:rPr>
          <w:iCs/>
          <w:lang w:val="it-IT"/>
        </w:rPr>
        <w:t>e</w:t>
      </w:r>
      <w:r w:rsidRPr="006A2BF9">
        <w:rPr>
          <w:iCs/>
          <w:lang w:val="it-IT"/>
        </w:rPr>
        <w:t xml:space="preserve"> con mFOLFOX-6</w:t>
      </w:r>
      <w:r w:rsidR="003D4A0E" w:rsidRPr="006A2BF9">
        <w:rPr>
          <w:iCs/>
          <w:lang w:val="it-IT"/>
        </w:rPr>
        <w:t> </w:t>
      </w:r>
      <w:r w:rsidRPr="006A2BF9">
        <w:rPr>
          <w:iCs/>
          <w:lang w:val="it-IT"/>
        </w:rPr>
        <w:t>+</w:t>
      </w:r>
      <w:r w:rsidR="003D4A0E" w:rsidRPr="006A2BF9">
        <w:rPr>
          <w:iCs/>
          <w:lang w:val="it-IT"/>
        </w:rPr>
        <w:t> </w:t>
      </w:r>
      <w:r w:rsidRPr="006A2BF9">
        <w:rPr>
          <w:iCs/>
          <w:lang w:val="it-IT"/>
        </w:rPr>
        <w:t>bevacizumab. Al temine del trattamento con bevacizumab, la funzionalità ovarica è ripresa nell’86,2% delle pazienti valutate. Non sono noti gli effetti a lungo termine di bevacizumab sulla fertilità.</w:t>
      </w:r>
    </w:p>
    <w:p w14:paraId="3D7ABB72" w14:textId="77777777" w:rsidR="006B4579" w:rsidRPr="006A2BF9" w:rsidRDefault="006B4579" w:rsidP="006B4579">
      <w:pPr>
        <w:rPr>
          <w:iCs/>
          <w:lang w:val="it-IT"/>
        </w:rPr>
      </w:pPr>
    </w:p>
    <w:p w14:paraId="2875CF6B" w14:textId="77777777" w:rsidR="006B4579" w:rsidRPr="006A2BF9" w:rsidRDefault="006B4579" w:rsidP="006B4579">
      <w:pPr>
        <w:rPr>
          <w:i/>
          <w:iCs/>
          <w:u w:val="single"/>
          <w:lang w:val="it-IT"/>
        </w:rPr>
      </w:pPr>
      <w:r w:rsidRPr="006A2BF9">
        <w:rPr>
          <w:i/>
          <w:iCs/>
          <w:u w:val="single"/>
          <w:lang w:val="it-IT"/>
        </w:rPr>
        <w:t>Alterazioni dei parametri di laboratorio</w:t>
      </w:r>
    </w:p>
    <w:p w14:paraId="4AA30EE4" w14:textId="77777777" w:rsidR="006B4579" w:rsidRPr="006A2BF9" w:rsidRDefault="006B4579" w:rsidP="006B4579">
      <w:pPr>
        <w:rPr>
          <w:lang w:val="it-IT"/>
        </w:rPr>
      </w:pPr>
      <w:r w:rsidRPr="006A2BF9">
        <w:rPr>
          <w:lang w:val="it-IT"/>
        </w:rPr>
        <w:t xml:space="preserve">Al trattamento con </w:t>
      </w:r>
      <w:r w:rsidR="0030186D" w:rsidRPr="006A2BF9">
        <w:rPr>
          <w:szCs w:val="22"/>
          <w:lang w:val="it-IT"/>
        </w:rPr>
        <w:t>bevacizumab</w:t>
      </w:r>
      <w:r w:rsidR="0030186D" w:rsidRPr="006A2BF9">
        <w:rPr>
          <w:lang w:val="it-IT"/>
        </w:rPr>
        <w:t xml:space="preserve"> </w:t>
      </w:r>
      <w:r w:rsidRPr="006A2BF9">
        <w:rPr>
          <w:lang w:val="it-IT"/>
        </w:rPr>
        <w:t>possono associarsi una riduzione della conta dei neutrofili e dei leucociti, e presenza di proteine nelle urine.</w:t>
      </w:r>
    </w:p>
    <w:p w14:paraId="6C7F248E" w14:textId="77777777" w:rsidR="006B4579" w:rsidRPr="006A2BF9" w:rsidRDefault="006B4579" w:rsidP="006B4579">
      <w:pPr>
        <w:rPr>
          <w:lang w:val="it-IT"/>
        </w:rPr>
      </w:pPr>
    </w:p>
    <w:p w14:paraId="64AA52B8" w14:textId="77777777" w:rsidR="006B4579" w:rsidRPr="006A2BF9" w:rsidRDefault="006B4579" w:rsidP="006B4579">
      <w:pPr>
        <w:rPr>
          <w:lang w:val="it-IT"/>
        </w:rPr>
      </w:pPr>
      <w:r w:rsidRPr="006A2BF9">
        <w:rPr>
          <w:lang w:val="it-IT"/>
        </w:rPr>
        <w:t>In tutti gli studi clinici, le seguenti alterazioni di Grado</w:t>
      </w:r>
      <w:r w:rsidR="0030186D" w:rsidRPr="006A2BF9">
        <w:rPr>
          <w:lang w:val="it-IT"/>
        </w:rPr>
        <w:t> </w:t>
      </w:r>
      <w:r w:rsidRPr="006A2BF9">
        <w:rPr>
          <w:lang w:val="it-IT"/>
        </w:rPr>
        <w:t>3 e</w:t>
      </w:r>
      <w:r w:rsidR="0030186D" w:rsidRPr="006A2BF9">
        <w:rPr>
          <w:lang w:val="it-IT"/>
        </w:rPr>
        <w:t> </w:t>
      </w:r>
      <w:r w:rsidRPr="006A2BF9">
        <w:rPr>
          <w:lang w:val="it-IT"/>
        </w:rPr>
        <w:t xml:space="preserve">4 (NCI-CTCAE v.3) nei parametri di laboratorio si sono manifestate nei pazienti trattati con </w:t>
      </w:r>
      <w:r w:rsidR="0030186D" w:rsidRPr="006A2BF9">
        <w:rPr>
          <w:szCs w:val="22"/>
          <w:lang w:val="it-IT"/>
        </w:rPr>
        <w:t>bevacizumab</w:t>
      </w:r>
      <w:r w:rsidR="0030186D" w:rsidRPr="006A2BF9">
        <w:rPr>
          <w:lang w:val="it-IT"/>
        </w:rPr>
        <w:t xml:space="preserve"> </w:t>
      </w:r>
      <w:r w:rsidRPr="006A2BF9">
        <w:rPr>
          <w:lang w:val="it-IT"/>
        </w:rPr>
        <w:t>con una differenza almeno del 2% rispetto ai corrispondenti gruppi di controllo: iperglicemia, riduzione dell'emoglobina, ipokaliemia, iponatremia, riduzione della conta dei leucociti, aumento del rapporto normalizzato internazionale (INR).</w:t>
      </w:r>
    </w:p>
    <w:p w14:paraId="753455DA" w14:textId="77777777" w:rsidR="001178BE" w:rsidRPr="006A2BF9" w:rsidRDefault="001178BE" w:rsidP="006B4579">
      <w:pPr>
        <w:rPr>
          <w:lang w:val="it-IT"/>
        </w:rPr>
      </w:pPr>
    </w:p>
    <w:p w14:paraId="73CE7372" w14:textId="77777777" w:rsidR="001178BE" w:rsidRPr="006A2BF9" w:rsidRDefault="001178BE" w:rsidP="00925B80">
      <w:pPr>
        <w:keepLines/>
        <w:rPr>
          <w:lang w:val="it-IT"/>
        </w:rPr>
      </w:pPr>
      <w:r w:rsidRPr="006A2BF9">
        <w:rPr>
          <w:lang w:val="it-IT"/>
        </w:rPr>
        <w:t>Stu</w:t>
      </w:r>
      <w:r w:rsidR="00E10F07" w:rsidRPr="006A2BF9">
        <w:rPr>
          <w:lang w:val="it-IT"/>
        </w:rPr>
        <w:t>di clinici hanno dimostrato che</w:t>
      </w:r>
      <w:r w:rsidR="00674844" w:rsidRPr="006A2BF9">
        <w:rPr>
          <w:lang w:val="it-IT"/>
        </w:rPr>
        <w:t xml:space="preserve"> </w:t>
      </w:r>
      <w:r w:rsidRPr="006A2BF9">
        <w:rPr>
          <w:lang w:val="it-IT"/>
        </w:rPr>
        <w:t>aumenti transitori della creatinina sieric</w:t>
      </w:r>
      <w:r w:rsidR="00E10F07" w:rsidRPr="006A2BF9">
        <w:rPr>
          <w:lang w:val="it-IT"/>
        </w:rPr>
        <w:t>a (</w:t>
      </w:r>
      <w:r w:rsidR="00674844" w:rsidRPr="006A2BF9">
        <w:rPr>
          <w:lang w:val="it-IT"/>
        </w:rPr>
        <w:t>compres</w:t>
      </w:r>
      <w:r w:rsidR="00C43667" w:rsidRPr="006A2BF9">
        <w:rPr>
          <w:lang w:val="it-IT"/>
        </w:rPr>
        <w:t>i</w:t>
      </w:r>
      <w:r w:rsidR="00674844" w:rsidRPr="006A2BF9">
        <w:rPr>
          <w:lang w:val="it-IT"/>
        </w:rPr>
        <w:t xml:space="preserve"> tra 1,5</w:t>
      </w:r>
      <w:r w:rsidR="00891FE4" w:rsidRPr="006A2BF9">
        <w:rPr>
          <w:lang w:val="it-IT"/>
        </w:rPr>
        <w:noBreakHyphen/>
      </w:r>
      <w:r w:rsidR="00674844" w:rsidRPr="006A2BF9">
        <w:rPr>
          <w:lang w:val="it-IT"/>
        </w:rPr>
        <w:t>1,9</w:t>
      </w:r>
      <w:r w:rsidR="0030186D" w:rsidRPr="006A2BF9">
        <w:rPr>
          <w:lang w:val="it-IT"/>
        </w:rPr>
        <w:t> </w:t>
      </w:r>
      <w:r w:rsidR="00674844" w:rsidRPr="006A2BF9">
        <w:rPr>
          <w:lang w:val="it-IT"/>
        </w:rPr>
        <w:t xml:space="preserve">volte rispetto al livello </w:t>
      </w:r>
      <w:r w:rsidR="00E10F07" w:rsidRPr="006A2BF9">
        <w:rPr>
          <w:lang w:val="it-IT"/>
        </w:rPr>
        <w:t>basale</w:t>
      </w:r>
      <w:r w:rsidR="00674844" w:rsidRPr="006A2BF9">
        <w:rPr>
          <w:lang w:val="it-IT"/>
        </w:rPr>
        <w:t>), con e senza proteinuria, sono associati al</w:t>
      </w:r>
      <w:r w:rsidR="00E10F07" w:rsidRPr="006A2BF9">
        <w:rPr>
          <w:lang w:val="it-IT"/>
        </w:rPr>
        <w:t>l</w:t>
      </w:r>
      <w:r w:rsidR="0030186D" w:rsidRPr="006A2BF9">
        <w:rPr>
          <w:lang w:val="it-IT"/>
        </w:rPr>
        <w:t>’</w:t>
      </w:r>
      <w:r w:rsidR="00E10F07" w:rsidRPr="006A2BF9">
        <w:rPr>
          <w:lang w:val="it-IT"/>
        </w:rPr>
        <w:t xml:space="preserve">uso di </w:t>
      </w:r>
      <w:r w:rsidR="0030186D" w:rsidRPr="006A2BF9">
        <w:rPr>
          <w:szCs w:val="22"/>
          <w:lang w:val="it-IT"/>
        </w:rPr>
        <w:t>bevacizumab</w:t>
      </w:r>
      <w:r w:rsidRPr="006A2BF9">
        <w:rPr>
          <w:lang w:val="it-IT"/>
        </w:rPr>
        <w:t>. L'</w:t>
      </w:r>
      <w:r w:rsidR="00674844" w:rsidRPr="006A2BF9">
        <w:rPr>
          <w:lang w:val="it-IT"/>
        </w:rPr>
        <w:t xml:space="preserve">aumento </w:t>
      </w:r>
      <w:r w:rsidR="00760828" w:rsidRPr="006A2BF9">
        <w:rPr>
          <w:lang w:val="it-IT"/>
        </w:rPr>
        <w:t>di</w:t>
      </w:r>
      <w:r w:rsidR="00674844" w:rsidRPr="006A2BF9">
        <w:rPr>
          <w:lang w:val="it-IT"/>
        </w:rPr>
        <w:t xml:space="preserve"> creatinina sierica</w:t>
      </w:r>
      <w:r w:rsidRPr="006A2BF9">
        <w:rPr>
          <w:lang w:val="it-IT"/>
        </w:rPr>
        <w:t xml:space="preserve"> osservato </w:t>
      </w:r>
      <w:r w:rsidR="00E10F07" w:rsidRPr="006A2BF9">
        <w:rPr>
          <w:lang w:val="it-IT"/>
        </w:rPr>
        <w:t>non è stato</w:t>
      </w:r>
      <w:r w:rsidRPr="006A2BF9">
        <w:rPr>
          <w:lang w:val="it-IT"/>
        </w:rPr>
        <w:t xml:space="preserve"> associat</w:t>
      </w:r>
      <w:r w:rsidR="00674844" w:rsidRPr="006A2BF9">
        <w:rPr>
          <w:lang w:val="it-IT"/>
        </w:rPr>
        <w:t xml:space="preserve">o </w:t>
      </w:r>
      <w:r w:rsidRPr="006A2BF9">
        <w:rPr>
          <w:lang w:val="it-IT"/>
        </w:rPr>
        <w:t xml:space="preserve">ad una maggiore incidenza di manifestazioni cliniche di </w:t>
      </w:r>
      <w:r w:rsidR="00760828" w:rsidRPr="006A2BF9">
        <w:rPr>
          <w:lang w:val="it-IT"/>
        </w:rPr>
        <w:t>danno</w:t>
      </w:r>
      <w:r w:rsidR="00674844" w:rsidRPr="006A2BF9">
        <w:rPr>
          <w:lang w:val="it-IT"/>
        </w:rPr>
        <w:t xml:space="preserve"> </w:t>
      </w:r>
      <w:r w:rsidRPr="006A2BF9">
        <w:rPr>
          <w:lang w:val="it-IT"/>
        </w:rPr>
        <w:t>renale</w:t>
      </w:r>
      <w:r w:rsidR="00E10F07" w:rsidRPr="006A2BF9">
        <w:rPr>
          <w:lang w:val="it-IT"/>
        </w:rPr>
        <w:t xml:space="preserve"> nei pazienti trattati con </w:t>
      </w:r>
      <w:r w:rsidR="0030186D" w:rsidRPr="006A2BF9">
        <w:rPr>
          <w:szCs w:val="22"/>
          <w:lang w:val="it-IT"/>
        </w:rPr>
        <w:t>bevacizumab</w:t>
      </w:r>
      <w:r w:rsidR="00674844" w:rsidRPr="006A2BF9">
        <w:rPr>
          <w:lang w:val="it-IT"/>
        </w:rPr>
        <w:t>.</w:t>
      </w:r>
    </w:p>
    <w:p w14:paraId="522FC1F1" w14:textId="77777777" w:rsidR="006B4579" w:rsidRPr="006A2BF9" w:rsidRDefault="006B4579" w:rsidP="009C0666">
      <w:pPr>
        <w:rPr>
          <w:lang w:val="it-IT"/>
        </w:rPr>
      </w:pPr>
    </w:p>
    <w:p w14:paraId="0D301930" w14:textId="77777777" w:rsidR="006B4579" w:rsidRPr="006A2BF9" w:rsidRDefault="006B4579" w:rsidP="009C0666">
      <w:pPr>
        <w:rPr>
          <w:u w:val="single"/>
          <w:lang w:val="it-IT"/>
        </w:rPr>
      </w:pPr>
      <w:r w:rsidRPr="006A2BF9">
        <w:rPr>
          <w:u w:val="single"/>
          <w:lang w:val="it-IT"/>
        </w:rPr>
        <w:t>Altre popolazioni speciali</w:t>
      </w:r>
    </w:p>
    <w:p w14:paraId="094309BA" w14:textId="77777777" w:rsidR="006B4579" w:rsidRPr="006A2BF9" w:rsidRDefault="006B4579" w:rsidP="009C0666">
      <w:pPr>
        <w:rPr>
          <w:u w:val="single"/>
          <w:lang w:val="it-IT"/>
        </w:rPr>
      </w:pPr>
    </w:p>
    <w:p w14:paraId="6BD8DC64" w14:textId="77777777" w:rsidR="009C0666" w:rsidRPr="006A2BF9" w:rsidRDefault="009C0666" w:rsidP="001062F3">
      <w:pPr>
        <w:keepNext/>
        <w:rPr>
          <w:i/>
          <w:iCs/>
          <w:u w:val="single"/>
          <w:lang w:val="it-IT"/>
        </w:rPr>
      </w:pPr>
      <w:r w:rsidRPr="006A2BF9">
        <w:rPr>
          <w:i/>
          <w:iCs/>
          <w:u w:val="single"/>
          <w:lang w:val="it-IT"/>
        </w:rPr>
        <w:t>Pazienti anziani</w:t>
      </w:r>
    </w:p>
    <w:p w14:paraId="798BCE87" w14:textId="77777777" w:rsidR="009C0666" w:rsidRPr="00330A40" w:rsidRDefault="009C0666" w:rsidP="001062F3">
      <w:pPr>
        <w:keepNext/>
        <w:rPr>
          <w:lang w:val="it-IT"/>
        </w:rPr>
      </w:pPr>
      <w:r w:rsidRPr="006A2BF9">
        <w:rPr>
          <w:lang w:val="it-IT"/>
        </w:rPr>
        <w:t>In studi clinici randomizzati, un’età &gt; 65</w:t>
      </w:r>
      <w:r w:rsidR="0030186D" w:rsidRPr="006A2BF9">
        <w:rPr>
          <w:lang w:val="it-IT"/>
        </w:rPr>
        <w:t> </w:t>
      </w:r>
      <w:r w:rsidRPr="006A2BF9">
        <w:rPr>
          <w:lang w:val="it-IT"/>
        </w:rPr>
        <w:t xml:space="preserve">anni è stata associata ad un aumento del rischio di sviluppare </w:t>
      </w:r>
      <w:r w:rsidR="005165E8" w:rsidRPr="006A2BF9">
        <w:rPr>
          <w:lang w:val="it-IT"/>
        </w:rPr>
        <w:t>reazioni</w:t>
      </w:r>
      <w:r w:rsidRPr="006A2BF9">
        <w:rPr>
          <w:lang w:val="it-IT"/>
        </w:rPr>
        <w:t xml:space="preserve"> tromboembolic</w:t>
      </w:r>
      <w:r w:rsidR="005165E8" w:rsidRPr="006A2BF9">
        <w:rPr>
          <w:lang w:val="it-IT"/>
        </w:rPr>
        <w:t>he</w:t>
      </w:r>
      <w:r w:rsidRPr="006A2BF9">
        <w:rPr>
          <w:lang w:val="it-IT"/>
        </w:rPr>
        <w:t xml:space="preserve"> arterios</w:t>
      </w:r>
      <w:r w:rsidR="005165E8" w:rsidRPr="006A2BF9">
        <w:rPr>
          <w:lang w:val="it-IT"/>
        </w:rPr>
        <w:t>e</w:t>
      </w:r>
      <w:r w:rsidRPr="006A2BF9">
        <w:rPr>
          <w:lang w:val="it-IT"/>
        </w:rPr>
        <w:t>, inclusi accidenti cerebrovascolari (ACV), attacchi ischemici transitori (TIA) e infarto miocardi</w:t>
      </w:r>
      <w:r w:rsidR="005317F7" w:rsidRPr="006A2BF9">
        <w:rPr>
          <w:lang w:val="it-IT"/>
        </w:rPr>
        <w:t>c</w:t>
      </w:r>
      <w:r w:rsidRPr="006A2BF9">
        <w:rPr>
          <w:lang w:val="it-IT"/>
        </w:rPr>
        <w:t>o (IM). Altre reazioni rilevate con frequenza maggiore nei pazienti di età &gt; 65</w:t>
      </w:r>
      <w:r w:rsidR="0030186D" w:rsidRPr="006A2BF9">
        <w:rPr>
          <w:lang w:val="it-IT"/>
        </w:rPr>
        <w:t> </w:t>
      </w:r>
      <w:r w:rsidRPr="006A2BF9">
        <w:rPr>
          <w:lang w:val="it-IT"/>
        </w:rPr>
        <w:t xml:space="preserve">anni sono state: leucopenia e trombocitopenia di </w:t>
      </w:r>
      <w:r w:rsidR="005165E8" w:rsidRPr="006A2BF9">
        <w:rPr>
          <w:lang w:val="it-IT"/>
        </w:rPr>
        <w:t>G</w:t>
      </w:r>
      <w:r w:rsidRPr="006A2BF9">
        <w:rPr>
          <w:lang w:val="it-IT"/>
        </w:rPr>
        <w:t>rado</w:t>
      </w:r>
      <w:r w:rsidR="0030186D" w:rsidRPr="006A2BF9">
        <w:rPr>
          <w:lang w:val="it-IT"/>
        </w:rPr>
        <w:t> </w:t>
      </w:r>
      <w:r w:rsidRPr="006A2BF9">
        <w:rPr>
          <w:lang w:val="it-IT"/>
        </w:rPr>
        <w:t>3</w:t>
      </w:r>
      <w:r w:rsidR="00891FE4" w:rsidRPr="006A2BF9">
        <w:rPr>
          <w:lang w:val="it-IT"/>
        </w:rPr>
        <w:noBreakHyphen/>
      </w:r>
      <w:r w:rsidRPr="006A2BF9">
        <w:rPr>
          <w:lang w:val="it-IT"/>
        </w:rPr>
        <w:t>4</w:t>
      </w:r>
      <w:r w:rsidR="005165E8" w:rsidRPr="006A2BF9">
        <w:rPr>
          <w:lang w:val="it-IT"/>
        </w:rPr>
        <w:t xml:space="preserve"> (NCI-CTCAE v.3)</w:t>
      </w:r>
      <w:r w:rsidRPr="006A2BF9">
        <w:rPr>
          <w:lang w:val="it-IT"/>
        </w:rPr>
        <w:t xml:space="preserve">, neutropenia, diarrea, nausea, cefalea e </w:t>
      </w:r>
      <w:r w:rsidR="00091BFE" w:rsidRPr="006A2BF9">
        <w:rPr>
          <w:lang w:val="it-IT"/>
        </w:rPr>
        <w:t xml:space="preserve">affaticamento </w:t>
      </w:r>
      <w:r w:rsidRPr="006A2BF9">
        <w:rPr>
          <w:lang w:val="it-IT"/>
        </w:rPr>
        <w:t xml:space="preserve">di ogni </w:t>
      </w:r>
      <w:r w:rsidR="005165E8" w:rsidRPr="006A2BF9">
        <w:rPr>
          <w:lang w:val="it-IT"/>
        </w:rPr>
        <w:t>G</w:t>
      </w:r>
      <w:r w:rsidRPr="006A2BF9">
        <w:rPr>
          <w:lang w:val="it-IT"/>
        </w:rPr>
        <w:t>rado rispetto ai pazienti di età ≤ 65</w:t>
      </w:r>
      <w:r w:rsidR="0030186D" w:rsidRPr="006A2BF9">
        <w:rPr>
          <w:lang w:val="it-IT"/>
        </w:rPr>
        <w:t> </w:t>
      </w:r>
      <w:r w:rsidRPr="006A2BF9">
        <w:rPr>
          <w:lang w:val="it-IT"/>
        </w:rPr>
        <w:t xml:space="preserve">anni trattati con </w:t>
      </w:r>
      <w:r w:rsidR="0030186D" w:rsidRPr="006A2BF9">
        <w:rPr>
          <w:szCs w:val="22"/>
          <w:lang w:val="it-IT"/>
        </w:rPr>
        <w:t>bevacizumab</w:t>
      </w:r>
      <w:r w:rsidR="0030186D" w:rsidRPr="006A2BF9">
        <w:rPr>
          <w:lang w:val="it-IT"/>
        </w:rPr>
        <w:t xml:space="preserve"> </w:t>
      </w:r>
      <w:r w:rsidRPr="006A2BF9">
        <w:rPr>
          <w:lang w:val="it-IT"/>
        </w:rPr>
        <w:t>(vedere paragraf</w:t>
      </w:r>
      <w:r w:rsidR="008059AB" w:rsidRPr="006A2BF9">
        <w:rPr>
          <w:lang w:val="it-IT"/>
        </w:rPr>
        <w:t>i</w:t>
      </w:r>
      <w:r w:rsidR="0030186D" w:rsidRPr="006A2BF9">
        <w:rPr>
          <w:lang w:val="it-IT"/>
        </w:rPr>
        <w:t> </w:t>
      </w:r>
      <w:r w:rsidRPr="006A2BF9">
        <w:rPr>
          <w:lang w:val="it-IT"/>
        </w:rPr>
        <w:t>4.4 e</w:t>
      </w:r>
      <w:r w:rsidR="0030186D" w:rsidRPr="006A2BF9">
        <w:rPr>
          <w:lang w:val="it-IT"/>
        </w:rPr>
        <w:t> </w:t>
      </w:r>
      <w:r w:rsidRPr="006A2BF9">
        <w:rPr>
          <w:lang w:val="it-IT"/>
        </w:rPr>
        <w:t xml:space="preserve">4.8 alla voce </w:t>
      </w:r>
      <w:r w:rsidRPr="006A2BF9">
        <w:rPr>
          <w:i/>
          <w:iCs/>
          <w:lang w:val="it-IT"/>
        </w:rPr>
        <w:t>Tromboembolia</w:t>
      </w:r>
      <w:r w:rsidRPr="006A2BF9">
        <w:rPr>
          <w:lang w:val="it-IT"/>
        </w:rPr>
        <w:t>).</w:t>
      </w:r>
      <w:r w:rsidR="00636314" w:rsidRPr="006A2BF9">
        <w:rPr>
          <w:lang w:val="it-IT"/>
        </w:rPr>
        <w:t xml:space="preserve"> In uno studio clinico, </w:t>
      </w:r>
      <w:r w:rsidR="005165E8" w:rsidRPr="006A2BF9">
        <w:rPr>
          <w:lang w:val="it-IT"/>
        </w:rPr>
        <w:t>l'incidenza di ipertensione di G</w:t>
      </w:r>
      <w:r w:rsidR="00636314" w:rsidRPr="006A2BF9">
        <w:rPr>
          <w:lang w:val="it-IT"/>
        </w:rPr>
        <w:t>rado</w:t>
      </w:r>
      <w:r w:rsidR="0030186D" w:rsidRPr="006A2BF9">
        <w:rPr>
          <w:lang w:val="it-IT"/>
        </w:rPr>
        <w:t> </w:t>
      </w:r>
      <w:r w:rsidR="00636314" w:rsidRPr="006A2BF9">
        <w:rPr>
          <w:lang w:val="it-IT"/>
        </w:rPr>
        <w:t>≥</w:t>
      </w:r>
      <w:r w:rsidR="0030186D" w:rsidRPr="006A2BF9">
        <w:rPr>
          <w:lang w:val="it-IT"/>
        </w:rPr>
        <w:t> </w:t>
      </w:r>
      <w:r w:rsidR="00636314" w:rsidRPr="006A2BF9">
        <w:rPr>
          <w:lang w:val="it-IT"/>
        </w:rPr>
        <w:t xml:space="preserve">3 è </w:t>
      </w:r>
      <w:r w:rsidR="008059AB" w:rsidRPr="006A2BF9">
        <w:rPr>
          <w:lang w:val="it-IT"/>
        </w:rPr>
        <w:t xml:space="preserve">stata </w:t>
      </w:r>
      <w:r w:rsidR="00636314" w:rsidRPr="006A2BF9">
        <w:rPr>
          <w:lang w:val="it-IT"/>
        </w:rPr>
        <w:t>due volte maggiore nei pazienti di età</w:t>
      </w:r>
      <w:r w:rsidR="004C2248" w:rsidRPr="006A2BF9">
        <w:rPr>
          <w:lang w:val="it-IT"/>
        </w:rPr>
        <w:t xml:space="preserve"> </w:t>
      </w:r>
      <w:r w:rsidR="00636314" w:rsidRPr="006A2BF9">
        <w:rPr>
          <w:lang w:val="it-IT"/>
        </w:rPr>
        <w:t>&gt;</w:t>
      </w:r>
      <w:r w:rsidR="0030186D" w:rsidRPr="006A2BF9">
        <w:rPr>
          <w:lang w:val="it-IT"/>
        </w:rPr>
        <w:t> </w:t>
      </w:r>
      <w:r w:rsidR="00636314" w:rsidRPr="006A2BF9">
        <w:rPr>
          <w:lang w:val="it-IT"/>
        </w:rPr>
        <w:t>65</w:t>
      </w:r>
      <w:r w:rsidR="0030186D" w:rsidRPr="006A2BF9">
        <w:rPr>
          <w:lang w:val="it-IT"/>
        </w:rPr>
        <w:t> </w:t>
      </w:r>
      <w:r w:rsidR="00636314" w:rsidRPr="006A2BF9">
        <w:rPr>
          <w:lang w:val="it-IT"/>
        </w:rPr>
        <w:t>anni rispe</w:t>
      </w:r>
      <w:r w:rsidR="004C2248" w:rsidRPr="006A2BF9">
        <w:rPr>
          <w:lang w:val="it-IT"/>
        </w:rPr>
        <w:t>tto al gruppo di età più giovane</w:t>
      </w:r>
      <w:r w:rsidR="00636314" w:rsidRPr="006A2BF9">
        <w:rPr>
          <w:lang w:val="it-IT"/>
        </w:rPr>
        <w:t xml:space="preserve"> (&lt;</w:t>
      </w:r>
      <w:r w:rsidR="0030186D" w:rsidRPr="006A2BF9">
        <w:rPr>
          <w:lang w:val="it-IT"/>
        </w:rPr>
        <w:t> </w:t>
      </w:r>
      <w:r w:rsidR="00636314" w:rsidRPr="006A2BF9">
        <w:rPr>
          <w:lang w:val="it-IT"/>
        </w:rPr>
        <w:t>65</w:t>
      </w:r>
      <w:r w:rsidR="0030186D" w:rsidRPr="006A2BF9">
        <w:rPr>
          <w:lang w:val="it-IT"/>
        </w:rPr>
        <w:t> </w:t>
      </w:r>
      <w:r w:rsidR="00636314" w:rsidRPr="006A2BF9">
        <w:rPr>
          <w:lang w:val="it-IT"/>
        </w:rPr>
        <w:t>anni).</w:t>
      </w:r>
      <w:r w:rsidR="00436C24" w:rsidRPr="006A2BF9">
        <w:rPr>
          <w:lang w:val="it-IT"/>
        </w:rPr>
        <w:t xml:space="preserve"> In uno studio su pazienti con recidiva </w:t>
      </w:r>
      <w:r w:rsidR="00B82281">
        <w:rPr>
          <w:lang w:val="it-IT"/>
        </w:rPr>
        <w:t>cancro dell’ovaio</w:t>
      </w:r>
      <w:r w:rsidR="00436C24" w:rsidRPr="006A2BF9">
        <w:rPr>
          <w:lang w:val="it-IT"/>
        </w:rPr>
        <w:t xml:space="preserve"> platino-resistente, sono stati </w:t>
      </w:r>
      <w:r w:rsidR="00E07077" w:rsidRPr="006A2BF9">
        <w:rPr>
          <w:lang w:val="it-IT"/>
        </w:rPr>
        <w:t xml:space="preserve">segnalati </w:t>
      </w:r>
      <w:r w:rsidR="00436C24" w:rsidRPr="006A2BF9">
        <w:rPr>
          <w:lang w:val="it-IT"/>
        </w:rPr>
        <w:t>alopecia, infiammazione delle mucose, neuropatia sensoriale periferica, proteinuria e ipertensione i quali si sono verificati nel braccio CT</w:t>
      </w:r>
      <w:r w:rsidR="003D4A0E" w:rsidRPr="006A2BF9">
        <w:rPr>
          <w:lang w:val="it-IT"/>
        </w:rPr>
        <w:t> </w:t>
      </w:r>
      <w:r w:rsidR="00436C24" w:rsidRPr="006A2BF9">
        <w:rPr>
          <w:lang w:val="it-IT"/>
        </w:rPr>
        <w:t>+</w:t>
      </w:r>
      <w:r w:rsidR="003D4A0E" w:rsidRPr="006A2BF9">
        <w:rPr>
          <w:lang w:val="it-IT"/>
        </w:rPr>
        <w:t> </w:t>
      </w:r>
      <w:r w:rsidR="00436C24" w:rsidRPr="006A2BF9">
        <w:rPr>
          <w:lang w:val="it-IT"/>
        </w:rPr>
        <w:t xml:space="preserve">BV con un tasso superiore di almeno il 5% nei pazienti di età </w:t>
      </w:r>
      <w:r w:rsidR="00436C24" w:rsidRPr="00330A40">
        <w:rPr>
          <w:lang w:val="it-IT"/>
        </w:rPr>
        <w:sym w:font="Symbol" w:char="F0B3"/>
      </w:r>
      <w:r w:rsidR="00154871" w:rsidRPr="00330A40">
        <w:rPr>
          <w:lang w:val="it-IT"/>
        </w:rPr>
        <w:t> </w:t>
      </w:r>
      <w:r w:rsidR="00436C24" w:rsidRPr="00330A40">
        <w:rPr>
          <w:lang w:val="it-IT"/>
        </w:rPr>
        <w:t>65</w:t>
      </w:r>
      <w:r w:rsidR="0030186D" w:rsidRPr="00330A40">
        <w:rPr>
          <w:lang w:val="it-IT"/>
        </w:rPr>
        <w:t> </w:t>
      </w:r>
      <w:r w:rsidR="00436C24" w:rsidRPr="00330A40">
        <w:rPr>
          <w:lang w:val="it-IT"/>
        </w:rPr>
        <w:t xml:space="preserve">anni trattati con bevacizumab rispetto ai pazienti di età </w:t>
      </w:r>
      <w:r w:rsidR="00996C58" w:rsidRPr="00330A40">
        <w:rPr>
          <w:lang w:val="it-IT"/>
        </w:rPr>
        <w:t>&lt;</w:t>
      </w:r>
      <w:r w:rsidR="0030186D" w:rsidRPr="00330A40">
        <w:rPr>
          <w:lang w:val="it-IT"/>
        </w:rPr>
        <w:t> </w:t>
      </w:r>
      <w:r w:rsidR="00436C24" w:rsidRPr="00330A40">
        <w:rPr>
          <w:lang w:val="it-IT"/>
        </w:rPr>
        <w:t>65</w:t>
      </w:r>
      <w:r w:rsidR="0030186D" w:rsidRPr="00330A40">
        <w:rPr>
          <w:lang w:val="it-IT"/>
        </w:rPr>
        <w:t> </w:t>
      </w:r>
      <w:r w:rsidR="00436C24" w:rsidRPr="00330A40">
        <w:rPr>
          <w:lang w:val="it-IT"/>
        </w:rPr>
        <w:t>anni</w:t>
      </w:r>
      <w:r w:rsidR="000103D7" w:rsidRPr="00330A40">
        <w:rPr>
          <w:lang w:val="it-IT"/>
        </w:rPr>
        <w:t xml:space="preserve"> trattati con bevacizumab</w:t>
      </w:r>
      <w:r w:rsidR="00436C24" w:rsidRPr="00330A40">
        <w:rPr>
          <w:lang w:val="it-IT"/>
        </w:rPr>
        <w:t>.</w:t>
      </w:r>
    </w:p>
    <w:p w14:paraId="037F07F5" w14:textId="77777777" w:rsidR="009C0666" w:rsidRPr="006A2BF9" w:rsidRDefault="009C0666" w:rsidP="009C0666">
      <w:pPr>
        <w:rPr>
          <w:lang w:val="it-IT"/>
        </w:rPr>
      </w:pPr>
      <w:r w:rsidRPr="00330A40">
        <w:rPr>
          <w:lang w:val="it-IT"/>
        </w:rPr>
        <w:t>Nei pazienti anziani (&gt; 65</w:t>
      </w:r>
      <w:r w:rsidR="0030186D" w:rsidRPr="00330A40">
        <w:rPr>
          <w:lang w:val="it-IT"/>
        </w:rPr>
        <w:t> </w:t>
      </w:r>
      <w:r w:rsidRPr="00330A40">
        <w:rPr>
          <w:lang w:val="it-IT"/>
        </w:rPr>
        <w:t xml:space="preserve">anni) trattati con </w:t>
      </w:r>
      <w:r w:rsidR="0030186D" w:rsidRPr="00330A40">
        <w:rPr>
          <w:szCs w:val="22"/>
          <w:lang w:val="it-IT"/>
        </w:rPr>
        <w:t>bevacizumab</w:t>
      </w:r>
      <w:r w:rsidRPr="00330A40">
        <w:rPr>
          <w:lang w:val="it-IT"/>
        </w:rPr>
        <w:t>, non è stata rilevata una maggiore incidenza di altr</w:t>
      </w:r>
      <w:r w:rsidR="00154871" w:rsidRPr="00330A40">
        <w:rPr>
          <w:lang w:val="it-IT"/>
        </w:rPr>
        <w:t>e reazioni</w:t>
      </w:r>
      <w:r w:rsidRPr="00330A40">
        <w:rPr>
          <w:lang w:val="it-IT"/>
        </w:rPr>
        <w:t>, inclus</w:t>
      </w:r>
      <w:r w:rsidR="008059AB" w:rsidRPr="00330A40">
        <w:rPr>
          <w:lang w:val="it-IT"/>
        </w:rPr>
        <w:t>e</w:t>
      </w:r>
      <w:r w:rsidRPr="00330A40">
        <w:rPr>
          <w:lang w:val="it-IT"/>
        </w:rPr>
        <w:t xml:space="preserve"> perforazione gastrointestinale, complicanze nel processo di cicatrizzazione, </w:t>
      </w:r>
      <w:r w:rsidR="00DE46BC" w:rsidRPr="006A2BF9">
        <w:rPr>
          <w:lang w:val="it-IT"/>
        </w:rPr>
        <w:t>ICC</w:t>
      </w:r>
      <w:r w:rsidRPr="006A2BF9">
        <w:rPr>
          <w:lang w:val="it-IT"/>
        </w:rPr>
        <w:t xml:space="preserve"> ed emorragia rispetto ai pazienti di età ≤ 65</w:t>
      </w:r>
      <w:r w:rsidR="0030186D" w:rsidRPr="006A2BF9">
        <w:rPr>
          <w:lang w:val="it-IT"/>
        </w:rPr>
        <w:t> </w:t>
      </w:r>
      <w:r w:rsidRPr="006A2BF9">
        <w:rPr>
          <w:lang w:val="it-IT"/>
        </w:rPr>
        <w:t xml:space="preserve">anni trattati con </w:t>
      </w:r>
      <w:r w:rsidR="0030186D" w:rsidRPr="006A2BF9">
        <w:rPr>
          <w:szCs w:val="22"/>
          <w:lang w:val="it-IT"/>
        </w:rPr>
        <w:t>bevacizumab</w:t>
      </w:r>
      <w:r w:rsidRPr="006A2BF9">
        <w:rPr>
          <w:lang w:val="it-IT"/>
        </w:rPr>
        <w:t>.</w:t>
      </w:r>
    </w:p>
    <w:p w14:paraId="3B60FFAC" w14:textId="77777777" w:rsidR="005B7D40" w:rsidRPr="006A2BF9" w:rsidRDefault="005B7D40" w:rsidP="009C0666">
      <w:pPr>
        <w:rPr>
          <w:i/>
          <w:iCs/>
          <w:lang w:val="it-IT"/>
        </w:rPr>
      </w:pPr>
    </w:p>
    <w:p w14:paraId="133D2FC5" w14:textId="77777777" w:rsidR="001056EF" w:rsidRPr="006A2BF9" w:rsidRDefault="001056EF" w:rsidP="001056EF">
      <w:pPr>
        <w:rPr>
          <w:i/>
          <w:u w:val="single"/>
          <w:lang w:val="it-IT"/>
        </w:rPr>
      </w:pPr>
      <w:r w:rsidRPr="006A2BF9">
        <w:rPr>
          <w:i/>
          <w:u w:val="single"/>
          <w:lang w:val="it-IT"/>
        </w:rPr>
        <w:t>Popolazione pediatrica</w:t>
      </w:r>
    </w:p>
    <w:p w14:paraId="2D5E5A94" w14:textId="77777777" w:rsidR="005D7DB3" w:rsidRPr="006A2BF9" w:rsidRDefault="001056EF" w:rsidP="009C0666">
      <w:pPr>
        <w:rPr>
          <w:lang w:val="it-IT"/>
        </w:rPr>
      </w:pPr>
      <w:r w:rsidRPr="006A2BF9">
        <w:rPr>
          <w:lang w:val="it-IT"/>
        </w:rPr>
        <w:t>La sicurezza</w:t>
      </w:r>
      <w:r w:rsidR="005D7DB3" w:rsidRPr="006A2BF9">
        <w:rPr>
          <w:lang w:val="it-IT"/>
        </w:rPr>
        <w:t xml:space="preserve"> e l’efficacia</w:t>
      </w:r>
      <w:r w:rsidRPr="006A2BF9">
        <w:rPr>
          <w:lang w:val="it-IT"/>
        </w:rPr>
        <w:t xml:space="preserve"> di </w:t>
      </w:r>
      <w:r w:rsidR="0030186D" w:rsidRPr="006A2BF9">
        <w:rPr>
          <w:szCs w:val="22"/>
          <w:lang w:val="it-IT"/>
        </w:rPr>
        <w:t>bevacizumab</w:t>
      </w:r>
      <w:r w:rsidR="0030186D" w:rsidRPr="006A2BF9">
        <w:rPr>
          <w:lang w:val="it-IT"/>
        </w:rPr>
        <w:t xml:space="preserve"> </w:t>
      </w:r>
      <w:r w:rsidRPr="006A2BF9">
        <w:rPr>
          <w:lang w:val="it-IT"/>
        </w:rPr>
        <w:t xml:space="preserve">nei bambini </w:t>
      </w:r>
      <w:r w:rsidR="005D7DB3" w:rsidRPr="006A2BF9">
        <w:rPr>
          <w:lang w:val="it-IT"/>
        </w:rPr>
        <w:t>di età inferiore a 18</w:t>
      </w:r>
      <w:r w:rsidR="0030186D" w:rsidRPr="006A2BF9">
        <w:rPr>
          <w:lang w:val="it-IT"/>
        </w:rPr>
        <w:t> </w:t>
      </w:r>
      <w:r w:rsidR="005D7DB3" w:rsidRPr="006A2BF9">
        <w:rPr>
          <w:lang w:val="it-IT"/>
        </w:rPr>
        <w:t>anni</w:t>
      </w:r>
      <w:r w:rsidRPr="006A2BF9">
        <w:rPr>
          <w:lang w:val="it-IT"/>
        </w:rPr>
        <w:t xml:space="preserve"> non </w:t>
      </w:r>
      <w:r w:rsidR="00E1131B" w:rsidRPr="006A2BF9">
        <w:rPr>
          <w:lang w:val="it-IT"/>
        </w:rPr>
        <w:t>sono</w:t>
      </w:r>
      <w:r w:rsidRPr="006A2BF9">
        <w:rPr>
          <w:lang w:val="it-IT"/>
        </w:rPr>
        <w:t xml:space="preserve"> stat</w:t>
      </w:r>
      <w:r w:rsidR="00E1131B" w:rsidRPr="006A2BF9">
        <w:rPr>
          <w:lang w:val="it-IT"/>
        </w:rPr>
        <w:t>e</w:t>
      </w:r>
      <w:r w:rsidRPr="006A2BF9">
        <w:rPr>
          <w:lang w:val="it-IT"/>
        </w:rPr>
        <w:t xml:space="preserve"> stabilit</w:t>
      </w:r>
      <w:r w:rsidR="00E1131B" w:rsidRPr="006A2BF9">
        <w:rPr>
          <w:lang w:val="it-IT"/>
        </w:rPr>
        <w:t>e</w:t>
      </w:r>
      <w:r w:rsidRPr="006A2BF9">
        <w:rPr>
          <w:lang w:val="it-IT"/>
        </w:rPr>
        <w:t>.</w:t>
      </w:r>
      <w:r w:rsidR="00DB56C5" w:rsidRPr="006A2BF9">
        <w:rPr>
          <w:lang w:val="it-IT"/>
        </w:rPr>
        <w:t xml:space="preserve"> </w:t>
      </w:r>
    </w:p>
    <w:p w14:paraId="17C5BA95" w14:textId="77777777" w:rsidR="00D7022D" w:rsidRPr="006A2BF9" w:rsidRDefault="00D7022D" w:rsidP="009C0666">
      <w:pPr>
        <w:rPr>
          <w:lang w:val="it-IT"/>
        </w:rPr>
      </w:pPr>
    </w:p>
    <w:p w14:paraId="17939F4D" w14:textId="77777777" w:rsidR="00D7022D" w:rsidRPr="006A2BF9" w:rsidRDefault="00D7022D" w:rsidP="009C0666">
      <w:pPr>
        <w:rPr>
          <w:lang w:val="it-IT"/>
        </w:rPr>
      </w:pPr>
      <w:r w:rsidRPr="006A2BF9">
        <w:rPr>
          <w:lang w:val="it-IT"/>
        </w:rPr>
        <w:t xml:space="preserve">Nello studio BO25041 condotto con </w:t>
      </w:r>
      <w:r w:rsidR="0030186D" w:rsidRPr="006A2BF9">
        <w:rPr>
          <w:szCs w:val="22"/>
          <w:lang w:val="it-IT"/>
        </w:rPr>
        <w:t>bevacizumab</w:t>
      </w:r>
      <w:r w:rsidR="0030186D" w:rsidRPr="006A2BF9">
        <w:rPr>
          <w:lang w:val="it-IT"/>
        </w:rPr>
        <w:t xml:space="preserve"> </w:t>
      </w:r>
      <w:r w:rsidRPr="006A2BF9">
        <w:rPr>
          <w:lang w:val="it-IT"/>
        </w:rPr>
        <w:t xml:space="preserve">in aggiunta a radioterapia (RT) post-operatoria </w:t>
      </w:r>
      <w:r w:rsidR="00B830A7" w:rsidRPr="006A2BF9">
        <w:rPr>
          <w:lang w:val="it-IT"/>
        </w:rPr>
        <w:t>associata a</w:t>
      </w:r>
      <w:r w:rsidR="00764C05" w:rsidRPr="006A2BF9">
        <w:rPr>
          <w:lang w:val="it-IT"/>
        </w:rPr>
        <w:t xml:space="preserve"> temozolomide </w:t>
      </w:r>
      <w:r w:rsidR="00B830A7" w:rsidRPr="006A2BF9">
        <w:rPr>
          <w:lang w:val="it-IT"/>
        </w:rPr>
        <w:t xml:space="preserve">concomitante e </w:t>
      </w:r>
      <w:r w:rsidR="00764C05" w:rsidRPr="006A2BF9">
        <w:rPr>
          <w:lang w:val="it-IT"/>
        </w:rPr>
        <w:t xml:space="preserve">adiuvante nei pazienti pediatrici affetti da glioma di alto grado </w:t>
      </w:r>
      <w:r w:rsidR="00B830A7" w:rsidRPr="006A2BF9">
        <w:rPr>
          <w:lang w:val="it-IT"/>
        </w:rPr>
        <w:t xml:space="preserve">di nuova diagnosi </w:t>
      </w:r>
      <w:r w:rsidR="00764C05" w:rsidRPr="006A2BF9">
        <w:rPr>
          <w:lang w:val="it-IT"/>
        </w:rPr>
        <w:t xml:space="preserve">sovratentoriale, infratentoriale, cerebellare o peduncolare, il profilo di sicurezza è risultato </w:t>
      </w:r>
      <w:r w:rsidR="00B830A7" w:rsidRPr="006A2BF9">
        <w:rPr>
          <w:lang w:val="it-IT"/>
        </w:rPr>
        <w:t>paragonabile</w:t>
      </w:r>
      <w:r w:rsidR="00764C05" w:rsidRPr="006A2BF9">
        <w:rPr>
          <w:lang w:val="it-IT"/>
        </w:rPr>
        <w:t xml:space="preserve"> a quello osservato in altre forme tumorali </w:t>
      </w:r>
      <w:r w:rsidR="00B830A7" w:rsidRPr="006A2BF9">
        <w:rPr>
          <w:lang w:val="it-IT"/>
        </w:rPr>
        <w:t>in</w:t>
      </w:r>
      <w:r w:rsidR="00764C05" w:rsidRPr="006A2BF9">
        <w:rPr>
          <w:lang w:val="it-IT"/>
        </w:rPr>
        <w:t xml:space="preserve"> adulti trattati con </w:t>
      </w:r>
      <w:r w:rsidR="0030186D" w:rsidRPr="006A2BF9">
        <w:rPr>
          <w:szCs w:val="22"/>
          <w:lang w:val="it-IT"/>
        </w:rPr>
        <w:t>bevacizumab</w:t>
      </w:r>
      <w:r w:rsidR="00764C05" w:rsidRPr="006A2BF9">
        <w:rPr>
          <w:lang w:val="it-IT"/>
        </w:rPr>
        <w:t>.</w:t>
      </w:r>
    </w:p>
    <w:p w14:paraId="15531728" w14:textId="77777777" w:rsidR="005D7DB3" w:rsidRPr="006A2BF9" w:rsidRDefault="005D7DB3" w:rsidP="009C0666">
      <w:pPr>
        <w:rPr>
          <w:lang w:val="it-IT"/>
        </w:rPr>
      </w:pPr>
    </w:p>
    <w:p w14:paraId="2FAC0644" w14:textId="77777777" w:rsidR="005D7DB3" w:rsidRPr="006A2BF9" w:rsidRDefault="005D7DB3" w:rsidP="009C0666">
      <w:pPr>
        <w:rPr>
          <w:lang w:val="it-IT"/>
        </w:rPr>
      </w:pPr>
      <w:r w:rsidRPr="006A2BF9">
        <w:rPr>
          <w:lang w:val="it-IT"/>
        </w:rPr>
        <w:t xml:space="preserve">Nello studio </w:t>
      </w:r>
      <w:r w:rsidRPr="006A2BF9">
        <w:rPr>
          <w:iCs/>
          <w:lang w:val="it-IT"/>
        </w:rPr>
        <w:t xml:space="preserve">BO20924 condotto con </w:t>
      </w:r>
      <w:r w:rsidR="0030186D" w:rsidRPr="006A2BF9">
        <w:rPr>
          <w:szCs w:val="22"/>
          <w:lang w:val="it-IT"/>
        </w:rPr>
        <w:t>bevacizumab</w:t>
      </w:r>
      <w:r w:rsidR="0030186D" w:rsidRPr="006A2BF9">
        <w:rPr>
          <w:lang w:val="it-IT"/>
        </w:rPr>
        <w:t xml:space="preserve"> </w:t>
      </w:r>
      <w:r w:rsidRPr="006A2BF9">
        <w:rPr>
          <w:iCs/>
          <w:lang w:val="it-IT"/>
        </w:rPr>
        <w:t>in associazione a</w:t>
      </w:r>
      <w:r w:rsidR="00B30520" w:rsidRPr="006A2BF9">
        <w:rPr>
          <w:iCs/>
          <w:lang w:val="it-IT"/>
        </w:rPr>
        <w:t>ll’attuale</w:t>
      </w:r>
      <w:r w:rsidRPr="006A2BF9">
        <w:rPr>
          <w:iCs/>
          <w:lang w:val="it-IT"/>
        </w:rPr>
        <w:t xml:space="preserve"> terapia standard sul sarcoma </w:t>
      </w:r>
      <w:r w:rsidR="00E14DE5" w:rsidRPr="006A2BF9">
        <w:rPr>
          <w:iCs/>
          <w:lang w:val="it-IT"/>
        </w:rPr>
        <w:t xml:space="preserve">metastatico </w:t>
      </w:r>
      <w:r w:rsidRPr="006A2BF9">
        <w:rPr>
          <w:iCs/>
          <w:lang w:val="it-IT"/>
        </w:rPr>
        <w:t>dei tessuti molli rabdomiosarcoma e non rabdomiosarcoma, il profilo di sicurezza</w:t>
      </w:r>
      <w:r w:rsidR="00803DA8" w:rsidRPr="006A2BF9">
        <w:rPr>
          <w:iCs/>
          <w:lang w:val="it-IT"/>
        </w:rPr>
        <w:t xml:space="preserve"> di </w:t>
      </w:r>
      <w:r w:rsidR="0030186D" w:rsidRPr="006A2BF9">
        <w:rPr>
          <w:szCs w:val="22"/>
          <w:lang w:val="it-IT"/>
        </w:rPr>
        <w:t>bevacizumab</w:t>
      </w:r>
      <w:r w:rsidR="0030186D" w:rsidRPr="006A2BF9">
        <w:rPr>
          <w:lang w:val="it-IT"/>
        </w:rPr>
        <w:t xml:space="preserve"> </w:t>
      </w:r>
      <w:r w:rsidR="00803DA8" w:rsidRPr="006A2BF9">
        <w:rPr>
          <w:iCs/>
          <w:lang w:val="it-IT"/>
        </w:rPr>
        <w:t>n</w:t>
      </w:r>
      <w:r w:rsidR="00154871" w:rsidRPr="006A2BF9">
        <w:rPr>
          <w:iCs/>
          <w:lang w:val="it-IT"/>
        </w:rPr>
        <w:t xml:space="preserve">ei bambini trattati </w:t>
      </w:r>
      <w:r w:rsidRPr="006A2BF9">
        <w:rPr>
          <w:iCs/>
          <w:lang w:val="it-IT"/>
        </w:rPr>
        <w:t>è risultato sovrapponibile a quello osservato negli adulti a cui è stato somministrato il medesimo medicinale.</w:t>
      </w:r>
    </w:p>
    <w:p w14:paraId="75792309" w14:textId="77777777" w:rsidR="005D7DB3" w:rsidRPr="006A2BF9" w:rsidRDefault="005D7DB3" w:rsidP="009C0666">
      <w:pPr>
        <w:rPr>
          <w:lang w:val="it-IT"/>
        </w:rPr>
      </w:pPr>
    </w:p>
    <w:p w14:paraId="43420349" w14:textId="77777777" w:rsidR="009C0666" w:rsidRPr="006A2BF9" w:rsidRDefault="00DB56C5" w:rsidP="009C0666">
      <w:pPr>
        <w:rPr>
          <w:lang w:val="it-IT"/>
        </w:rPr>
      </w:pPr>
      <w:r w:rsidRPr="006A2BF9">
        <w:rPr>
          <w:lang w:val="it-IT"/>
        </w:rPr>
        <w:t>L’us</w:t>
      </w:r>
      <w:r w:rsidR="001076D9" w:rsidRPr="006A2BF9">
        <w:rPr>
          <w:lang w:val="it-IT"/>
        </w:rPr>
        <w:t xml:space="preserve">o di </w:t>
      </w:r>
      <w:r w:rsidR="0030186D" w:rsidRPr="006A2BF9">
        <w:rPr>
          <w:szCs w:val="22"/>
          <w:lang w:val="it-IT"/>
        </w:rPr>
        <w:t>bevacizumab</w:t>
      </w:r>
      <w:r w:rsidR="0030186D" w:rsidRPr="006A2BF9">
        <w:rPr>
          <w:lang w:val="it-IT"/>
        </w:rPr>
        <w:t xml:space="preserve"> </w:t>
      </w:r>
      <w:r w:rsidR="001076D9" w:rsidRPr="006A2BF9">
        <w:rPr>
          <w:lang w:val="it-IT"/>
        </w:rPr>
        <w:t xml:space="preserve">non è autorizzato </w:t>
      </w:r>
      <w:r w:rsidRPr="006A2BF9">
        <w:rPr>
          <w:lang w:val="it-IT"/>
        </w:rPr>
        <w:t>in pazient</w:t>
      </w:r>
      <w:r w:rsidR="004E2DCA" w:rsidRPr="006A2BF9">
        <w:rPr>
          <w:lang w:val="it-IT"/>
        </w:rPr>
        <w:t>i di età inferiore ai 18</w:t>
      </w:r>
      <w:r w:rsidR="0030186D" w:rsidRPr="006A2BF9">
        <w:rPr>
          <w:lang w:val="it-IT"/>
        </w:rPr>
        <w:t> </w:t>
      </w:r>
      <w:r w:rsidR="004E2DCA" w:rsidRPr="006A2BF9">
        <w:rPr>
          <w:lang w:val="it-IT"/>
        </w:rPr>
        <w:t xml:space="preserve">anni. </w:t>
      </w:r>
      <w:r w:rsidRPr="006A2BF9">
        <w:rPr>
          <w:lang w:val="it-IT"/>
        </w:rPr>
        <w:t>Nei report pubblicati in letteratura, sono stati osservati casi di osteonecrosi non mandibolare in pazienti di età inferiore ai</w:t>
      </w:r>
      <w:r w:rsidR="00B6263C" w:rsidRPr="006A2BF9">
        <w:rPr>
          <w:lang w:val="it-IT"/>
        </w:rPr>
        <w:t xml:space="preserve"> 18</w:t>
      </w:r>
      <w:r w:rsidR="0030186D" w:rsidRPr="006A2BF9">
        <w:rPr>
          <w:lang w:val="it-IT"/>
        </w:rPr>
        <w:t> </w:t>
      </w:r>
      <w:r w:rsidR="00B6263C" w:rsidRPr="006A2BF9">
        <w:rPr>
          <w:lang w:val="it-IT"/>
        </w:rPr>
        <w:t xml:space="preserve">anni trattati con </w:t>
      </w:r>
      <w:r w:rsidR="0030186D" w:rsidRPr="006A2BF9">
        <w:rPr>
          <w:szCs w:val="22"/>
          <w:lang w:val="it-IT"/>
        </w:rPr>
        <w:t>bevacizumab</w:t>
      </w:r>
      <w:r w:rsidR="00B6263C" w:rsidRPr="006A2BF9">
        <w:rPr>
          <w:lang w:val="it-IT"/>
        </w:rPr>
        <w:t xml:space="preserve">. </w:t>
      </w:r>
    </w:p>
    <w:p w14:paraId="5684DA77" w14:textId="77777777" w:rsidR="005D7DB3" w:rsidRPr="006A2BF9" w:rsidRDefault="005D7DB3" w:rsidP="009C0666">
      <w:pPr>
        <w:rPr>
          <w:lang w:val="it-IT"/>
        </w:rPr>
      </w:pPr>
    </w:p>
    <w:p w14:paraId="41BDE3FE" w14:textId="77777777" w:rsidR="003463C1" w:rsidRPr="006A2BF9" w:rsidRDefault="00373E32" w:rsidP="001F1A69">
      <w:pPr>
        <w:keepNext/>
        <w:rPr>
          <w:szCs w:val="22"/>
          <w:u w:val="single"/>
          <w:lang w:val="it-IT"/>
        </w:rPr>
      </w:pPr>
      <w:r w:rsidRPr="006A2BF9">
        <w:rPr>
          <w:bCs/>
          <w:iCs/>
          <w:u w:val="single"/>
          <w:lang w:val="it-IT"/>
        </w:rPr>
        <w:t>Esperienza post-commercializzazione</w:t>
      </w:r>
    </w:p>
    <w:p w14:paraId="2CE05C2B" w14:textId="77777777" w:rsidR="004A0352" w:rsidRPr="006A2BF9" w:rsidRDefault="004A0352" w:rsidP="001F1A69">
      <w:pPr>
        <w:keepNext/>
        <w:rPr>
          <w:lang w:val="it-IT"/>
        </w:rPr>
      </w:pPr>
    </w:p>
    <w:p w14:paraId="363CAFBE" w14:textId="77777777" w:rsidR="004A0352" w:rsidRPr="006A2BF9" w:rsidRDefault="00373E32" w:rsidP="0087729E">
      <w:pPr>
        <w:keepNext/>
        <w:keepLines/>
        <w:ind w:left="1418" w:hanging="1418"/>
        <w:rPr>
          <w:rStyle w:val="HdTab1Char"/>
          <w:rFonts w:ascii="Times New Roman" w:eastAsia="MS Mincho" w:hAnsi="Times New Roman"/>
          <w:sz w:val="22"/>
          <w:lang w:val="it-IT"/>
        </w:rPr>
      </w:pPr>
      <w:r w:rsidRPr="006A2BF9">
        <w:rPr>
          <w:rStyle w:val="HdTab1Char"/>
          <w:rFonts w:ascii="Times New Roman" w:eastAsia="MS Mincho" w:hAnsi="Times New Roman"/>
          <w:sz w:val="22"/>
          <w:szCs w:val="22"/>
          <w:lang w:val="it-IT"/>
        </w:rPr>
        <w:t>Tabella</w:t>
      </w:r>
      <w:r w:rsidR="00AA3FB6" w:rsidRPr="006A2BF9">
        <w:rPr>
          <w:rStyle w:val="HdTab1Char"/>
          <w:rFonts w:ascii="Times New Roman" w:eastAsia="MS Mincho" w:hAnsi="Times New Roman"/>
          <w:sz w:val="22"/>
          <w:szCs w:val="22"/>
          <w:lang w:val="it-IT"/>
        </w:rPr>
        <w:t> </w:t>
      </w:r>
      <w:r w:rsidR="00D966E3" w:rsidRPr="006A2BF9">
        <w:rPr>
          <w:rStyle w:val="HdTab1Char"/>
          <w:rFonts w:ascii="Times New Roman" w:eastAsia="MS Mincho" w:hAnsi="Times New Roman"/>
          <w:sz w:val="22"/>
          <w:szCs w:val="22"/>
          <w:lang w:val="it-IT"/>
        </w:rPr>
        <w:t>3</w:t>
      </w:r>
      <w:r w:rsidR="003463C1" w:rsidRPr="006A2BF9">
        <w:rPr>
          <w:rStyle w:val="HdTab1Char"/>
          <w:rFonts w:ascii="Times New Roman" w:eastAsia="MS Mincho" w:hAnsi="Times New Roman"/>
          <w:sz w:val="22"/>
          <w:szCs w:val="22"/>
          <w:lang w:val="it-IT"/>
        </w:rPr>
        <w:tab/>
      </w:r>
      <w:r w:rsidRPr="006A2BF9">
        <w:rPr>
          <w:rStyle w:val="HdTab1Char"/>
          <w:rFonts w:ascii="Times New Roman" w:eastAsia="MS Mincho" w:hAnsi="Times New Roman"/>
          <w:sz w:val="22"/>
          <w:szCs w:val="22"/>
          <w:lang w:val="it-IT"/>
        </w:rPr>
        <w:t>Reazioni avverse segnalate dopo la commercializzazione</w:t>
      </w:r>
    </w:p>
    <w:tbl>
      <w:tblPr>
        <w:tblW w:w="0" w:type="auto"/>
        <w:tblInd w:w="228" w:type="dxa"/>
        <w:tblCellMar>
          <w:left w:w="0" w:type="dxa"/>
          <w:right w:w="0" w:type="dxa"/>
        </w:tblCellMar>
        <w:tblLook w:val="0000" w:firstRow="0" w:lastRow="0" w:firstColumn="0" w:lastColumn="0" w:noHBand="0" w:noVBand="0"/>
      </w:tblPr>
      <w:tblGrid>
        <w:gridCol w:w="2280"/>
        <w:gridCol w:w="6480"/>
      </w:tblGrid>
      <w:tr w:rsidR="003463C1" w:rsidRPr="006A2BF9" w14:paraId="3F3EBC05" w14:textId="77777777" w:rsidTr="000B76C2">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EE8DC" w14:textId="77777777" w:rsidR="003463C1" w:rsidRPr="00330A40" w:rsidRDefault="00373E32" w:rsidP="00C65E97">
            <w:pPr>
              <w:keepNext/>
              <w:keepLines/>
              <w:jc w:val="center"/>
              <w:rPr>
                <w:b/>
                <w:sz w:val="20"/>
                <w:lang w:val="it-IT"/>
              </w:rPr>
            </w:pPr>
            <w:r w:rsidRPr="00330A40">
              <w:rPr>
                <w:b/>
                <w:sz w:val="20"/>
                <w:lang w:val="it-IT"/>
              </w:rPr>
              <w:t>Classificazione per sistemi e organi</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A81BCA" w14:textId="77777777" w:rsidR="003463C1" w:rsidRPr="00330A40" w:rsidRDefault="00373E32" w:rsidP="00C65E97">
            <w:pPr>
              <w:keepNext/>
              <w:keepLines/>
              <w:jc w:val="center"/>
              <w:rPr>
                <w:b/>
                <w:sz w:val="20"/>
                <w:lang w:val="it-IT"/>
              </w:rPr>
            </w:pPr>
            <w:r w:rsidRPr="00330A40">
              <w:rPr>
                <w:b/>
                <w:sz w:val="20"/>
                <w:lang w:val="it-IT"/>
              </w:rPr>
              <w:t>Reazioni (frequenza</w:t>
            </w:r>
            <w:r w:rsidR="003463C1" w:rsidRPr="00330A40">
              <w:rPr>
                <w:b/>
                <w:sz w:val="20"/>
                <w:lang w:val="it-IT"/>
              </w:rPr>
              <w:t>*)</w:t>
            </w:r>
          </w:p>
        </w:tc>
      </w:tr>
      <w:tr w:rsidR="00547A6F" w:rsidRPr="006A2BF9" w14:paraId="1FC582DD" w14:textId="77777777" w:rsidTr="000B76C2">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BFE906" w14:textId="77777777" w:rsidR="00547A6F" w:rsidRPr="006A2BF9" w:rsidRDefault="00547A6F" w:rsidP="00E07077">
            <w:pPr>
              <w:keepNext/>
              <w:keepLines/>
              <w:rPr>
                <w:sz w:val="20"/>
                <w:lang w:val="it-IT"/>
              </w:rPr>
            </w:pPr>
            <w:r w:rsidRPr="00330A40">
              <w:rPr>
                <w:lang w:val="it-IT"/>
              </w:rPr>
              <w:t xml:space="preserve">Infezioni e </w:t>
            </w:r>
            <w:r w:rsidR="00E07077" w:rsidRPr="006A2BF9">
              <w:rPr>
                <w:lang w:val="it-IT"/>
              </w:rPr>
              <w:t>infestazioni</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5B89E2" w14:textId="77777777" w:rsidR="00547A6F" w:rsidRPr="006A2BF9" w:rsidRDefault="00547A6F" w:rsidP="00C65E97">
            <w:pPr>
              <w:keepNext/>
              <w:keepLines/>
              <w:jc w:val="both"/>
              <w:rPr>
                <w:i/>
                <w:sz w:val="20"/>
                <w:lang w:val="it-IT"/>
              </w:rPr>
            </w:pPr>
            <w:r w:rsidRPr="006A2BF9">
              <w:rPr>
                <w:sz w:val="20"/>
                <w:lang w:val="it-IT"/>
              </w:rPr>
              <w:t>Fascite necrotizzante, di solit</w:t>
            </w:r>
            <w:r w:rsidR="004B1BF4" w:rsidRPr="006A2BF9">
              <w:rPr>
                <w:sz w:val="20"/>
                <w:lang w:val="it-IT"/>
              </w:rPr>
              <w:t xml:space="preserve">o determinata da complicazioni </w:t>
            </w:r>
            <w:r w:rsidRPr="006A2BF9">
              <w:rPr>
                <w:sz w:val="20"/>
                <w:lang w:val="it-IT"/>
              </w:rPr>
              <w:t>nella guarigione delle ferite, perforazione gastrointestinale o formazione di fistole (rara) (vedere anche paragrafo</w:t>
            </w:r>
            <w:r w:rsidR="0030186D" w:rsidRPr="006A2BF9">
              <w:rPr>
                <w:sz w:val="20"/>
                <w:lang w:val="it-IT"/>
              </w:rPr>
              <w:t> </w:t>
            </w:r>
            <w:r w:rsidRPr="006A2BF9">
              <w:rPr>
                <w:sz w:val="20"/>
                <w:lang w:val="it-IT"/>
              </w:rPr>
              <w:t>4.4)</w:t>
            </w:r>
          </w:p>
        </w:tc>
      </w:tr>
      <w:tr w:rsidR="00547A6F" w:rsidRPr="006A2BF9" w14:paraId="4016BC9A" w14:textId="77777777" w:rsidTr="000B76C2">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3A1101" w14:textId="77777777" w:rsidR="00547A6F" w:rsidRPr="006A2BF9" w:rsidRDefault="00A66094" w:rsidP="00C65E97">
            <w:pPr>
              <w:keepNext/>
              <w:keepLines/>
              <w:rPr>
                <w:sz w:val="20"/>
                <w:lang w:val="it-IT"/>
              </w:rPr>
            </w:pPr>
            <w:r>
              <w:rPr>
                <w:rFonts w:eastAsia="SimSun"/>
                <w:sz w:val="20"/>
                <w:lang w:val="it-IT" w:eastAsia="zh-CN"/>
              </w:rPr>
              <w:t>Disturbi</w:t>
            </w:r>
            <w:r w:rsidRPr="006A2BF9">
              <w:rPr>
                <w:rFonts w:eastAsia="SimSun"/>
                <w:sz w:val="20"/>
                <w:lang w:val="it-IT" w:eastAsia="zh-CN"/>
              </w:rPr>
              <w:t xml:space="preserve"> </w:t>
            </w:r>
            <w:r w:rsidR="00547A6F" w:rsidRPr="006A2BF9">
              <w:rPr>
                <w:rFonts w:eastAsia="SimSun"/>
                <w:sz w:val="20"/>
                <w:lang w:val="it-IT" w:eastAsia="zh-CN"/>
              </w:rPr>
              <w:t>del sistema immunitario</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AB4076" w14:textId="00AECBAD" w:rsidR="00547A6F" w:rsidRDefault="00547A6F" w:rsidP="00E07077">
            <w:pPr>
              <w:keepNext/>
              <w:keepLines/>
              <w:jc w:val="both"/>
              <w:rPr>
                <w:sz w:val="20"/>
                <w:lang w:val="it-IT"/>
              </w:rPr>
            </w:pPr>
            <w:r w:rsidRPr="006A2BF9">
              <w:rPr>
                <w:sz w:val="20"/>
                <w:lang w:val="it-IT"/>
              </w:rPr>
              <w:t>Reazioni di ipersensibilità e reazioni all’infusione (</w:t>
            </w:r>
            <w:r w:rsidR="00A01B02">
              <w:rPr>
                <w:sz w:val="20"/>
                <w:lang w:val="it-IT"/>
              </w:rPr>
              <w:t>comune</w:t>
            </w:r>
            <w:r w:rsidRPr="006A2BF9">
              <w:rPr>
                <w:sz w:val="20"/>
                <w:lang w:val="it-IT"/>
              </w:rPr>
              <w:t>); con le seguenti possibili manifestazioni concomitanti: dispnea/</w:t>
            </w:r>
            <w:r w:rsidR="00E07077" w:rsidRPr="006A2BF9">
              <w:rPr>
                <w:sz w:val="20"/>
                <w:lang w:val="it-IT"/>
              </w:rPr>
              <w:t>respirazione difficoltosa</w:t>
            </w:r>
            <w:r w:rsidRPr="006A2BF9">
              <w:rPr>
                <w:sz w:val="20"/>
                <w:lang w:val="it-IT"/>
              </w:rPr>
              <w:t xml:space="preserve">, </w:t>
            </w:r>
            <w:r w:rsidR="00E07077" w:rsidRPr="006A2BF9">
              <w:rPr>
                <w:sz w:val="20"/>
                <w:lang w:val="it-IT"/>
              </w:rPr>
              <w:t>rossore</w:t>
            </w:r>
            <w:r w:rsidRPr="006A2BF9">
              <w:rPr>
                <w:sz w:val="20"/>
                <w:lang w:val="it-IT"/>
              </w:rPr>
              <w:t xml:space="preserve">/arrossamento/eruzione cutanea, ipotensione o ipertensione, </w:t>
            </w:r>
            <w:r w:rsidR="00E07077" w:rsidRPr="006A2BF9">
              <w:rPr>
                <w:sz w:val="20"/>
                <w:lang w:val="it-IT"/>
              </w:rPr>
              <w:t>de</w:t>
            </w:r>
            <w:r w:rsidRPr="006A2BF9">
              <w:rPr>
                <w:sz w:val="20"/>
                <w:lang w:val="it-IT"/>
              </w:rPr>
              <w:t>saturazione dell’ossigeno, dolore torac</w:t>
            </w:r>
            <w:r w:rsidR="00E07077" w:rsidRPr="006A2BF9">
              <w:rPr>
                <w:sz w:val="20"/>
                <w:lang w:val="it-IT"/>
              </w:rPr>
              <w:t>ico</w:t>
            </w:r>
            <w:r w:rsidRPr="006A2BF9">
              <w:rPr>
                <w:sz w:val="20"/>
                <w:lang w:val="it-IT"/>
              </w:rPr>
              <w:t xml:space="preserve">, </w:t>
            </w:r>
            <w:r w:rsidR="00E07077" w:rsidRPr="006A2BF9">
              <w:rPr>
                <w:sz w:val="20"/>
                <w:lang w:val="it-IT"/>
              </w:rPr>
              <w:t xml:space="preserve">brividi febbrili </w:t>
            </w:r>
            <w:r w:rsidRPr="006A2BF9">
              <w:rPr>
                <w:sz w:val="20"/>
                <w:lang w:val="it-IT"/>
              </w:rPr>
              <w:t>e nausea/vomito (vedere anche paragrafo</w:t>
            </w:r>
            <w:r w:rsidR="0030186D" w:rsidRPr="006A2BF9">
              <w:rPr>
                <w:sz w:val="20"/>
                <w:lang w:val="it-IT"/>
              </w:rPr>
              <w:t> </w:t>
            </w:r>
            <w:r w:rsidRPr="006A2BF9">
              <w:rPr>
                <w:sz w:val="20"/>
                <w:lang w:val="it-IT"/>
              </w:rPr>
              <w:t xml:space="preserve">4.4 e </w:t>
            </w:r>
            <w:r w:rsidRPr="006A2BF9">
              <w:rPr>
                <w:i/>
                <w:sz w:val="20"/>
                <w:lang w:val="it-IT"/>
              </w:rPr>
              <w:t>Reazioni di ipersensibilità</w:t>
            </w:r>
            <w:r w:rsidR="000A793E">
              <w:rPr>
                <w:i/>
                <w:sz w:val="20"/>
                <w:lang w:val="it-IT"/>
              </w:rPr>
              <w:t xml:space="preserve"> </w:t>
            </w:r>
            <w:r w:rsidR="000A793E" w:rsidRPr="00B26F69">
              <w:rPr>
                <w:i/>
                <w:iCs/>
                <w:sz w:val="20"/>
                <w:lang w:val="it-IT"/>
              </w:rPr>
              <w:t>(incluso shock anafilattico)</w:t>
            </w:r>
            <w:r w:rsidRPr="006A2BF9">
              <w:rPr>
                <w:i/>
                <w:sz w:val="20"/>
                <w:lang w:val="it-IT"/>
              </w:rPr>
              <w:t xml:space="preserve">/reazioni all’infusione </w:t>
            </w:r>
            <w:r w:rsidRPr="006A2BF9">
              <w:rPr>
                <w:sz w:val="20"/>
                <w:lang w:val="it-IT"/>
              </w:rPr>
              <w:t>precedente)</w:t>
            </w:r>
            <w:r w:rsidR="00A01B02">
              <w:rPr>
                <w:sz w:val="20"/>
                <w:lang w:val="it-IT"/>
              </w:rPr>
              <w:t>.</w:t>
            </w:r>
          </w:p>
          <w:p w14:paraId="09D4B454" w14:textId="77777777" w:rsidR="00A01B02" w:rsidRPr="00B74D84" w:rsidRDefault="00A01B02" w:rsidP="00E07077">
            <w:pPr>
              <w:keepNext/>
              <w:keepLines/>
              <w:jc w:val="both"/>
              <w:rPr>
                <w:rFonts w:eastAsia="Yu Mincho"/>
                <w:i/>
                <w:sz w:val="20"/>
                <w:lang w:val="it-IT"/>
              </w:rPr>
            </w:pPr>
            <w:r>
              <w:rPr>
                <w:sz w:val="20"/>
                <w:lang w:val="it-IT"/>
              </w:rPr>
              <w:t xml:space="preserve">Shock anafilattico </w:t>
            </w:r>
            <w:r w:rsidRPr="002429CE">
              <w:rPr>
                <w:sz w:val="20"/>
                <w:lang w:val="it-IT"/>
              </w:rPr>
              <w:t>(rara) (vedere anche paragrafo 4.4)</w:t>
            </w:r>
            <w:r>
              <w:rPr>
                <w:sz w:val="20"/>
                <w:lang w:val="it-IT"/>
              </w:rPr>
              <w:t>.</w:t>
            </w:r>
          </w:p>
        </w:tc>
      </w:tr>
      <w:tr w:rsidR="003463C1" w:rsidRPr="006A2BF9" w14:paraId="2E1D9A05" w14:textId="77777777" w:rsidTr="000B76C2">
        <w:trPr>
          <w:tblHeader/>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4E41BA" w14:textId="77777777" w:rsidR="003463C1" w:rsidRPr="006A2BF9" w:rsidRDefault="00373E32" w:rsidP="00C65E97">
            <w:pPr>
              <w:keepNext/>
              <w:keepLines/>
              <w:rPr>
                <w:sz w:val="20"/>
                <w:lang w:val="it-IT"/>
              </w:rPr>
            </w:pPr>
            <w:r w:rsidRPr="006A2BF9">
              <w:rPr>
                <w:sz w:val="20"/>
                <w:lang w:val="it-IT"/>
              </w:rPr>
              <w:t>Patologie del sistema nervoso</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2C3C57FC" w14:textId="77777777" w:rsidR="003463C1" w:rsidRPr="006A2BF9" w:rsidRDefault="00373E32" w:rsidP="00C65E97">
            <w:pPr>
              <w:keepNext/>
              <w:keepLines/>
              <w:jc w:val="both"/>
              <w:rPr>
                <w:sz w:val="20"/>
                <w:lang w:val="it-IT"/>
              </w:rPr>
            </w:pPr>
            <w:r w:rsidRPr="006A2BF9">
              <w:rPr>
                <w:sz w:val="20"/>
                <w:lang w:val="it-IT"/>
              </w:rPr>
              <w:t>Encefalopatia ipertensiva (molto rara) (vedere anche paragrafo</w:t>
            </w:r>
            <w:r w:rsidR="0030186D" w:rsidRPr="006A2BF9">
              <w:rPr>
                <w:sz w:val="20"/>
                <w:lang w:val="it-IT"/>
              </w:rPr>
              <w:t> </w:t>
            </w:r>
            <w:r w:rsidRPr="006A2BF9">
              <w:rPr>
                <w:sz w:val="20"/>
                <w:lang w:val="it-IT"/>
              </w:rPr>
              <w:t xml:space="preserve">4.4 e </w:t>
            </w:r>
            <w:r w:rsidRPr="006A2BF9">
              <w:rPr>
                <w:i/>
                <w:sz w:val="20"/>
                <w:lang w:val="it-IT"/>
              </w:rPr>
              <w:t>Ipertensione</w:t>
            </w:r>
            <w:r w:rsidRPr="006A2BF9">
              <w:rPr>
                <w:iCs/>
                <w:sz w:val="20"/>
                <w:lang w:val="it-IT"/>
              </w:rPr>
              <w:t xml:space="preserve"> al paragrafo</w:t>
            </w:r>
            <w:r w:rsidR="0030186D" w:rsidRPr="006A2BF9">
              <w:rPr>
                <w:iCs/>
                <w:sz w:val="20"/>
                <w:lang w:val="it-IT"/>
              </w:rPr>
              <w:t> </w:t>
            </w:r>
            <w:r w:rsidRPr="006A2BF9">
              <w:rPr>
                <w:sz w:val="20"/>
                <w:lang w:val="it-IT"/>
              </w:rPr>
              <w:t>4.8)</w:t>
            </w:r>
          </w:p>
          <w:p w14:paraId="2208291A" w14:textId="77777777" w:rsidR="003463C1" w:rsidRPr="006A2BF9" w:rsidRDefault="00763B11" w:rsidP="00C65E97">
            <w:pPr>
              <w:keepNext/>
              <w:keepLines/>
              <w:jc w:val="both"/>
              <w:rPr>
                <w:sz w:val="20"/>
                <w:lang w:val="it-IT"/>
              </w:rPr>
            </w:pPr>
            <w:r w:rsidRPr="006A2BF9">
              <w:rPr>
                <w:iCs/>
                <w:sz w:val="20"/>
                <w:lang w:val="it-IT"/>
              </w:rPr>
              <w:t>Sindrome d</w:t>
            </w:r>
            <w:r w:rsidR="005F7285" w:rsidRPr="006A2BF9">
              <w:rPr>
                <w:iCs/>
                <w:sz w:val="20"/>
                <w:lang w:val="it-IT"/>
              </w:rPr>
              <w:t>a</w:t>
            </w:r>
            <w:r w:rsidRPr="006A2BF9">
              <w:rPr>
                <w:iCs/>
                <w:sz w:val="20"/>
                <w:lang w:val="it-IT"/>
              </w:rPr>
              <w:t xml:space="preserve"> encefalopatia posteriore reversibile</w:t>
            </w:r>
            <w:r w:rsidR="00DB56C5" w:rsidRPr="006A2BF9">
              <w:rPr>
                <w:iCs/>
                <w:sz w:val="20"/>
                <w:lang w:val="it-IT"/>
              </w:rPr>
              <w:t xml:space="preserve"> (PRES)</w:t>
            </w:r>
            <w:r w:rsidR="00373E32" w:rsidRPr="006A2BF9">
              <w:rPr>
                <w:iCs/>
                <w:sz w:val="20"/>
                <w:lang w:val="it-IT"/>
              </w:rPr>
              <w:t xml:space="preserve"> </w:t>
            </w:r>
            <w:r w:rsidR="00373E32" w:rsidRPr="006A2BF9">
              <w:rPr>
                <w:sz w:val="20"/>
                <w:lang w:val="it-IT"/>
              </w:rPr>
              <w:t>(rara) (vedere anche paragrafo</w:t>
            </w:r>
            <w:r w:rsidR="0030186D" w:rsidRPr="006A2BF9">
              <w:rPr>
                <w:sz w:val="20"/>
                <w:lang w:val="it-IT"/>
              </w:rPr>
              <w:t> </w:t>
            </w:r>
            <w:r w:rsidR="00373E32" w:rsidRPr="006A2BF9">
              <w:rPr>
                <w:sz w:val="20"/>
                <w:lang w:val="it-IT"/>
              </w:rPr>
              <w:t>4.4)</w:t>
            </w:r>
          </w:p>
        </w:tc>
      </w:tr>
      <w:tr w:rsidR="003463C1" w:rsidRPr="006A2BF9" w14:paraId="756E8D3E" w14:textId="77777777" w:rsidTr="000B76C2">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AA87E9" w14:textId="77777777" w:rsidR="003463C1" w:rsidRPr="006A2BF9" w:rsidRDefault="00373E32" w:rsidP="00C65E97">
            <w:pPr>
              <w:keepNext/>
              <w:keepLines/>
              <w:rPr>
                <w:rFonts w:eastAsia="SimSun"/>
                <w:sz w:val="20"/>
                <w:lang w:val="it-IT" w:eastAsia="zh-CN"/>
              </w:rPr>
            </w:pPr>
            <w:r w:rsidRPr="006A2BF9">
              <w:rPr>
                <w:sz w:val="20"/>
                <w:lang w:val="it-IT"/>
              </w:rPr>
              <w:t>Patologie vascolari</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2CC42B" w14:textId="77777777" w:rsidR="003463C1" w:rsidRPr="006A2BF9" w:rsidRDefault="00373E32" w:rsidP="00E07077">
            <w:pPr>
              <w:keepNext/>
              <w:keepLines/>
              <w:jc w:val="both"/>
              <w:rPr>
                <w:sz w:val="20"/>
                <w:lang w:val="it-IT"/>
              </w:rPr>
            </w:pPr>
            <w:r w:rsidRPr="006A2BF9">
              <w:rPr>
                <w:sz w:val="20"/>
                <w:lang w:val="it-IT"/>
              </w:rPr>
              <w:t xml:space="preserve">Microangiopatia trombotica renale, che </w:t>
            </w:r>
            <w:r w:rsidR="009C7015" w:rsidRPr="006A2BF9">
              <w:rPr>
                <w:sz w:val="20"/>
                <w:lang w:val="it-IT"/>
              </w:rPr>
              <w:t xml:space="preserve">può </w:t>
            </w:r>
            <w:r w:rsidRPr="006A2BF9">
              <w:rPr>
                <w:sz w:val="20"/>
                <w:lang w:val="it-IT"/>
              </w:rPr>
              <w:t>manifesta</w:t>
            </w:r>
            <w:r w:rsidR="009C7015" w:rsidRPr="006A2BF9">
              <w:rPr>
                <w:sz w:val="20"/>
                <w:lang w:val="it-IT"/>
              </w:rPr>
              <w:t>rsi</w:t>
            </w:r>
            <w:r w:rsidRPr="006A2BF9">
              <w:rPr>
                <w:sz w:val="20"/>
                <w:lang w:val="it-IT"/>
              </w:rPr>
              <w:t xml:space="preserve"> clinicamente con proteinuria (non nota)</w:t>
            </w:r>
            <w:r w:rsidR="009C7015" w:rsidRPr="006A2BF9">
              <w:rPr>
                <w:sz w:val="20"/>
                <w:lang w:val="it-IT"/>
              </w:rPr>
              <w:t xml:space="preserve"> con o senza l’uso concomitante di </w:t>
            </w:r>
            <w:r w:rsidR="00E07077" w:rsidRPr="006A2BF9">
              <w:rPr>
                <w:sz w:val="20"/>
                <w:lang w:val="it-IT"/>
              </w:rPr>
              <w:t>sunitinib</w:t>
            </w:r>
            <w:r w:rsidRPr="006A2BF9">
              <w:rPr>
                <w:sz w:val="20"/>
                <w:lang w:val="it-IT"/>
              </w:rPr>
              <w:t>. Per ulteriori informazioni sulla proteinuria vedere paragrafo</w:t>
            </w:r>
            <w:r w:rsidR="0030186D" w:rsidRPr="006A2BF9">
              <w:rPr>
                <w:sz w:val="20"/>
                <w:lang w:val="it-IT"/>
              </w:rPr>
              <w:t> </w:t>
            </w:r>
            <w:r w:rsidRPr="006A2BF9">
              <w:rPr>
                <w:sz w:val="20"/>
                <w:lang w:val="it-IT"/>
              </w:rPr>
              <w:t xml:space="preserve">4.4 </w:t>
            </w:r>
            <w:r w:rsidR="003463C1" w:rsidRPr="006A2BF9">
              <w:rPr>
                <w:i/>
                <w:sz w:val="20"/>
                <w:lang w:val="it-IT"/>
              </w:rPr>
              <w:t xml:space="preserve">Proteinuria </w:t>
            </w:r>
            <w:r w:rsidR="00E07077" w:rsidRPr="006A2BF9">
              <w:rPr>
                <w:sz w:val="20"/>
                <w:lang w:val="it-IT"/>
              </w:rPr>
              <w:t>(</w:t>
            </w:r>
            <w:r w:rsidRPr="006A2BF9">
              <w:rPr>
                <w:iCs/>
                <w:sz w:val="20"/>
                <w:lang w:val="it-IT"/>
              </w:rPr>
              <w:t>paragrafo</w:t>
            </w:r>
            <w:r w:rsidR="0030186D" w:rsidRPr="006A2BF9">
              <w:rPr>
                <w:sz w:val="20"/>
                <w:lang w:val="it-IT"/>
              </w:rPr>
              <w:t> </w:t>
            </w:r>
            <w:r w:rsidRPr="006A2BF9">
              <w:rPr>
                <w:sz w:val="20"/>
                <w:lang w:val="it-IT"/>
              </w:rPr>
              <w:t>4.8)</w:t>
            </w:r>
            <w:r w:rsidR="003463C1" w:rsidRPr="006A2BF9">
              <w:rPr>
                <w:sz w:val="20"/>
                <w:lang w:val="it-IT"/>
              </w:rPr>
              <w:t>.</w:t>
            </w:r>
          </w:p>
        </w:tc>
      </w:tr>
      <w:tr w:rsidR="003463C1" w:rsidRPr="006A2BF9" w14:paraId="628F5470" w14:textId="77777777" w:rsidTr="000B76C2">
        <w:trPr>
          <w:tblHeader/>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2D8BBF" w14:textId="77777777" w:rsidR="003463C1" w:rsidRPr="006A2BF9" w:rsidRDefault="00373E32" w:rsidP="00C65E97">
            <w:pPr>
              <w:keepNext/>
              <w:keepLines/>
              <w:rPr>
                <w:sz w:val="20"/>
                <w:lang w:val="it-IT"/>
              </w:rPr>
            </w:pPr>
            <w:bookmarkStart w:id="3" w:name="OLE_LINK5"/>
            <w:bookmarkStart w:id="4" w:name="OLE_LINK6"/>
            <w:r w:rsidRPr="006A2BF9">
              <w:rPr>
                <w:rFonts w:eastAsia="SimSun"/>
                <w:sz w:val="20"/>
                <w:lang w:val="it-IT" w:eastAsia="zh-CN"/>
              </w:rPr>
              <w:t>Patologie respiratorie, toraciche e mediastiniche</w:t>
            </w:r>
            <w:bookmarkEnd w:id="3"/>
            <w:bookmarkEnd w:id="4"/>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756DA8E" w14:textId="77777777" w:rsidR="00373E32" w:rsidRPr="006A2BF9" w:rsidRDefault="00373E32" w:rsidP="00C65E97">
            <w:pPr>
              <w:keepNext/>
              <w:keepLines/>
              <w:jc w:val="both"/>
              <w:rPr>
                <w:sz w:val="20"/>
                <w:lang w:val="it-IT"/>
              </w:rPr>
            </w:pPr>
            <w:r w:rsidRPr="006A2BF9">
              <w:rPr>
                <w:sz w:val="20"/>
                <w:lang w:val="it-IT"/>
              </w:rPr>
              <w:t>Perforazione del setto nasale (non nota)</w:t>
            </w:r>
          </w:p>
          <w:p w14:paraId="6A0B4DF4" w14:textId="77777777" w:rsidR="00373E32" w:rsidRPr="006A2BF9" w:rsidRDefault="00373E32" w:rsidP="00C65E97">
            <w:pPr>
              <w:keepNext/>
              <w:keepLines/>
              <w:jc w:val="both"/>
              <w:rPr>
                <w:sz w:val="20"/>
                <w:lang w:val="it-IT"/>
              </w:rPr>
            </w:pPr>
            <w:r w:rsidRPr="006A2BF9">
              <w:rPr>
                <w:sz w:val="20"/>
                <w:lang w:val="it-IT"/>
              </w:rPr>
              <w:t>Ipertensione polmonare (non nota)</w:t>
            </w:r>
          </w:p>
          <w:p w14:paraId="4EBA77B6" w14:textId="77777777" w:rsidR="003463C1" w:rsidRPr="006A2BF9" w:rsidRDefault="00373E32" w:rsidP="00C65E97">
            <w:pPr>
              <w:keepNext/>
              <w:keepLines/>
              <w:jc w:val="both"/>
              <w:rPr>
                <w:sz w:val="20"/>
                <w:lang w:val="it-IT"/>
              </w:rPr>
            </w:pPr>
            <w:r w:rsidRPr="006A2BF9">
              <w:rPr>
                <w:sz w:val="20"/>
                <w:lang w:val="it-IT"/>
              </w:rPr>
              <w:t>Disfonia (comune)</w:t>
            </w:r>
          </w:p>
        </w:tc>
      </w:tr>
      <w:tr w:rsidR="00EA1415" w:rsidRPr="006A2BF9" w14:paraId="170928BF" w14:textId="77777777" w:rsidTr="00B51EBE">
        <w:trPr>
          <w:tblHeader/>
        </w:trPr>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A725EE" w14:textId="77777777" w:rsidR="00EA1415" w:rsidRPr="006A2BF9" w:rsidRDefault="00EA1415" w:rsidP="00C65E97">
            <w:pPr>
              <w:keepNext/>
              <w:keepLines/>
              <w:rPr>
                <w:rFonts w:eastAsia="SimSun"/>
                <w:sz w:val="20"/>
                <w:lang w:val="it-IT" w:eastAsia="zh-CN"/>
              </w:rPr>
            </w:pPr>
            <w:r w:rsidRPr="006A2BF9">
              <w:rPr>
                <w:rFonts w:eastAsia="SimSun"/>
                <w:sz w:val="20"/>
                <w:lang w:val="it-IT" w:eastAsia="zh-CN"/>
              </w:rPr>
              <w:t>Patologie gastrointestinali</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3A66DBC0" w14:textId="77777777" w:rsidR="00EA1415" w:rsidRPr="006A2BF9" w:rsidRDefault="00EA1415" w:rsidP="00C65E97">
            <w:pPr>
              <w:keepNext/>
              <w:keepLines/>
              <w:rPr>
                <w:sz w:val="20"/>
                <w:lang w:val="it-IT"/>
              </w:rPr>
            </w:pPr>
            <w:r w:rsidRPr="006A2BF9">
              <w:rPr>
                <w:sz w:val="20"/>
                <w:lang w:val="it-IT"/>
              </w:rPr>
              <w:t>Ulcera gastrointestinale (non nota)</w:t>
            </w:r>
          </w:p>
        </w:tc>
      </w:tr>
      <w:tr w:rsidR="00A56E42" w:rsidRPr="006A2BF9" w14:paraId="6EF5ACBB" w14:textId="77777777" w:rsidTr="00B51EBE">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6CF29D" w14:textId="77777777" w:rsidR="00A56E42" w:rsidRPr="006A2BF9" w:rsidRDefault="00A56E42" w:rsidP="00C65E97">
            <w:pPr>
              <w:keepNext/>
              <w:keepLines/>
              <w:rPr>
                <w:rFonts w:eastAsia="SimSun"/>
                <w:sz w:val="20"/>
                <w:lang w:val="it-IT" w:eastAsia="zh-CN"/>
              </w:rPr>
            </w:pPr>
            <w:r w:rsidRPr="006A2BF9">
              <w:rPr>
                <w:rFonts w:eastAsia="SimSun"/>
                <w:sz w:val="20"/>
                <w:lang w:val="it-IT" w:eastAsia="zh-CN"/>
              </w:rPr>
              <w:t>Patologie epatobiliari</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A458F6" w14:textId="77777777" w:rsidR="00A56E42" w:rsidRPr="006A2BF9" w:rsidRDefault="00A56E42" w:rsidP="00C65E97">
            <w:pPr>
              <w:keepNext/>
              <w:keepLines/>
              <w:rPr>
                <w:sz w:val="20"/>
                <w:lang w:val="it-IT"/>
              </w:rPr>
            </w:pPr>
            <w:r w:rsidRPr="006A2BF9">
              <w:rPr>
                <w:sz w:val="20"/>
                <w:lang w:val="it-IT"/>
              </w:rPr>
              <w:t>Perforazione della colecisti (non nota)</w:t>
            </w:r>
          </w:p>
        </w:tc>
      </w:tr>
      <w:tr w:rsidR="00DB56C5" w:rsidRPr="006A2BF9" w14:paraId="69B698D0" w14:textId="77777777" w:rsidTr="00E74A2F">
        <w:trPr>
          <w:tblHeader/>
        </w:trPr>
        <w:tc>
          <w:tcPr>
            <w:tcW w:w="2280"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61F07A31" w14:textId="77777777" w:rsidR="00DB56C5" w:rsidRPr="006A2BF9" w:rsidRDefault="00DB56C5" w:rsidP="00C65E97">
            <w:pPr>
              <w:rPr>
                <w:rFonts w:eastAsia="SimSun"/>
                <w:sz w:val="20"/>
                <w:lang w:val="it-IT" w:eastAsia="zh-CN"/>
              </w:rPr>
            </w:pPr>
            <w:r w:rsidRPr="006A2BF9">
              <w:rPr>
                <w:rFonts w:eastAsia="SimSun"/>
                <w:sz w:val="20"/>
                <w:lang w:val="it-IT" w:eastAsia="zh-CN"/>
              </w:rPr>
              <w:t>Patologie del sistema muscoloscheletrico e del tessuto connettivo</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8C982B" w14:textId="77777777" w:rsidR="00DB56C5" w:rsidRPr="006A2BF9" w:rsidRDefault="00DB56C5" w:rsidP="00E07077">
            <w:pPr>
              <w:rPr>
                <w:sz w:val="20"/>
                <w:lang w:val="it-IT"/>
              </w:rPr>
            </w:pPr>
            <w:bookmarkStart w:id="5" w:name="OLE_LINK11"/>
            <w:bookmarkStart w:id="6" w:name="OLE_LINK12"/>
            <w:r w:rsidRPr="006A2BF9">
              <w:rPr>
                <w:sz w:val="20"/>
                <w:lang w:val="it-IT"/>
              </w:rPr>
              <w:t xml:space="preserve">Casi di </w:t>
            </w:r>
            <w:r w:rsidR="00E07077" w:rsidRPr="006A2BF9">
              <w:rPr>
                <w:sz w:val="20"/>
                <w:lang w:val="it-IT"/>
              </w:rPr>
              <w:t xml:space="preserve">osteonecrosi </w:t>
            </w:r>
            <w:r w:rsidRPr="006A2BF9">
              <w:rPr>
                <w:sz w:val="20"/>
                <w:lang w:val="it-IT"/>
              </w:rPr>
              <w:t xml:space="preserve">della </w:t>
            </w:r>
            <w:r w:rsidR="00E07077" w:rsidRPr="006A2BF9">
              <w:rPr>
                <w:sz w:val="20"/>
                <w:lang w:val="it-IT"/>
              </w:rPr>
              <w:t>mandibola</w:t>
            </w:r>
            <w:r w:rsidRPr="006A2BF9">
              <w:rPr>
                <w:sz w:val="20"/>
                <w:lang w:val="it-IT"/>
              </w:rPr>
              <w:t xml:space="preserve">/mascella (ONM) sono stati segnalati in pazienti trattati con </w:t>
            </w:r>
            <w:r w:rsidR="0030186D" w:rsidRPr="006A2BF9">
              <w:rPr>
                <w:sz w:val="20"/>
                <w:lang w:val="it-IT"/>
              </w:rPr>
              <w:t>bevacizumab</w:t>
            </w:r>
            <w:r w:rsidRPr="006A2BF9">
              <w:rPr>
                <w:sz w:val="20"/>
                <w:lang w:val="it-IT"/>
              </w:rPr>
              <w:t>, la maggior parte dei quali si sono verificati in pazienti con fattori di rischio noti per l’osteonecrosi, in particolare esposizione a somministrazione endovenosa di bifosfonati e/o anamnesi di patologie odontoiatriche che richiedono il ricorso a procedure odontoiatriche invasive (vedere anche paragrafo</w:t>
            </w:r>
            <w:r w:rsidR="0030186D" w:rsidRPr="006A2BF9">
              <w:rPr>
                <w:sz w:val="20"/>
                <w:lang w:val="it-IT"/>
              </w:rPr>
              <w:t> </w:t>
            </w:r>
            <w:r w:rsidRPr="006A2BF9">
              <w:rPr>
                <w:sz w:val="20"/>
                <w:lang w:val="it-IT"/>
              </w:rPr>
              <w:t>4.4)</w:t>
            </w:r>
            <w:bookmarkEnd w:id="5"/>
            <w:bookmarkEnd w:id="6"/>
          </w:p>
        </w:tc>
      </w:tr>
      <w:tr w:rsidR="00DB56C5" w:rsidRPr="006A2BF9" w14:paraId="0BA946B2" w14:textId="77777777" w:rsidTr="00E74A2F">
        <w:trPr>
          <w:tblHeader/>
        </w:trPr>
        <w:tc>
          <w:tcPr>
            <w:tcW w:w="228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1D1152AF" w14:textId="77777777" w:rsidR="00DB56C5" w:rsidRPr="006A2BF9" w:rsidRDefault="00DB56C5" w:rsidP="00C65E97">
            <w:pPr>
              <w:rPr>
                <w:rFonts w:eastAsia="SimSun"/>
                <w:sz w:val="20"/>
                <w:lang w:val="it-IT" w:eastAsia="zh-CN"/>
              </w:rPr>
            </w:pP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DC55D" w14:textId="77777777" w:rsidR="00DB56C5" w:rsidRPr="006A2BF9" w:rsidRDefault="00DB56C5" w:rsidP="00E07077">
            <w:pPr>
              <w:rPr>
                <w:sz w:val="20"/>
                <w:lang w:val="it-IT"/>
              </w:rPr>
            </w:pPr>
            <w:r w:rsidRPr="006A2BF9">
              <w:rPr>
                <w:sz w:val="20"/>
                <w:lang w:val="it-IT"/>
              </w:rPr>
              <w:t xml:space="preserve">Casi di osteonecrosi non </w:t>
            </w:r>
            <w:r w:rsidR="00EA6DA6" w:rsidRPr="006A2BF9">
              <w:rPr>
                <w:sz w:val="20"/>
                <w:lang w:val="it-IT"/>
              </w:rPr>
              <w:t xml:space="preserve">mandibolare </w:t>
            </w:r>
            <w:r w:rsidRPr="006A2BF9">
              <w:rPr>
                <w:sz w:val="20"/>
                <w:lang w:val="it-IT"/>
              </w:rPr>
              <w:t>sono stati osservati in pazienti pe</w:t>
            </w:r>
            <w:r w:rsidR="004B1BF4" w:rsidRPr="006A2BF9">
              <w:rPr>
                <w:sz w:val="20"/>
                <w:lang w:val="it-IT"/>
              </w:rPr>
              <w:t xml:space="preserve">diatrici trattati con </w:t>
            </w:r>
            <w:r w:rsidR="0030186D" w:rsidRPr="006A2BF9">
              <w:rPr>
                <w:sz w:val="20"/>
                <w:lang w:val="it-IT"/>
              </w:rPr>
              <w:t>bevacizumab</w:t>
            </w:r>
            <w:r w:rsidR="0030186D" w:rsidRPr="006A2BF9" w:rsidDel="0030186D">
              <w:rPr>
                <w:sz w:val="20"/>
                <w:lang w:val="it-IT"/>
              </w:rPr>
              <w:t xml:space="preserve"> </w:t>
            </w:r>
            <w:r w:rsidR="004B1BF4" w:rsidRPr="006A2BF9">
              <w:rPr>
                <w:sz w:val="20"/>
                <w:lang w:val="it-IT"/>
              </w:rPr>
              <w:t>(</w:t>
            </w:r>
            <w:r w:rsidRPr="006A2BF9">
              <w:rPr>
                <w:sz w:val="20"/>
                <w:lang w:val="it-IT"/>
              </w:rPr>
              <w:t>vedere paragrafo</w:t>
            </w:r>
            <w:r w:rsidR="0030186D" w:rsidRPr="006A2BF9">
              <w:rPr>
                <w:sz w:val="20"/>
                <w:lang w:val="it-IT"/>
              </w:rPr>
              <w:t> </w:t>
            </w:r>
            <w:r w:rsidRPr="006A2BF9">
              <w:rPr>
                <w:sz w:val="20"/>
                <w:lang w:val="it-IT"/>
              </w:rPr>
              <w:t xml:space="preserve">4.8 Popolazione </w:t>
            </w:r>
            <w:r w:rsidR="00E07077" w:rsidRPr="006A2BF9">
              <w:rPr>
                <w:sz w:val="20"/>
                <w:lang w:val="it-IT"/>
              </w:rPr>
              <w:t>pediatrica</w:t>
            </w:r>
            <w:r w:rsidRPr="006A2BF9">
              <w:rPr>
                <w:sz w:val="20"/>
                <w:lang w:val="it-IT"/>
              </w:rPr>
              <w:t xml:space="preserve">). </w:t>
            </w:r>
          </w:p>
        </w:tc>
      </w:tr>
      <w:tr w:rsidR="00547A6F" w:rsidRPr="006A2BF9" w:rsidDel="00547A6F" w14:paraId="23DDAADE" w14:textId="77777777" w:rsidTr="00B51EBE">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09E032" w14:textId="77777777" w:rsidR="00547A6F" w:rsidRPr="006A2BF9" w:rsidDel="00547A6F" w:rsidRDefault="00E07077" w:rsidP="00E07077">
            <w:pPr>
              <w:rPr>
                <w:rFonts w:eastAsia="SimSun"/>
                <w:sz w:val="20"/>
                <w:lang w:val="it-IT" w:eastAsia="zh-CN"/>
              </w:rPr>
            </w:pPr>
            <w:r w:rsidRPr="00330A40">
              <w:rPr>
                <w:rFonts w:eastAsia="SimSun"/>
                <w:sz w:val="20"/>
                <w:lang w:val="it-IT" w:eastAsia="zh-CN"/>
              </w:rPr>
              <w:t>Patologie congenite</w:t>
            </w:r>
            <w:r w:rsidR="00547A6F" w:rsidRPr="00330A40">
              <w:rPr>
                <w:rFonts w:eastAsia="SimSun"/>
                <w:sz w:val="20"/>
                <w:lang w:val="it-IT" w:eastAsia="zh-CN"/>
              </w:rPr>
              <w:t xml:space="preserve">, </w:t>
            </w:r>
            <w:r w:rsidRPr="00330A40">
              <w:rPr>
                <w:rFonts w:eastAsia="SimSun"/>
                <w:sz w:val="20"/>
                <w:lang w:val="it-IT" w:eastAsia="zh-CN"/>
              </w:rPr>
              <w:t xml:space="preserve">familiari </w:t>
            </w:r>
            <w:r w:rsidR="00547A6F" w:rsidRPr="00330A40">
              <w:rPr>
                <w:rFonts w:eastAsia="SimSun"/>
                <w:sz w:val="20"/>
                <w:lang w:val="it-IT" w:eastAsia="zh-CN"/>
              </w:rPr>
              <w:t xml:space="preserve">e </w:t>
            </w:r>
            <w:r w:rsidRPr="006A2BF9">
              <w:rPr>
                <w:rFonts w:eastAsia="SimSun"/>
                <w:sz w:val="20"/>
                <w:lang w:val="it-IT" w:eastAsia="zh-CN"/>
              </w:rPr>
              <w:t>genetiche</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EACD95" w14:textId="77777777" w:rsidR="00547A6F" w:rsidRPr="006A2BF9" w:rsidDel="00547A6F" w:rsidRDefault="00547A6F" w:rsidP="00E07077">
            <w:pPr>
              <w:rPr>
                <w:sz w:val="20"/>
                <w:lang w:val="it-IT"/>
              </w:rPr>
            </w:pPr>
            <w:r w:rsidRPr="006A2BF9">
              <w:rPr>
                <w:sz w:val="20"/>
                <w:lang w:val="it-IT"/>
              </w:rPr>
              <w:t>Sono stati osservati casi di</w:t>
            </w:r>
            <w:r w:rsidR="0035203B" w:rsidRPr="006A2BF9">
              <w:rPr>
                <w:sz w:val="20"/>
                <w:lang w:val="it-IT"/>
              </w:rPr>
              <w:t xml:space="preserve"> </w:t>
            </w:r>
            <w:r w:rsidR="00BD4013" w:rsidRPr="006A2BF9">
              <w:rPr>
                <w:sz w:val="20"/>
                <w:lang w:val="it-IT"/>
              </w:rPr>
              <w:t>anomalie</w:t>
            </w:r>
            <w:r w:rsidRPr="006A2BF9">
              <w:rPr>
                <w:sz w:val="20"/>
                <w:lang w:val="it-IT"/>
              </w:rPr>
              <w:t xml:space="preserve"> fetal</w:t>
            </w:r>
            <w:r w:rsidR="00CA630B" w:rsidRPr="006A2BF9">
              <w:rPr>
                <w:sz w:val="20"/>
                <w:lang w:val="it-IT"/>
              </w:rPr>
              <w:t>i</w:t>
            </w:r>
            <w:r w:rsidRPr="006A2BF9">
              <w:rPr>
                <w:sz w:val="20"/>
                <w:lang w:val="it-IT"/>
              </w:rPr>
              <w:t xml:space="preserve"> in donne trattate con bevacizumab in monoterapia o in associazione </w:t>
            </w:r>
            <w:r w:rsidR="00E07077" w:rsidRPr="006A2BF9">
              <w:rPr>
                <w:sz w:val="20"/>
                <w:lang w:val="it-IT"/>
              </w:rPr>
              <w:t xml:space="preserve">a </w:t>
            </w:r>
            <w:r w:rsidRPr="006A2BF9">
              <w:rPr>
                <w:sz w:val="20"/>
                <w:lang w:val="it-IT"/>
              </w:rPr>
              <w:t>noti chemioterapici embriotossici (vedere paragrafo</w:t>
            </w:r>
            <w:r w:rsidR="0030186D" w:rsidRPr="006A2BF9">
              <w:rPr>
                <w:sz w:val="20"/>
                <w:lang w:val="it-IT"/>
              </w:rPr>
              <w:t> </w:t>
            </w:r>
            <w:r w:rsidRPr="006A2BF9">
              <w:rPr>
                <w:sz w:val="20"/>
                <w:lang w:val="it-IT"/>
              </w:rPr>
              <w:t xml:space="preserve">4.6). </w:t>
            </w:r>
          </w:p>
        </w:tc>
      </w:tr>
    </w:tbl>
    <w:p w14:paraId="09F0C30B" w14:textId="77777777" w:rsidR="003463C1" w:rsidRPr="006A2BF9" w:rsidRDefault="003463C1" w:rsidP="004A0352">
      <w:pPr>
        <w:rPr>
          <w:sz w:val="20"/>
          <w:lang w:val="it-IT"/>
        </w:rPr>
      </w:pPr>
      <w:r w:rsidRPr="006A2BF9">
        <w:rPr>
          <w:sz w:val="20"/>
          <w:lang w:val="it-IT"/>
        </w:rPr>
        <w:t xml:space="preserve">* </w:t>
      </w:r>
      <w:r w:rsidR="00373E32" w:rsidRPr="006A2BF9">
        <w:rPr>
          <w:sz w:val="20"/>
          <w:lang w:val="it-IT"/>
        </w:rPr>
        <w:t>se specificata, la frequenza è stata tratta dai dati degli studi clinici</w:t>
      </w:r>
    </w:p>
    <w:p w14:paraId="74773FE7" w14:textId="77777777" w:rsidR="003463C1" w:rsidRPr="006A2BF9" w:rsidRDefault="003463C1" w:rsidP="00EA1C4C">
      <w:pPr>
        <w:rPr>
          <w:szCs w:val="22"/>
          <w:lang w:val="it-IT"/>
        </w:rPr>
      </w:pPr>
    </w:p>
    <w:p w14:paraId="1DDB88FD" w14:textId="77777777" w:rsidR="00354C1E" w:rsidRPr="006A2BF9" w:rsidRDefault="00527A30" w:rsidP="00AB2C62">
      <w:pPr>
        <w:keepNext/>
        <w:keepLines/>
        <w:rPr>
          <w:szCs w:val="22"/>
          <w:u w:val="single"/>
          <w:lang w:val="it-IT"/>
        </w:rPr>
      </w:pPr>
      <w:r w:rsidRPr="006A2BF9">
        <w:rPr>
          <w:szCs w:val="22"/>
          <w:u w:val="single"/>
          <w:lang w:val="it-IT"/>
        </w:rPr>
        <w:t>Segnalazione delle reazioni avverse sospette</w:t>
      </w:r>
    </w:p>
    <w:p w14:paraId="0A23265C" w14:textId="77777777" w:rsidR="00527A30" w:rsidRPr="006A2BF9" w:rsidRDefault="00527A30" w:rsidP="00AB2C62">
      <w:pPr>
        <w:keepNext/>
        <w:keepLines/>
        <w:rPr>
          <w:szCs w:val="22"/>
          <w:u w:val="single"/>
          <w:lang w:val="it-IT"/>
        </w:rPr>
      </w:pPr>
    </w:p>
    <w:p w14:paraId="01833FBD" w14:textId="77777777" w:rsidR="00AA5AAE" w:rsidRPr="00330A40" w:rsidRDefault="00527A30" w:rsidP="00AA5AAE">
      <w:pPr>
        <w:keepNext/>
        <w:keepLines/>
        <w:outlineLvl w:val="0"/>
        <w:rPr>
          <w:szCs w:val="22"/>
          <w:lang w:val="it-IT"/>
        </w:rPr>
      </w:pPr>
      <w:r w:rsidRPr="006A2BF9">
        <w:rPr>
          <w:szCs w:val="22"/>
          <w:lang w:val="it-IT"/>
        </w:rPr>
        <w:t xml:space="preserve">La segnalazione delle reazioni avverse sospette che si verificano dopo l’autorizzazione del medicinale è importante, in quanto permette un monitoraggio continuo del rapporto beneficio/rischio del medicinale. </w:t>
      </w:r>
      <w:r w:rsidR="00AA5AAE" w:rsidRPr="006A2BF9">
        <w:rPr>
          <w:szCs w:val="22"/>
          <w:lang w:val="it-IT"/>
        </w:rPr>
        <w:t xml:space="preserve">Agli operatori sanitari è richiesto di segnalare qualsiasi reazione avversa sospetta </w:t>
      </w:r>
      <w:r w:rsidR="00AA5AAE" w:rsidRPr="006A2BF9">
        <w:rPr>
          <w:lang w:val="it-IT"/>
        </w:rPr>
        <w:t>tramite</w:t>
      </w:r>
      <w:r w:rsidR="00AA5AAE" w:rsidRPr="006A2BF9">
        <w:rPr>
          <w:szCs w:val="22"/>
          <w:lang w:val="it-IT"/>
        </w:rPr>
        <w:t xml:space="preserve"> </w:t>
      </w:r>
      <w:r w:rsidR="00AA5AAE" w:rsidRPr="006A2BF9">
        <w:rPr>
          <w:szCs w:val="22"/>
          <w:highlight w:val="lightGray"/>
          <w:lang w:val="it-IT"/>
        </w:rPr>
        <w:t>il sistema nazionale di segnalazione riportato nell’</w:t>
      </w:r>
      <w:hyperlink r:id="rId12" w:history="1">
        <w:r w:rsidR="0002120B" w:rsidRPr="00330A40">
          <w:rPr>
            <w:rStyle w:val="Hyperlink"/>
            <w:szCs w:val="22"/>
            <w:highlight w:val="lightGray"/>
            <w:lang w:val="it-IT"/>
          </w:rPr>
          <w:t>a</w:t>
        </w:r>
        <w:r w:rsidR="00AA5AAE" w:rsidRPr="00330A40">
          <w:rPr>
            <w:rStyle w:val="Hyperlink"/>
            <w:szCs w:val="22"/>
            <w:highlight w:val="lightGray"/>
            <w:lang w:val="it-IT"/>
          </w:rPr>
          <w:t>llegato V</w:t>
        </w:r>
      </w:hyperlink>
      <w:r w:rsidR="00AA5AAE" w:rsidRPr="00330A40">
        <w:rPr>
          <w:szCs w:val="22"/>
          <w:lang w:val="it-IT"/>
        </w:rPr>
        <w:t>.</w:t>
      </w:r>
    </w:p>
    <w:p w14:paraId="2330DE80" w14:textId="77777777" w:rsidR="00AA5AAE" w:rsidRPr="00330A40" w:rsidRDefault="00AA5AAE" w:rsidP="00AA5AAE">
      <w:pPr>
        <w:outlineLvl w:val="0"/>
        <w:rPr>
          <w:b/>
          <w:bCs/>
          <w:lang w:val="it-IT"/>
        </w:rPr>
      </w:pPr>
    </w:p>
    <w:p w14:paraId="24D487C1" w14:textId="77777777" w:rsidR="009C0666" w:rsidRPr="00330A40" w:rsidRDefault="009C0666" w:rsidP="00F44CF1">
      <w:pPr>
        <w:keepNext/>
        <w:ind w:left="567" w:hanging="567"/>
        <w:outlineLvl w:val="0"/>
        <w:rPr>
          <w:lang w:val="it-IT"/>
        </w:rPr>
      </w:pPr>
      <w:r w:rsidRPr="00330A40">
        <w:rPr>
          <w:b/>
          <w:bCs/>
          <w:lang w:val="it-IT"/>
        </w:rPr>
        <w:t>4.9</w:t>
      </w:r>
      <w:r w:rsidRPr="00330A40">
        <w:rPr>
          <w:b/>
          <w:bCs/>
          <w:lang w:val="it-IT"/>
        </w:rPr>
        <w:tab/>
        <w:t>Sovradosaggio</w:t>
      </w:r>
    </w:p>
    <w:p w14:paraId="0868BF63" w14:textId="77777777" w:rsidR="009C0666" w:rsidRPr="00330A40" w:rsidRDefault="009C0666" w:rsidP="00F44CF1">
      <w:pPr>
        <w:keepNext/>
        <w:rPr>
          <w:lang w:val="it-IT"/>
        </w:rPr>
      </w:pPr>
    </w:p>
    <w:p w14:paraId="3582E0A4" w14:textId="77777777" w:rsidR="009C0666" w:rsidRPr="006A2BF9" w:rsidRDefault="00633039" w:rsidP="009C0666">
      <w:pPr>
        <w:rPr>
          <w:lang w:val="it-IT"/>
        </w:rPr>
      </w:pPr>
      <w:r w:rsidRPr="00330A40">
        <w:rPr>
          <w:lang w:val="it-IT"/>
        </w:rPr>
        <w:t>La dose</w:t>
      </w:r>
      <w:r w:rsidR="009C0666" w:rsidRPr="00330A40">
        <w:rPr>
          <w:lang w:val="it-IT"/>
        </w:rPr>
        <w:t xml:space="preserve"> più alt</w:t>
      </w:r>
      <w:r w:rsidRPr="00330A40">
        <w:rPr>
          <w:lang w:val="it-IT"/>
        </w:rPr>
        <w:t>a</w:t>
      </w:r>
      <w:r w:rsidR="009C0666" w:rsidRPr="00330A40">
        <w:rPr>
          <w:lang w:val="it-IT"/>
        </w:rPr>
        <w:t xml:space="preserve"> valutat</w:t>
      </w:r>
      <w:r w:rsidRPr="006A2BF9">
        <w:rPr>
          <w:lang w:val="it-IT"/>
        </w:rPr>
        <w:t>a</w:t>
      </w:r>
      <w:r w:rsidR="009C0666" w:rsidRPr="006A2BF9">
        <w:rPr>
          <w:lang w:val="it-IT"/>
        </w:rPr>
        <w:t xml:space="preserve"> nell’uomo (20 mg/kg di peso corporeo, per via endovenosa ogni 2</w:t>
      </w:r>
      <w:r w:rsidR="003D4A0E" w:rsidRPr="006A2BF9">
        <w:rPr>
          <w:lang w:val="it-IT"/>
        </w:rPr>
        <w:t> </w:t>
      </w:r>
      <w:r w:rsidR="009C0666" w:rsidRPr="006A2BF9">
        <w:rPr>
          <w:lang w:val="it-IT"/>
        </w:rPr>
        <w:t xml:space="preserve">settimane) è </w:t>
      </w:r>
      <w:r w:rsidR="00A05FFE" w:rsidRPr="006A2BF9">
        <w:rPr>
          <w:lang w:val="it-IT"/>
        </w:rPr>
        <w:t xml:space="preserve">stata </w:t>
      </w:r>
      <w:r w:rsidRPr="006A2BF9">
        <w:rPr>
          <w:lang w:val="it-IT"/>
        </w:rPr>
        <w:t xml:space="preserve">associata </w:t>
      </w:r>
      <w:r w:rsidR="009C0666" w:rsidRPr="006A2BF9">
        <w:rPr>
          <w:lang w:val="it-IT"/>
        </w:rPr>
        <w:t xml:space="preserve">in molti pazienti ad una </w:t>
      </w:r>
      <w:r w:rsidR="00243287" w:rsidRPr="006A2BF9">
        <w:rPr>
          <w:lang w:val="it-IT"/>
        </w:rPr>
        <w:t>severa</w:t>
      </w:r>
      <w:r w:rsidR="009C0666" w:rsidRPr="006A2BF9">
        <w:rPr>
          <w:lang w:val="it-IT"/>
        </w:rPr>
        <w:t xml:space="preserve"> forma di emicrania.</w:t>
      </w:r>
    </w:p>
    <w:p w14:paraId="78F0C117" w14:textId="77777777" w:rsidR="009C0666" w:rsidRPr="006A2BF9" w:rsidRDefault="009C0666" w:rsidP="009C0666">
      <w:pPr>
        <w:rPr>
          <w:lang w:val="it-IT"/>
        </w:rPr>
      </w:pPr>
    </w:p>
    <w:p w14:paraId="472C78DB" w14:textId="77777777" w:rsidR="009C0666" w:rsidRPr="006A2BF9" w:rsidRDefault="009C0666" w:rsidP="009C0666">
      <w:pPr>
        <w:rPr>
          <w:lang w:val="it-IT"/>
        </w:rPr>
      </w:pPr>
    </w:p>
    <w:p w14:paraId="102539CF" w14:textId="77777777" w:rsidR="009C0666" w:rsidRPr="006A2BF9" w:rsidRDefault="009C0666" w:rsidP="00CF0780">
      <w:pPr>
        <w:ind w:left="567" w:hanging="567"/>
        <w:rPr>
          <w:b/>
          <w:bCs/>
          <w:lang w:val="it-IT"/>
        </w:rPr>
      </w:pPr>
      <w:r w:rsidRPr="006A2BF9">
        <w:rPr>
          <w:b/>
          <w:bCs/>
          <w:lang w:val="it-IT"/>
        </w:rPr>
        <w:t>5.</w:t>
      </w:r>
      <w:r w:rsidRPr="006A2BF9">
        <w:rPr>
          <w:b/>
          <w:bCs/>
          <w:lang w:val="it-IT"/>
        </w:rPr>
        <w:tab/>
        <w:t>PROPRIET</w:t>
      </w:r>
      <w:r w:rsidR="008059AB" w:rsidRPr="006A2BF9">
        <w:rPr>
          <w:b/>
          <w:bCs/>
          <w:lang w:val="it-IT"/>
        </w:rPr>
        <w:t>À</w:t>
      </w:r>
      <w:r w:rsidRPr="006A2BF9">
        <w:rPr>
          <w:b/>
          <w:bCs/>
          <w:lang w:val="it-IT"/>
        </w:rPr>
        <w:t xml:space="preserve"> FARMACOLOGICHE</w:t>
      </w:r>
    </w:p>
    <w:p w14:paraId="7F278247" w14:textId="77777777" w:rsidR="009C0666" w:rsidRPr="006A2BF9" w:rsidRDefault="009C0666" w:rsidP="00CF0780">
      <w:pPr>
        <w:rPr>
          <w:lang w:val="it-IT"/>
        </w:rPr>
      </w:pPr>
    </w:p>
    <w:p w14:paraId="29BDD3F5" w14:textId="77777777" w:rsidR="009C0666" w:rsidRPr="006A2BF9" w:rsidRDefault="009C0666" w:rsidP="00CF0780">
      <w:pPr>
        <w:ind w:left="567" w:hanging="567"/>
        <w:outlineLvl w:val="0"/>
        <w:rPr>
          <w:lang w:val="it-IT"/>
        </w:rPr>
      </w:pPr>
      <w:r w:rsidRPr="006A2BF9">
        <w:rPr>
          <w:b/>
          <w:bCs/>
          <w:lang w:val="it-IT"/>
        </w:rPr>
        <w:t>5.1</w:t>
      </w:r>
      <w:r w:rsidRPr="006A2BF9">
        <w:rPr>
          <w:b/>
          <w:bCs/>
          <w:lang w:val="it-IT"/>
        </w:rPr>
        <w:tab/>
        <w:t>Proprietà farmacodinamiche</w:t>
      </w:r>
    </w:p>
    <w:p w14:paraId="727922B6" w14:textId="77777777" w:rsidR="009C0666" w:rsidRPr="006A2BF9" w:rsidRDefault="009C0666" w:rsidP="00CF0780">
      <w:pPr>
        <w:rPr>
          <w:lang w:val="it-IT"/>
        </w:rPr>
      </w:pPr>
    </w:p>
    <w:p w14:paraId="2C358F9D" w14:textId="77777777" w:rsidR="009C0666" w:rsidRPr="006A2BF9" w:rsidRDefault="009C0666" w:rsidP="00CF0780">
      <w:pPr>
        <w:outlineLvl w:val="0"/>
        <w:rPr>
          <w:lang w:val="it-IT"/>
        </w:rPr>
      </w:pPr>
      <w:r w:rsidRPr="006A2BF9">
        <w:rPr>
          <w:lang w:val="it-IT"/>
        </w:rPr>
        <w:t xml:space="preserve">Categoria farmacoterapeutica: </w:t>
      </w:r>
      <w:r w:rsidR="008B19F0" w:rsidRPr="006A2BF9">
        <w:rPr>
          <w:lang w:val="it-IT"/>
        </w:rPr>
        <w:t xml:space="preserve">agenti antineoplastici e immunomodulatori, agenti antineoplastici, </w:t>
      </w:r>
      <w:r w:rsidRPr="006A2BF9">
        <w:rPr>
          <w:lang w:val="it-IT"/>
        </w:rPr>
        <w:t>anticorp</w:t>
      </w:r>
      <w:r w:rsidR="008B19F0" w:rsidRPr="006A2BF9">
        <w:rPr>
          <w:lang w:val="it-IT"/>
        </w:rPr>
        <w:t>i</w:t>
      </w:r>
      <w:r w:rsidRPr="006A2BF9">
        <w:rPr>
          <w:lang w:val="it-IT"/>
        </w:rPr>
        <w:t xml:space="preserve"> monoclonal</w:t>
      </w:r>
      <w:r w:rsidR="008B19F0" w:rsidRPr="006A2BF9">
        <w:rPr>
          <w:lang w:val="it-IT"/>
        </w:rPr>
        <w:t>i</w:t>
      </w:r>
      <w:r w:rsidR="002D52B1">
        <w:rPr>
          <w:lang w:val="it-IT"/>
        </w:rPr>
        <w:t xml:space="preserve"> </w:t>
      </w:r>
      <w:r w:rsidR="002D52B1">
        <w:t>e coniugati anticorpo-farmaco</w:t>
      </w:r>
      <w:r w:rsidRPr="006A2BF9">
        <w:rPr>
          <w:lang w:val="it-IT"/>
        </w:rPr>
        <w:t>, codice ATC:</w:t>
      </w:r>
      <w:r w:rsidR="003E4249">
        <w:rPr>
          <w:lang w:val="it-IT"/>
        </w:rPr>
        <w:t xml:space="preserve"> </w:t>
      </w:r>
      <w:r w:rsidR="003E4249" w:rsidRPr="006A2BF9">
        <w:rPr>
          <w:lang w:val="it-IT"/>
        </w:rPr>
        <w:t>L01</w:t>
      </w:r>
      <w:r w:rsidR="003E4249">
        <w:rPr>
          <w:lang w:val="it-IT"/>
        </w:rPr>
        <w:t>F</w:t>
      </w:r>
      <w:r w:rsidR="002D52B1">
        <w:rPr>
          <w:lang w:val="it-IT"/>
        </w:rPr>
        <w:t xml:space="preserve"> </w:t>
      </w:r>
      <w:r w:rsidR="003E4249">
        <w:rPr>
          <w:lang w:val="it-IT"/>
        </w:rPr>
        <w:t>G01</w:t>
      </w:r>
      <w:r w:rsidR="00F42378" w:rsidRPr="006A2BF9">
        <w:rPr>
          <w:lang w:val="it-IT"/>
        </w:rPr>
        <w:t>.</w:t>
      </w:r>
    </w:p>
    <w:p w14:paraId="1DD3384E" w14:textId="77777777" w:rsidR="009C0666" w:rsidRPr="006A2BF9" w:rsidRDefault="009C0666" w:rsidP="00CF0780">
      <w:pPr>
        <w:rPr>
          <w:lang w:val="it-IT"/>
        </w:rPr>
      </w:pPr>
    </w:p>
    <w:p w14:paraId="4B23B9A3" w14:textId="77777777" w:rsidR="00FD6236" w:rsidRPr="000F0246" w:rsidRDefault="00FD6236" w:rsidP="00CF0780">
      <w:pPr>
        <w:rPr>
          <w:rStyle w:val="Collegamentoipertestuale1"/>
          <w:lang w:val="it-IT"/>
        </w:rPr>
      </w:pPr>
      <w:r w:rsidRPr="006A2BF9">
        <w:rPr>
          <w:lang w:val="it-IT"/>
        </w:rPr>
        <w:t xml:space="preserve">Aybintio è un medicinale biosimilare. Informazioni più dettagliate sono disponibili sul sito web della Agenzia europea </w:t>
      </w:r>
      <w:r w:rsidRPr="006A2BF9">
        <w:rPr>
          <w:szCs w:val="22"/>
          <w:lang w:val="it-IT"/>
        </w:rPr>
        <w:t>dei</w:t>
      </w:r>
      <w:r w:rsidRPr="006A2BF9">
        <w:rPr>
          <w:lang w:val="it-IT"/>
        </w:rPr>
        <w:t xml:space="preserve"> medicinali: </w:t>
      </w:r>
      <w:hyperlink r:id="rId13">
        <w:r w:rsidRPr="000F0246">
          <w:rPr>
            <w:rStyle w:val="Collegamentoipertestuale1"/>
            <w:lang w:val="it-IT"/>
          </w:rPr>
          <w:t>http://www.ema.europa.eu</w:t>
        </w:r>
      </w:hyperlink>
      <w:r w:rsidRPr="000F0246">
        <w:rPr>
          <w:rStyle w:val="Collegamentoipertestuale1"/>
          <w:lang w:val="it-IT"/>
        </w:rPr>
        <w:t>.</w:t>
      </w:r>
    </w:p>
    <w:p w14:paraId="34958FFC" w14:textId="77777777" w:rsidR="00FD6236" w:rsidRPr="006A2BF9" w:rsidRDefault="00FD6236" w:rsidP="00CF0780">
      <w:pPr>
        <w:rPr>
          <w:lang w:val="it-IT"/>
        </w:rPr>
      </w:pPr>
    </w:p>
    <w:p w14:paraId="68C1945B" w14:textId="77777777" w:rsidR="009C0666" w:rsidRPr="006A2BF9" w:rsidRDefault="009C0666" w:rsidP="00CF0780">
      <w:pPr>
        <w:keepNext/>
        <w:keepLines/>
        <w:outlineLvl w:val="0"/>
        <w:rPr>
          <w:iCs/>
          <w:u w:val="single"/>
          <w:lang w:val="it-IT"/>
        </w:rPr>
      </w:pPr>
      <w:r w:rsidRPr="006A2BF9">
        <w:rPr>
          <w:iCs/>
          <w:u w:val="single"/>
          <w:lang w:val="it-IT"/>
        </w:rPr>
        <w:t>Meccanismo d</w:t>
      </w:r>
      <w:r w:rsidR="00FD6236" w:rsidRPr="006A2BF9">
        <w:rPr>
          <w:iCs/>
          <w:u w:val="single"/>
          <w:lang w:val="it-IT"/>
        </w:rPr>
        <w:t>’</w:t>
      </w:r>
      <w:r w:rsidRPr="006A2BF9">
        <w:rPr>
          <w:iCs/>
          <w:u w:val="single"/>
          <w:lang w:val="it-IT"/>
        </w:rPr>
        <w:t>azione</w:t>
      </w:r>
    </w:p>
    <w:p w14:paraId="656550C8" w14:textId="77777777" w:rsidR="009C0666" w:rsidRPr="006A2BF9" w:rsidRDefault="00431D8B" w:rsidP="001C3F81">
      <w:pPr>
        <w:tabs>
          <w:tab w:val="left" w:pos="1792"/>
        </w:tabs>
        <w:rPr>
          <w:lang w:val="it-IT"/>
        </w:rPr>
      </w:pPr>
      <w:r w:rsidRPr="006A2BF9">
        <w:rPr>
          <w:lang w:val="it-IT"/>
        </w:rPr>
        <w:t>B</w:t>
      </w:r>
      <w:r w:rsidR="009C0666" w:rsidRPr="006A2BF9">
        <w:rPr>
          <w:lang w:val="it-IT"/>
        </w:rPr>
        <w:t>evacizumab, legandosi al fattore di crescita delle cellule endoteliali vascolari (VEGF)</w:t>
      </w:r>
      <w:r w:rsidR="001C3F81" w:rsidRPr="006A2BF9">
        <w:rPr>
          <w:lang w:val="it-IT"/>
        </w:rPr>
        <w:t>, promotore chiave della vasculogenesi e dell’angiogenesi</w:t>
      </w:r>
      <w:r w:rsidR="009C0666" w:rsidRPr="006A2BF9">
        <w:rPr>
          <w:lang w:val="it-IT"/>
        </w:rPr>
        <w:t>, impedisce a quest’ultimo di legarsi ai suoi recettori, Flt</w:t>
      </w:r>
      <w:r w:rsidR="009C0666" w:rsidRPr="006A2BF9">
        <w:rPr>
          <w:lang w:val="it-IT"/>
        </w:rPr>
        <w:noBreakHyphen/>
        <w:t xml:space="preserve">1 (VEGFR-1) e KDR (VEGFR-2), sulla superficie delle cellule endoteliali. Il blocco dell'attività biologica del VEGF </w:t>
      </w:r>
      <w:r w:rsidR="001C3F81" w:rsidRPr="006A2BF9">
        <w:rPr>
          <w:lang w:val="it-IT"/>
        </w:rPr>
        <w:t xml:space="preserve">fa regredire </w:t>
      </w:r>
      <w:r w:rsidR="009C0666" w:rsidRPr="006A2BF9">
        <w:rPr>
          <w:lang w:val="it-IT"/>
        </w:rPr>
        <w:t>la vascolarizzazione dei tumori,</w:t>
      </w:r>
      <w:r w:rsidR="00AA0C0B" w:rsidRPr="006A2BF9">
        <w:rPr>
          <w:lang w:val="it-IT"/>
        </w:rPr>
        <w:t xml:space="preserve"> normalizza la vascola</w:t>
      </w:r>
      <w:r w:rsidR="00427BA5" w:rsidRPr="006A2BF9">
        <w:rPr>
          <w:lang w:val="it-IT"/>
        </w:rPr>
        <w:t>rizzazione</w:t>
      </w:r>
      <w:r w:rsidR="00AA0C0B" w:rsidRPr="006A2BF9">
        <w:rPr>
          <w:lang w:val="it-IT"/>
        </w:rPr>
        <w:t xml:space="preserve"> tumorale residua e inibisce la formazione di nuova vascola</w:t>
      </w:r>
      <w:r w:rsidR="00427BA5" w:rsidRPr="006A2BF9">
        <w:rPr>
          <w:lang w:val="it-IT"/>
        </w:rPr>
        <w:t>rizzazione</w:t>
      </w:r>
      <w:r w:rsidR="00AA0C0B" w:rsidRPr="006A2BF9">
        <w:rPr>
          <w:lang w:val="it-IT"/>
        </w:rPr>
        <w:t>,</w:t>
      </w:r>
      <w:r w:rsidR="009C0666" w:rsidRPr="006A2BF9">
        <w:rPr>
          <w:lang w:val="it-IT"/>
        </w:rPr>
        <w:t xml:space="preserve"> impedendo perciò la crescita tumorale.</w:t>
      </w:r>
    </w:p>
    <w:p w14:paraId="7AD8EDCE" w14:textId="77777777" w:rsidR="009C0666" w:rsidRPr="006A2BF9" w:rsidRDefault="009C0666" w:rsidP="009C0666">
      <w:pPr>
        <w:rPr>
          <w:lang w:val="it-IT"/>
        </w:rPr>
      </w:pPr>
    </w:p>
    <w:p w14:paraId="6F280047" w14:textId="77777777" w:rsidR="009C0666" w:rsidRPr="006A2BF9" w:rsidRDefault="009C0666" w:rsidP="0087729E">
      <w:pPr>
        <w:keepNext/>
        <w:keepLines/>
        <w:outlineLvl w:val="0"/>
        <w:rPr>
          <w:iCs/>
          <w:u w:val="single"/>
          <w:lang w:val="it-IT"/>
        </w:rPr>
      </w:pPr>
      <w:r w:rsidRPr="006A2BF9">
        <w:rPr>
          <w:iCs/>
          <w:u w:val="single"/>
          <w:lang w:val="it-IT"/>
        </w:rPr>
        <w:t>Effetti farmacodinamici</w:t>
      </w:r>
    </w:p>
    <w:p w14:paraId="6C9F9B27" w14:textId="77777777" w:rsidR="009C0666" w:rsidRPr="006A2BF9" w:rsidRDefault="009C0666" w:rsidP="009C0666">
      <w:pPr>
        <w:rPr>
          <w:lang w:val="it-IT"/>
        </w:rPr>
      </w:pPr>
      <w:r w:rsidRPr="006A2BF9">
        <w:rPr>
          <w:lang w:val="it-IT"/>
        </w:rPr>
        <w:t>La somministrazione d</w:t>
      </w:r>
      <w:r w:rsidR="00431D8B" w:rsidRPr="006A2BF9">
        <w:rPr>
          <w:lang w:val="it-IT"/>
        </w:rPr>
        <w:t>i</w:t>
      </w:r>
      <w:r w:rsidR="004C3C77" w:rsidRPr="006A2BF9">
        <w:rPr>
          <w:lang w:val="it-IT"/>
        </w:rPr>
        <w:t xml:space="preserve"> </w:t>
      </w:r>
      <w:r w:rsidRPr="006A2BF9">
        <w:rPr>
          <w:lang w:val="it-IT"/>
        </w:rPr>
        <w:t>bevacizumab o del suo corrispondente anticorpo murino in modelli di xenotrapianto di tumore in topi nudi ha dimostrato un’ampia attività antitumorale in tumori umani, inclusi quelli di colon, mammella, pancreas e prostata. La progressione della malattia metastatica è stata bloccata e la permeabilità microvascolare ridotta.</w:t>
      </w:r>
    </w:p>
    <w:p w14:paraId="42100EA5" w14:textId="77777777" w:rsidR="009C0666" w:rsidRPr="006A2BF9" w:rsidRDefault="009C0666" w:rsidP="009C0666">
      <w:pPr>
        <w:rPr>
          <w:lang w:val="it-IT"/>
        </w:rPr>
      </w:pPr>
    </w:p>
    <w:p w14:paraId="7D0EA3EF" w14:textId="77777777" w:rsidR="009C0666" w:rsidRPr="006A2BF9" w:rsidRDefault="009C0666" w:rsidP="00185751">
      <w:pPr>
        <w:outlineLvl w:val="0"/>
        <w:rPr>
          <w:iCs/>
          <w:u w:val="single"/>
          <w:lang w:val="it-IT"/>
        </w:rPr>
      </w:pPr>
      <w:r w:rsidRPr="006A2BF9">
        <w:rPr>
          <w:iCs/>
          <w:u w:val="single"/>
          <w:lang w:val="it-IT"/>
        </w:rPr>
        <w:t xml:space="preserve">Efficacia </w:t>
      </w:r>
      <w:r w:rsidR="00FD6236" w:rsidRPr="006A2BF9">
        <w:rPr>
          <w:iCs/>
          <w:u w:val="single"/>
          <w:lang w:val="it-IT"/>
        </w:rPr>
        <w:t xml:space="preserve">e sicurezza </w:t>
      </w:r>
      <w:r w:rsidRPr="006A2BF9">
        <w:rPr>
          <w:iCs/>
          <w:u w:val="single"/>
          <w:lang w:val="it-IT"/>
        </w:rPr>
        <w:t>clinica</w:t>
      </w:r>
    </w:p>
    <w:p w14:paraId="35B3F96B" w14:textId="77777777" w:rsidR="009C0666" w:rsidRPr="006A2BF9" w:rsidRDefault="009C0666" w:rsidP="009C0666">
      <w:pPr>
        <w:outlineLvl w:val="0"/>
        <w:rPr>
          <w:i/>
          <w:iCs/>
          <w:lang w:val="it-IT"/>
        </w:rPr>
      </w:pPr>
    </w:p>
    <w:p w14:paraId="54743F6F" w14:textId="77777777" w:rsidR="009C0666" w:rsidRPr="006A2BF9" w:rsidRDefault="009C0666" w:rsidP="009C0666">
      <w:pPr>
        <w:outlineLvl w:val="0"/>
        <w:rPr>
          <w:i/>
          <w:u w:val="single"/>
          <w:lang w:val="it-IT"/>
        </w:rPr>
      </w:pPr>
      <w:r w:rsidRPr="006A2BF9">
        <w:rPr>
          <w:i/>
          <w:u w:val="single"/>
          <w:lang w:val="it-IT"/>
        </w:rPr>
        <w:t>Carcinoma metastatico del colon o del retto (</w:t>
      </w:r>
      <w:r w:rsidR="00A70FC8" w:rsidRPr="006A2BF9">
        <w:rPr>
          <w:i/>
          <w:u w:val="single"/>
          <w:lang w:val="it-IT"/>
        </w:rPr>
        <w:t>m</w:t>
      </w:r>
      <w:r w:rsidRPr="006A2BF9">
        <w:rPr>
          <w:i/>
          <w:u w:val="single"/>
          <w:lang w:val="it-IT"/>
        </w:rPr>
        <w:t>CR</w:t>
      </w:r>
      <w:r w:rsidR="00A70FC8" w:rsidRPr="006A2BF9">
        <w:rPr>
          <w:i/>
          <w:u w:val="single"/>
          <w:lang w:val="it-IT"/>
        </w:rPr>
        <w:t>C</w:t>
      </w:r>
      <w:r w:rsidRPr="006A2BF9">
        <w:rPr>
          <w:i/>
          <w:u w:val="single"/>
          <w:lang w:val="it-IT"/>
        </w:rPr>
        <w:t>)</w:t>
      </w:r>
    </w:p>
    <w:p w14:paraId="0AB25CB2" w14:textId="77777777" w:rsidR="009C0666" w:rsidRPr="006A2BF9" w:rsidRDefault="009C0666" w:rsidP="009C0666">
      <w:pPr>
        <w:outlineLvl w:val="0"/>
        <w:rPr>
          <w:i/>
          <w:iCs/>
          <w:lang w:val="it-IT"/>
        </w:rPr>
      </w:pPr>
    </w:p>
    <w:p w14:paraId="779AC432" w14:textId="77777777" w:rsidR="009C0666" w:rsidRPr="006A2BF9" w:rsidRDefault="009C0666" w:rsidP="009C0666">
      <w:pPr>
        <w:rPr>
          <w:lang w:val="it-IT"/>
        </w:rPr>
      </w:pPr>
      <w:r w:rsidRPr="006A2BF9">
        <w:rPr>
          <w:lang w:val="it-IT"/>
        </w:rPr>
        <w:t>La sicurezza e l’efficacia del</w:t>
      </w:r>
      <w:r w:rsidR="00633039" w:rsidRPr="006A2BF9">
        <w:rPr>
          <w:lang w:val="it-IT"/>
        </w:rPr>
        <w:t>la dose</w:t>
      </w:r>
      <w:r w:rsidRPr="006A2BF9">
        <w:rPr>
          <w:lang w:val="it-IT"/>
        </w:rPr>
        <w:t xml:space="preserve"> raccomandat</w:t>
      </w:r>
      <w:r w:rsidR="00633039" w:rsidRPr="006A2BF9">
        <w:rPr>
          <w:lang w:val="it-IT"/>
        </w:rPr>
        <w:t>a</w:t>
      </w:r>
      <w:r w:rsidRPr="006A2BF9">
        <w:rPr>
          <w:lang w:val="it-IT"/>
        </w:rPr>
        <w:t xml:space="preserve"> (5 mg/kg di peso corporeo ogni due settimane) nel carcinoma metastatico del colon o del retto sono state studiate in tre studi clinici randomizzati con controllo attivo, in </w:t>
      </w:r>
      <w:r w:rsidR="003A32A4" w:rsidRPr="006A2BF9">
        <w:rPr>
          <w:lang w:val="it-IT"/>
        </w:rPr>
        <w:t>associazione</w:t>
      </w:r>
      <w:r w:rsidR="00306F5A" w:rsidRPr="006A2BF9">
        <w:rPr>
          <w:lang w:val="it-IT"/>
        </w:rPr>
        <w:t xml:space="preserve"> a</w:t>
      </w:r>
      <w:r w:rsidRPr="006A2BF9">
        <w:rPr>
          <w:lang w:val="it-IT"/>
        </w:rPr>
        <w:t xml:space="preserve"> chemioterapia in prima linea a base di fluoropirimidine. </w:t>
      </w:r>
      <w:r w:rsidR="00FD6236" w:rsidRPr="006A2BF9">
        <w:rPr>
          <w:lang w:val="it-IT"/>
        </w:rPr>
        <w:t>Bevacizumab</w:t>
      </w:r>
      <w:r w:rsidR="00FD6236" w:rsidRPr="006A2BF9" w:rsidDel="00FD6236">
        <w:rPr>
          <w:lang w:val="it-IT"/>
        </w:rPr>
        <w:t xml:space="preserve"> </w:t>
      </w:r>
      <w:r w:rsidRPr="006A2BF9">
        <w:rPr>
          <w:lang w:val="it-IT"/>
        </w:rPr>
        <w:t xml:space="preserve">è stato </w:t>
      </w:r>
      <w:r w:rsidR="00306F5A" w:rsidRPr="006A2BF9">
        <w:rPr>
          <w:lang w:val="it-IT"/>
        </w:rPr>
        <w:t xml:space="preserve">associato a </w:t>
      </w:r>
      <w:r w:rsidRPr="006A2BF9">
        <w:rPr>
          <w:lang w:val="it-IT"/>
        </w:rPr>
        <w:t>due regimi chemioterapici:</w:t>
      </w:r>
    </w:p>
    <w:p w14:paraId="0765A076" w14:textId="77777777" w:rsidR="009C0666" w:rsidRPr="006A2BF9" w:rsidRDefault="009C0666" w:rsidP="009C0666">
      <w:pPr>
        <w:rPr>
          <w:lang w:val="it-IT"/>
        </w:rPr>
      </w:pPr>
    </w:p>
    <w:p w14:paraId="60C990BA" w14:textId="77777777" w:rsidR="009C0666" w:rsidRPr="006A2BF9" w:rsidRDefault="009C0666" w:rsidP="003D4A0E">
      <w:pPr>
        <w:ind w:left="567" w:hanging="567"/>
        <w:rPr>
          <w:lang w:val="it-IT"/>
        </w:rPr>
      </w:pPr>
      <w:r w:rsidRPr="006A2BF9">
        <w:rPr>
          <w:lang w:val="it-IT"/>
        </w:rPr>
        <w:t>•</w:t>
      </w:r>
      <w:r w:rsidRPr="006A2BF9">
        <w:rPr>
          <w:lang w:val="it-IT"/>
        </w:rPr>
        <w:tab/>
      </w:r>
      <w:r w:rsidRPr="006A2BF9">
        <w:rPr>
          <w:bCs/>
          <w:lang w:val="it-IT"/>
        </w:rPr>
        <w:t>Studio AVF2107g</w:t>
      </w:r>
      <w:r w:rsidRPr="006A2BF9">
        <w:rPr>
          <w:lang w:val="it-IT"/>
        </w:rPr>
        <w:t>: somministrazione settimanale di irinotecan/bolo di 5</w:t>
      </w:r>
      <w:r w:rsidRPr="006A2BF9">
        <w:rPr>
          <w:lang w:val="it-IT"/>
        </w:rPr>
        <w:noBreakHyphen/>
        <w:t>fluorouracile/acido folinico (IFL) per un totale di 4</w:t>
      </w:r>
      <w:r w:rsidR="00FD6236" w:rsidRPr="006A2BF9">
        <w:rPr>
          <w:lang w:val="it-IT"/>
        </w:rPr>
        <w:t> </w:t>
      </w:r>
      <w:r w:rsidRPr="006A2BF9">
        <w:rPr>
          <w:lang w:val="it-IT"/>
        </w:rPr>
        <w:t>settimane di ciascun ciclo da 6</w:t>
      </w:r>
      <w:r w:rsidR="00FD6236" w:rsidRPr="006A2BF9">
        <w:rPr>
          <w:lang w:val="it-IT"/>
        </w:rPr>
        <w:t> </w:t>
      </w:r>
      <w:r w:rsidRPr="006A2BF9">
        <w:rPr>
          <w:lang w:val="it-IT"/>
        </w:rPr>
        <w:t>settimane (regime Saltz).</w:t>
      </w:r>
    </w:p>
    <w:p w14:paraId="2FC222D0" w14:textId="77777777" w:rsidR="009C0666" w:rsidRPr="006A2BF9" w:rsidRDefault="009C0666" w:rsidP="00203264">
      <w:pPr>
        <w:ind w:left="567" w:hanging="567"/>
        <w:rPr>
          <w:lang w:val="it-IT"/>
        </w:rPr>
      </w:pPr>
      <w:r w:rsidRPr="006A2BF9">
        <w:rPr>
          <w:lang w:val="it-IT"/>
        </w:rPr>
        <w:t>•</w:t>
      </w:r>
      <w:r w:rsidRPr="006A2BF9">
        <w:rPr>
          <w:lang w:val="it-IT"/>
        </w:rPr>
        <w:tab/>
      </w:r>
      <w:r w:rsidRPr="006A2BF9">
        <w:rPr>
          <w:bCs/>
          <w:lang w:val="it-IT"/>
        </w:rPr>
        <w:t>Studio AVF0780g</w:t>
      </w:r>
      <w:r w:rsidRPr="006A2BF9">
        <w:rPr>
          <w:lang w:val="it-IT"/>
        </w:rPr>
        <w:t xml:space="preserve">: in </w:t>
      </w:r>
      <w:r w:rsidR="003A32A4" w:rsidRPr="006A2BF9">
        <w:rPr>
          <w:lang w:val="it-IT"/>
        </w:rPr>
        <w:t xml:space="preserve">associazione </w:t>
      </w:r>
      <w:r w:rsidR="00306F5A" w:rsidRPr="006A2BF9">
        <w:rPr>
          <w:lang w:val="it-IT"/>
        </w:rPr>
        <w:t xml:space="preserve">a </w:t>
      </w:r>
      <w:r w:rsidRPr="006A2BF9">
        <w:rPr>
          <w:lang w:val="it-IT"/>
        </w:rPr>
        <w:t>5</w:t>
      </w:r>
      <w:r w:rsidRPr="006A2BF9">
        <w:rPr>
          <w:lang w:val="it-IT"/>
        </w:rPr>
        <w:noBreakHyphen/>
        <w:t>fluorouracile/acido folinico (5</w:t>
      </w:r>
      <w:r w:rsidRPr="006A2BF9">
        <w:rPr>
          <w:lang w:val="it-IT"/>
        </w:rPr>
        <w:noBreakHyphen/>
        <w:t>FU/AF) in bolo per un totale di 6</w:t>
      </w:r>
      <w:r w:rsidR="00FD6236" w:rsidRPr="006A2BF9">
        <w:rPr>
          <w:lang w:val="it-IT"/>
        </w:rPr>
        <w:t> </w:t>
      </w:r>
      <w:r w:rsidRPr="006A2BF9">
        <w:rPr>
          <w:lang w:val="it-IT"/>
        </w:rPr>
        <w:t>settimane di ciascun ciclo da 8</w:t>
      </w:r>
      <w:r w:rsidR="00FD6236" w:rsidRPr="006A2BF9">
        <w:rPr>
          <w:lang w:val="it-IT"/>
        </w:rPr>
        <w:t> </w:t>
      </w:r>
      <w:r w:rsidRPr="006A2BF9">
        <w:rPr>
          <w:lang w:val="it-IT"/>
        </w:rPr>
        <w:t>settimane (regime Roswell Park).</w:t>
      </w:r>
    </w:p>
    <w:p w14:paraId="45BE46FA" w14:textId="77777777" w:rsidR="009C0666" w:rsidRPr="006A2BF9" w:rsidRDefault="009C0666" w:rsidP="00C65E97">
      <w:pPr>
        <w:ind w:left="567" w:hanging="567"/>
        <w:rPr>
          <w:lang w:val="it-IT"/>
        </w:rPr>
      </w:pPr>
      <w:r w:rsidRPr="006A2BF9">
        <w:rPr>
          <w:lang w:val="it-IT"/>
        </w:rPr>
        <w:t>•</w:t>
      </w:r>
      <w:r w:rsidRPr="006A2BF9">
        <w:rPr>
          <w:lang w:val="it-IT"/>
        </w:rPr>
        <w:tab/>
      </w:r>
      <w:r w:rsidRPr="006A2BF9">
        <w:rPr>
          <w:bCs/>
          <w:lang w:val="it-IT"/>
        </w:rPr>
        <w:t>Studio AVF2192g</w:t>
      </w:r>
      <w:r w:rsidRPr="006A2BF9">
        <w:rPr>
          <w:lang w:val="it-IT"/>
        </w:rPr>
        <w:t xml:space="preserve">: in </w:t>
      </w:r>
      <w:r w:rsidR="004B1BF4" w:rsidRPr="006A2BF9">
        <w:rPr>
          <w:lang w:val="it-IT"/>
        </w:rPr>
        <w:t xml:space="preserve">associazione </w:t>
      </w:r>
      <w:r w:rsidR="00306F5A" w:rsidRPr="006A2BF9">
        <w:rPr>
          <w:lang w:val="it-IT"/>
        </w:rPr>
        <w:t xml:space="preserve">a </w:t>
      </w:r>
      <w:r w:rsidRPr="006A2BF9">
        <w:rPr>
          <w:lang w:val="it-IT"/>
        </w:rPr>
        <w:t>5</w:t>
      </w:r>
      <w:r w:rsidRPr="006A2BF9">
        <w:rPr>
          <w:lang w:val="it-IT"/>
        </w:rPr>
        <w:noBreakHyphen/>
        <w:t>FU/AF in bolo per un totale di 6</w:t>
      </w:r>
      <w:r w:rsidR="00FD6236" w:rsidRPr="006A2BF9">
        <w:rPr>
          <w:lang w:val="it-IT"/>
        </w:rPr>
        <w:t> </w:t>
      </w:r>
      <w:r w:rsidRPr="006A2BF9">
        <w:rPr>
          <w:lang w:val="it-IT"/>
        </w:rPr>
        <w:t>settimane di ciascun ciclo da 8</w:t>
      </w:r>
      <w:r w:rsidR="00FD6236" w:rsidRPr="006A2BF9">
        <w:rPr>
          <w:lang w:val="it-IT"/>
        </w:rPr>
        <w:t> </w:t>
      </w:r>
      <w:r w:rsidRPr="006A2BF9">
        <w:rPr>
          <w:lang w:val="it-IT"/>
        </w:rPr>
        <w:t>settimane (regime Roswell Park) nei pazienti ritenuti candidati non ottimali per il trattamento in prima linea con irinotecan.</w:t>
      </w:r>
    </w:p>
    <w:p w14:paraId="2FB5AE40" w14:textId="77777777" w:rsidR="009C0666" w:rsidRPr="006A2BF9" w:rsidRDefault="009C0666" w:rsidP="009C0666">
      <w:pPr>
        <w:ind w:left="567" w:hanging="567"/>
        <w:rPr>
          <w:lang w:val="it-IT"/>
        </w:rPr>
      </w:pPr>
    </w:p>
    <w:p w14:paraId="67EAA763" w14:textId="77777777" w:rsidR="00ED4F9E" w:rsidRPr="006A2BF9" w:rsidRDefault="00ED4F9E" w:rsidP="00830FC5">
      <w:pPr>
        <w:keepNext/>
        <w:keepLines/>
        <w:rPr>
          <w:lang w:val="it-IT"/>
        </w:rPr>
      </w:pPr>
      <w:r w:rsidRPr="006A2BF9">
        <w:rPr>
          <w:lang w:val="it-IT"/>
        </w:rPr>
        <w:t xml:space="preserve">Sono stati condotti tre ulteriori studi con bevacizumab in pazienti con mCRC: in prima linea (NO16966), in seconda linea in pazienti che non avevano ricevuto nessun trattamento precedente con bevacizumab (E3200) e in seconda linea in pazienti precedentemente trattati con bevacizumab </w:t>
      </w:r>
      <w:r w:rsidR="008059AB" w:rsidRPr="006A2BF9">
        <w:rPr>
          <w:lang w:val="it-IT"/>
        </w:rPr>
        <w:t xml:space="preserve">in prima linea </w:t>
      </w:r>
      <w:r w:rsidRPr="006A2BF9">
        <w:rPr>
          <w:lang w:val="it-IT"/>
        </w:rPr>
        <w:t xml:space="preserve">che erano andati incontro a progressione </w:t>
      </w:r>
      <w:r w:rsidR="008059AB" w:rsidRPr="006A2BF9">
        <w:rPr>
          <w:lang w:val="it-IT"/>
        </w:rPr>
        <w:t xml:space="preserve">della malattia </w:t>
      </w:r>
      <w:r w:rsidRPr="006A2BF9">
        <w:rPr>
          <w:lang w:val="it-IT"/>
        </w:rPr>
        <w:t>(</w:t>
      </w:r>
      <w:r w:rsidR="00B64026" w:rsidRPr="006A2BF9">
        <w:rPr>
          <w:lang w:val="it-IT"/>
        </w:rPr>
        <w:t>ML</w:t>
      </w:r>
      <w:r w:rsidRPr="006A2BF9">
        <w:rPr>
          <w:lang w:val="it-IT"/>
        </w:rPr>
        <w:t xml:space="preserve">18147). In questi studi bevacizumab è stato somministrato in associazione a FOLFOX-4 (5FU/LV/oxaliplatino), XELOX (capecitabina/oxaliplatino) e </w:t>
      </w:r>
      <w:r w:rsidRPr="006A2BF9">
        <w:rPr>
          <w:lang w:val="it-IT" w:eastAsia="de-CH"/>
        </w:rPr>
        <w:t>fluoropirimidine</w:t>
      </w:r>
      <w:r w:rsidR="008059AB" w:rsidRPr="006A2BF9">
        <w:rPr>
          <w:lang w:val="it-IT" w:eastAsia="de-CH"/>
        </w:rPr>
        <w:t>/</w:t>
      </w:r>
      <w:r w:rsidRPr="006A2BF9">
        <w:rPr>
          <w:lang w:val="it-IT"/>
        </w:rPr>
        <w:t xml:space="preserve">irinotecan o </w:t>
      </w:r>
      <w:r w:rsidR="008059AB" w:rsidRPr="006A2BF9">
        <w:rPr>
          <w:lang w:val="it-IT"/>
        </w:rPr>
        <w:t>fluoropirimidine/</w:t>
      </w:r>
      <w:r w:rsidRPr="006A2BF9">
        <w:rPr>
          <w:lang w:val="it-IT"/>
        </w:rPr>
        <w:t xml:space="preserve">oxaliplatino, secondo i seguenti regimi </w:t>
      </w:r>
      <w:r w:rsidR="00306F5A" w:rsidRPr="006A2BF9">
        <w:rPr>
          <w:lang w:val="it-IT"/>
        </w:rPr>
        <w:t>posologici</w:t>
      </w:r>
      <w:r w:rsidRPr="006A2BF9">
        <w:rPr>
          <w:lang w:val="it-IT"/>
        </w:rPr>
        <w:t>:</w:t>
      </w:r>
    </w:p>
    <w:p w14:paraId="30246E83" w14:textId="77777777" w:rsidR="00ED4F9E" w:rsidRPr="006A2BF9" w:rsidRDefault="00ED4F9E" w:rsidP="00830FC5">
      <w:pPr>
        <w:keepNext/>
        <w:keepLines/>
        <w:ind w:left="567" w:hanging="567"/>
        <w:rPr>
          <w:lang w:val="it-IT"/>
        </w:rPr>
      </w:pPr>
    </w:p>
    <w:p w14:paraId="00B06080" w14:textId="77777777" w:rsidR="00A560AB" w:rsidRPr="006A2BF9" w:rsidRDefault="00A560AB" w:rsidP="00C65E97">
      <w:pPr>
        <w:keepNext/>
        <w:keepLines/>
        <w:ind w:left="567" w:hanging="567"/>
        <w:rPr>
          <w:lang w:val="it-IT"/>
        </w:rPr>
      </w:pPr>
      <w:r w:rsidRPr="006A2BF9">
        <w:rPr>
          <w:lang w:val="it-IT"/>
        </w:rPr>
        <w:t>•</w:t>
      </w:r>
      <w:r w:rsidRPr="006A2BF9">
        <w:rPr>
          <w:lang w:val="it-IT"/>
        </w:rPr>
        <w:tab/>
        <w:t xml:space="preserve">NO16966: </w:t>
      </w:r>
      <w:r w:rsidR="00FD6236" w:rsidRPr="006A2BF9">
        <w:rPr>
          <w:lang w:val="it-IT"/>
        </w:rPr>
        <w:t>bevacizumab</w:t>
      </w:r>
      <w:r w:rsidR="00FD6236" w:rsidRPr="006A2BF9" w:rsidDel="00FD6236">
        <w:rPr>
          <w:lang w:val="it-IT"/>
        </w:rPr>
        <w:t xml:space="preserve"> </w:t>
      </w:r>
      <w:r w:rsidRPr="006A2BF9">
        <w:rPr>
          <w:lang w:val="it-IT"/>
        </w:rPr>
        <w:t>7,5 mg/kg di peso corporeo ogni 3</w:t>
      </w:r>
      <w:r w:rsidR="00FD6236" w:rsidRPr="006A2BF9">
        <w:rPr>
          <w:lang w:val="it-IT"/>
        </w:rPr>
        <w:t> </w:t>
      </w:r>
      <w:r w:rsidRPr="006A2BF9">
        <w:rPr>
          <w:lang w:val="it-IT"/>
        </w:rPr>
        <w:t xml:space="preserve">settimane in </w:t>
      </w:r>
      <w:r w:rsidR="003A32A4" w:rsidRPr="006A2BF9">
        <w:rPr>
          <w:lang w:val="it-IT"/>
        </w:rPr>
        <w:t xml:space="preserve">associazione </w:t>
      </w:r>
      <w:r w:rsidR="00306F5A" w:rsidRPr="006A2BF9">
        <w:rPr>
          <w:lang w:val="it-IT"/>
        </w:rPr>
        <w:t xml:space="preserve">a </w:t>
      </w:r>
      <w:r w:rsidRPr="006A2BF9">
        <w:rPr>
          <w:lang w:val="it-IT"/>
        </w:rPr>
        <w:t>capecitabina orale e oxaliplat</w:t>
      </w:r>
      <w:r w:rsidR="00390824" w:rsidRPr="006A2BF9">
        <w:rPr>
          <w:lang w:val="it-IT"/>
        </w:rPr>
        <w:t xml:space="preserve">ino endovenoso (XELOX) o </w:t>
      </w:r>
      <w:r w:rsidR="00FD6236" w:rsidRPr="006A2BF9">
        <w:rPr>
          <w:lang w:val="it-IT"/>
        </w:rPr>
        <w:t>bevacizumab</w:t>
      </w:r>
      <w:r w:rsidR="00FD6236" w:rsidRPr="006A2BF9" w:rsidDel="00FD6236">
        <w:rPr>
          <w:lang w:val="it-IT"/>
        </w:rPr>
        <w:t xml:space="preserve"> </w:t>
      </w:r>
      <w:r w:rsidRPr="006A2BF9">
        <w:rPr>
          <w:lang w:val="it-IT"/>
        </w:rPr>
        <w:t>5 mg/kg ogni 2</w:t>
      </w:r>
      <w:r w:rsidR="00FD6236" w:rsidRPr="006A2BF9">
        <w:rPr>
          <w:lang w:val="it-IT"/>
        </w:rPr>
        <w:t> </w:t>
      </w:r>
      <w:r w:rsidRPr="006A2BF9">
        <w:rPr>
          <w:lang w:val="it-IT"/>
        </w:rPr>
        <w:t xml:space="preserve">settimane in </w:t>
      </w:r>
      <w:r w:rsidR="003A32A4" w:rsidRPr="006A2BF9">
        <w:rPr>
          <w:lang w:val="it-IT"/>
        </w:rPr>
        <w:t xml:space="preserve">associazione </w:t>
      </w:r>
      <w:r w:rsidR="00306F5A" w:rsidRPr="006A2BF9">
        <w:rPr>
          <w:lang w:val="it-IT"/>
        </w:rPr>
        <w:t xml:space="preserve">a </w:t>
      </w:r>
      <w:r w:rsidRPr="006A2BF9">
        <w:rPr>
          <w:lang w:val="it-IT"/>
        </w:rPr>
        <w:t xml:space="preserve">leucovorin più </w:t>
      </w:r>
      <w:r w:rsidR="00EC1D0C" w:rsidRPr="006A2BF9">
        <w:rPr>
          <w:lang w:val="it-IT"/>
        </w:rPr>
        <w:t>5-fluorouracile in bolo, seguiti</w:t>
      </w:r>
      <w:r w:rsidRPr="006A2BF9">
        <w:rPr>
          <w:lang w:val="it-IT"/>
        </w:rPr>
        <w:t xml:space="preserve"> da 5-fluorouracile in infusione, con oxaliplatino endovenoso (FOLFOX-4).</w:t>
      </w:r>
    </w:p>
    <w:p w14:paraId="0972B7DD" w14:textId="77777777" w:rsidR="00A560AB" w:rsidRPr="006A2BF9" w:rsidRDefault="00A560AB" w:rsidP="00C65E97">
      <w:pPr>
        <w:ind w:left="567" w:hanging="567"/>
        <w:rPr>
          <w:lang w:val="it-IT"/>
        </w:rPr>
      </w:pPr>
    </w:p>
    <w:p w14:paraId="110456F5" w14:textId="77777777" w:rsidR="009C0666" w:rsidRPr="006A2BF9" w:rsidRDefault="00A560AB" w:rsidP="00C65E97">
      <w:pPr>
        <w:ind w:left="567" w:hanging="567"/>
        <w:rPr>
          <w:lang w:val="it-IT"/>
        </w:rPr>
      </w:pPr>
      <w:r w:rsidRPr="006A2BF9">
        <w:rPr>
          <w:lang w:val="it-IT"/>
        </w:rPr>
        <w:t>•</w:t>
      </w:r>
      <w:r w:rsidRPr="006A2BF9">
        <w:rPr>
          <w:lang w:val="it-IT"/>
        </w:rPr>
        <w:tab/>
        <w:t xml:space="preserve">E3200: </w:t>
      </w:r>
      <w:r w:rsidR="00FD6236" w:rsidRPr="006A2BF9">
        <w:rPr>
          <w:lang w:val="it-IT"/>
        </w:rPr>
        <w:t>bevacizumab</w:t>
      </w:r>
      <w:r w:rsidR="00FD6236" w:rsidRPr="006A2BF9" w:rsidDel="00FD6236">
        <w:rPr>
          <w:lang w:val="it-IT"/>
        </w:rPr>
        <w:t xml:space="preserve"> </w:t>
      </w:r>
      <w:r w:rsidRPr="006A2BF9">
        <w:rPr>
          <w:lang w:val="it-IT"/>
        </w:rPr>
        <w:t>10 mg/kg di peso corporeo ogni 2</w:t>
      </w:r>
      <w:r w:rsidR="00FD6236" w:rsidRPr="006A2BF9">
        <w:rPr>
          <w:lang w:val="it-IT"/>
        </w:rPr>
        <w:t> </w:t>
      </w:r>
      <w:r w:rsidRPr="006A2BF9">
        <w:rPr>
          <w:lang w:val="it-IT"/>
        </w:rPr>
        <w:t xml:space="preserve">settimane in </w:t>
      </w:r>
      <w:r w:rsidR="003A32A4" w:rsidRPr="006A2BF9">
        <w:rPr>
          <w:lang w:val="it-IT"/>
        </w:rPr>
        <w:t xml:space="preserve">associazione </w:t>
      </w:r>
      <w:r w:rsidR="00306F5A" w:rsidRPr="006A2BF9">
        <w:rPr>
          <w:lang w:val="it-IT"/>
        </w:rPr>
        <w:t xml:space="preserve">a </w:t>
      </w:r>
      <w:r w:rsidRPr="006A2BF9">
        <w:rPr>
          <w:lang w:val="it-IT"/>
        </w:rPr>
        <w:t>leucovorin e 5-fluorouracile in bolo</w:t>
      </w:r>
      <w:r w:rsidR="00EC1D0C" w:rsidRPr="006A2BF9">
        <w:rPr>
          <w:lang w:val="it-IT"/>
        </w:rPr>
        <w:t xml:space="preserve">, seguiti da 5-fluorouracile </w:t>
      </w:r>
      <w:r w:rsidR="0025736A" w:rsidRPr="006A2BF9">
        <w:rPr>
          <w:lang w:val="it-IT"/>
        </w:rPr>
        <w:t xml:space="preserve">in </w:t>
      </w:r>
      <w:r w:rsidR="00EC1D0C" w:rsidRPr="006A2BF9">
        <w:rPr>
          <w:lang w:val="it-IT"/>
        </w:rPr>
        <w:t>infusione</w:t>
      </w:r>
      <w:r w:rsidRPr="006A2BF9">
        <w:rPr>
          <w:lang w:val="it-IT"/>
        </w:rPr>
        <w:t>, con oxaliplatino endovenoso (FOLFOX-4)</w:t>
      </w:r>
      <w:r w:rsidR="00984E9C" w:rsidRPr="006A2BF9">
        <w:rPr>
          <w:lang w:val="it-IT"/>
        </w:rPr>
        <w:t xml:space="preserve"> in pazienti </w:t>
      </w:r>
      <w:r w:rsidR="001E29AD" w:rsidRPr="006A2BF9">
        <w:rPr>
          <w:lang w:val="it-IT"/>
        </w:rPr>
        <w:t xml:space="preserve">non precedentemente trattati con </w:t>
      </w:r>
      <w:r w:rsidR="00984E9C" w:rsidRPr="006A2BF9">
        <w:rPr>
          <w:lang w:val="it-IT"/>
        </w:rPr>
        <w:t>bevacizumab</w:t>
      </w:r>
      <w:r w:rsidRPr="006A2BF9">
        <w:rPr>
          <w:lang w:val="it-IT"/>
        </w:rPr>
        <w:t>.</w:t>
      </w:r>
    </w:p>
    <w:p w14:paraId="6E88A06C" w14:textId="77777777" w:rsidR="009C0666" w:rsidRPr="006A2BF9" w:rsidRDefault="009C0666" w:rsidP="00C65E97">
      <w:pPr>
        <w:ind w:left="567" w:hanging="567"/>
        <w:rPr>
          <w:lang w:val="it-IT"/>
        </w:rPr>
      </w:pPr>
    </w:p>
    <w:p w14:paraId="0A7F4643" w14:textId="77777777" w:rsidR="00ED4F9E" w:rsidRPr="006A2BF9" w:rsidRDefault="00B66771" w:rsidP="003D4A0E">
      <w:pPr>
        <w:ind w:left="567" w:hanging="567"/>
        <w:rPr>
          <w:lang w:val="it-IT"/>
        </w:rPr>
      </w:pPr>
      <w:r w:rsidRPr="006A2BF9">
        <w:rPr>
          <w:lang w:val="it-IT"/>
        </w:rPr>
        <w:t>•</w:t>
      </w:r>
      <w:r w:rsidRPr="006A2BF9">
        <w:rPr>
          <w:lang w:val="it-IT"/>
        </w:rPr>
        <w:tab/>
      </w:r>
      <w:r w:rsidR="00ED4F9E" w:rsidRPr="006A2BF9">
        <w:rPr>
          <w:lang w:val="it-IT"/>
        </w:rPr>
        <w:t>ML18147</w:t>
      </w:r>
      <w:r w:rsidR="00A4711E" w:rsidRPr="006A2BF9">
        <w:rPr>
          <w:lang w:val="it-IT"/>
        </w:rPr>
        <w:t xml:space="preserve">: </w:t>
      </w:r>
      <w:r w:rsidR="00FD6236" w:rsidRPr="006A2BF9">
        <w:rPr>
          <w:lang w:val="it-IT"/>
        </w:rPr>
        <w:t>bevacizumab</w:t>
      </w:r>
      <w:r w:rsidR="00FD6236" w:rsidRPr="006A2BF9" w:rsidDel="00FD6236">
        <w:rPr>
          <w:lang w:val="it-IT"/>
        </w:rPr>
        <w:t xml:space="preserve"> </w:t>
      </w:r>
      <w:r w:rsidR="00ED4F9E" w:rsidRPr="006A2BF9">
        <w:rPr>
          <w:lang w:val="it-IT"/>
        </w:rPr>
        <w:t>5,0</w:t>
      </w:r>
      <w:r w:rsidR="00FD6236" w:rsidRPr="006A2BF9">
        <w:rPr>
          <w:lang w:val="it-IT"/>
        </w:rPr>
        <w:t> </w:t>
      </w:r>
      <w:r w:rsidR="00ED4F9E" w:rsidRPr="006A2BF9">
        <w:rPr>
          <w:lang w:val="it-IT"/>
        </w:rPr>
        <w:t>mg/kg di peso corporeo ogni 2</w:t>
      </w:r>
      <w:r w:rsidR="00FD6236" w:rsidRPr="006A2BF9">
        <w:rPr>
          <w:lang w:val="it-IT"/>
        </w:rPr>
        <w:t> </w:t>
      </w:r>
      <w:r w:rsidR="00ED4F9E" w:rsidRPr="006A2BF9">
        <w:rPr>
          <w:lang w:val="it-IT"/>
        </w:rPr>
        <w:t xml:space="preserve">settimane o </w:t>
      </w:r>
      <w:r w:rsidR="00B94CA8" w:rsidRPr="006A2BF9">
        <w:rPr>
          <w:lang w:val="it-IT"/>
        </w:rPr>
        <w:t>bevacizumab</w:t>
      </w:r>
      <w:r w:rsidR="00B94CA8" w:rsidRPr="006A2BF9" w:rsidDel="00FD6236">
        <w:rPr>
          <w:lang w:val="it-IT"/>
        </w:rPr>
        <w:t xml:space="preserve"> </w:t>
      </w:r>
      <w:r w:rsidR="00ED4F9E" w:rsidRPr="006A2BF9">
        <w:rPr>
          <w:lang w:val="it-IT"/>
        </w:rPr>
        <w:t>7,5</w:t>
      </w:r>
      <w:r w:rsidR="00B94CA8" w:rsidRPr="006A2BF9">
        <w:rPr>
          <w:lang w:val="it-IT"/>
        </w:rPr>
        <w:t> </w:t>
      </w:r>
      <w:r w:rsidR="00ED4F9E" w:rsidRPr="006A2BF9">
        <w:rPr>
          <w:lang w:val="it-IT"/>
        </w:rPr>
        <w:t>mg/kg di peso corporeo ogni 3</w:t>
      </w:r>
      <w:r w:rsidR="00FD6236" w:rsidRPr="006A2BF9">
        <w:rPr>
          <w:lang w:val="it-IT"/>
        </w:rPr>
        <w:t> </w:t>
      </w:r>
      <w:r w:rsidR="00ED4F9E" w:rsidRPr="006A2BF9">
        <w:rPr>
          <w:lang w:val="it-IT"/>
        </w:rPr>
        <w:t xml:space="preserve">settimane in associazione a fluoropirimidine/irinotecan o </w:t>
      </w:r>
      <w:r w:rsidR="00ED4F9E" w:rsidRPr="006A2BF9">
        <w:rPr>
          <w:lang w:val="it-IT"/>
        </w:rPr>
        <w:lastRenderedPageBreak/>
        <w:t>fluoropirimidine/oxaliplatino in pazienti con progressione della malattia in seguito al trattamento di prima linea con bevacizumab. L’impiego di uno schema terapeutico contenente irinotecan o oxaliplatino è stato cambiato a seconda dell’uso di prima linea di oxaliplatino o irinotecan.</w:t>
      </w:r>
    </w:p>
    <w:p w14:paraId="4FB72D50" w14:textId="77777777" w:rsidR="00ED4F9E" w:rsidRPr="006A2BF9" w:rsidRDefault="00ED4F9E" w:rsidP="009C0666">
      <w:pPr>
        <w:rPr>
          <w:lang w:val="it-IT"/>
        </w:rPr>
      </w:pPr>
    </w:p>
    <w:p w14:paraId="41524003" w14:textId="77777777" w:rsidR="000571C8" w:rsidRPr="006A2BF9" w:rsidRDefault="009C0666" w:rsidP="006C7DD0">
      <w:pPr>
        <w:keepNext/>
        <w:rPr>
          <w:bCs/>
          <w:lang w:val="it-IT"/>
        </w:rPr>
      </w:pPr>
      <w:r w:rsidRPr="006A2BF9">
        <w:rPr>
          <w:bCs/>
          <w:i/>
          <w:lang w:val="it-IT"/>
        </w:rPr>
        <w:t>AVF2107g</w:t>
      </w:r>
    </w:p>
    <w:p w14:paraId="0B6E86CA" w14:textId="77777777" w:rsidR="00FD6236" w:rsidRPr="006A2BF9" w:rsidRDefault="000571C8" w:rsidP="009C0666">
      <w:pPr>
        <w:rPr>
          <w:lang w:val="it-IT"/>
        </w:rPr>
      </w:pPr>
      <w:r w:rsidRPr="006A2BF9">
        <w:rPr>
          <w:bCs/>
          <w:lang w:val="it-IT"/>
        </w:rPr>
        <w:t>Q</w:t>
      </w:r>
      <w:r w:rsidRPr="006A2BF9">
        <w:rPr>
          <w:lang w:val="it-IT"/>
        </w:rPr>
        <w:t xml:space="preserve">uesto </w:t>
      </w:r>
      <w:r w:rsidR="009C0666" w:rsidRPr="006A2BF9">
        <w:rPr>
          <w:lang w:val="it-IT"/>
        </w:rPr>
        <w:t>studio clinico, randomizzato, di fase</w:t>
      </w:r>
      <w:r w:rsidR="003D4A0E" w:rsidRPr="006A2BF9">
        <w:rPr>
          <w:lang w:val="it-IT"/>
        </w:rPr>
        <w:t> </w:t>
      </w:r>
      <w:r w:rsidR="009C0666" w:rsidRPr="006A2BF9">
        <w:rPr>
          <w:lang w:val="it-IT"/>
        </w:rPr>
        <w:t>III, effettuato in doppio cieco e con controllo attivo, ha valutato l</w:t>
      </w:r>
      <w:r w:rsidR="003A32A4" w:rsidRPr="006A2BF9">
        <w:rPr>
          <w:lang w:val="it-IT"/>
        </w:rPr>
        <w:t xml:space="preserve">’associazione </w:t>
      </w:r>
      <w:r w:rsidR="009C0666" w:rsidRPr="006A2BF9">
        <w:rPr>
          <w:lang w:val="it-IT"/>
        </w:rPr>
        <w:t xml:space="preserve">di </w:t>
      </w:r>
      <w:r w:rsidR="00FD6236" w:rsidRPr="006A2BF9">
        <w:rPr>
          <w:lang w:val="it-IT"/>
        </w:rPr>
        <w:t>bevacizumab</w:t>
      </w:r>
      <w:r w:rsidR="00FD6236" w:rsidRPr="006A2BF9" w:rsidDel="00FD6236">
        <w:rPr>
          <w:lang w:val="it-IT"/>
        </w:rPr>
        <w:t xml:space="preserve"> </w:t>
      </w:r>
      <w:r w:rsidR="00306F5A" w:rsidRPr="006A2BF9">
        <w:rPr>
          <w:lang w:val="it-IT"/>
        </w:rPr>
        <w:t xml:space="preserve">a </w:t>
      </w:r>
      <w:r w:rsidR="009C0666" w:rsidRPr="006A2BF9">
        <w:rPr>
          <w:lang w:val="it-IT"/>
        </w:rPr>
        <w:t>IFL nel trattamento in prima linea del carcinoma metastatico del colon o del retto.</w:t>
      </w:r>
    </w:p>
    <w:p w14:paraId="2A35A2BD" w14:textId="77777777" w:rsidR="009C0666" w:rsidRPr="006A2BF9" w:rsidRDefault="009C0666" w:rsidP="009C0666">
      <w:pPr>
        <w:rPr>
          <w:lang w:val="it-IT"/>
        </w:rPr>
      </w:pPr>
      <w:r w:rsidRPr="006A2BF9">
        <w:rPr>
          <w:lang w:val="it-IT"/>
        </w:rPr>
        <w:t>Ottocentotredici pazienti sono stati randomizzati a ricevere IFL + placebo (braccio 1) oppure IFL + </w:t>
      </w:r>
      <w:r w:rsidR="00FD6236" w:rsidRPr="006A2BF9">
        <w:rPr>
          <w:lang w:val="it-IT"/>
        </w:rPr>
        <w:t>bevacizumab</w:t>
      </w:r>
      <w:r w:rsidR="00FD6236" w:rsidRPr="006A2BF9" w:rsidDel="00FD6236">
        <w:rPr>
          <w:lang w:val="it-IT"/>
        </w:rPr>
        <w:t xml:space="preserve"> </w:t>
      </w:r>
      <w:r w:rsidRPr="006A2BF9">
        <w:rPr>
          <w:lang w:val="it-IT"/>
        </w:rPr>
        <w:t>(5 mg/kg ogni 2</w:t>
      </w:r>
      <w:r w:rsidR="00FD6236" w:rsidRPr="006A2BF9">
        <w:rPr>
          <w:lang w:val="it-IT"/>
        </w:rPr>
        <w:t> </w:t>
      </w:r>
      <w:r w:rsidRPr="006A2BF9">
        <w:rPr>
          <w:lang w:val="it-IT"/>
        </w:rPr>
        <w:t>settimane, braccio 2). Un terzo gruppo di 110</w:t>
      </w:r>
      <w:r w:rsidR="00FD6236" w:rsidRPr="006A2BF9">
        <w:rPr>
          <w:lang w:val="it-IT"/>
        </w:rPr>
        <w:t> </w:t>
      </w:r>
      <w:r w:rsidRPr="006A2BF9">
        <w:rPr>
          <w:lang w:val="it-IT"/>
        </w:rPr>
        <w:t>pazienti ha ricevuto 5</w:t>
      </w:r>
      <w:r w:rsidRPr="006A2BF9">
        <w:rPr>
          <w:lang w:val="it-IT"/>
        </w:rPr>
        <w:noBreakHyphen/>
        <w:t>FU/AF in bolo + </w:t>
      </w:r>
      <w:r w:rsidR="00FD6236" w:rsidRPr="006A2BF9">
        <w:rPr>
          <w:lang w:val="it-IT"/>
        </w:rPr>
        <w:t>bevacizumab</w:t>
      </w:r>
      <w:r w:rsidR="00FD6236" w:rsidRPr="006A2BF9" w:rsidDel="00FD6236">
        <w:rPr>
          <w:lang w:val="it-IT"/>
        </w:rPr>
        <w:t xml:space="preserve"> </w:t>
      </w:r>
      <w:r w:rsidRPr="006A2BF9">
        <w:rPr>
          <w:lang w:val="it-IT"/>
        </w:rPr>
        <w:t xml:space="preserve">(braccio 3). L’arruolamento nel braccio 3 è stato interrotto, come previsto, una volta stabilita e ritenuta accettabile la sicurezza di </w:t>
      </w:r>
      <w:r w:rsidR="00FD6236" w:rsidRPr="006A2BF9">
        <w:rPr>
          <w:lang w:val="it-IT"/>
        </w:rPr>
        <w:t>bevacizumab</w:t>
      </w:r>
      <w:r w:rsidR="00FD6236" w:rsidRPr="006A2BF9" w:rsidDel="00FD6236">
        <w:rPr>
          <w:lang w:val="it-IT"/>
        </w:rPr>
        <w:t xml:space="preserve"> </w:t>
      </w:r>
      <w:r w:rsidRPr="006A2BF9">
        <w:rPr>
          <w:lang w:val="it-IT"/>
        </w:rPr>
        <w:t xml:space="preserve">in </w:t>
      </w:r>
      <w:r w:rsidR="003A32A4" w:rsidRPr="006A2BF9">
        <w:rPr>
          <w:lang w:val="it-IT"/>
        </w:rPr>
        <w:t xml:space="preserve">associazione </w:t>
      </w:r>
      <w:r w:rsidR="00306F5A" w:rsidRPr="006A2BF9">
        <w:rPr>
          <w:lang w:val="it-IT"/>
        </w:rPr>
        <w:t>a</w:t>
      </w:r>
      <w:r w:rsidRPr="006A2BF9">
        <w:rPr>
          <w:lang w:val="it-IT"/>
        </w:rPr>
        <w:t xml:space="preserve">l regime IFL. Tutti i trattamenti sono stati </w:t>
      </w:r>
      <w:r w:rsidR="00306F5A" w:rsidRPr="006A2BF9">
        <w:rPr>
          <w:lang w:val="it-IT"/>
        </w:rPr>
        <w:t xml:space="preserve">proseguiti </w:t>
      </w:r>
      <w:r w:rsidRPr="006A2BF9">
        <w:rPr>
          <w:lang w:val="it-IT"/>
        </w:rPr>
        <w:t>fino alla progressione della malattia. L’età media complessiva era di 59,4</w:t>
      </w:r>
      <w:r w:rsidR="00FD6236" w:rsidRPr="006A2BF9">
        <w:rPr>
          <w:lang w:val="it-IT"/>
        </w:rPr>
        <w:t> </w:t>
      </w:r>
      <w:r w:rsidRPr="006A2BF9">
        <w:rPr>
          <w:lang w:val="it-IT"/>
        </w:rPr>
        <w:t xml:space="preserve">anni; il 56,6% dei pazienti presentava un </w:t>
      </w:r>
      <w:r w:rsidRPr="006A2BF9">
        <w:rPr>
          <w:i/>
          <w:iCs/>
          <w:lang w:val="it-IT"/>
        </w:rPr>
        <w:t>performance status</w:t>
      </w:r>
      <w:r w:rsidRPr="006A2BF9">
        <w:rPr>
          <w:lang w:val="it-IT"/>
        </w:rPr>
        <w:t xml:space="preserve"> ECOG pari a 0, il 43% aveva un livello di 1 e lo 0,4% un livello di 2. Il 15,5% era stato sottoposto precedentemente a radioterapia e il 28,4% a chemioterapia.</w:t>
      </w:r>
    </w:p>
    <w:p w14:paraId="66B0FEB4" w14:textId="77777777" w:rsidR="009C0666" w:rsidRPr="006A2BF9" w:rsidRDefault="009C0666" w:rsidP="009C0666">
      <w:pPr>
        <w:rPr>
          <w:lang w:val="it-IT"/>
        </w:rPr>
      </w:pPr>
    </w:p>
    <w:p w14:paraId="2F283BA0" w14:textId="77777777" w:rsidR="009C0666" w:rsidRPr="00671A63" w:rsidRDefault="00A560AB" w:rsidP="009C0666">
      <w:pPr>
        <w:rPr>
          <w:lang w:val="it-IT"/>
        </w:rPr>
      </w:pPr>
      <w:r w:rsidRPr="006A2BF9">
        <w:rPr>
          <w:lang w:val="it-IT"/>
        </w:rPr>
        <w:t xml:space="preserve">La </w:t>
      </w:r>
      <w:r w:rsidR="00D63F4D">
        <w:rPr>
          <w:lang w:val="it-IT"/>
        </w:rPr>
        <w:t>OS</w:t>
      </w:r>
      <w:r w:rsidRPr="006A2BF9">
        <w:rPr>
          <w:lang w:val="it-IT"/>
        </w:rPr>
        <w:t xml:space="preserve"> ha costituito l’obiettivo primario per la valutazione dell</w:t>
      </w:r>
      <w:r w:rsidR="00FD6236" w:rsidRPr="006A2BF9">
        <w:rPr>
          <w:lang w:val="it-IT"/>
        </w:rPr>
        <w:t>’</w:t>
      </w:r>
      <w:r w:rsidRPr="006A2BF9">
        <w:rPr>
          <w:lang w:val="it-IT"/>
        </w:rPr>
        <w:t xml:space="preserve">efficacia nello studio. L’aggiunta di </w:t>
      </w:r>
      <w:r w:rsidR="00FD6236" w:rsidRPr="006A2BF9">
        <w:rPr>
          <w:lang w:val="it-IT"/>
        </w:rPr>
        <w:t>bevacizumab</w:t>
      </w:r>
      <w:r w:rsidR="00FD6236" w:rsidRPr="006A2BF9" w:rsidDel="00FD6236">
        <w:rPr>
          <w:lang w:val="it-IT"/>
        </w:rPr>
        <w:t xml:space="preserve"> </w:t>
      </w:r>
      <w:r w:rsidRPr="006A2BF9">
        <w:rPr>
          <w:lang w:val="it-IT"/>
        </w:rPr>
        <w:t>al regime IFL ha determinato</w:t>
      </w:r>
      <w:r w:rsidR="00F54B03" w:rsidRPr="006A2BF9">
        <w:rPr>
          <w:lang w:val="it-IT"/>
        </w:rPr>
        <w:t xml:space="preserve"> </w:t>
      </w:r>
      <w:r w:rsidRPr="006A2BF9">
        <w:rPr>
          <w:lang w:val="it-IT"/>
        </w:rPr>
        <w:t>incrementi statisticamente significativi d</w:t>
      </w:r>
      <w:r w:rsidR="00D63F4D">
        <w:rPr>
          <w:lang w:val="it-IT"/>
        </w:rPr>
        <w:t>i</w:t>
      </w:r>
      <w:r w:rsidR="005D7100">
        <w:rPr>
          <w:lang w:val="it-IT"/>
        </w:rPr>
        <w:t xml:space="preserve"> </w:t>
      </w:r>
      <w:r w:rsidR="00D63F4D">
        <w:rPr>
          <w:lang w:val="it-IT"/>
        </w:rPr>
        <w:t>OS</w:t>
      </w:r>
      <w:r w:rsidRPr="006A2BF9">
        <w:rPr>
          <w:lang w:val="it-IT"/>
        </w:rPr>
        <w:t xml:space="preserve">, </w:t>
      </w:r>
      <w:r w:rsidR="00D63F4D">
        <w:rPr>
          <w:lang w:val="it-IT"/>
        </w:rPr>
        <w:t>PFS</w:t>
      </w:r>
      <w:r w:rsidRPr="006A2BF9">
        <w:rPr>
          <w:lang w:val="it-IT"/>
        </w:rPr>
        <w:t xml:space="preserve"> e tasso </w:t>
      </w:r>
      <w:r w:rsidR="00390824" w:rsidRPr="006A2BF9">
        <w:rPr>
          <w:lang w:val="it-IT"/>
        </w:rPr>
        <w:t xml:space="preserve">di risposta </w:t>
      </w:r>
      <w:r w:rsidRPr="006A2BF9">
        <w:rPr>
          <w:lang w:val="it-IT"/>
        </w:rPr>
        <w:t>globale (vedere tabella</w:t>
      </w:r>
      <w:r w:rsidR="005C2721" w:rsidRPr="006A2BF9">
        <w:rPr>
          <w:lang w:val="it-IT"/>
        </w:rPr>
        <w:t> </w:t>
      </w:r>
      <w:r w:rsidR="00D966E3" w:rsidRPr="006A2BF9">
        <w:rPr>
          <w:lang w:val="it-IT"/>
        </w:rPr>
        <w:t>4</w:t>
      </w:r>
      <w:r w:rsidRPr="006A2BF9">
        <w:rPr>
          <w:lang w:val="it-IT"/>
        </w:rPr>
        <w:t xml:space="preserve">). Il beneficio clinico, misurato in termini di </w:t>
      </w:r>
      <w:r w:rsidR="00D63F4D">
        <w:rPr>
          <w:lang w:val="it-IT"/>
        </w:rPr>
        <w:t>OS</w:t>
      </w:r>
      <w:r w:rsidRPr="006A2BF9">
        <w:rPr>
          <w:lang w:val="it-IT"/>
        </w:rPr>
        <w:t xml:space="preserve">, è stato osservato in tutti i sottogruppi di pazienti pre-specificati, inclusi quelli definiti in base ad età, sesso, </w:t>
      </w:r>
      <w:r w:rsidRPr="006A2BF9">
        <w:rPr>
          <w:i/>
          <w:iCs/>
          <w:lang w:val="it-IT"/>
        </w:rPr>
        <w:t>performance status</w:t>
      </w:r>
      <w:r w:rsidRPr="006A2BF9">
        <w:rPr>
          <w:lang w:val="it-IT"/>
        </w:rPr>
        <w:t>, sede del tumore primario, numero di organi coinvolti e durata della malattia metastatica.</w:t>
      </w:r>
    </w:p>
    <w:p w14:paraId="358422BF" w14:textId="77777777" w:rsidR="009C0666" w:rsidRPr="006A2BF9" w:rsidRDefault="009C0666" w:rsidP="009C0666">
      <w:pPr>
        <w:rPr>
          <w:sz w:val="18"/>
          <w:szCs w:val="18"/>
          <w:lang w:val="it-IT"/>
        </w:rPr>
      </w:pPr>
    </w:p>
    <w:p w14:paraId="2935C704" w14:textId="77777777" w:rsidR="009C0666" w:rsidRPr="006A2BF9" w:rsidRDefault="009C0666" w:rsidP="009C0666">
      <w:pPr>
        <w:rPr>
          <w:lang w:val="it-IT"/>
        </w:rPr>
      </w:pPr>
      <w:r w:rsidRPr="006A2BF9">
        <w:rPr>
          <w:lang w:val="it-IT"/>
        </w:rPr>
        <w:t xml:space="preserve">I risultati relativi all’efficacia di </w:t>
      </w:r>
      <w:r w:rsidR="00FD6236" w:rsidRPr="006A2BF9">
        <w:rPr>
          <w:lang w:val="it-IT"/>
        </w:rPr>
        <w:t>bevacizumab</w:t>
      </w:r>
      <w:r w:rsidR="00FD6236" w:rsidRPr="006A2BF9" w:rsidDel="00FD6236">
        <w:rPr>
          <w:lang w:val="it-IT"/>
        </w:rPr>
        <w:t xml:space="preserve"> </w:t>
      </w:r>
      <w:r w:rsidRPr="006A2BF9">
        <w:rPr>
          <w:lang w:val="it-IT"/>
        </w:rPr>
        <w:t xml:space="preserve">in </w:t>
      </w:r>
      <w:r w:rsidR="003A32A4" w:rsidRPr="006A2BF9">
        <w:rPr>
          <w:lang w:val="it-IT"/>
        </w:rPr>
        <w:t xml:space="preserve">associazione </w:t>
      </w:r>
      <w:r w:rsidR="00306F5A" w:rsidRPr="006A2BF9">
        <w:rPr>
          <w:lang w:val="it-IT"/>
        </w:rPr>
        <w:t xml:space="preserve">a </w:t>
      </w:r>
      <w:r w:rsidRPr="006A2BF9">
        <w:rPr>
          <w:lang w:val="it-IT"/>
        </w:rPr>
        <w:t>chemioterapia con IFL sono illustrati nella tabella</w:t>
      </w:r>
      <w:r w:rsidR="00C75BEF" w:rsidRPr="006A2BF9">
        <w:rPr>
          <w:lang w:val="it-IT"/>
        </w:rPr>
        <w:t> </w:t>
      </w:r>
      <w:r w:rsidR="00D966E3" w:rsidRPr="006A2BF9">
        <w:rPr>
          <w:lang w:val="it-IT"/>
        </w:rPr>
        <w:t>4</w:t>
      </w:r>
      <w:r w:rsidRPr="006A2BF9">
        <w:rPr>
          <w:lang w:val="it-IT"/>
        </w:rPr>
        <w:t>.</w:t>
      </w:r>
    </w:p>
    <w:p w14:paraId="0F209ED3" w14:textId="77777777" w:rsidR="009C0666" w:rsidRPr="006A2BF9" w:rsidRDefault="009C0666" w:rsidP="009C0666">
      <w:pPr>
        <w:rPr>
          <w:lang w:val="it-IT"/>
        </w:rPr>
      </w:pPr>
    </w:p>
    <w:p w14:paraId="7179CB3B" w14:textId="77777777" w:rsidR="009C0666" w:rsidRPr="006A2BF9" w:rsidRDefault="009C0666" w:rsidP="00A32391">
      <w:pPr>
        <w:keepNext/>
        <w:keepLines/>
        <w:rPr>
          <w:lang w:val="it-IT"/>
        </w:rPr>
      </w:pPr>
      <w:r w:rsidRPr="006A2BF9">
        <w:rPr>
          <w:b/>
          <w:bCs/>
          <w:lang w:val="it-IT"/>
        </w:rPr>
        <w:t>Tabella</w:t>
      </w:r>
      <w:r w:rsidR="00C75BEF" w:rsidRPr="006A2BF9">
        <w:rPr>
          <w:b/>
          <w:bCs/>
          <w:lang w:val="it-IT"/>
        </w:rPr>
        <w:t> </w:t>
      </w:r>
      <w:r w:rsidR="00D966E3" w:rsidRPr="006A2BF9">
        <w:rPr>
          <w:b/>
          <w:bCs/>
          <w:lang w:val="it-IT"/>
        </w:rPr>
        <w:t>4</w:t>
      </w:r>
      <w:r w:rsidRPr="006A2BF9">
        <w:rPr>
          <w:b/>
          <w:bCs/>
          <w:lang w:val="it-IT"/>
        </w:rPr>
        <w:tab/>
        <w:t>Risultati relativi all’efficacia emersi nello studio AVF2107g</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280"/>
        <w:gridCol w:w="2160"/>
      </w:tblGrid>
      <w:tr w:rsidR="009C0666" w:rsidRPr="006A2BF9" w14:paraId="3DA15FD2" w14:textId="77777777" w:rsidTr="00C65E97">
        <w:trPr>
          <w:cantSplit/>
        </w:trPr>
        <w:tc>
          <w:tcPr>
            <w:tcW w:w="3600" w:type="dxa"/>
            <w:vMerge w:val="restart"/>
          </w:tcPr>
          <w:p w14:paraId="68769AAE" w14:textId="77777777" w:rsidR="009C0666" w:rsidRPr="006A2BF9" w:rsidRDefault="009C0666" w:rsidP="00A32391">
            <w:pPr>
              <w:keepNext/>
              <w:keepLines/>
              <w:rPr>
                <w:sz w:val="20"/>
                <w:lang w:val="it-IT"/>
              </w:rPr>
            </w:pPr>
          </w:p>
        </w:tc>
        <w:tc>
          <w:tcPr>
            <w:tcW w:w="4440" w:type="dxa"/>
            <w:gridSpan w:val="2"/>
            <w:vAlign w:val="center"/>
          </w:tcPr>
          <w:p w14:paraId="2918F5FB" w14:textId="77777777" w:rsidR="009C0666" w:rsidRPr="006A2BF9" w:rsidRDefault="009C0666" w:rsidP="00A32391">
            <w:pPr>
              <w:pStyle w:val="TableCellCenter"/>
              <w:spacing w:before="40" w:after="40" w:line="240" w:lineRule="auto"/>
              <w:rPr>
                <w:b/>
                <w:lang w:val="it-IT"/>
              </w:rPr>
            </w:pPr>
            <w:r w:rsidRPr="006A2BF9">
              <w:rPr>
                <w:b/>
                <w:lang w:val="it-IT"/>
              </w:rPr>
              <w:t>AVF2107g</w:t>
            </w:r>
          </w:p>
        </w:tc>
      </w:tr>
      <w:tr w:rsidR="009C0666" w:rsidRPr="006A2BF9" w14:paraId="2EEB393D" w14:textId="77777777" w:rsidTr="00C65E97">
        <w:trPr>
          <w:cantSplit/>
        </w:trPr>
        <w:tc>
          <w:tcPr>
            <w:tcW w:w="3600" w:type="dxa"/>
            <w:vMerge/>
          </w:tcPr>
          <w:p w14:paraId="72E5D99F" w14:textId="77777777" w:rsidR="009C0666" w:rsidRPr="006A2BF9" w:rsidRDefault="009C0666" w:rsidP="00A32391">
            <w:pPr>
              <w:keepNext/>
              <w:keepLines/>
              <w:rPr>
                <w:sz w:val="20"/>
                <w:lang w:val="it-IT"/>
              </w:rPr>
            </w:pPr>
          </w:p>
        </w:tc>
        <w:tc>
          <w:tcPr>
            <w:tcW w:w="2280" w:type="dxa"/>
          </w:tcPr>
          <w:p w14:paraId="76DA9CE6" w14:textId="77777777" w:rsidR="009C0666" w:rsidRPr="006A2BF9" w:rsidRDefault="009C0666" w:rsidP="00A32391">
            <w:pPr>
              <w:pStyle w:val="TextTi12CharChar"/>
              <w:keepNext/>
              <w:keepLines/>
              <w:spacing w:before="40" w:after="40" w:line="240" w:lineRule="auto"/>
              <w:jc w:val="center"/>
              <w:rPr>
                <w:b/>
                <w:sz w:val="20"/>
                <w:lang w:val="it-IT"/>
              </w:rPr>
            </w:pPr>
            <w:r w:rsidRPr="006A2BF9">
              <w:rPr>
                <w:b/>
                <w:sz w:val="20"/>
                <w:lang w:val="it-IT"/>
              </w:rPr>
              <w:t>Braccio 1</w:t>
            </w:r>
          </w:p>
          <w:p w14:paraId="3BC21260" w14:textId="77777777" w:rsidR="009C0666" w:rsidRPr="006A2BF9" w:rsidRDefault="009C0666" w:rsidP="00A32391">
            <w:pPr>
              <w:pStyle w:val="TextTi12CharChar"/>
              <w:keepNext/>
              <w:keepLines/>
              <w:spacing w:before="40" w:after="40" w:line="240" w:lineRule="auto"/>
              <w:jc w:val="center"/>
              <w:rPr>
                <w:b/>
                <w:sz w:val="20"/>
                <w:lang w:val="it-IT"/>
              </w:rPr>
            </w:pPr>
            <w:r w:rsidRPr="006A2BF9">
              <w:rPr>
                <w:b/>
                <w:sz w:val="20"/>
                <w:lang w:val="it-IT"/>
              </w:rPr>
              <w:t>IFL </w:t>
            </w:r>
            <w:r w:rsidRPr="006A2BF9">
              <w:rPr>
                <w:rFonts w:ascii="Symbol" w:hAnsi="Symbol"/>
                <w:b/>
                <w:sz w:val="20"/>
                <w:lang w:val="it-IT"/>
              </w:rPr>
              <w:t></w:t>
            </w:r>
            <w:r w:rsidR="00203264" w:rsidRPr="006A2BF9">
              <w:rPr>
                <w:b/>
                <w:sz w:val="20"/>
                <w:lang w:val="it-IT"/>
              </w:rPr>
              <w:t> </w:t>
            </w:r>
            <w:r w:rsidR="007B5D3E" w:rsidRPr="006A2BF9">
              <w:rPr>
                <w:b/>
                <w:sz w:val="20"/>
                <w:lang w:val="it-IT"/>
              </w:rPr>
              <w:t>p</w:t>
            </w:r>
            <w:r w:rsidRPr="006A2BF9">
              <w:rPr>
                <w:b/>
                <w:sz w:val="20"/>
                <w:lang w:val="it-IT"/>
              </w:rPr>
              <w:t>lacebo</w:t>
            </w:r>
          </w:p>
        </w:tc>
        <w:tc>
          <w:tcPr>
            <w:tcW w:w="2160" w:type="dxa"/>
          </w:tcPr>
          <w:p w14:paraId="1F47B93B" w14:textId="77777777" w:rsidR="009C0666" w:rsidRPr="006A2BF9" w:rsidRDefault="009C0666" w:rsidP="00A32391">
            <w:pPr>
              <w:pStyle w:val="TableCellCenter"/>
              <w:spacing w:before="40" w:after="40" w:line="240" w:lineRule="auto"/>
              <w:rPr>
                <w:b/>
                <w:lang w:val="it-IT"/>
              </w:rPr>
            </w:pPr>
            <w:r w:rsidRPr="006A2BF9">
              <w:rPr>
                <w:b/>
                <w:lang w:val="it-IT"/>
              </w:rPr>
              <w:t>Braccio 2</w:t>
            </w:r>
          </w:p>
          <w:p w14:paraId="1D99C36F" w14:textId="77777777" w:rsidR="009C0666" w:rsidRPr="006A2BF9" w:rsidRDefault="009C0666" w:rsidP="00FD6236">
            <w:pPr>
              <w:pStyle w:val="TableCellCenter"/>
              <w:spacing w:before="40" w:after="40" w:line="240" w:lineRule="auto"/>
              <w:rPr>
                <w:b/>
                <w:lang w:val="it-IT"/>
              </w:rPr>
            </w:pPr>
            <w:r w:rsidRPr="006A2BF9">
              <w:rPr>
                <w:b/>
                <w:lang w:val="it-IT"/>
              </w:rPr>
              <w:t>IFL </w:t>
            </w:r>
            <w:r w:rsidRPr="006A2BF9">
              <w:rPr>
                <w:rFonts w:ascii="Symbol" w:hAnsi="Symbol"/>
                <w:b/>
                <w:lang w:val="it-IT"/>
              </w:rPr>
              <w:t></w:t>
            </w:r>
            <w:r w:rsidR="00203264" w:rsidRPr="006A2BF9">
              <w:rPr>
                <w:b/>
                <w:lang w:val="it-IT"/>
              </w:rPr>
              <w:t> </w:t>
            </w:r>
            <w:r w:rsidR="00FD6236" w:rsidRPr="006A2BF9">
              <w:rPr>
                <w:b/>
                <w:lang w:val="it-IT"/>
              </w:rPr>
              <w:t>bevacizumab</w:t>
            </w:r>
            <w:r w:rsidRPr="006A2BF9">
              <w:rPr>
                <w:b/>
                <w:vertAlign w:val="superscript"/>
                <w:lang w:val="it-IT"/>
              </w:rPr>
              <w:t>a</w:t>
            </w:r>
          </w:p>
        </w:tc>
      </w:tr>
      <w:tr w:rsidR="009C0666" w:rsidRPr="006A2BF9" w14:paraId="11C60451" w14:textId="77777777" w:rsidTr="00C65E97">
        <w:trPr>
          <w:trHeight w:val="20"/>
        </w:trPr>
        <w:tc>
          <w:tcPr>
            <w:tcW w:w="3600" w:type="dxa"/>
            <w:tcBorders>
              <w:bottom w:val="single" w:sz="4" w:space="0" w:color="auto"/>
            </w:tcBorders>
          </w:tcPr>
          <w:p w14:paraId="10FFB0AE" w14:textId="77777777" w:rsidR="009C0666" w:rsidRPr="006A2BF9" w:rsidRDefault="009C0666" w:rsidP="00A32391">
            <w:pPr>
              <w:pStyle w:val="TableCellCenter"/>
              <w:spacing w:before="40" w:after="40" w:line="240" w:lineRule="auto"/>
              <w:jc w:val="left"/>
              <w:rPr>
                <w:lang w:val="it-IT"/>
              </w:rPr>
            </w:pPr>
            <w:r w:rsidRPr="006A2BF9">
              <w:rPr>
                <w:lang w:val="it-IT"/>
              </w:rPr>
              <w:t>Numero di pazienti</w:t>
            </w:r>
          </w:p>
        </w:tc>
        <w:tc>
          <w:tcPr>
            <w:tcW w:w="2280" w:type="dxa"/>
            <w:tcBorders>
              <w:bottom w:val="single" w:sz="4" w:space="0" w:color="auto"/>
            </w:tcBorders>
          </w:tcPr>
          <w:p w14:paraId="3C29BCAE" w14:textId="77777777" w:rsidR="009C0666" w:rsidRPr="006A2BF9" w:rsidRDefault="009C0666" w:rsidP="00A32391">
            <w:pPr>
              <w:pStyle w:val="TableCellCenter"/>
              <w:spacing w:before="40" w:after="40" w:line="240" w:lineRule="auto"/>
              <w:rPr>
                <w:lang w:val="it-IT"/>
              </w:rPr>
            </w:pPr>
            <w:r w:rsidRPr="006A2BF9">
              <w:rPr>
                <w:lang w:val="it-IT"/>
              </w:rPr>
              <w:t>411</w:t>
            </w:r>
          </w:p>
        </w:tc>
        <w:tc>
          <w:tcPr>
            <w:tcW w:w="2160" w:type="dxa"/>
          </w:tcPr>
          <w:p w14:paraId="28384544" w14:textId="77777777" w:rsidR="009C0666" w:rsidRPr="006A2BF9" w:rsidRDefault="009C0666" w:rsidP="00A32391">
            <w:pPr>
              <w:pStyle w:val="TableCellCenter"/>
              <w:spacing w:before="40" w:after="40" w:line="240" w:lineRule="auto"/>
              <w:rPr>
                <w:vertAlign w:val="superscript"/>
                <w:lang w:val="it-IT"/>
              </w:rPr>
            </w:pPr>
            <w:r w:rsidRPr="006A2BF9">
              <w:rPr>
                <w:lang w:val="it-IT"/>
              </w:rPr>
              <w:t>402</w:t>
            </w:r>
          </w:p>
        </w:tc>
      </w:tr>
      <w:tr w:rsidR="009C0666" w:rsidRPr="006A2BF9" w14:paraId="1043CBAA" w14:textId="77777777" w:rsidTr="00C65E97">
        <w:trPr>
          <w:trHeight w:val="20"/>
        </w:trPr>
        <w:tc>
          <w:tcPr>
            <w:tcW w:w="3600" w:type="dxa"/>
            <w:tcBorders>
              <w:right w:val="nil"/>
            </w:tcBorders>
          </w:tcPr>
          <w:p w14:paraId="74A05D42" w14:textId="77777777" w:rsidR="009C0666" w:rsidRPr="006A2BF9" w:rsidRDefault="009C0666" w:rsidP="00A32391">
            <w:pPr>
              <w:keepNext/>
              <w:keepLines/>
              <w:spacing w:before="40" w:after="40"/>
              <w:rPr>
                <w:sz w:val="20"/>
                <w:lang w:val="it-IT"/>
              </w:rPr>
            </w:pPr>
            <w:r w:rsidRPr="006A2BF9">
              <w:rPr>
                <w:sz w:val="20"/>
                <w:lang w:val="it-IT"/>
              </w:rPr>
              <w:t>Sopravvivenza globale</w:t>
            </w:r>
          </w:p>
        </w:tc>
        <w:tc>
          <w:tcPr>
            <w:tcW w:w="2280" w:type="dxa"/>
            <w:tcBorders>
              <w:left w:val="nil"/>
              <w:right w:val="nil"/>
            </w:tcBorders>
          </w:tcPr>
          <w:p w14:paraId="472691E8" w14:textId="77777777" w:rsidR="009C0666" w:rsidRPr="006A2BF9" w:rsidRDefault="009C0666" w:rsidP="00A32391">
            <w:pPr>
              <w:keepNext/>
              <w:keepLines/>
              <w:spacing w:before="40" w:after="40"/>
              <w:jc w:val="center"/>
              <w:rPr>
                <w:sz w:val="20"/>
                <w:lang w:val="it-IT"/>
              </w:rPr>
            </w:pPr>
          </w:p>
        </w:tc>
        <w:tc>
          <w:tcPr>
            <w:tcW w:w="2160" w:type="dxa"/>
            <w:tcBorders>
              <w:left w:val="nil"/>
            </w:tcBorders>
          </w:tcPr>
          <w:p w14:paraId="2DB83E89" w14:textId="77777777" w:rsidR="009C0666" w:rsidRPr="006A2BF9" w:rsidRDefault="009C0666" w:rsidP="00A32391">
            <w:pPr>
              <w:keepNext/>
              <w:keepLines/>
              <w:spacing w:before="40" w:after="40"/>
              <w:jc w:val="center"/>
              <w:rPr>
                <w:sz w:val="20"/>
                <w:lang w:val="it-IT"/>
              </w:rPr>
            </w:pPr>
          </w:p>
        </w:tc>
      </w:tr>
      <w:tr w:rsidR="009C0666" w:rsidRPr="006A2BF9" w14:paraId="731A5C6B" w14:textId="77777777" w:rsidTr="00C65E97">
        <w:trPr>
          <w:trHeight w:val="20"/>
        </w:trPr>
        <w:tc>
          <w:tcPr>
            <w:tcW w:w="3600" w:type="dxa"/>
          </w:tcPr>
          <w:p w14:paraId="13E8ED96" w14:textId="77777777" w:rsidR="009C0666" w:rsidRPr="006A2BF9" w:rsidRDefault="009C0666" w:rsidP="00A32391">
            <w:pPr>
              <w:pStyle w:val="TableCellCenter"/>
              <w:spacing w:before="40" w:after="40" w:line="240" w:lineRule="auto"/>
              <w:jc w:val="left"/>
              <w:rPr>
                <w:lang w:val="it-IT"/>
              </w:rPr>
            </w:pPr>
            <w:r w:rsidRPr="006A2BF9">
              <w:rPr>
                <w:lang w:val="it-IT"/>
              </w:rPr>
              <w:tab/>
              <w:t>Tempo mediano (mesi)</w:t>
            </w:r>
          </w:p>
        </w:tc>
        <w:tc>
          <w:tcPr>
            <w:tcW w:w="2280" w:type="dxa"/>
          </w:tcPr>
          <w:p w14:paraId="69EF4923" w14:textId="77777777" w:rsidR="009C0666" w:rsidRPr="006A2BF9" w:rsidRDefault="009C0666" w:rsidP="00A32391">
            <w:pPr>
              <w:pStyle w:val="TableCellCenter"/>
              <w:spacing w:before="40" w:after="40" w:line="240" w:lineRule="auto"/>
              <w:rPr>
                <w:lang w:val="it-IT"/>
              </w:rPr>
            </w:pPr>
            <w:r w:rsidRPr="006A2BF9">
              <w:rPr>
                <w:lang w:val="it-IT"/>
              </w:rPr>
              <w:t>15,6</w:t>
            </w:r>
          </w:p>
        </w:tc>
        <w:tc>
          <w:tcPr>
            <w:tcW w:w="2160" w:type="dxa"/>
          </w:tcPr>
          <w:p w14:paraId="1BD5C605" w14:textId="77777777" w:rsidR="009C0666" w:rsidRPr="006A2BF9" w:rsidRDefault="009C0666" w:rsidP="00A32391">
            <w:pPr>
              <w:pStyle w:val="TableCellCenter"/>
              <w:spacing w:before="40" w:after="40" w:line="240" w:lineRule="auto"/>
              <w:rPr>
                <w:lang w:val="it-IT"/>
              </w:rPr>
            </w:pPr>
            <w:r w:rsidRPr="006A2BF9">
              <w:rPr>
                <w:lang w:val="it-IT"/>
              </w:rPr>
              <w:t>20,3</w:t>
            </w:r>
          </w:p>
        </w:tc>
      </w:tr>
      <w:tr w:rsidR="009C0666" w:rsidRPr="006A2BF9" w14:paraId="4C52A4D5" w14:textId="77777777" w:rsidTr="00C65E97">
        <w:trPr>
          <w:trHeight w:val="20"/>
        </w:trPr>
        <w:tc>
          <w:tcPr>
            <w:tcW w:w="3600" w:type="dxa"/>
          </w:tcPr>
          <w:p w14:paraId="55587453" w14:textId="77777777" w:rsidR="009C0666" w:rsidRPr="00330A40" w:rsidRDefault="009C0666" w:rsidP="00A32391">
            <w:pPr>
              <w:pStyle w:val="TableCellCenter"/>
              <w:spacing w:before="40" w:after="40" w:line="240" w:lineRule="auto"/>
              <w:jc w:val="left"/>
              <w:rPr>
                <w:lang w:val="it-IT"/>
              </w:rPr>
            </w:pPr>
            <w:r w:rsidRPr="006A2BF9">
              <w:rPr>
                <w:lang w:val="it-IT"/>
              </w:rPr>
              <w:tab/>
            </w:r>
            <w:r w:rsidR="00ED451F" w:rsidRPr="006A2BF9">
              <w:rPr>
                <w:lang w:val="it-IT"/>
              </w:rPr>
              <w:t>IC</w:t>
            </w:r>
            <w:r w:rsidR="007933D2">
              <w:rPr>
                <w:lang w:val="it-IT"/>
              </w:rPr>
              <w:t xml:space="preserve"> al </w:t>
            </w:r>
            <w:r w:rsidRPr="00330A40">
              <w:rPr>
                <w:lang w:val="it-IT"/>
              </w:rPr>
              <w:t>95%</w:t>
            </w:r>
          </w:p>
        </w:tc>
        <w:tc>
          <w:tcPr>
            <w:tcW w:w="2280" w:type="dxa"/>
          </w:tcPr>
          <w:p w14:paraId="3D736CF1" w14:textId="77777777" w:rsidR="009C0666" w:rsidRPr="00330A40" w:rsidRDefault="009C0666" w:rsidP="00A32391">
            <w:pPr>
              <w:pStyle w:val="TableCellCenter"/>
              <w:spacing w:before="40" w:after="40" w:line="240" w:lineRule="auto"/>
              <w:rPr>
                <w:lang w:val="it-IT"/>
              </w:rPr>
            </w:pPr>
            <w:r w:rsidRPr="00330A40">
              <w:rPr>
                <w:lang w:val="it-IT"/>
              </w:rPr>
              <w:t>14,29</w:t>
            </w:r>
            <w:r w:rsidR="00203264" w:rsidRPr="00330A40">
              <w:rPr>
                <w:lang w:val="it-IT"/>
              </w:rPr>
              <w:noBreakHyphen/>
            </w:r>
            <w:r w:rsidRPr="00330A40">
              <w:rPr>
                <w:lang w:val="it-IT"/>
              </w:rPr>
              <w:t>16,99</w:t>
            </w:r>
          </w:p>
        </w:tc>
        <w:tc>
          <w:tcPr>
            <w:tcW w:w="2160" w:type="dxa"/>
          </w:tcPr>
          <w:p w14:paraId="10273CC2" w14:textId="77777777" w:rsidR="009C0666" w:rsidRPr="00330A40" w:rsidRDefault="009C0666" w:rsidP="00A32391">
            <w:pPr>
              <w:pStyle w:val="TableCellCenter"/>
              <w:spacing w:before="40" w:after="40" w:line="240" w:lineRule="auto"/>
              <w:rPr>
                <w:lang w:val="it-IT"/>
              </w:rPr>
            </w:pPr>
            <w:r w:rsidRPr="00330A40">
              <w:rPr>
                <w:lang w:val="it-IT"/>
              </w:rPr>
              <w:t>18,46</w:t>
            </w:r>
            <w:r w:rsidR="00203264" w:rsidRPr="00330A40">
              <w:rPr>
                <w:lang w:val="it-IT"/>
              </w:rPr>
              <w:noBreakHyphen/>
            </w:r>
            <w:r w:rsidRPr="00330A40">
              <w:rPr>
                <w:lang w:val="it-IT"/>
              </w:rPr>
              <w:t>24,18</w:t>
            </w:r>
          </w:p>
        </w:tc>
      </w:tr>
      <w:tr w:rsidR="00A560AB" w:rsidRPr="006A2BF9" w14:paraId="157E2052" w14:textId="77777777" w:rsidTr="00C65E97">
        <w:trPr>
          <w:trHeight w:val="580"/>
        </w:trPr>
        <w:tc>
          <w:tcPr>
            <w:tcW w:w="3600" w:type="dxa"/>
            <w:tcBorders>
              <w:bottom w:val="single" w:sz="4" w:space="0" w:color="auto"/>
            </w:tcBorders>
          </w:tcPr>
          <w:p w14:paraId="198A6EBA" w14:textId="77777777" w:rsidR="00A560AB" w:rsidRPr="00330A40" w:rsidRDefault="00A560AB" w:rsidP="00A32391">
            <w:pPr>
              <w:pStyle w:val="TableCellCenter"/>
              <w:spacing w:before="40" w:after="40" w:line="240" w:lineRule="auto"/>
              <w:jc w:val="left"/>
              <w:rPr>
                <w:vertAlign w:val="superscript"/>
                <w:lang w:val="it-IT"/>
              </w:rPr>
            </w:pPr>
            <w:r w:rsidRPr="006A2BF9">
              <w:rPr>
                <w:lang w:val="it-IT"/>
              </w:rPr>
              <w:tab/>
            </w:r>
            <w:r w:rsidRPr="000F0246">
              <w:rPr>
                <w:i/>
                <w:lang w:val="it-IT"/>
              </w:rPr>
              <w:t>Hazard ratio</w:t>
            </w:r>
            <w:r w:rsidRPr="00330A40">
              <w:rPr>
                <w:vertAlign w:val="superscript"/>
                <w:lang w:val="it-IT"/>
              </w:rPr>
              <w:t>b</w:t>
            </w:r>
          </w:p>
          <w:p w14:paraId="6EC685E6" w14:textId="77777777" w:rsidR="00A560AB" w:rsidRPr="00330A40" w:rsidRDefault="00A560AB" w:rsidP="00A32391">
            <w:pPr>
              <w:keepNext/>
              <w:keepLines/>
              <w:spacing w:before="40" w:after="40"/>
              <w:rPr>
                <w:sz w:val="20"/>
                <w:vertAlign w:val="superscript"/>
                <w:lang w:val="it-IT"/>
              </w:rPr>
            </w:pPr>
          </w:p>
        </w:tc>
        <w:tc>
          <w:tcPr>
            <w:tcW w:w="4440" w:type="dxa"/>
            <w:gridSpan w:val="2"/>
          </w:tcPr>
          <w:p w14:paraId="510BA876" w14:textId="77777777" w:rsidR="00A560AB" w:rsidRPr="00330A40" w:rsidRDefault="00A560AB" w:rsidP="00A32391">
            <w:pPr>
              <w:pStyle w:val="TableCellCenter"/>
              <w:spacing w:before="40" w:after="40" w:line="240" w:lineRule="auto"/>
              <w:rPr>
                <w:lang w:val="it-IT"/>
              </w:rPr>
            </w:pPr>
            <w:r w:rsidRPr="00330A40">
              <w:rPr>
                <w:lang w:val="it-IT"/>
              </w:rPr>
              <w:t>0,660</w:t>
            </w:r>
          </w:p>
          <w:p w14:paraId="474AA3E3" w14:textId="77777777" w:rsidR="00A560AB" w:rsidRPr="00330A40" w:rsidRDefault="00A560AB" w:rsidP="00A32391">
            <w:pPr>
              <w:keepNext/>
              <w:keepLines/>
              <w:spacing w:before="40" w:after="40"/>
              <w:jc w:val="center"/>
              <w:rPr>
                <w:sz w:val="20"/>
                <w:lang w:val="it-IT"/>
              </w:rPr>
            </w:pPr>
            <w:r w:rsidRPr="00330A40">
              <w:rPr>
                <w:sz w:val="20"/>
                <w:lang w:val="it-IT"/>
              </w:rPr>
              <w:t>(valore di p</w:t>
            </w:r>
            <w:r w:rsidR="00203264" w:rsidRPr="00330A40">
              <w:rPr>
                <w:sz w:val="20"/>
                <w:lang w:val="it-IT"/>
              </w:rPr>
              <w:t> </w:t>
            </w:r>
            <w:r w:rsidRPr="00330A40">
              <w:rPr>
                <w:sz w:val="20"/>
                <w:lang w:val="it-IT"/>
              </w:rPr>
              <w:t>=</w:t>
            </w:r>
            <w:r w:rsidR="00203264" w:rsidRPr="00330A40">
              <w:rPr>
                <w:sz w:val="20"/>
                <w:lang w:val="it-IT"/>
              </w:rPr>
              <w:t> </w:t>
            </w:r>
            <w:r w:rsidRPr="00330A40">
              <w:rPr>
                <w:sz w:val="20"/>
                <w:lang w:val="it-IT"/>
              </w:rPr>
              <w:t>0,00004)</w:t>
            </w:r>
          </w:p>
        </w:tc>
      </w:tr>
      <w:tr w:rsidR="009C0666" w:rsidRPr="006A2BF9" w14:paraId="55F1C09E" w14:textId="77777777" w:rsidTr="00C65E97">
        <w:trPr>
          <w:trHeight w:val="20"/>
        </w:trPr>
        <w:tc>
          <w:tcPr>
            <w:tcW w:w="3600" w:type="dxa"/>
            <w:tcBorders>
              <w:right w:val="nil"/>
            </w:tcBorders>
          </w:tcPr>
          <w:p w14:paraId="22AAB000" w14:textId="77777777" w:rsidR="009C0666" w:rsidRPr="006A2BF9" w:rsidRDefault="009C0666" w:rsidP="00A32391">
            <w:pPr>
              <w:pStyle w:val="TableCellCenter"/>
              <w:spacing w:before="40" w:after="40" w:line="240" w:lineRule="auto"/>
              <w:jc w:val="left"/>
              <w:rPr>
                <w:lang w:val="it-IT"/>
              </w:rPr>
            </w:pPr>
            <w:r w:rsidRPr="006A2BF9">
              <w:rPr>
                <w:lang w:val="it-IT"/>
              </w:rPr>
              <w:t>Sopravvivenza libera da progressione</w:t>
            </w:r>
          </w:p>
        </w:tc>
        <w:tc>
          <w:tcPr>
            <w:tcW w:w="2280" w:type="dxa"/>
            <w:tcBorders>
              <w:left w:val="nil"/>
              <w:right w:val="nil"/>
            </w:tcBorders>
          </w:tcPr>
          <w:p w14:paraId="092EAB0C" w14:textId="77777777" w:rsidR="009C0666" w:rsidRPr="006A2BF9" w:rsidRDefault="009C0666" w:rsidP="00A32391">
            <w:pPr>
              <w:pStyle w:val="TableCellCenter"/>
              <w:spacing w:before="40" w:after="40" w:line="240" w:lineRule="auto"/>
              <w:rPr>
                <w:lang w:val="it-IT"/>
              </w:rPr>
            </w:pPr>
          </w:p>
        </w:tc>
        <w:tc>
          <w:tcPr>
            <w:tcW w:w="2160" w:type="dxa"/>
            <w:tcBorders>
              <w:left w:val="nil"/>
            </w:tcBorders>
          </w:tcPr>
          <w:p w14:paraId="5E64A3EE" w14:textId="77777777" w:rsidR="009C0666" w:rsidRPr="006A2BF9" w:rsidRDefault="009C0666" w:rsidP="00A32391">
            <w:pPr>
              <w:pStyle w:val="TableCellCenter"/>
              <w:spacing w:before="40" w:after="40" w:line="240" w:lineRule="auto"/>
              <w:rPr>
                <w:lang w:val="it-IT"/>
              </w:rPr>
            </w:pPr>
          </w:p>
        </w:tc>
      </w:tr>
      <w:tr w:rsidR="009C0666" w:rsidRPr="006A2BF9" w14:paraId="2BC5EEC3" w14:textId="77777777" w:rsidTr="00C65E97">
        <w:trPr>
          <w:trHeight w:val="20"/>
        </w:trPr>
        <w:tc>
          <w:tcPr>
            <w:tcW w:w="3600" w:type="dxa"/>
          </w:tcPr>
          <w:p w14:paraId="36776177" w14:textId="77777777" w:rsidR="009C0666" w:rsidRPr="006A2BF9" w:rsidRDefault="009C0666" w:rsidP="00A32391">
            <w:pPr>
              <w:pStyle w:val="TableCellCenter"/>
              <w:spacing w:before="40" w:after="40" w:line="240" w:lineRule="auto"/>
              <w:jc w:val="left"/>
              <w:rPr>
                <w:lang w:val="it-IT"/>
              </w:rPr>
            </w:pPr>
            <w:r w:rsidRPr="006A2BF9">
              <w:rPr>
                <w:lang w:val="it-IT"/>
              </w:rPr>
              <w:tab/>
              <w:t>Tempo mediano (mesi)</w:t>
            </w:r>
          </w:p>
        </w:tc>
        <w:tc>
          <w:tcPr>
            <w:tcW w:w="2280" w:type="dxa"/>
          </w:tcPr>
          <w:p w14:paraId="1CE2D392" w14:textId="77777777" w:rsidR="009C0666" w:rsidRPr="006A2BF9" w:rsidRDefault="009C0666" w:rsidP="00A32391">
            <w:pPr>
              <w:pStyle w:val="TableCellCenter"/>
              <w:spacing w:before="40" w:after="40" w:line="240" w:lineRule="auto"/>
              <w:rPr>
                <w:lang w:val="it-IT"/>
              </w:rPr>
            </w:pPr>
            <w:r w:rsidRPr="006A2BF9">
              <w:rPr>
                <w:lang w:val="it-IT"/>
              </w:rPr>
              <w:t>6,2</w:t>
            </w:r>
          </w:p>
        </w:tc>
        <w:tc>
          <w:tcPr>
            <w:tcW w:w="2160" w:type="dxa"/>
          </w:tcPr>
          <w:p w14:paraId="44DB4A80" w14:textId="77777777" w:rsidR="009C0666" w:rsidRPr="006A2BF9" w:rsidRDefault="009C0666" w:rsidP="00A32391">
            <w:pPr>
              <w:pStyle w:val="TableCellCenter"/>
              <w:spacing w:before="40" w:after="40" w:line="240" w:lineRule="auto"/>
              <w:rPr>
                <w:lang w:val="it-IT"/>
              </w:rPr>
            </w:pPr>
            <w:r w:rsidRPr="006A2BF9">
              <w:rPr>
                <w:lang w:val="it-IT"/>
              </w:rPr>
              <w:t>10,6</w:t>
            </w:r>
          </w:p>
        </w:tc>
      </w:tr>
      <w:tr w:rsidR="00A560AB" w:rsidRPr="006A2BF9" w14:paraId="49613707" w14:textId="77777777" w:rsidTr="00C65E97">
        <w:trPr>
          <w:trHeight w:val="595"/>
        </w:trPr>
        <w:tc>
          <w:tcPr>
            <w:tcW w:w="3600" w:type="dxa"/>
            <w:tcBorders>
              <w:bottom w:val="single" w:sz="4" w:space="0" w:color="auto"/>
            </w:tcBorders>
          </w:tcPr>
          <w:p w14:paraId="636575A5" w14:textId="77777777" w:rsidR="00A560AB" w:rsidRPr="000F0246" w:rsidRDefault="00A560AB" w:rsidP="00A32391">
            <w:pPr>
              <w:keepNext/>
              <w:keepLines/>
              <w:spacing w:before="40" w:after="40"/>
              <w:rPr>
                <w:i/>
                <w:sz w:val="20"/>
                <w:lang w:val="it-IT"/>
              </w:rPr>
            </w:pPr>
            <w:r w:rsidRPr="006A2BF9">
              <w:rPr>
                <w:sz w:val="20"/>
                <w:lang w:val="it-IT"/>
              </w:rPr>
              <w:tab/>
            </w:r>
            <w:r w:rsidRPr="000F0246">
              <w:rPr>
                <w:i/>
                <w:sz w:val="20"/>
                <w:lang w:val="it-IT"/>
              </w:rPr>
              <w:t>Hazard ratio</w:t>
            </w:r>
          </w:p>
          <w:p w14:paraId="465F2DBB" w14:textId="77777777" w:rsidR="00A560AB" w:rsidRPr="00330A40" w:rsidRDefault="00A560AB" w:rsidP="00A32391">
            <w:pPr>
              <w:pStyle w:val="TableCellCenter"/>
              <w:spacing w:before="40" w:after="40"/>
              <w:jc w:val="left"/>
              <w:rPr>
                <w:lang w:val="it-IT"/>
              </w:rPr>
            </w:pPr>
          </w:p>
        </w:tc>
        <w:tc>
          <w:tcPr>
            <w:tcW w:w="4440" w:type="dxa"/>
            <w:gridSpan w:val="2"/>
          </w:tcPr>
          <w:p w14:paraId="4C6A4343" w14:textId="77777777" w:rsidR="00A560AB" w:rsidRPr="00330A40" w:rsidRDefault="00A560AB" w:rsidP="00A32391">
            <w:pPr>
              <w:keepNext/>
              <w:keepLines/>
              <w:spacing w:before="40" w:after="40"/>
              <w:jc w:val="center"/>
              <w:rPr>
                <w:sz w:val="20"/>
                <w:lang w:val="it-IT"/>
              </w:rPr>
            </w:pPr>
            <w:r w:rsidRPr="00330A40">
              <w:rPr>
                <w:sz w:val="20"/>
                <w:lang w:val="it-IT"/>
              </w:rPr>
              <w:t>0</w:t>
            </w:r>
            <w:r w:rsidR="00390824" w:rsidRPr="00330A40">
              <w:rPr>
                <w:sz w:val="20"/>
                <w:lang w:val="it-IT"/>
              </w:rPr>
              <w:t>,</w:t>
            </w:r>
            <w:r w:rsidRPr="00330A40">
              <w:rPr>
                <w:sz w:val="20"/>
                <w:lang w:val="it-IT"/>
              </w:rPr>
              <w:t>54</w:t>
            </w:r>
          </w:p>
          <w:p w14:paraId="23A3437F" w14:textId="77777777" w:rsidR="00A560AB" w:rsidRPr="00330A40" w:rsidRDefault="00A560AB" w:rsidP="00A32391">
            <w:pPr>
              <w:pStyle w:val="TableCellCenter"/>
              <w:spacing w:before="40" w:after="40"/>
              <w:rPr>
                <w:lang w:val="it-IT"/>
              </w:rPr>
            </w:pPr>
            <w:r w:rsidRPr="00330A40">
              <w:rPr>
                <w:lang w:val="it-IT"/>
              </w:rPr>
              <w:t>(valore di p</w:t>
            </w:r>
            <w:r w:rsidRPr="00330A40">
              <w:rPr>
                <w:rFonts w:ascii="Symbol" w:hAnsi="Symbol"/>
                <w:lang w:val="it-IT"/>
              </w:rPr>
              <w:t></w:t>
            </w:r>
            <w:r w:rsidRPr="00330A40">
              <w:rPr>
                <w:lang w:val="it-IT"/>
              </w:rPr>
              <w:t> 0,0001)</w:t>
            </w:r>
          </w:p>
        </w:tc>
      </w:tr>
      <w:tr w:rsidR="009C0666" w:rsidRPr="006A2BF9" w14:paraId="068A895C" w14:textId="77777777" w:rsidTr="00C65E97">
        <w:trPr>
          <w:trHeight w:val="20"/>
        </w:trPr>
        <w:tc>
          <w:tcPr>
            <w:tcW w:w="3600" w:type="dxa"/>
            <w:tcBorders>
              <w:right w:val="nil"/>
            </w:tcBorders>
          </w:tcPr>
          <w:p w14:paraId="3188E3DB" w14:textId="77777777" w:rsidR="009C0666" w:rsidRPr="006A2BF9" w:rsidRDefault="009C0666" w:rsidP="00A32391">
            <w:pPr>
              <w:pStyle w:val="TableCellCenter"/>
              <w:spacing w:before="40" w:after="40" w:line="240" w:lineRule="auto"/>
              <w:jc w:val="left"/>
              <w:rPr>
                <w:lang w:val="it-IT"/>
              </w:rPr>
            </w:pPr>
            <w:r w:rsidRPr="006A2BF9">
              <w:rPr>
                <w:lang w:val="it-IT"/>
              </w:rPr>
              <w:t>Tasso di risposta globale</w:t>
            </w:r>
          </w:p>
        </w:tc>
        <w:tc>
          <w:tcPr>
            <w:tcW w:w="2280" w:type="dxa"/>
            <w:tcBorders>
              <w:left w:val="nil"/>
              <w:right w:val="nil"/>
            </w:tcBorders>
          </w:tcPr>
          <w:p w14:paraId="6B9A1A01" w14:textId="77777777" w:rsidR="009C0666" w:rsidRPr="006A2BF9" w:rsidRDefault="009C0666" w:rsidP="00A32391">
            <w:pPr>
              <w:pStyle w:val="TableCellCenter"/>
              <w:spacing w:before="40" w:after="40" w:line="240" w:lineRule="auto"/>
              <w:rPr>
                <w:lang w:val="it-IT"/>
              </w:rPr>
            </w:pPr>
          </w:p>
        </w:tc>
        <w:tc>
          <w:tcPr>
            <w:tcW w:w="2160" w:type="dxa"/>
            <w:tcBorders>
              <w:left w:val="nil"/>
            </w:tcBorders>
          </w:tcPr>
          <w:p w14:paraId="11E48337" w14:textId="77777777" w:rsidR="009C0666" w:rsidRPr="006A2BF9" w:rsidRDefault="009C0666" w:rsidP="00A32391">
            <w:pPr>
              <w:pStyle w:val="TableCellCenter"/>
              <w:spacing w:before="40" w:after="40" w:line="240" w:lineRule="auto"/>
              <w:rPr>
                <w:lang w:val="it-IT"/>
              </w:rPr>
            </w:pPr>
          </w:p>
        </w:tc>
      </w:tr>
      <w:tr w:rsidR="009C0666" w:rsidRPr="006A2BF9" w14:paraId="44FEE1A6" w14:textId="77777777" w:rsidTr="00C65E97">
        <w:trPr>
          <w:trHeight w:val="20"/>
        </w:trPr>
        <w:tc>
          <w:tcPr>
            <w:tcW w:w="3600" w:type="dxa"/>
          </w:tcPr>
          <w:p w14:paraId="0BC440A1" w14:textId="77777777" w:rsidR="009C0666" w:rsidRPr="006A2BF9" w:rsidRDefault="009C0666" w:rsidP="00185751">
            <w:pPr>
              <w:pStyle w:val="TableCellCenter"/>
              <w:keepNext w:val="0"/>
              <w:keepLines w:val="0"/>
              <w:spacing w:before="40" w:after="40" w:line="240" w:lineRule="auto"/>
              <w:jc w:val="left"/>
              <w:rPr>
                <w:lang w:val="it-IT"/>
              </w:rPr>
            </w:pPr>
            <w:r w:rsidRPr="006A2BF9">
              <w:rPr>
                <w:lang w:val="it-IT"/>
              </w:rPr>
              <w:tab/>
              <w:t>Tasso (%)</w:t>
            </w:r>
          </w:p>
        </w:tc>
        <w:tc>
          <w:tcPr>
            <w:tcW w:w="2280" w:type="dxa"/>
          </w:tcPr>
          <w:p w14:paraId="02F0086E" w14:textId="77777777" w:rsidR="009C0666" w:rsidRPr="006A2BF9" w:rsidRDefault="009C0666" w:rsidP="00185751">
            <w:pPr>
              <w:pStyle w:val="TableCellCenter"/>
              <w:keepNext w:val="0"/>
              <w:keepLines w:val="0"/>
              <w:spacing w:before="40" w:after="40" w:line="240" w:lineRule="auto"/>
              <w:rPr>
                <w:lang w:val="it-IT"/>
              </w:rPr>
            </w:pPr>
            <w:r w:rsidRPr="006A2BF9">
              <w:rPr>
                <w:lang w:val="it-IT"/>
              </w:rPr>
              <w:t>34,8</w:t>
            </w:r>
          </w:p>
        </w:tc>
        <w:tc>
          <w:tcPr>
            <w:tcW w:w="2160" w:type="dxa"/>
          </w:tcPr>
          <w:p w14:paraId="4D801051" w14:textId="77777777" w:rsidR="009C0666" w:rsidRPr="006A2BF9" w:rsidRDefault="009C0666" w:rsidP="00185751">
            <w:pPr>
              <w:pStyle w:val="TableCellCenter"/>
              <w:keepNext w:val="0"/>
              <w:keepLines w:val="0"/>
              <w:spacing w:before="40" w:after="40" w:line="240" w:lineRule="auto"/>
              <w:rPr>
                <w:lang w:val="it-IT"/>
              </w:rPr>
            </w:pPr>
            <w:r w:rsidRPr="006A2BF9">
              <w:rPr>
                <w:lang w:val="it-IT"/>
              </w:rPr>
              <w:t>44,8</w:t>
            </w:r>
          </w:p>
        </w:tc>
      </w:tr>
      <w:tr w:rsidR="00A560AB" w:rsidRPr="006A2BF9" w14:paraId="5E169184" w14:textId="77777777" w:rsidTr="00C65E97">
        <w:trPr>
          <w:trHeight w:val="20"/>
        </w:trPr>
        <w:tc>
          <w:tcPr>
            <w:tcW w:w="3600" w:type="dxa"/>
          </w:tcPr>
          <w:p w14:paraId="01236F35" w14:textId="77777777" w:rsidR="00A560AB" w:rsidRPr="006A2BF9" w:rsidRDefault="00A560AB" w:rsidP="00185751">
            <w:pPr>
              <w:pStyle w:val="TextTi10"/>
              <w:spacing w:before="40" w:after="40"/>
              <w:rPr>
                <w:lang w:val="it-IT"/>
              </w:rPr>
            </w:pPr>
          </w:p>
        </w:tc>
        <w:tc>
          <w:tcPr>
            <w:tcW w:w="4440" w:type="dxa"/>
            <w:gridSpan w:val="2"/>
          </w:tcPr>
          <w:p w14:paraId="476DE5D2" w14:textId="77777777" w:rsidR="00A560AB" w:rsidRPr="006A2BF9" w:rsidRDefault="00390824" w:rsidP="00185751">
            <w:pPr>
              <w:pStyle w:val="TableCellCenter"/>
              <w:keepNext w:val="0"/>
              <w:keepLines w:val="0"/>
              <w:spacing w:before="40" w:after="40" w:line="240" w:lineRule="auto"/>
              <w:rPr>
                <w:lang w:val="it-IT"/>
              </w:rPr>
            </w:pPr>
            <w:r w:rsidRPr="006A2BF9">
              <w:rPr>
                <w:lang w:val="it-IT"/>
              </w:rPr>
              <w:t>(v</w:t>
            </w:r>
            <w:r w:rsidR="00A560AB" w:rsidRPr="006A2BF9">
              <w:rPr>
                <w:lang w:val="it-IT"/>
              </w:rPr>
              <w:t>alore di p</w:t>
            </w:r>
            <w:r w:rsidR="00203264" w:rsidRPr="006A2BF9">
              <w:rPr>
                <w:lang w:val="it-IT"/>
              </w:rPr>
              <w:t> </w:t>
            </w:r>
            <w:r w:rsidR="00A560AB" w:rsidRPr="006A2BF9">
              <w:rPr>
                <w:lang w:val="it-IT"/>
              </w:rPr>
              <w:t>=</w:t>
            </w:r>
            <w:r w:rsidR="00203264" w:rsidRPr="006A2BF9">
              <w:rPr>
                <w:lang w:val="it-IT"/>
              </w:rPr>
              <w:t> </w:t>
            </w:r>
            <w:r w:rsidR="00A560AB" w:rsidRPr="006A2BF9">
              <w:rPr>
                <w:lang w:val="it-IT"/>
              </w:rPr>
              <w:t>0,0036)</w:t>
            </w:r>
          </w:p>
        </w:tc>
      </w:tr>
    </w:tbl>
    <w:p w14:paraId="22D94D4C" w14:textId="77777777" w:rsidR="009C0666" w:rsidRPr="006A2BF9" w:rsidRDefault="009C0666" w:rsidP="00F613A4">
      <w:pPr>
        <w:ind w:left="142"/>
        <w:rPr>
          <w:sz w:val="18"/>
          <w:szCs w:val="18"/>
          <w:lang w:val="it-IT"/>
        </w:rPr>
      </w:pPr>
      <w:r w:rsidRPr="006A2BF9">
        <w:rPr>
          <w:sz w:val="18"/>
          <w:szCs w:val="18"/>
          <w:vertAlign w:val="superscript"/>
          <w:lang w:val="it-IT"/>
        </w:rPr>
        <w:t>a</w:t>
      </w:r>
      <w:r w:rsidR="00390824" w:rsidRPr="006A2BF9">
        <w:rPr>
          <w:sz w:val="18"/>
          <w:szCs w:val="18"/>
          <w:lang w:val="it-IT"/>
        </w:rPr>
        <w:t xml:space="preserve"> </w:t>
      </w:r>
      <w:r w:rsidRPr="006A2BF9">
        <w:rPr>
          <w:sz w:val="18"/>
          <w:szCs w:val="18"/>
          <w:lang w:val="it-IT"/>
        </w:rPr>
        <w:t>5 mg/kg ogni 2</w:t>
      </w:r>
      <w:r w:rsidR="00203264" w:rsidRPr="006A2BF9">
        <w:rPr>
          <w:sz w:val="18"/>
          <w:szCs w:val="18"/>
          <w:lang w:val="it-IT"/>
        </w:rPr>
        <w:t> </w:t>
      </w:r>
      <w:r w:rsidRPr="006A2BF9">
        <w:rPr>
          <w:sz w:val="18"/>
          <w:szCs w:val="18"/>
          <w:lang w:val="it-IT"/>
        </w:rPr>
        <w:t>settimane</w:t>
      </w:r>
    </w:p>
    <w:p w14:paraId="05771602" w14:textId="77777777" w:rsidR="009C0666" w:rsidRPr="006A2BF9" w:rsidRDefault="009C0666" w:rsidP="00F613A4">
      <w:pPr>
        <w:ind w:left="142"/>
        <w:rPr>
          <w:sz w:val="18"/>
          <w:szCs w:val="18"/>
          <w:lang w:val="it-IT"/>
        </w:rPr>
      </w:pPr>
      <w:r w:rsidRPr="006A2BF9">
        <w:rPr>
          <w:sz w:val="18"/>
          <w:szCs w:val="18"/>
          <w:vertAlign w:val="superscript"/>
          <w:lang w:val="it-IT"/>
        </w:rPr>
        <w:t>b</w:t>
      </w:r>
      <w:r w:rsidRPr="006A2BF9">
        <w:rPr>
          <w:sz w:val="18"/>
          <w:szCs w:val="18"/>
          <w:lang w:val="it-IT"/>
        </w:rPr>
        <w:t xml:space="preserve"> </w:t>
      </w:r>
      <w:r w:rsidR="0025736A" w:rsidRPr="006A2BF9">
        <w:rPr>
          <w:sz w:val="18"/>
          <w:szCs w:val="18"/>
          <w:lang w:val="it-IT"/>
        </w:rPr>
        <w:t xml:space="preserve">Relativamente </w:t>
      </w:r>
      <w:r w:rsidRPr="006A2BF9">
        <w:rPr>
          <w:sz w:val="18"/>
          <w:szCs w:val="18"/>
          <w:lang w:val="it-IT"/>
        </w:rPr>
        <w:t>al braccio di controllo</w:t>
      </w:r>
    </w:p>
    <w:p w14:paraId="44940373" w14:textId="77777777" w:rsidR="009C0666" w:rsidRPr="006A2BF9" w:rsidRDefault="009C0666" w:rsidP="00F613A4">
      <w:pPr>
        <w:ind w:left="142"/>
        <w:rPr>
          <w:lang w:val="it-IT"/>
        </w:rPr>
      </w:pPr>
    </w:p>
    <w:p w14:paraId="7D551982" w14:textId="77777777" w:rsidR="009C0666" w:rsidRPr="006A2BF9" w:rsidRDefault="008D7C25" w:rsidP="009C0666">
      <w:pPr>
        <w:rPr>
          <w:lang w:val="it-IT"/>
        </w:rPr>
      </w:pPr>
      <w:r w:rsidRPr="006A2BF9">
        <w:rPr>
          <w:lang w:val="it-IT"/>
        </w:rPr>
        <w:t>Tra i 110</w:t>
      </w:r>
      <w:r w:rsidR="00FD6236" w:rsidRPr="006A2BF9">
        <w:rPr>
          <w:lang w:val="it-IT"/>
        </w:rPr>
        <w:t> </w:t>
      </w:r>
      <w:r w:rsidRPr="006A2BF9">
        <w:rPr>
          <w:lang w:val="it-IT"/>
        </w:rPr>
        <w:t>pazienti randomizzati al braccio 3 (5</w:t>
      </w:r>
      <w:r w:rsidRPr="006A2BF9">
        <w:rPr>
          <w:lang w:val="it-IT"/>
        </w:rPr>
        <w:noBreakHyphen/>
        <w:t>FU/AF + </w:t>
      </w:r>
      <w:r w:rsidR="00FD6236" w:rsidRPr="006A2BF9">
        <w:rPr>
          <w:lang w:val="it-IT"/>
        </w:rPr>
        <w:t>bevacizumab</w:t>
      </w:r>
      <w:r w:rsidRPr="006A2BF9">
        <w:rPr>
          <w:lang w:val="it-IT"/>
        </w:rPr>
        <w:t xml:space="preserve">) prima dell’interruzione di questo braccio, la durata mediana della </w:t>
      </w:r>
      <w:r w:rsidR="00D63F4D">
        <w:rPr>
          <w:lang w:val="it-IT"/>
        </w:rPr>
        <w:t>OS</w:t>
      </w:r>
      <w:r w:rsidRPr="006A2BF9">
        <w:rPr>
          <w:lang w:val="it-IT"/>
        </w:rPr>
        <w:t xml:space="preserve"> è stata di 18,3</w:t>
      </w:r>
      <w:r w:rsidR="00203264" w:rsidRPr="006A2BF9">
        <w:rPr>
          <w:lang w:val="it-IT"/>
        </w:rPr>
        <w:t> </w:t>
      </w:r>
      <w:r w:rsidRPr="006A2BF9">
        <w:rPr>
          <w:lang w:val="it-IT"/>
        </w:rPr>
        <w:t xml:space="preserve">mesi e la </w:t>
      </w:r>
      <w:r w:rsidR="0017104B">
        <w:rPr>
          <w:lang w:val="it-IT"/>
        </w:rPr>
        <w:t>PFS</w:t>
      </w:r>
      <w:r w:rsidR="0017104B" w:rsidRPr="006A2BF9">
        <w:rPr>
          <w:lang w:val="it-IT"/>
        </w:rPr>
        <w:t xml:space="preserve"> </w:t>
      </w:r>
      <w:r w:rsidRPr="006A2BF9">
        <w:rPr>
          <w:lang w:val="it-IT"/>
        </w:rPr>
        <w:t>mediana è stata di 8,8</w:t>
      </w:r>
      <w:r w:rsidR="00FD6236" w:rsidRPr="006A2BF9">
        <w:rPr>
          <w:lang w:val="it-IT"/>
        </w:rPr>
        <w:t> </w:t>
      </w:r>
      <w:r w:rsidRPr="006A2BF9">
        <w:rPr>
          <w:lang w:val="it-IT"/>
        </w:rPr>
        <w:t>mesi.</w:t>
      </w:r>
    </w:p>
    <w:p w14:paraId="44C07C0C" w14:textId="77777777" w:rsidR="009C0666" w:rsidRPr="006A2BF9" w:rsidRDefault="009C0666" w:rsidP="009C0666">
      <w:pPr>
        <w:rPr>
          <w:lang w:val="it-IT"/>
        </w:rPr>
      </w:pPr>
    </w:p>
    <w:p w14:paraId="2763C0E3" w14:textId="77777777" w:rsidR="007B5D3E" w:rsidRPr="006A2BF9" w:rsidRDefault="009C0666" w:rsidP="008B3BC8">
      <w:pPr>
        <w:keepNext/>
        <w:keepLines/>
        <w:rPr>
          <w:lang w:val="it-IT"/>
        </w:rPr>
      </w:pPr>
      <w:r w:rsidRPr="006A2BF9">
        <w:rPr>
          <w:i/>
          <w:lang w:val="it-IT"/>
        </w:rPr>
        <w:lastRenderedPageBreak/>
        <w:t>AVF2192g</w:t>
      </w:r>
      <w:r w:rsidRPr="006A2BF9">
        <w:rPr>
          <w:lang w:val="it-IT"/>
        </w:rPr>
        <w:t xml:space="preserve"> </w:t>
      </w:r>
    </w:p>
    <w:p w14:paraId="38EB86DA" w14:textId="77777777" w:rsidR="009C0666" w:rsidRPr="00330A40" w:rsidRDefault="007B5D3E" w:rsidP="008B3BC8">
      <w:pPr>
        <w:keepNext/>
        <w:keepLines/>
        <w:rPr>
          <w:lang w:val="it-IT"/>
        </w:rPr>
      </w:pPr>
      <w:r w:rsidRPr="006A2BF9">
        <w:rPr>
          <w:lang w:val="it-IT"/>
        </w:rPr>
        <w:t>Q</w:t>
      </w:r>
      <w:r w:rsidR="009C0666" w:rsidRPr="006A2BF9">
        <w:rPr>
          <w:lang w:val="it-IT"/>
        </w:rPr>
        <w:t>uesto studio clinico, randomizzato, di fase</w:t>
      </w:r>
      <w:r w:rsidR="00FD6236" w:rsidRPr="006A2BF9">
        <w:rPr>
          <w:lang w:val="it-IT"/>
        </w:rPr>
        <w:t> </w:t>
      </w:r>
      <w:r w:rsidR="009C0666" w:rsidRPr="006A2BF9">
        <w:rPr>
          <w:lang w:val="it-IT"/>
        </w:rPr>
        <w:t xml:space="preserve">II, effettuato in doppio cieco e con controllo attivo, ha valutato l’efficacia e la sicurezza di </w:t>
      </w:r>
      <w:r w:rsidR="00FD6236" w:rsidRPr="006A2BF9">
        <w:rPr>
          <w:lang w:val="it-IT"/>
        </w:rPr>
        <w:t>bevacizumab</w:t>
      </w:r>
      <w:r w:rsidR="00FD6236" w:rsidRPr="006A2BF9" w:rsidDel="00FD6236">
        <w:rPr>
          <w:lang w:val="it-IT"/>
        </w:rPr>
        <w:t xml:space="preserve"> </w:t>
      </w:r>
      <w:r w:rsidR="009C0666" w:rsidRPr="006A2BF9">
        <w:rPr>
          <w:lang w:val="it-IT"/>
        </w:rPr>
        <w:t xml:space="preserve">in </w:t>
      </w:r>
      <w:r w:rsidR="003A32A4" w:rsidRPr="006A2BF9">
        <w:rPr>
          <w:lang w:val="it-IT"/>
        </w:rPr>
        <w:t xml:space="preserve">associazione </w:t>
      </w:r>
      <w:r w:rsidR="00306F5A" w:rsidRPr="006A2BF9">
        <w:rPr>
          <w:lang w:val="it-IT"/>
        </w:rPr>
        <w:t xml:space="preserve">a </w:t>
      </w:r>
      <w:r w:rsidR="009C0666" w:rsidRPr="006A2BF9">
        <w:rPr>
          <w:lang w:val="it-IT"/>
        </w:rPr>
        <w:t>5</w:t>
      </w:r>
      <w:r w:rsidR="009C0666" w:rsidRPr="006A2BF9">
        <w:rPr>
          <w:lang w:val="it-IT"/>
        </w:rPr>
        <w:noBreakHyphen/>
        <w:t xml:space="preserve">FU/acido folinico nel trattamento in prima linea del </w:t>
      </w:r>
      <w:r w:rsidR="00C02601">
        <w:rPr>
          <w:lang w:val="it-IT"/>
        </w:rPr>
        <w:t>cancro</w:t>
      </w:r>
      <w:r w:rsidR="00C02601" w:rsidRPr="00330A40">
        <w:rPr>
          <w:lang w:val="it-IT"/>
        </w:rPr>
        <w:t xml:space="preserve"> </w:t>
      </w:r>
      <w:r w:rsidR="009C0666" w:rsidRPr="00330A40">
        <w:rPr>
          <w:lang w:val="it-IT"/>
        </w:rPr>
        <w:t xml:space="preserve">metastatico </w:t>
      </w:r>
      <w:r w:rsidR="00C02601">
        <w:rPr>
          <w:lang w:val="it-IT"/>
        </w:rPr>
        <w:t xml:space="preserve">di </w:t>
      </w:r>
      <w:r w:rsidR="009C0666" w:rsidRPr="00330A40">
        <w:rPr>
          <w:lang w:val="it-IT"/>
        </w:rPr>
        <w:t>colo</w:t>
      </w:r>
      <w:r w:rsidR="00C02601">
        <w:rPr>
          <w:lang w:val="it-IT"/>
        </w:rPr>
        <w:t xml:space="preserve">n e </w:t>
      </w:r>
      <w:r w:rsidR="009C0666" w:rsidRPr="00330A40">
        <w:rPr>
          <w:lang w:val="it-IT"/>
        </w:rPr>
        <w:t>rett</w:t>
      </w:r>
      <w:r w:rsidR="00C02601">
        <w:rPr>
          <w:lang w:val="it-IT"/>
        </w:rPr>
        <w:t>o</w:t>
      </w:r>
      <w:r w:rsidR="009C0666" w:rsidRPr="00330A40">
        <w:rPr>
          <w:lang w:val="it-IT"/>
        </w:rPr>
        <w:t xml:space="preserve"> in pazienti non ritenuti candidati ottimali alla terapia in prima linea con irinotecan. Centocinque pazienti sono stati randomizzati al braccio di trattamento con 5</w:t>
      </w:r>
      <w:r w:rsidR="009C0666" w:rsidRPr="00330A40">
        <w:rPr>
          <w:lang w:val="it-IT"/>
        </w:rPr>
        <w:noBreakHyphen/>
        <w:t>FU/AF + placebo e 104</w:t>
      </w:r>
      <w:r w:rsidR="00FD6236" w:rsidRPr="00330A40">
        <w:rPr>
          <w:lang w:val="it-IT"/>
        </w:rPr>
        <w:t> </w:t>
      </w:r>
      <w:r w:rsidR="009C0666" w:rsidRPr="00330A40">
        <w:rPr>
          <w:lang w:val="it-IT"/>
        </w:rPr>
        <w:t>pazienti al braccio di trattamento con 5</w:t>
      </w:r>
      <w:r w:rsidR="009C0666" w:rsidRPr="00330A40">
        <w:rPr>
          <w:lang w:val="it-IT"/>
        </w:rPr>
        <w:noBreakHyphen/>
        <w:t>FU/AF + </w:t>
      </w:r>
      <w:r w:rsidR="00FD6236" w:rsidRPr="00330A40">
        <w:rPr>
          <w:lang w:val="it-IT"/>
        </w:rPr>
        <w:t>bevacizumab</w:t>
      </w:r>
      <w:r w:rsidR="00FD6236" w:rsidRPr="00330A40" w:rsidDel="00FD6236">
        <w:rPr>
          <w:lang w:val="it-IT"/>
        </w:rPr>
        <w:t xml:space="preserve"> </w:t>
      </w:r>
      <w:r w:rsidR="009C0666" w:rsidRPr="00330A40">
        <w:rPr>
          <w:lang w:val="it-IT"/>
        </w:rPr>
        <w:t>(5 mg/kg ogni 2</w:t>
      </w:r>
      <w:r w:rsidR="00FD6236" w:rsidRPr="00330A40">
        <w:rPr>
          <w:lang w:val="it-IT"/>
        </w:rPr>
        <w:t> </w:t>
      </w:r>
      <w:r w:rsidR="009C0666" w:rsidRPr="00330A40">
        <w:rPr>
          <w:lang w:val="it-IT"/>
        </w:rPr>
        <w:t xml:space="preserve">settimane). Tutti i trattamenti sono </w:t>
      </w:r>
      <w:r w:rsidR="00306F5A" w:rsidRPr="00330A40">
        <w:rPr>
          <w:lang w:val="it-IT"/>
        </w:rPr>
        <w:t>proseguiti</w:t>
      </w:r>
      <w:r w:rsidR="009C0666" w:rsidRPr="00330A40">
        <w:rPr>
          <w:lang w:val="it-IT"/>
        </w:rPr>
        <w:t xml:space="preserve"> fino alla progressione della malattia. L’aggiunta di </w:t>
      </w:r>
      <w:r w:rsidR="00FD6236" w:rsidRPr="00330A40">
        <w:rPr>
          <w:lang w:val="it-IT"/>
        </w:rPr>
        <w:t>bevacizumab</w:t>
      </w:r>
      <w:r w:rsidR="00FD6236" w:rsidRPr="00330A40" w:rsidDel="00FD6236">
        <w:rPr>
          <w:lang w:val="it-IT"/>
        </w:rPr>
        <w:t xml:space="preserve"> </w:t>
      </w:r>
      <w:r w:rsidR="009C0666" w:rsidRPr="00330A40">
        <w:rPr>
          <w:lang w:val="it-IT"/>
        </w:rPr>
        <w:t>5 mg/kg ogni due settimane a 5</w:t>
      </w:r>
      <w:r w:rsidR="009C0666" w:rsidRPr="00330A40">
        <w:rPr>
          <w:lang w:val="it-IT"/>
        </w:rPr>
        <w:noBreakHyphen/>
        <w:t xml:space="preserve">FU/AF ha determinato tassi di risposta obiettiva superiori, una </w:t>
      </w:r>
      <w:r w:rsidR="0017104B">
        <w:rPr>
          <w:lang w:val="it-IT"/>
        </w:rPr>
        <w:t>PFS</w:t>
      </w:r>
      <w:r w:rsidR="009C0666" w:rsidRPr="00330A40">
        <w:rPr>
          <w:lang w:val="it-IT"/>
        </w:rPr>
        <w:t xml:space="preserve"> significativamente maggiore e una tendenza ad una sopravvivenza maggiore rispetto alla sola chemioterapia 5</w:t>
      </w:r>
      <w:r w:rsidR="009C0666" w:rsidRPr="00330A40">
        <w:rPr>
          <w:lang w:val="it-IT"/>
        </w:rPr>
        <w:noBreakHyphen/>
        <w:t>FU/AF.</w:t>
      </w:r>
    </w:p>
    <w:p w14:paraId="3EA1307D" w14:textId="77777777" w:rsidR="009C0666" w:rsidRPr="006A2BF9" w:rsidRDefault="009C0666" w:rsidP="009C0666">
      <w:pPr>
        <w:rPr>
          <w:lang w:val="it-IT"/>
        </w:rPr>
      </w:pPr>
    </w:p>
    <w:p w14:paraId="48CDF657" w14:textId="77777777" w:rsidR="007B5D3E" w:rsidRPr="006A2BF9" w:rsidRDefault="009C0666" w:rsidP="001B5FB1">
      <w:pPr>
        <w:keepNext/>
        <w:keepLines/>
        <w:rPr>
          <w:lang w:val="it-IT"/>
        </w:rPr>
      </w:pPr>
      <w:r w:rsidRPr="006A2BF9">
        <w:rPr>
          <w:bCs/>
          <w:i/>
          <w:lang w:val="it-IT"/>
        </w:rPr>
        <w:t>AVF0780g</w:t>
      </w:r>
      <w:r w:rsidRPr="006A2BF9">
        <w:rPr>
          <w:lang w:val="it-IT"/>
        </w:rPr>
        <w:t xml:space="preserve"> </w:t>
      </w:r>
    </w:p>
    <w:p w14:paraId="207033A9" w14:textId="77777777" w:rsidR="00FD6236" w:rsidRPr="00330A40" w:rsidRDefault="007B5D3E" w:rsidP="009C0666">
      <w:pPr>
        <w:rPr>
          <w:lang w:val="it-IT"/>
        </w:rPr>
      </w:pPr>
      <w:r w:rsidRPr="006A2BF9">
        <w:rPr>
          <w:lang w:val="it-IT"/>
        </w:rPr>
        <w:t>Q</w:t>
      </w:r>
      <w:r w:rsidR="009C0666" w:rsidRPr="006A2BF9">
        <w:rPr>
          <w:lang w:val="it-IT"/>
        </w:rPr>
        <w:t>uesto studio clinico, randomizzato, di fase</w:t>
      </w:r>
      <w:r w:rsidR="00FD6236" w:rsidRPr="006A2BF9">
        <w:rPr>
          <w:lang w:val="it-IT"/>
        </w:rPr>
        <w:t> </w:t>
      </w:r>
      <w:r w:rsidR="009C0666" w:rsidRPr="006A2BF9">
        <w:rPr>
          <w:lang w:val="it-IT"/>
        </w:rPr>
        <w:t>II, con controllo attivo ed effettuato</w:t>
      </w:r>
      <w:r w:rsidR="009C0666" w:rsidRPr="006A2BF9" w:rsidDel="00C23696">
        <w:rPr>
          <w:lang w:val="it-IT"/>
        </w:rPr>
        <w:t xml:space="preserve"> </w:t>
      </w:r>
      <w:r w:rsidR="009C0666" w:rsidRPr="006A2BF9">
        <w:rPr>
          <w:lang w:val="it-IT"/>
        </w:rPr>
        <w:t xml:space="preserve">in aperto, ha valutato </w:t>
      </w:r>
      <w:r w:rsidR="00FD6236" w:rsidRPr="006A2BF9">
        <w:rPr>
          <w:lang w:val="it-IT"/>
        </w:rPr>
        <w:t>bevacizumab</w:t>
      </w:r>
      <w:r w:rsidR="00FD6236" w:rsidRPr="006A2BF9" w:rsidDel="00FD6236">
        <w:rPr>
          <w:lang w:val="it-IT"/>
        </w:rPr>
        <w:t xml:space="preserve"> </w:t>
      </w:r>
      <w:r w:rsidR="009C0666" w:rsidRPr="006A2BF9">
        <w:rPr>
          <w:lang w:val="it-IT"/>
        </w:rPr>
        <w:t xml:space="preserve">in </w:t>
      </w:r>
      <w:r w:rsidR="003A32A4" w:rsidRPr="006A2BF9">
        <w:rPr>
          <w:lang w:val="it-IT"/>
        </w:rPr>
        <w:t xml:space="preserve">associazione </w:t>
      </w:r>
      <w:r w:rsidR="00306F5A" w:rsidRPr="006A2BF9">
        <w:rPr>
          <w:lang w:val="it-IT"/>
        </w:rPr>
        <w:t>a </w:t>
      </w:r>
      <w:r w:rsidR="009C0666" w:rsidRPr="006A2BF9">
        <w:rPr>
          <w:lang w:val="it-IT"/>
        </w:rPr>
        <w:t>5</w:t>
      </w:r>
      <w:r w:rsidR="009C0666" w:rsidRPr="006A2BF9">
        <w:rPr>
          <w:lang w:val="it-IT"/>
        </w:rPr>
        <w:noBreakHyphen/>
        <w:t xml:space="preserve">FU/AF nel trattamento in prima linea del </w:t>
      </w:r>
      <w:r w:rsidR="009D7F9F">
        <w:rPr>
          <w:lang w:val="it-IT"/>
        </w:rPr>
        <w:t>cancro</w:t>
      </w:r>
      <w:r w:rsidR="009D7F9F" w:rsidRPr="00330A40">
        <w:rPr>
          <w:lang w:val="it-IT"/>
        </w:rPr>
        <w:t xml:space="preserve"> </w:t>
      </w:r>
      <w:r w:rsidR="009C0666" w:rsidRPr="00330A40">
        <w:rPr>
          <w:lang w:val="it-IT"/>
        </w:rPr>
        <w:t xml:space="preserve">metastatico </w:t>
      </w:r>
      <w:r w:rsidR="009D7F9F">
        <w:rPr>
          <w:lang w:val="it-IT"/>
        </w:rPr>
        <w:t xml:space="preserve">di </w:t>
      </w:r>
      <w:r w:rsidR="009C0666" w:rsidRPr="00330A40">
        <w:rPr>
          <w:lang w:val="it-IT"/>
        </w:rPr>
        <w:t>colo</w:t>
      </w:r>
      <w:r w:rsidR="009D7F9F">
        <w:rPr>
          <w:lang w:val="it-IT"/>
        </w:rPr>
        <w:t xml:space="preserve">n e </w:t>
      </w:r>
      <w:r w:rsidR="009C0666" w:rsidRPr="00330A40">
        <w:rPr>
          <w:lang w:val="it-IT"/>
        </w:rPr>
        <w:t>rett</w:t>
      </w:r>
      <w:r w:rsidR="009D7F9F">
        <w:rPr>
          <w:lang w:val="it-IT"/>
        </w:rPr>
        <w:t>o</w:t>
      </w:r>
      <w:r w:rsidR="009C0666" w:rsidRPr="00330A40">
        <w:rPr>
          <w:lang w:val="it-IT"/>
        </w:rPr>
        <w:t>. L’età media</w:t>
      </w:r>
      <w:r w:rsidR="0025736A" w:rsidRPr="00330A40">
        <w:rPr>
          <w:lang w:val="it-IT"/>
        </w:rPr>
        <w:t>na</w:t>
      </w:r>
      <w:r w:rsidR="009C0666" w:rsidRPr="00330A40">
        <w:rPr>
          <w:lang w:val="it-IT"/>
        </w:rPr>
        <w:t xml:space="preserve"> era 64</w:t>
      </w:r>
      <w:r w:rsidR="00FD6236" w:rsidRPr="00330A40">
        <w:rPr>
          <w:lang w:val="it-IT"/>
        </w:rPr>
        <w:t> </w:t>
      </w:r>
      <w:r w:rsidR="009C0666" w:rsidRPr="00330A40">
        <w:rPr>
          <w:lang w:val="it-IT"/>
        </w:rPr>
        <w:t>anni. Il 19% dei pazienti era stato sottoposto precedentemente a chemioterapia e il 14% a radioterapia.</w:t>
      </w:r>
    </w:p>
    <w:p w14:paraId="0B7A9BE3" w14:textId="77777777" w:rsidR="009C0666" w:rsidRPr="006A2BF9" w:rsidRDefault="009C0666" w:rsidP="009C0666">
      <w:pPr>
        <w:rPr>
          <w:lang w:val="it-IT"/>
        </w:rPr>
      </w:pPr>
      <w:r w:rsidRPr="00330A40">
        <w:rPr>
          <w:lang w:val="it-IT"/>
        </w:rPr>
        <w:t>Settantuno pazienti sono stati randomizzati a ricevere il regime 5</w:t>
      </w:r>
      <w:r w:rsidRPr="00330A40">
        <w:rPr>
          <w:lang w:val="it-IT"/>
        </w:rPr>
        <w:noBreakHyphen/>
        <w:t>FU/AF in bolo o l</w:t>
      </w:r>
      <w:r w:rsidR="003A32A4" w:rsidRPr="006A2BF9">
        <w:rPr>
          <w:lang w:val="it-IT"/>
        </w:rPr>
        <w:t xml:space="preserve">’associazione </w:t>
      </w:r>
      <w:r w:rsidRPr="006A2BF9">
        <w:rPr>
          <w:lang w:val="it-IT"/>
        </w:rPr>
        <w:t>5</w:t>
      </w:r>
      <w:r w:rsidRPr="006A2BF9">
        <w:rPr>
          <w:lang w:val="it-IT"/>
        </w:rPr>
        <w:noBreakHyphen/>
        <w:t>FU/AF + </w:t>
      </w:r>
      <w:r w:rsidR="00FD6236" w:rsidRPr="006A2BF9">
        <w:rPr>
          <w:lang w:val="it-IT"/>
        </w:rPr>
        <w:t>bevacizumab</w:t>
      </w:r>
      <w:r w:rsidR="00FD6236" w:rsidRPr="006A2BF9" w:rsidDel="00FD6236">
        <w:rPr>
          <w:lang w:val="it-IT"/>
        </w:rPr>
        <w:t xml:space="preserve"> </w:t>
      </w:r>
      <w:r w:rsidRPr="006A2BF9">
        <w:rPr>
          <w:lang w:val="it-IT"/>
        </w:rPr>
        <w:t>(5 mg/kg ogni 2</w:t>
      </w:r>
      <w:r w:rsidR="00FD6236" w:rsidRPr="006A2BF9">
        <w:rPr>
          <w:lang w:val="it-IT"/>
        </w:rPr>
        <w:t> </w:t>
      </w:r>
      <w:r w:rsidRPr="006A2BF9">
        <w:rPr>
          <w:lang w:val="it-IT"/>
        </w:rPr>
        <w:t>settimane). Un terzo gruppo di 33</w:t>
      </w:r>
      <w:r w:rsidR="00FD6236" w:rsidRPr="006A2BF9">
        <w:rPr>
          <w:lang w:val="it-IT"/>
        </w:rPr>
        <w:t> </w:t>
      </w:r>
      <w:r w:rsidRPr="006A2BF9">
        <w:rPr>
          <w:lang w:val="it-IT"/>
        </w:rPr>
        <w:t xml:space="preserve">pazienti ha ricevuto </w:t>
      </w:r>
      <w:r w:rsidR="003A32A4" w:rsidRPr="006A2BF9">
        <w:rPr>
          <w:lang w:val="it-IT"/>
        </w:rPr>
        <w:t>l’associazione</w:t>
      </w:r>
      <w:r w:rsidRPr="006A2BF9">
        <w:rPr>
          <w:lang w:val="it-IT"/>
        </w:rPr>
        <w:t xml:space="preserve"> 5</w:t>
      </w:r>
      <w:r w:rsidRPr="006A2BF9">
        <w:rPr>
          <w:lang w:val="it-IT"/>
        </w:rPr>
        <w:noBreakHyphen/>
        <w:t>FU/AF in bolo + </w:t>
      </w:r>
      <w:r w:rsidR="00FD6236" w:rsidRPr="006A2BF9">
        <w:rPr>
          <w:lang w:val="it-IT"/>
        </w:rPr>
        <w:t>bevacizumab</w:t>
      </w:r>
      <w:r w:rsidR="00FD6236" w:rsidRPr="006A2BF9" w:rsidDel="00FD6236">
        <w:rPr>
          <w:lang w:val="it-IT"/>
        </w:rPr>
        <w:t xml:space="preserve"> </w:t>
      </w:r>
      <w:r w:rsidRPr="006A2BF9">
        <w:rPr>
          <w:lang w:val="it-IT"/>
        </w:rPr>
        <w:t xml:space="preserve">(10 mg/kg ogni 2 settimane). I pazienti sono stati trattati fino alla progressione della malattia. Gli </w:t>
      </w:r>
      <w:r w:rsidRPr="006A2BF9">
        <w:rPr>
          <w:i/>
          <w:lang w:val="it-IT"/>
        </w:rPr>
        <w:t>endpoint</w:t>
      </w:r>
      <w:r w:rsidRPr="006A2BF9">
        <w:rPr>
          <w:lang w:val="it-IT"/>
        </w:rPr>
        <w:t xml:space="preserve"> primari dello studio sono stati il tasso di risposta obiettiva e la </w:t>
      </w:r>
      <w:r w:rsidR="0017104B">
        <w:rPr>
          <w:lang w:val="it-IT"/>
        </w:rPr>
        <w:t>PFS</w:t>
      </w:r>
      <w:r w:rsidRPr="006A2BF9">
        <w:rPr>
          <w:lang w:val="it-IT"/>
        </w:rPr>
        <w:t xml:space="preserve">. L’aggiunta di </w:t>
      </w:r>
      <w:r w:rsidR="00FD6236" w:rsidRPr="006A2BF9">
        <w:rPr>
          <w:lang w:val="it-IT"/>
        </w:rPr>
        <w:t>bevacizumab</w:t>
      </w:r>
      <w:r w:rsidR="00FD6236" w:rsidRPr="006A2BF9" w:rsidDel="00FD6236">
        <w:rPr>
          <w:lang w:val="it-IT"/>
        </w:rPr>
        <w:t xml:space="preserve"> </w:t>
      </w:r>
      <w:r w:rsidRPr="006A2BF9">
        <w:rPr>
          <w:lang w:val="it-IT"/>
        </w:rPr>
        <w:t>5 mg/kg ogni due settimane a 5</w:t>
      </w:r>
      <w:r w:rsidRPr="006A2BF9">
        <w:rPr>
          <w:lang w:val="it-IT"/>
        </w:rPr>
        <w:noBreakHyphen/>
        <w:t xml:space="preserve">FU/AF ha determinato tassi di risposta obiettiva superiori, una </w:t>
      </w:r>
      <w:r w:rsidR="0017104B">
        <w:rPr>
          <w:lang w:val="it-IT"/>
        </w:rPr>
        <w:t>PFS</w:t>
      </w:r>
      <w:r w:rsidRPr="006A2BF9">
        <w:rPr>
          <w:lang w:val="it-IT"/>
        </w:rPr>
        <w:t xml:space="preserve"> maggiore e una tendenza ad una sopravvivenza maggiore rispetto alla sola chemioterapia 5</w:t>
      </w:r>
      <w:r w:rsidRPr="006A2BF9">
        <w:rPr>
          <w:lang w:val="it-IT"/>
        </w:rPr>
        <w:noBreakHyphen/>
        <w:t>FU/AF (vedere tabella</w:t>
      </w:r>
      <w:r w:rsidR="00EC6075" w:rsidRPr="006A2BF9">
        <w:rPr>
          <w:lang w:val="it-IT"/>
        </w:rPr>
        <w:t> </w:t>
      </w:r>
      <w:r w:rsidR="004C6922" w:rsidRPr="006A2BF9">
        <w:rPr>
          <w:lang w:val="it-IT"/>
        </w:rPr>
        <w:t>5</w:t>
      </w:r>
      <w:r w:rsidRPr="006A2BF9">
        <w:rPr>
          <w:lang w:val="it-IT"/>
        </w:rPr>
        <w:t>). Questi dati relativi all’efficacia sono in linea con i risultati emersi nello studio AVF2107g.</w:t>
      </w:r>
    </w:p>
    <w:p w14:paraId="79BAFD7F" w14:textId="77777777" w:rsidR="009C0666" w:rsidRPr="006A2BF9" w:rsidRDefault="009C0666" w:rsidP="009C0666">
      <w:pPr>
        <w:rPr>
          <w:lang w:val="it-IT"/>
        </w:rPr>
      </w:pPr>
    </w:p>
    <w:p w14:paraId="159BED85" w14:textId="77777777" w:rsidR="009C0666" w:rsidRPr="006A2BF9" w:rsidRDefault="009C0666" w:rsidP="009C0666">
      <w:pPr>
        <w:rPr>
          <w:lang w:val="it-IT"/>
        </w:rPr>
      </w:pPr>
      <w:r w:rsidRPr="006A2BF9">
        <w:rPr>
          <w:lang w:val="it-IT"/>
        </w:rPr>
        <w:t xml:space="preserve">I dati relativi all’efficacia emersi negli studi AVF0780g e AVF2192g, che hanno valutato l’impiego di </w:t>
      </w:r>
      <w:r w:rsidR="00FD6236" w:rsidRPr="006A2BF9">
        <w:rPr>
          <w:lang w:val="it-IT"/>
        </w:rPr>
        <w:t>bevacizumab</w:t>
      </w:r>
      <w:r w:rsidR="00FD6236" w:rsidRPr="006A2BF9" w:rsidDel="00FD6236">
        <w:rPr>
          <w:lang w:val="it-IT"/>
        </w:rPr>
        <w:t xml:space="preserve"> </w:t>
      </w:r>
      <w:r w:rsidRPr="006A2BF9">
        <w:rPr>
          <w:lang w:val="it-IT"/>
        </w:rPr>
        <w:t xml:space="preserve">in </w:t>
      </w:r>
      <w:r w:rsidR="003A32A4" w:rsidRPr="006A2BF9">
        <w:rPr>
          <w:lang w:val="it-IT"/>
        </w:rPr>
        <w:t xml:space="preserve">associazione </w:t>
      </w:r>
      <w:r w:rsidR="008518B3" w:rsidRPr="006A2BF9">
        <w:rPr>
          <w:lang w:val="it-IT"/>
        </w:rPr>
        <w:t>a</w:t>
      </w:r>
      <w:r w:rsidRPr="006A2BF9">
        <w:rPr>
          <w:lang w:val="it-IT"/>
        </w:rPr>
        <w:t xml:space="preserve"> chemioterapia 5</w:t>
      </w:r>
      <w:r w:rsidRPr="006A2BF9">
        <w:rPr>
          <w:lang w:val="it-IT"/>
        </w:rPr>
        <w:noBreakHyphen/>
        <w:t>FU/AF, sono riassunti nella tabella</w:t>
      </w:r>
      <w:r w:rsidR="00EC6075" w:rsidRPr="006A2BF9">
        <w:rPr>
          <w:lang w:val="it-IT"/>
        </w:rPr>
        <w:t> </w:t>
      </w:r>
      <w:r w:rsidR="00D966E3" w:rsidRPr="006A2BF9">
        <w:rPr>
          <w:lang w:val="it-IT"/>
        </w:rPr>
        <w:t>5</w:t>
      </w:r>
      <w:r w:rsidRPr="006A2BF9">
        <w:rPr>
          <w:lang w:val="it-IT"/>
        </w:rPr>
        <w:t>.</w:t>
      </w:r>
    </w:p>
    <w:p w14:paraId="19F3CEE0" w14:textId="77777777" w:rsidR="009C0666" w:rsidRPr="006A2BF9" w:rsidRDefault="009C0666" w:rsidP="009C0666">
      <w:pPr>
        <w:rPr>
          <w:lang w:val="it-IT"/>
        </w:rPr>
      </w:pPr>
    </w:p>
    <w:p w14:paraId="39542CC2" w14:textId="77777777" w:rsidR="009C0666" w:rsidRPr="006A2BF9" w:rsidRDefault="009C0666" w:rsidP="00214FBA">
      <w:pPr>
        <w:keepNext/>
        <w:keepLines/>
        <w:ind w:left="1440" w:hanging="1440"/>
        <w:rPr>
          <w:lang w:val="it-IT"/>
        </w:rPr>
      </w:pPr>
      <w:r w:rsidRPr="006A2BF9">
        <w:rPr>
          <w:b/>
          <w:bCs/>
          <w:lang w:val="it-IT"/>
        </w:rPr>
        <w:lastRenderedPageBreak/>
        <w:t>Tabella</w:t>
      </w:r>
      <w:r w:rsidR="007E2770" w:rsidRPr="006A2BF9">
        <w:rPr>
          <w:b/>
          <w:bCs/>
          <w:lang w:val="it-IT"/>
        </w:rPr>
        <w:t> </w:t>
      </w:r>
      <w:r w:rsidR="00D966E3" w:rsidRPr="006A2BF9">
        <w:rPr>
          <w:b/>
          <w:bCs/>
          <w:lang w:val="it-IT"/>
        </w:rPr>
        <w:t>5</w:t>
      </w:r>
      <w:r w:rsidRPr="006A2BF9">
        <w:rPr>
          <w:b/>
          <w:bCs/>
          <w:lang w:val="it-IT"/>
        </w:rPr>
        <w:tab/>
        <w:t>Dati relativi all’efficacia degli studi AVF0780g e AVF2192g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91"/>
        <w:gridCol w:w="1284"/>
        <w:gridCol w:w="1284"/>
        <w:gridCol w:w="1284"/>
        <w:gridCol w:w="1284"/>
        <w:gridCol w:w="1284"/>
      </w:tblGrid>
      <w:tr w:rsidR="009C0666" w:rsidRPr="006A2BF9" w14:paraId="2D3501DE" w14:textId="77777777" w:rsidTr="00C65E97">
        <w:trPr>
          <w:cantSplit/>
          <w:tblHeader/>
        </w:trPr>
        <w:tc>
          <w:tcPr>
            <w:tcW w:w="2791" w:type="dxa"/>
            <w:vMerge w:val="restart"/>
          </w:tcPr>
          <w:p w14:paraId="6D45EFF5" w14:textId="77777777" w:rsidR="009C0666" w:rsidRPr="006A2BF9" w:rsidRDefault="009C0666" w:rsidP="00214FBA">
            <w:pPr>
              <w:keepNext/>
              <w:keepLines/>
              <w:rPr>
                <w:sz w:val="20"/>
                <w:lang w:val="it-IT"/>
              </w:rPr>
            </w:pPr>
          </w:p>
        </w:tc>
        <w:tc>
          <w:tcPr>
            <w:tcW w:w="3852" w:type="dxa"/>
            <w:gridSpan w:val="3"/>
            <w:vAlign w:val="center"/>
          </w:tcPr>
          <w:p w14:paraId="2F136FE8" w14:textId="77777777" w:rsidR="009C0666" w:rsidRPr="006A2BF9" w:rsidRDefault="009C0666" w:rsidP="00214FBA">
            <w:pPr>
              <w:pStyle w:val="TableCellCenter"/>
              <w:spacing w:before="40" w:after="40" w:line="240" w:lineRule="auto"/>
              <w:rPr>
                <w:b/>
                <w:lang w:val="it-IT"/>
              </w:rPr>
            </w:pPr>
            <w:r w:rsidRPr="006A2BF9">
              <w:rPr>
                <w:b/>
                <w:lang w:val="it-IT"/>
              </w:rPr>
              <w:t>AVF0780g</w:t>
            </w:r>
          </w:p>
        </w:tc>
        <w:tc>
          <w:tcPr>
            <w:tcW w:w="2568" w:type="dxa"/>
            <w:gridSpan w:val="2"/>
            <w:vAlign w:val="center"/>
          </w:tcPr>
          <w:p w14:paraId="17B8F252" w14:textId="77777777" w:rsidR="009C0666" w:rsidRPr="006A2BF9" w:rsidRDefault="009C0666" w:rsidP="00214FBA">
            <w:pPr>
              <w:keepNext/>
              <w:keepLines/>
              <w:jc w:val="center"/>
              <w:rPr>
                <w:b/>
                <w:sz w:val="20"/>
                <w:lang w:val="it-IT"/>
              </w:rPr>
            </w:pPr>
            <w:r w:rsidRPr="006A2BF9">
              <w:rPr>
                <w:b/>
                <w:sz w:val="20"/>
                <w:lang w:val="it-IT"/>
              </w:rPr>
              <w:t>AVF2192g</w:t>
            </w:r>
          </w:p>
        </w:tc>
      </w:tr>
      <w:tr w:rsidR="009C0666" w:rsidRPr="006A2BF9" w14:paraId="5BF1A169" w14:textId="77777777" w:rsidTr="00C65E97">
        <w:trPr>
          <w:cantSplit/>
          <w:tblHeader/>
        </w:trPr>
        <w:tc>
          <w:tcPr>
            <w:tcW w:w="2791" w:type="dxa"/>
            <w:vMerge/>
          </w:tcPr>
          <w:p w14:paraId="65955F76" w14:textId="77777777" w:rsidR="009C0666" w:rsidRPr="006A2BF9" w:rsidRDefault="009C0666" w:rsidP="00214FBA">
            <w:pPr>
              <w:keepNext/>
              <w:keepLines/>
              <w:rPr>
                <w:sz w:val="20"/>
                <w:lang w:val="it-IT"/>
              </w:rPr>
            </w:pPr>
          </w:p>
        </w:tc>
        <w:tc>
          <w:tcPr>
            <w:tcW w:w="1284" w:type="dxa"/>
            <w:vAlign w:val="center"/>
          </w:tcPr>
          <w:p w14:paraId="2E7C2C74" w14:textId="77777777" w:rsidR="009C0666" w:rsidRPr="006A2BF9" w:rsidRDefault="009C0666" w:rsidP="00214FBA">
            <w:pPr>
              <w:pStyle w:val="TableCellCenter"/>
              <w:spacing w:before="40" w:after="40" w:line="240" w:lineRule="auto"/>
              <w:rPr>
                <w:b/>
                <w:lang w:val="it-IT"/>
              </w:rPr>
            </w:pPr>
            <w:r w:rsidRPr="006A2BF9">
              <w:rPr>
                <w:b/>
                <w:lang w:val="it-IT"/>
              </w:rPr>
              <w:t xml:space="preserve"> 5-FU/AF</w:t>
            </w:r>
          </w:p>
        </w:tc>
        <w:tc>
          <w:tcPr>
            <w:tcW w:w="1284" w:type="dxa"/>
            <w:vAlign w:val="center"/>
          </w:tcPr>
          <w:p w14:paraId="6CC217E8" w14:textId="77777777" w:rsidR="009C0666" w:rsidRPr="006A2BF9" w:rsidRDefault="009C0666" w:rsidP="00D37A63">
            <w:pPr>
              <w:pStyle w:val="TableCellCenter"/>
              <w:spacing w:before="40" w:after="40" w:line="240" w:lineRule="auto"/>
              <w:rPr>
                <w:b/>
                <w:lang w:val="it-IT"/>
              </w:rPr>
            </w:pPr>
            <w:r w:rsidRPr="006A2BF9">
              <w:rPr>
                <w:b/>
                <w:lang w:val="it-IT"/>
              </w:rPr>
              <w:t>5-FU/AF </w:t>
            </w:r>
            <w:r w:rsidRPr="006A2BF9">
              <w:rPr>
                <w:rFonts w:ascii="Symbol" w:hAnsi="Symbol"/>
                <w:b/>
                <w:lang w:val="it-IT"/>
              </w:rPr>
              <w:t></w:t>
            </w:r>
            <w:r w:rsidR="00CC3FE5" w:rsidRPr="006A2BF9">
              <w:rPr>
                <w:b/>
                <w:lang w:val="it-IT"/>
              </w:rPr>
              <w:t> </w:t>
            </w:r>
            <w:r w:rsidR="00D37A63" w:rsidRPr="006A2BF9">
              <w:rPr>
                <w:b/>
                <w:lang w:val="it-IT"/>
              </w:rPr>
              <w:t>bevacizumab</w:t>
            </w:r>
            <w:r w:rsidRPr="006A2BF9">
              <w:rPr>
                <w:b/>
                <w:vertAlign w:val="superscript"/>
                <w:lang w:val="it-IT"/>
              </w:rPr>
              <w:t>a</w:t>
            </w:r>
          </w:p>
        </w:tc>
        <w:tc>
          <w:tcPr>
            <w:tcW w:w="1284" w:type="dxa"/>
            <w:vAlign w:val="center"/>
          </w:tcPr>
          <w:p w14:paraId="6D1C2134" w14:textId="77777777" w:rsidR="009C0666" w:rsidRPr="006A2BF9" w:rsidRDefault="009C0666" w:rsidP="00D37A63">
            <w:pPr>
              <w:pStyle w:val="TableCellCenter"/>
              <w:spacing w:before="40" w:after="40" w:line="240" w:lineRule="auto"/>
              <w:rPr>
                <w:b/>
                <w:lang w:val="it-IT"/>
              </w:rPr>
            </w:pPr>
            <w:r w:rsidRPr="006A2BF9">
              <w:rPr>
                <w:b/>
                <w:lang w:val="it-IT"/>
              </w:rPr>
              <w:t>5-FU/AF </w:t>
            </w:r>
            <w:r w:rsidRPr="006A2BF9">
              <w:rPr>
                <w:rFonts w:ascii="Symbol" w:hAnsi="Symbol"/>
                <w:b/>
                <w:lang w:val="it-IT"/>
              </w:rPr>
              <w:t></w:t>
            </w:r>
            <w:r w:rsidR="00CC3FE5" w:rsidRPr="006A2BF9">
              <w:rPr>
                <w:b/>
                <w:lang w:val="it-IT"/>
              </w:rPr>
              <w:t> </w:t>
            </w:r>
            <w:r w:rsidR="00D37A63" w:rsidRPr="006A2BF9">
              <w:rPr>
                <w:b/>
                <w:lang w:val="it-IT"/>
              </w:rPr>
              <w:t>bevacizumab</w:t>
            </w:r>
            <w:r w:rsidRPr="006A2BF9">
              <w:rPr>
                <w:b/>
                <w:vertAlign w:val="superscript"/>
                <w:lang w:val="it-IT"/>
              </w:rPr>
              <w:t>b</w:t>
            </w:r>
          </w:p>
        </w:tc>
        <w:tc>
          <w:tcPr>
            <w:tcW w:w="1284" w:type="dxa"/>
            <w:vAlign w:val="center"/>
          </w:tcPr>
          <w:p w14:paraId="6B32C6E4" w14:textId="77777777" w:rsidR="009C0666" w:rsidRPr="006A2BF9" w:rsidRDefault="009C0666" w:rsidP="00214FBA">
            <w:pPr>
              <w:keepNext/>
              <w:keepLines/>
              <w:spacing w:before="96" w:after="96" w:line="240" w:lineRule="atLeast"/>
              <w:jc w:val="center"/>
              <w:rPr>
                <w:b/>
                <w:sz w:val="20"/>
                <w:lang w:val="it-IT"/>
              </w:rPr>
            </w:pPr>
            <w:r w:rsidRPr="006A2BF9">
              <w:rPr>
                <w:b/>
                <w:sz w:val="20"/>
                <w:lang w:val="it-IT"/>
              </w:rPr>
              <w:t>5-FU/AF</w:t>
            </w:r>
            <w:r w:rsidR="00CC3FE5" w:rsidRPr="006A2BF9">
              <w:rPr>
                <w:b/>
                <w:sz w:val="20"/>
                <w:lang w:val="it-IT"/>
              </w:rPr>
              <w:t> </w:t>
            </w:r>
            <w:r w:rsidRPr="006A2BF9">
              <w:rPr>
                <w:b/>
                <w:sz w:val="20"/>
                <w:lang w:val="it-IT"/>
              </w:rPr>
              <w:t>+</w:t>
            </w:r>
            <w:r w:rsidR="00CC3FE5" w:rsidRPr="006A2BF9">
              <w:rPr>
                <w:b/>
                <w:sz w:val="20"/>
                <w:lang w:val="it-IT"/>
              </w:rPr>
              <w:t> </w:t>
            </w:r>
            <w:r w:rsidRPr="006A2BF9">
              <w:rPr>
                <w:b/>
                <w:sz w:val="20"/>
                <w:lang w:val="it-IT"/>
              </w:rPr>
              <w:t>placebo</w:t>
            </w:r>
          </w:p>
        </w:tc>
        <w:tc>
          <w:tcPr>
            <w:tcW w:w="1284" w:type="dxa"/>
            <w:vAlign w:val="center"/>
          </w:tcPr>
          <w:p w14:paraId="1605148A" w14:textId="77777777" w:rsidR="009C0666" w:rsidRPr="006A2BF9" w:rsidRDefault="009C0666" w:rsidP="00214FBA">
            <w:pPr>
              <w:keepNext/>
              <w:keepLines/>
              <w:spacing w:before="96" w:after="96" w:line="240" w:lineRule="atLeast"/>
              <w:jc w:val="center"/>
              <w:rPr>
                <w:b/>
                <w:sz w:val="20"/>
                <w:lang w:val="it-IT"/>
              </w:rPr>
            </w:pPr>
            <w:r w:rsidRPr="006A2BF9">
              <w:rPr>
                <w:b/>
                <w:sz w:val="20"/>
                <w:lang w:val="it-IT"/>
              </w:rPr>
              <w:t>5-FU/AF</w:t>
            </w:r>
            <w:r w:rsidR="00CC3FE5" w:rsidRPr="006A2BF9">
              <w:rPr>
                <w:b/>
                <w:sz w:val="20"/>
                <w:lang w:val="it-IT"/>
              </w:rPr>
              <w:t> </w:t>
            </w:r>
            <w:r w:rsidRPr="006A2BF9">
              <w:rPr>
                <w:b/>
                <w:sz w:val="20"/>
                <w:lang w:val="it-IT"/>
              </w:rPr>
              <w:t>+</w:t>
            </w:r>
            <w:r w:rsidR="00CC3FE5" w:rsidRPr="006A2BF9">
              <w:rPr>
                <w:b/>
                <w:sz w:val="20"/>
                <w:lang w:val="it-IT"/>
              </w:rPr>
              <w:t> </w:t>
            </w:r>
            <w:r w:rsidR="00D37A63" w:rsidRPr="006A2BF9">
              <w:rPr>
                <w:b/>
                <w:sz w:val="20"/>
                <w:lang w:val="it-IT"/>
              </w:rPr>
              <w:t>bevacizumab</w:t>
            </w:r>
          </w:p>
        </w:tc>
      </w:tr>
      <w:tr w:rsidR="009C0666" w:rsidRPr="006A2BF9" w14:paraId="58E28BCE" w14:textId="77777777" w:rsidTr="00C65E97">
        <w:tc>
          <w:tcPr>
            <w:tcW w:w="2791" w:type="dxa"/>
            <w:tcBorders>
              <w:bottom w:val="single" w:sz="4" w:space="0" w:color="auto"/>
            </w:tcBorders>
          </w:tcPr>
          <w:p w14:paraId="5FCA2A96" w14:textId="77777777" w:rsidR="009C0666" w:rsidRPr="006A2BF9" w:rsidRDefault="009C0666" w:rsidP="00214FBA">
            <w:pPr>
              <w:keepNext/>
              <w:keepLines/>
              <w:spacing w:before="40" w:after="40"/>
              <w:rPr>
                <w:sz w:val="20"/>
                <w:lang w:val="it-IT"/>
              </w:rPr>
            </w:pPr>
            <w:r w:rsidRPr="006A2BF9">
              <w:rPr>
                <w:sz w:val="20"/>
                <w:lang w:val="it-IT"/>
              </w:rPr>
              <w:t>Numero di pazienti</w:t>
            </w:r>
          </w:p>
        </w:tc>
        <w:tc>
          <w:tcPr>
            <w:tcW w:w="1284" w:type="dxa"/>
            <w:tcBorders>
              <w:bottom w:val="single" w:sz="4" w:space="0" w:color="auto"/>
            </w:tcBorders>
            <w:vAlign w:val="center"/>
          </w:tcPr>
          <w:p w14:paraId="69D0967B" w14:textId="77777777" w:rsidR="009C0666" w:rsidRPr="006A2BF9" w:rsidRDefault="009C0666" w:rsidP="00214FBA">
            <w:pPr>
              <w:pStyle w:val="TableCellCenter"/>
              <w:spacing w:before="40" w:after="40" w:line="240" w:lineRule="auto"/>
              <w:rPr>
                <w:lang w:val="it-IT"/>
              </w:rPr>
            </w:pPr>
            <w:r w:rsidRPr="006A2BF9">
              <w:rPr>
                <w:lang w:val="it-IT"/>
              </w:rPr>
              <w:t>36</w:t>
            </w:r>
          </w:p>
        </w:tc>
        <w:tc>
          <w:tcPr>
            <w:tcW w:w="1284" w:type="dxa"/>
            <w:tcBorders>
              <w:bottom w:val="single" w:sz="4" w:space="0" w:color="auto"/>
            </w:tcBorders>
            <w:vAlign w:val="center"/>
          </w:tcPr>
          <w:p w14:paraId="0229CC4C" w14:textId="77777777" w:rsidR="009C0666" w:rsidRPr="006A2BF9" w:rsidRDefault="009C0666" w:rsidP="00214FBA">
            <w:pPr>
              <w:pStyle w:val="TableCellCenter"/>
              <w:spacing w:before="40" w:after="40" w:line="240" w:lineRule="auto"/>
              <w:rPr>
                <w:lang w:val="it-IT"/>
              </w:rPr>
            </w:pPr>
            <w:r w:rsidRPr="006A2BF9">
              <w:rPr>
                <w:lang w:val="it-IT"/>
              </w:rPr>
              <w:t>35</w:t>
            </w:r>
          </w:p>
        </w:tc>
        <w:tc>
          <w:tcPr>
            <w:tcW w:w="1284" w:type="dxa"/>
            <w:tcBorders>
              <w:bottom w:val="single" w:sz="4" w:space="0" w:color="auto"/>
            </w:tcBorders>
            <w:vAlign w:val="center"/>
          </w:tcPr>
          <w:p w14:paraId="188F2A65" w14:textId="77777777" w:rsidR="009C0666" w:rsidRPr="006A2BF9" w:rsidRDefault="009C0666" w:rsidP="00214FBA">
            <w:pPr>
              <w:pStyle w:val="TableCellCenter"/>
              <w:spacing w:before="40" w:after="40" w:line="240" w:lineRule="auto"/>
              <w:rPr>
                <w:lang w:val="it-IT"/>
              </w:rPr>
            </w:pPr>
            <w:r w:rsidRPr="006A2BF9">
              <w:rPr>
                <w:lang w:val="it-IT"/>
              </w:rPr>
              <w:t>33</w:t>
            </w:r>
          </w:p>
        </w:tc>
        <w:tc>
          <w:tcPr>
            <w:tcW w:w="1284" w:type="dxa"/>
            <w:tcBorders>
              <w:bottom w:val="single" w:sz="4" w:space="0" w:color="auto"/>
            </w:tcBorders>
            <w:vAlign w:val="center"/>
          </w:tcPr>
          <w:p w14:paraId="475A33AB" w14:textId="77777777" w:rsidR="009C0666" w:rsidRPr="006A2BF9" w:rsidRDefault="009C0666" w:rsidP="00214FBA">
            <w:pPr>
              <w:keepNext/>
              <w:keepLines/>
              <w:spacing w:before="40" w:after="40"/>
              <w:jc w:val="center"/>
              <w:rPr>
                <w:sz w:val="20"/>
                <w:lang w:val="it-IT"/>
              </w:rPr>
            </w:pPr>
            <w:r w:rsidRPr="006A2BF9">
              <w:rPr>
                <w:sz w:val="20"/>
                <w:lang w:val="it-IT"/>
              </w:rPr>
              <w:t>105</w:t>
            </w:r>
          </w:p>
        </w:tc>
        <w:tc>
          <w:tcPr>
            <w:tcW w:w="1284" w:type="dxa"/>
            <w:vAlign w:val="center"/>
          </w:tcPr>
          <w:p w14:paraId="6A7D02D5" w14:textId="77777777" w:rsidR="009C0666" w:rsidRPr="006A2BF9" w:rsidRDefault="009C0666" w:rsidP="00214FBA">
            <w:pPr>
              <w:keepNext/>
              <w:keepLines/>
              <w:spacing w:before="40" w:after="40"/>
              <w:jc w:val="center"/>
              <w:rPr>
                <w:sz w:val="20"/>
                <w:lang w:val="it-IT"/>
              </w:rPr>
            </w:pPr>
            <w:r w:rsidRPr="006A2BF9">
              <w:rPr>
                <w:sz w:val="20"/>
                <w:lang w:val="it-IT"/>
              </w:rPr>
              <w:t>104</w:t>
            </w:r>
          </w:p>
        </w:tc>
      </w:tr>
      <w:tr w:rsidR="009C0666" w:rsidRPr="006A2BF9" w14:paraId="60161FD2" w14:textId="77777777" w:rsidTr="00C65E97">
        <w:tc>
          <w:tcPr>
            <w:tcW w:w="2791" w:type="dxa"/>
            <w:tcBorders>
              <w:right w:val="nil"/>
            </w:tcBorders>
          </w:tcPr>
          <w:p w14:paraId="061A434B" w14:textId="77777777" w:rsidR="009C0666" w:rsidRPr="006A2BF9" w:rsidRDefault="009C0666" w:rsidP="00214FBA">
            <w:pPr>
              <w:keepNext/>
              <w:keepLines/>
              <w:spacing w:before="40" w:after="40"/>
              <w:rPr>
                <w:sz w:val="20"/>
                <w:lang w:val="it-IT"/>
              </w:rPr>
            </w:pPr>
            <w:r w:rsidRPr="006A2BF9">
              <w:rPr>
                <w:sz w:val="20"/>
                <w:lang w:val="it-IT"/>
              </w:rPr>
              <w:t>Sopravvivenza globale</w:t>
            </w:r>
          </w:p>
        </w:tc>
        <w:tc>
          <w:tcPr>
            <w:tcW w:w="1284" w:type="dxa"/>
            <w:tcBorders>
              <w:left w:val="nil"/>
              <w:right w:val="nil"/>
            </w:tcBorders>
            <w:vAlign w:val="center"/>
          </w:tcPr>
          <w:p w14:paraId="3894457A"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2B3A19C3"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6EFB0968"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2FA4C422" w14:textId="77777777" w:rsidR="009C0666" w:rsidRPr="006A2BF9" w:rsidRDefault="009C0666" w:rsidP="00214FBA">
            <w:pPr>
              <w:keepNext/>
              <w:keepLines/>
              <w:spacing w:before="40" w:after="40"/>
              <w:jc w:val="center"/>
              <w:rPr>
                <w:sz w:val="20"/>
                <w:lang w:val="it-IT"/>
              </w:rPr>
            </w:pPr>
          </w:p>
        </w:tc>
        <w:tc>
          <w:tcPr>
            <w:tcW w:w="1284" w:type="dxa"/>
            <w:tcBorders>
              <w:left w:val="nil"/>
            </w:tcBorders>
            <w:vAlign w:val="center"/>
          </w:tcPr>
          <w:p w14:paraId="5F050ED0" w14:textId="77777777" w:rsidR="009C0666" w:rsidRPr="006A2BF9" w:rsidRDefault="009C0666" w:rsidP="00214FBA">
            <w:pPr>
              <w:keepNext/>
              <w:keepLines/>
              <w:spacing w:before="40" w:after="40"/>
              <w:jc w:val="center"/>
              <w:rPr>
                <w:sz w:val="20"/>
                <w:lang w:val="it-IT"/>
              </w:rPr>
            </w:pPr>
          </w:p>
        </w:tc>
      </w:tr>
      <w:tr w:rsidR="009C0666" w:rsidRPr="006A2BF9" w14:paraId="109E6086" w14:textId="77777777" w:rsidTr="00C65E97">
        <w:tc>
          <w:tcPr>
            <w:tcW w:w="2791" w:type="dxa"/>
          </w:tcPr>
          <w:p w14:paraId="4BCFA876" w14:textId="77777777" w:rsidR="009C0666" w:rsidRPr="006A2BF9" w:rsidRDefault="009C0666" w:rsidP="00214FBA">
            <w:pPr>
              <w:keepNext/>
              <w:keepLines/>
              <w:spacing w:before="40" w:after="40"/>
              <w:rPr>
                <w:sz w:val="20"/>
                <w:lang w:val="it-IT"/>
              </w:rPr>
            </w:pPr>
            <w:r w:rsidRPr="006A2BF9">
              <w:rPr>
                <w:sz w:val="20"/>
                <w:lang w:val="it-IT"/>
              </w:rPr>
              <w:tab/>
              <w:t>Tempo mediano (mesi)</w:t>
            </w:r>
          </w:p>
        </w:tc>
        <w:tc>
          <w:tcPr>
            <w:tcW w:w="1284" w:type="dxa"/>
            <w:vAlign w:val="center"/>
          </w:tcPr>
          <w:p w14:paraId="787E834A" w14:textId="77777777" w:rsidR="009C0666" w:rsidRPr="006A2BF9" w:rsidRDefault="009C0666" w:rsidP="00214FBA">
            <w:pPr>
              <w:pStyle w:val="TableCellCenter"/>
              <w:spacing w:before="40" w:after="40" w:line="240" w:lineRule="auto"/>
              <w:rPr>
                <w:lang w:val="it-IT"/>
              </w:rPr>
            </w:pPr>
            <w:r w:rsidRPr="006A2BF9">
              <w:rPr>
                <w:lang w:val="it-IT"/>
              </w:rPr>
              <w:t>13,6</w:t>
            </w:r>
          </w:p>
        </w:tc>
        <w:tc>
          <w:tcPr>
            <w:tcW w:w="1284" w:type="dxa"/>
            <w:vAlign w:val="center"/>
          </w:tcPr>
          <w:p w14:paraId="287FB894" w14:textId="77777777" w:rsidR="009C0666" w:rsidRPr="006A2BF9" w:rsidRDefault="009C0666" w:rsidP="00214FBA">
            <w:pPr>
              <w:pStyle w:val="TableCellCenter"/>
              <w:spacing w:before="40" w:after="40" w:line="240" w:lineRule="auto"/>
              <w:rPr>
                <w:lang w:val="it-IT"/>
              </w:rPr>
            </w:pPr>
            <w:r w:rsidRPr="006A2BF9">
              <w:rPr>
                <w:lang w:val="it-IT"/>
              </w:rPr>
              <w:t>17,7</w:t>
            </w:r>
          </w:p>
        </w:tc>
        <w:tc>
          <w:tcPr>
            <w:tcW w:w="1284" w:type="dxa"/>
            <w:vAlign w:val="center"/>
          </w:tcPr>
          <w:p w14:paraId="46D8C1A2" w14:textId="77777777" w:rsidR="009C0666" w:rsidRPr="006A2BF9" w:rsidRDefault="009C0666" w:rsidP="00214FBA">
            <w:pPr>
              <w:pStyle w:val="TableCellCenter"/>
              <w:spacing w:before="40" w:after="40" w:line="240" w:lineRule="auto"/>
              <w:rPr>
                <w:lang w:val="it-IT"/>
              </w:rPr>
            </w:pPr>
            <w:r w:rsidRPr="006A2BF9">
              <w:rPr>
                <w:lang w:val="it-IT"/>
              </w:rPr>
              <w:t>15,2</w:t>
            </w:r>
          </w:p>
        </w:tc>
        <w:tc>
          <w:tcPr>
            <w:tcW w:w="1284" w:type="dxa"/>
            <w:vAlign w:val="center"/>
          </w:tcPr>
          <w:p w14:paraId="048942B7" w14:textId="77777777" w:rsidR="009C0666" w:rsidRPr="006A2BF9" w:rsidRDefault="009C0666" w:rsidP="00214FBA">
            <w:pPr>
              <w:keepNext/>
              <w:keepLines/>
              <w:spacing w:before="40" w:after="40"/>
              <w:jc w:val="center"/>
              <w:rPr>
                <w:sz w:val="20"/>
                <w:lang w:val="it-IT"/>
              </w:rPr>
            </w:pPr>
            <w:r w:rsidRPr="006A2BF9">
              <w:rPr>
                <w:sz w:val="20"/>
                <w:lang w:val="it-IT"/>
              </w:rPr>
              <w:t>12,9</w:t>
            </w:r>
          </w:p>
        </w:tc>
        <w:tc>
          <w:tcPr>
            <w:tcW w:w="1284" w:type="dxa"/>
            <w:vAlign w:val="center"/>
          </w:tcPr>
          <w:p w14:paraId="20D1184F" w14:textId="77777777" w:rsidR="009C0666" w:rsidRPr="006A2BF9" w:rsidRDefault="009C0666" w:rsidP="00214FBA">
            <w:pPr>
              <w:keepNext/>
              <w:keepLines/>
              <w:spacing w:before="40" w:after="40"/>
              <w:jc w:val="center"/>
              <w:rPr>
                <w:sz w:val="20"/>
                <w:lang w:val="it-IT"/>
              </w:rPr>
            </w:pPr>
            <w:r w:rsidRPr="006A2BF9">
              <w:rPr>
                <w:sz w:val="20"/>
                <w:lang w:val="it-IT"/>
              </w:rPr>
              <w:t>16,6</w:t>
            </w:r>
          </w:p>
        </w:tc>
      </w:tr>
      <w:tr w:rsidR="009C0666" w:rsidRPr="006A2BF9" w14:paraId="1BF06029" w14:textId="77777777" w:rsidTr="00C65E97">
        <w:tc>
          <w:tcPr>
            <w:tcW w:w="2791" w:type="dxa"/>
          </w:tcPr>
          <w:p w14:paraId="26E9B5A5" w14:textId="77777777" w:rsidR="009C0666" w:rsidRPr="00330A40" w:rsidRDefault="009C0666" w:rsidP="00214FBA">
            <w:pPr>
              <w:keepNext/>
              <w:keepLines/>
              <w:spacing w:before="40" w:after="40"/>
              <w:rPr>
                <w:sz w:val="20"/>
                <w:lang w:val="it-IT"/>
              </w:rPr>
            </w:pPr>
            <w:r w:rsidRPr="006A2BF9">
              <w:rPr>
                <w:sz w:val="20"/>
                <w:lang w:val="it-IT"/>
              </w:rPr>
              <w:tab/>
            </w:r>
            <w:r w:rsidR="00ED451F" w:rsidRPr="006A2BF9">
              <w:rPr>
                <w:sz w:val="20"/>
                <w:lang w:val="it-IT"/>
              </w:rPr>
              <w:t>IC</w:t>
            </w:r>
            <w:r w:rsidRPr="006A2BF9">
              <w:rPr>
                <w:sz w:val="20"/>
                <w:lang w:val="it-IT"/>
              </w:rPr>
              <w:t xml:space="preserve"> </w:t>
            </w:r>
            <w:r w:rsidR="007933D2">
              <w:rPr>
                <w:sz w:val="20"/>
                <w:lang w:val="it-IT"/>
              </w:rPr>
              <w:t xml:space="preserve">al </w:t>
            </w:r>
            <w:r w:rsidRPr="00330A40">
              <w:rPr>
                <w:sz w:val="20"/>
                <w:lang w:val="it-IT"/>
              </w:rPr>
              <w:t>95%</w:t>
            </w:r>
          </w:p>
        </w:tc>
        <w:tc>
          <w:tcPr>
            <w:tcW w:w="1284" w:type="dxa"/>
            <w:vAlign w:val="center"/>
          </w:tcPr>
          <w:p w14:paraId="6EEA40EC" w14:textId="77777777" w:rsidR="009C0666" w:rsidRPr="00330A40" w:rsidRDefault="009C0666" w:rsidP="00214FBA">
            <w:pPr>
              <w:pStyle w:val="TableCellCenter"/>
              <w:spacing w:before="40" w:after="40" w:line="240" w:lineRule="auto"/>
              <w:rPr>
                <w:lang w:val="it-IT"/>
              </w:rPr>
            </w:pPr>
          </w:p>
        </w:tc>
        <w:tc>
          <w:tcPr>
            <w:tcW w:w="1284" w:type="dxa"/>
            <w:vAlign w:val="center"/>
          </w:tcPr>
          <w:p w14:paraId="2BC9909A" w14:textId="77777777" w:rsidR="009C0666" w:rsidRPr="00330A40" w:rsidRDefault="009C0666" w:rsidP="00214FBA">
            <w:pPr>
              <w:pStyle w:val="TableCellCenter"/>
              <w:spacing w:before="40" w:after="40" w:line="240" w:lineRule="auto"/>
              <w:rPr>
                <w:lang w:val="it-IT"/>
              </w:rPr>
            </w:pPr>
          </w:p>
        </w:tc>
        <w:tc>
          <w:tcPr>
            <w:tcW w:w="1284" w:type="dxa"/>
            <w:vAlign w:val="center"/>
          </w:tcPr>
          <w:p w14:paraId="6EBD28F4" w14:textId="77777777" w:rsidR="009C0666" w:rsidRPr="00330A40" w:rsidRDefault="009C0666" w:rsidP="00214FBA">
            <w:pPr>
              <w:pStyle w:val="TableCellCenter"/>
              <w:spacing w:before="40" w:after="40" w:line="240" w:lineRule="auto"/>
              <w:rPr>
                <w:lang w:val="it-IT"/>
              </w:rPr>
            </w:pPr>
          </w:p>
        </w:tc>
        <w:tc>
          <w:tcPr>
            <w:tcW w:w="1284" w:type="dxa"/>
            <w:vAlign w:val="center"/>
          </w:tcPr>
          <w:p w14:paraId="69D8FDA4" w14:textId="77777777" w:rsidR="009C0666" w:rsidRPr="006A2BF9" w:rsidRDefault="009C0666" w:rsidP="00214FBA">
            <w:pPr>
              <w:keepNext/>
              <w:keepLines/>
              <w:spacing w:before="40" w:after="40"/>
              <w:jc w:val="center"/>
              <w:rPr>
                <w:sz w:val="20"/>
                <w:lang w:val="it-IT"/>
              </w:rPr>
            </w:pPr>
            <w:r w:rsidRPr="00330A40">
              <w:rPr>
                <w:sz w:val="20"/>
                <w:lang w:val="it-IT"/>
              </w:rPr>
              <w:t>10,35</w:t>
            </w:r>
            <w:r w:rsidR="00CC3FE5" w:rsidRPr="006A2BF9">
              <w:rPr>
                <w:sz w:val="20"/>
                <w:lang w:val="it-IT"/>
              </w:rPr>
              <w:noBreakHyphen/>
            </w:r>
            <w:r w:rsidRPr="006A2BF9">
              <w:rPr>
                <w:sz w:val="20"/>
                <w:lang w:val="it-IT"/>
              </w:rPr>
              <w:t>16,95</w:t>
            </w:r>
          </w:p>
        </w:tc>
        <w:tc>
          <w:tcPr>
            <w:tcW w:w="1284" w:type="dxa"/>
            <w:vAlign w:val="center"/>
          </w:tcPr>
          <w:p w14:paraId="44877716" w14:textId="77777777" w:rsidR="009C0666" w:rsidRPr="006A2BF9" w:rsidRDefault="009C0666" w:rsidP="00214FBA">
            <w:pPr>
              <w:keepNext/>
              <w:keepLines/>
              <w:spacing w:before="40" w:after="40"/>
              <w:jc w:val="center"/>
              <w:rPr>
                <w:sz w:val="20"/>
                <w:lang w:val="it-IT"/>
              </w:rPr>
            </w:pPr>
            <w:r w:rsidRPr="006A2BF9">
              <w:rPr>
                <w:sz w:val="20"/>
                <w:lang w:val="it-IT"/>
              </w:rPr>
              <w:t>13,63</w:t>
            </w:r>
            <w:r w:rsidR="00CC3FE5" w:rsidRPr="006A2BF9">
              <w:rPr>
                <w:sz w:val="20"/>
                <w:lang w:val="it-IT"/>
              </w:rPr>
              <w:noBreakHyphen/>
            </w:r>
            <w:r w:rsidRPr="006A2BF9">
              <w:rPr>
                <w:sz w:val="20"/>
                <w:lang w:val="it-IT"/>
              </w:rPr>
              <w:t>19,32</w:t>
            </w:r>
          </w:p>
        </w:tc>
      </w:tr>
      <w:tr w:rsidR="009C0666" w:rsidRPr="006A2BF9" w14:paraId="367CC592" w14:textId="77777777" w:rsidTr="00C65E97">
        <w:tc>
          <w:tcPr>
            <w:tcW w:w="2791" w:type="dxa"/>
          </w:tcPr>
          <w:p w14:paraId="6FA5BE36" w14:textId="77777777" w:rsidR="009C0666" w:rsidRPr="00330A40" w:rsidRDefault="009C0666" w:rsidP="00214FBA">
            <w:pPr>
              <w:keepNext/>
              <w:keepLines/>
              <w:spacing w:before="40" w:after="40"/>
              <w:rPr>
                <w:sz w:val="20"/>
                <w:vertAlign w:val="superscript"/>
                <w:lang w:val="it-IT"/>
              </w:rPr>
            </w:pPr>
            <w:r w:rsidRPr="006A2BF9">
              <w:rPr>
                <w:sz w:val="20"/>
                <w:lang w:val="it-IT"/>
              </w:rPr>
              <w:tab/>
            </w:r>
            <w:r w:rsidRPr="000F0246">
              <w:rPr>
                <w:i/>
                <w:sz w:val="20"/>
                <w:lang w:val="it-IT"/>
              </w:rPr>
              <w:t>Hazard ratio</w:t>
            </w:r>
            <w:r w:rsidRPr="00330A40">
              <w:rPr>
                <w:sz w:val="20"/>
                <w:vertAlign w:val="superscript"/>
                <w:lang w:val="it-IT"/>
              </w:rPr>
              <w:t>c</w:t>
            </w:r>
          </w:p>
        </w:tc>
        <w:tc>
          <w:tcPr>
            <w:tcW w:w="1284" w:type="dxa"/>
            <w:vAlign w:val="center"/>
          </w:tcPr>
          <w:p w14:paraId="447F1C19" w14:textId="77777777" w:rsidR="009C0666" w:rsidRPr="00330A40" w:rsidRDefault="009C0666" w:rsidP="00214FBA">
            <w:pPr>
              <w:pStyle w:val="TableCellCenter"/>
              <w:spacing w:before="40" w:after="40" w:line="240" w:lineRule="auto"/>
              <w:rPr>
                <w:lang w:val="it-IT"/>
              </w:rPr>
            </w:pPr>
            <w:r w:rsidRPr="00330A40">
              <w:rPr>
                <w:lang w:val="it-IT"/>
              </w:rPr>
              <w:t>-</w:t>
            </w:r>
          </w:p>
        </w:tc>
        <w:tc>
          <w:tcPr>
            <w:tcW w:w="1284" w:type="dxa"/>
            <w:vAlign w:val="center"/>
          </w:tcPr>
          <w:p w14:paraId="5B65B5EF" w14:textId="77777777" w:rsidR="009C0666" w:rsidRPr="00330A40" w:rsidRDefault="009C0666" w:rsidP="00214FBA">
            <w:pPr>
              <w:pStyle w:val="TableCellCenter"/>
              <w:spacing w:before="40" w:after="40" w:line="240" w:lineRule="auto"/>
              <w:rPr>
                <w:lang w:val="it-IT"/>
              </w:rPr>
            </w:pPr>
            <w:r w:rsidRPr="00330A40">
              <w:rPr>
                <w:lang w:val="it-IT"/>
              </w:rPr>
              <w:t>0,52</w:t>
            </w:r>
          </w:p>
        </w:tc>
        <w:tc>
          <w:tcPr>
            <w:tcW w:w="1284" w:type="dxa"/>
            <w:vAlign w:val="center"/>
          </w:tcPr>
          <w:p w14:paraId="68017D45" w14:textId="77777777" w:rsidR="009C0666" w:rsidRPr="00330A40" w:rsidRDefault="009C0666" w:rsidP="00214FBA">
            <w:pPr>
              <w:pStyle w:val="TableCellCenter"/>
              <w:spacing w:before="40" w:after="40" w:line="240" w:lineRule="auto"/>
              <w:rPr>
                <w:lang w:val="it-IT"/>
              </w:rPr>
            </w:pPr>
            <w:r w:rsidRPr="00330A40">
              <w:rPr>
                <w:lang w:val="it-IT"/>
              </w:rPr>
              <w:t>1,01</w:t>
            </w:r>
          </w:p>
        </w:tc>
        <w:tc>
          <w:tcPr>
            <w:tcW w:w="1284" w:type="dxa"/>
            <w:vAlign w:val="center"/>
          </w:tcPr>
          <w:p w14:paraId="1C2FAC0A" w14:textId="77777777" w:rsidR="009C0666" w:rsidRPr="00330A40" w:rsidRDefault="009C0666" w:rsidP="00214FBA">
            <w:pPr>
              <w:keepNext/>
              <w:keepLines/>
              <w:spacing w:before="40" w:after="40"/>
              <w:jc w:val="center"/>
              <w:rPr>
                <w:sz w:val="20"/>
                <w:lang w:val="it-IT"/>
              </w:rPr>
            </w:pPr>
          </w:p>
        </w:tc>
        <w:tc>
          <w:tcPr>
            <w:tcW w:w="1284" w:type="dxa"/>
            <w:vAlign w:val="center"/>
          </w:tcPr>
          <w:p w14:paraId="6BE7CBA7" w14:textId="77777777" w:rsidR="009C0666" w:rsidRPr="00330A40" w:rsidRDefault="009C0666" w:rsidP="00214FBA">
            <w:pPr>
              <w:keepNext/>
              <w:keepLines/>
              <w:spacing w:before="40" w:after="40"/>
              <w:jc w:val="center"/>
              <w:rPr>
                <w:sz w:val="20"/>
                <w:lang w:val="it-IT"/>
              </w:rPr>
            </w:pPr>
            <w:r w:rsidRPr="00330A40">
              <w:rPr>
                <w:sz w:val="20"/>
                <w:lang w:val="it-IT"/>
              </w:rPr>
              <w:t>0,79</w:t>
            </w:r>
          </w:p>
        </w:tc>
      </w:tr>
      <w:tr w:rsidR="009C0666" w:rsidRPr="006A2BF9" w14:paraId="5920451A" w14:textId="77777777" w:rsidTr="00C65E97">
        <w:tc>
          <w:tcPr>
            <w:tcW w:w="2791" w:type="dxa"/>
            <w:tcBorders>
              <w:bottom w:val="single" w:sz="4" w:space="0" w:color="auto"/>
            </w:tcBorders>
          </w:tcPr>
          <w:p w14:paraId="6BB44E46" w14:textId="77777777" w:rsidR="009C0666" w:rsidRPr="006A2BF9" w:rsidRDefault="009C0666" w:rsidP="00214FBA">
            <w:pPr>
              <w:keepNext/>
              <w:keepLines/>
              <w:spacing w:before="40" w:after="40"/>
              <w:rPr>
                <w:sz w:val="20"/>
                <w:lang w:val="it-IT"/>
              </w:rPr>
            </w:pPr>
            <w:r w:rsidRPr="006A2BF9">
              <w:rPr>
                <w:sz w:val="20"/>
                <w:lang w:val="it-IT"/>
              </w:rPr>
              <w:tab/>
              <w:t>Valore di p</w:t>
            </w:r>
          </w:p>
        </w:tc>
        <w:tc>
          <w:tcPr>
            <w:tcW w:w="1284" w:type="dxa"/>
            <w:tcBorders>
              <w:bottom w:val="single" w:sz="4" w:space="0" w:color="auto"/>
            </w:tcBorders>
            <w:vAlign w:val="center"/>
          </w:tcPr>
          <w:p w14:paraId="7F2BC445" w14:textId="77777777" w:rsidR="009C0666" w:rsidRPr="006A2BF9" w:rsidRDefault="009C0666" w:rsidP="00214FBA">
            <w:pPr>
              <w:pStyle w:val="TableCellCenter"/>
              <w:spacing w:before="40" w:after="40" w:line="240" w:lineRule="auto"/>
              <w:rPr>
                <w:lang w:val="it-IT"/>
              </w:rPr>
            </w:pPr>
          </w:p>
        </w:tc>
        <w:tc>
          <w:tcPr>
            <w:tcW w:w="1284" w:type="dxa"/>
            <w:tcBorders>
              <w:bottom w:val="single" w:sz="4" w:space="0" w:color="auto"/>
            </w:tcBorders>
            <w:vAlign w:val="center"/>
          </w:tcPr>
          <w:p w14:paraId="4D157A2F" w14:textId="77777777" w:rsidR="009C0666" w:rsidRPr="006A2BF9" w:rsidRDefault="009C0666" w:rsidP="00214FBA">
            <w:pPr>
              <w:pStyle w:val="TableCellCenter"/>
              <w:spacing w:before="40" w:after="40" w:line="240" w:lineRule="auto"/>
              <w:rPr>
                <w:lang w:val="it-IT"/>
              </w:rPr>
            </w:pPr>
            <w:r w:rsidRPr="006A2BF9">
              <w:rPr>
                <w:lang w:val="it-IT"/>
              </w:rPr>
              <w:t>0,073</w:t>
            </w:r>
          </w:p>
        </w:tc>
        <w:tc>
          <w:tcPr>
            <w:tcW w:w="1284" w:type="dxa"/>
            <w:tcBorders>
              <w:bottom w:val="single" w:sz="4" w:space="0" w:color="auto"/>
            </w:tcBorders>
            <w:vAlign w:val="center"/>
          </w:tcPr>
          <w:p w14:paraId="4BFD454D" w14:textId="77777777" w:rsidR="009C0666" w:rsidRPr="006A2BF9" w:rsidRDefault="009C0666" w:rsidP="00214FBA">
            <w:pPr>
              <w:keepNext/>
              <w:keepLines/>
              <w:spacing w:before="40" w:after="40"/>
              <w:jc w:val="center"/>
              <w:rPr>
                <w:sz w:val="20"/>
                <w:lang w:val="it-IT"/>
              </w:rPr>
            </w:pPr>
            <w:r w:rsidRPr="006A2BF9">
              <w:rPr>
                <w:sz w:val="20"/>
                <w:lang w:val="it-IT"/>
              </w:rPr>
              <w:t>0,978</w:t>
            </w:r>
          </w:p>
        </w:tc>
        <w:tc>
          <w:tcPr>
            <w:tcW w:w="1284" w:type="dxa"/>
            <w:tcBorders>
              <w:bottom w:val="single" w:sz="4" w:space="0" w:color="auto"/>
            </w:tcBorders>
            <w:vAlign w:val="center"/>
          </w:tcPr>
          <w:p w14:paraId="4E5867D9" w14:textId="77777777" w:rsidR="009C0666" w:rsidRPr="006A2BF9" w:rsidRDefault="009C0666" w:rsidP="00214FBA">
            <w:pPr>
              <w:keepNext/>
              <w:keepLines/>
              <w:spacing w:before="40" w:after="40"/>
              <w:jc w:val="center"/>
              <w:rPr>
                <w:sz w:val="20"/>
                <w:lang w:val="it-IT"/>
              </w:rPr>
            </w:pPr>
          </w:p>
        </w:tc>
        <w:tc>
          <w:tcPr>
            <w:tcW w:w="1284" w:type="dxa"/>
            <w:vAlign w:val="center"/>
          </w:tcPr>
          <w:p w14:paraId="3094D79C" w14:textId="77777777" w:rsidR="009C0666" w:rsidRPr="006A2BF9" w:rsidRDefault="009C0666" w:rsidP="00214FBA">
            <w:pPr>
              <w:keepNext/>
              <w:keepLines/>
              <w:spacing w:before="40" w:after="40"/>
              <w:jc w:val="center"/>
              <w:rPr>
                <w:sz w:val="20"/>
                <w:lang w:val="it-IT"/>
              </w:rPr>
            </w:pPr>
            <w:r w:rsidRPr="006A2BF9">
              <w:rPr>
                <w:sz w:val="20"/>
                <w:lang w:val="it-IT"/>
              </w:rPr>
              <w:t>0,16</w:t>
            </w:r>
          </w:p>
        </w:tc>
      </w:tr>
      <w:tr w:rsidR="009C0666" w:rsidRPr="006A2BF9" w14:paraId="2A148FDD" w14:textId="77777777" w:rsidTr="00C65E97">
        <w:tc>
          <w:tcPr>
            <w:tcW w:w="2791" w:type="dxa"/>
            <w:tcBorders>
              <w:right w:val="nil"/>
            </w:tcBorders>
          </w:tcPr>
          <w:p w14:paraId="4607D096" w14:textId="77777777" w:rsidR="009C0666" w:rsidRPr="006A2BF9" w:rsidRDefault="009C0666" w:rsidP="00214FBA">
            <w:pPr>
              <w:keepNext/>
              <w:keepLines/>
              <w:spacing w:before="40" w:after="40"/>
              <w:rPr>
                <w:sz w:val="20"/>
                <w:lang w:val="it-IT"/>
              </w:rPr>
            </w:pPr>
            <w:r w:rsidRPr="006A2BF9">
              <w:rPr>
                <w:sz w:val="20"/>
                <w:lang w:val="it-IT"/>
              </w:rPr>
              <w:t>Sopravvivenza libera da progressione</w:t>
            </w:r>
          </w:p>
        </w:tc>
        <w:tc>
          <w:tcPr>
            <w:tcW w:w="1284" w:type="dxa"/>
            <w:tcBorders>
              <w:left w:val="nil"/>
              <w:right w:val="nil"/>
            </w:tcBorders>
            <w:vAlign w:val="center"/>
          </w:tcPr>
          <w:p w14:paraId="34D9D1AD"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234DA2C1"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746995D6"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11A616C6" w14:textId="77777777" w:rsidR="009C0666" w:rsidRPr="006A2BF9" w:rsidRDefault="009C0666" w:rsidP="00214FBA">
            <w:pPr>
              <w:keepNext/>
              <w:keepLines/>
              <w:spacing w:before="40" w:after="40"/>
              <w:jc w:val="center"/>
              <w:rPr>
                <w:sz w:val="20"/>
                <w:lang w:val="it-IT"/>
              </w:rPr>
            </w:pPr>
          </w:p>
        </w:tc>
        <w:tc>
          <w:tcPr>
            <w:tcW w:w="1284" w:type="dxa"/>
            <w:tcBorders>
              <w:left w:val="nil"/>
            </w:tcBorders>
            <w:vAlign w:val="center"/>
          </w:tcPr>
          <w:p w14:paraId="2BC4704A" w14:textId="77777777" w:rsidR="009C0666" w:rsidRPr="006A2BF9" w:rsidRDefault="009C0666" w:rsidP="00214FBA">
            <w:pPr>
              <w:keepNext/>
              <w:keepLines/>
              <w:spacing w:before="40" w:after="40"/>
              <w:jc w:val="center"/>
              <w:rPr>
                <w:sz w:val="20"/>
                <w:lang w:val="it-IT"/>
              </w:rPr>
            </w:pPr>
          </w:p>
        </w:tc>
      </w:tr>
      <w:tr w:rsidR="009C0666" w:rsidRPr="006A2BF9" w14:paraId="2FF377E2" w14:textId="77777777" w:rsidTr="00C65E97">
        <w:tc>
          <w:tcPr>
            <w:tcW w:w="2791" w:type="dxa"/>
          </w:tcPr>
          <w:p w14:paraId="71DFE7F9" w14:textId="77777777" w:rsidR="009C0666" w:rsidRPr="006A2BF9" w:rsidRDefault="009C0666" w:rsidP="00214FBA">
            <w:pPr>
              <w:keepNext/>
              <w:keepLines/>
              <w:spacing w:before="40" w:after="40"/>
              <w:rPr>
                <w:sz w:val="20"/>
                <w:lang w:val="it-IT"/>
              </w:rPr>
            </w:pPr>
            <w:r w:rsidRPr="006A2BF9">
              <w:rPr>
                <w:sz w:val="20"/>
                <w:lang w:val="it-IT"/>
              </w:rPr>
              <w:tab/>
              <w:t>Tempo mediano (mesi)</w:t>
            </w:r>
          </w:p>
        </w:tc>
        <w:tc>
          <w:tcPr>
            <w:tcW w:w="1284" w:type="dxa"/>
            <w:vAlign w:val="center"/>
          </w:tcPr>
          <w:p w14:paraId="35D341BB" w14:textId="77777777" w:rsidR="009C0666" w:rsidRPr="006A2BF9" w:rsidRDefault="009C0666" w:rsidP="00214FBA">
            <w:pPr>
              <w:pStyle w:val="TableCellCenter"/>
              <w:spacing w:before="40" w:after="40" w:line="240" w:lineRule="auto"/>
              <w:rPr>
                <w:lang w:val="it-IT"/>
              </w:rPr>
            </w:pPr>
            <w:r w:rsidRPr="006A2BF9">
              <w:rPr>
                <w:lang w:val="it-IT"/>
              </w:rPr>
              <w:t>5,2</w:t>
            </w:r>
          </w:p>
        </w:tc>
        <w:tc>
          <w:tcPr>
            <w:tcW w:w="1284" w:type="dxa"/>
            <w:vAlign w:val="center"/>
          </w:tcPr>
          <w:p w14:paraId="048D6998" w14:textId="77777777" w:rsidR="009C0666" w:rsidRPr="006A2BF9" w:rsidRDefault="009C0666" w:rsidP="00214FBA">
            <w:pPr>
              <w:pStyle w:val="TableCellCenter"/>
              <w:spacing w:before="40" w:after="40" w:line="240" w:lineRule="auto"/>
              <w:rPr>
                <w:lang w:val="it-IT"/>
              </w:rPr>
            </w:pPr>
            <w:r w:rsidRPr="006A2BF9">
              <w:rPr>
                <w:lang w:val="it-IT"/>
              </w:rPr>
              <w:t>9,0</w:t>
            </w:r>
          </w:p>
        </w:tc>
        <w:tc>
          <w:tcPr>
            <w:tcW w:w="1284" w:type="dxa"/>
            <w:vAlign w:val="center"/>
          </w:tcPr>
          <w:p w14:paraId="4018AAB6" w14:textId="77777777" w:rsidR="009C0666" w:rsidRPr="006A2BF9" w:rsidRDefault="009C0666" w:rsidP="00214FBA">
            <w:pPr>
              <w:pStyle w:val="TableCellCenter"/>
              <w:spacing w:before="40" w:after="40" w:line="240" w:lineRule="auto"/>
              <w:rPr>
                <w:lang w:val="it-IT"/>
              </w:rPr>
            </w:pPr>
            <w:r w:rsidRPr="006A2BF9">
              <w:rPr>
                <w:lang w:val="it-IT"/>
              </w:rPr>
              <w:t>7,2</w:t>
            </w:r>
          </w:p>
        </w:tc>
        <w:tc>
          <w:tcPr>
            <w:tcW w:w="1284" w:type="dxa"/>
            <w:vAlign w:val="center"/>
          </w:tcPr>
          <w:p w14:paraId="0D59CE54" w14:textId="77777777" w:rsidR="009C0666" w:rsidRPr="006A2BF9" w:rsidRDefault="009C0666" w:rsidP="00214FBA">
            <w:pPr>
              <w:keepNext/>
              <w:keepLines/>
              <w:spacing w:before="40" w:after="40"/>
              <w:jc w:val="center"/>
              <w:rPr>
                <w:sz w:val="20"/>
                <w:lang w:val="it-IT"/>
              </w:rPr>
            </w:pPr>
            <w:r w:rsidRPr="006A2BF9">
              <w:rPr>
                <w:sz w:val="20"/>
                <w:lang w:val="it-IT"/>
              </w:rPr>
              <w:t>5,5</w:t>
            </w:r>
          </w:p>
        </w:tc>
        <w:tc>
          <w:tcPr>
            <w:tcW w:w="1284" w:type="dxa"/>
            <w:vAlign w:val="center"/>
          </w:tcPr>
          <w:p w14:paraId="494D278F" w14:textId="77777777" w:rsidR="009C0666" w:rsidRPr="006A2BF9" w:rsidRDefault="009C0666" w:rsidP="00214FBA">
            <w:pPr>
              <w:keepNext/>
              <w:keepLines/>
              <w:spacing w:before="40" w:after="40"/>
              <w:jc w:val="center"/>
              <w:rPr>
                <w:sz w:val="20"/>
                <w:lang w:val="it-IT"/>
              </w:rPr>
            </w:pPr>
            <w:r w:rsidRPr="006A2BF9">
              <w:rPr>
                <w:sz w:val="20"/>
                <w:lang w:val="it-IT"/>
              </w:rPr>
              <w:t>9,2</w:t>
            </w:r>
          </w:p>
        </w:tc>
      </w:tr>
      <w:tr w:rsidR="009C0666" w:rsidRPr="006A2BF9" w14:paraId="06C546A4" w14:textId="77777777" w:rsidTr="00C65E97">
        <w:tc>
          <w:tcPr>
            <w:tcW w:w="2791" w:type="dxa"/>
          </w:tcPr>
          <w:p w14:paraId="2A4AF843" w14:textId="77777777" w:rsidR="009C0666" w:rsidRPr="000F0246" w:rsidRDefault="009C0666" w:rsidP="00214FBA">
            <w:pPr>
              <w:keepNext/>
              <w:keepLines/>
              <w:spacing w:before="40" w:after="40"/>
              <w:rPr>
                <w:i/>
                <w:sz w:val="20"/>
                <w:lang w:val="it-IT"/>
              </w:rPr>
            </w:pPr>
            <w:r w:rsidRPr="006A2BF9">
              <w:rPr>
                <w:sz w:val="20"/>
                <w:lang w:val="it-IT"/>
              </w:rPr>
              <w:tab/>
            </w:r>
            <w:r w:rsidRPr="000F0246">
              <w:rPr>
                <w:i/>
                <w:sz w:val="20"/>
                <w:lang w:val="it-IT"/>
              </w:rPr>
              <w:t>Hazard ratio</w:t>
            </w:r>
          </w:p>
        </w:tc>
        <w:tc>
          <w:tcPr>
            <w:tcW w:w="1284" w:type="dxa"/>
            <w:vAlign w:val="center"/>
          </w:tcPr>
          <w:p w14:paraId="1922F00B" w14:textId="77777777" w:rsidR="009C0666" w:rsidRPr="00330A40" w:rsidRDefault="009C0666" w:rsidP="00214FBA">
            <w:pPr>
              <w:pStyle w:val="TableCellCenter"/>
              <w:spacing w:before="40" w:after="40" w:line="240" w:lineRule="auto"/>
              <w:rPr>
                <w:lang w:val="it-IT"/>
              </w:rPr>
            </w:pPr>
          </w:p>
        </w:tc>
        <w:tc>
          <w:tcPr>
            <w:tcW w:w="1284" w:type="dxa"/>
            <w:vAlign w:val="center"/>
          </w:tcPr>
          <w:p w14:paraId="6C5F9755" w14:textId="77777777" w:rsidR="009C0666" w:rsidRPr="00330A40" w:rsidRDefault="009C0666" w:rsidP="00214FBA">
            <w:pPr>
              <w:pStyle w:val="TableCellCenter"/>
              <w:spacing w:before="40" w:after="40" w:line="240" w:lineRule="auto"/>
              <w:rPr>
                <w:lang w:val="it-IT"/>
              </w:rPr>
            </w:pPr>
            <w:r w:rsidRPr="00330A40">
              <w:rPr>
                <w:lang w:val="it-IT"/>
              </w:rPr>
              <w:t>0,44</w:t>
            </w:r>
          </w:p>
        </w:tc>
        <w:tc>
          <w:tcPr>
            <w:tcW w:w="1284" w:type="dxa"/>
            <w:vAlign w:val="center"/>
          </w:tcPr>
          <w:p w14:paraId="2A3D80B5" w14:textId="77777777" w:rsidR="009C0666" w:rsidRPr="00330A40" w:rsidRDefault="009C0666" w:rsidP="00214FBA">
            <w:pPr>
              <w:keepNext/>
              <w:keepLines/>
              <w:spacing w:before="40" w:after="40"/>
              <w:jc w:val="center"/>
              <w:rPr>
                <w:sz w:val="20"/>
                <w:lang w:val="it-IT"/>
              </w:rPr>
            </w:pPr>
            <w:r w:rsidRPr="00330A40">
              <w:rPr>
                <w:sz w:val="20"/>
                <w:lang w:val="it-IT"/>
              </w:rPr>
              <w:t>0,69</w:t>
            </w:r>
          </w:p>
        </w:tc>
        <w:tc>
          <w:tcPr>
            <w:tcW w:w="1284" w:type="dxa"/>
            <w:vAlign w:val="center"/>
          </w:tcPr>
          <w:p w14:paraId="147F57BA" w14:textId="77777777" w:rsidR="009C0666" w:rsidRPr="00330A40" w:rsidRDefault="009C0666" w:rsidP="00214FBA">
            <w:pPr>
              <w:keepNext/>
              <w:keepLines/>
              <w:spacing w:before="40" w:after="40"/>
              <w:jc w:val="center"/>
              <w:rPr>
                <w:sz w:val="20"/>
                <w:lang w:val="it-IT"/>
              </w:rPr>
            </w:pPr>
          </w:p>
        </w:tc>
        <w:tc>
          <w:tcPr>
            <w:tcW w:w="1284" w:type="dxa"/>
            <w:vAlign w:val="center"/>
          </w:tcPr>
          <w:p w14:paraId="74554858" w14:textId="77777777" w:rsidR="009C0666" w:rsidRPr="00330A40" w:rsidRDefault="009C0666" w:rsidP="00214FBA">
            <w:pPr>
              <w:keepNext/>
              <w:keepLines/>
              <w:spacing w:before="40" w:after="40"/>
              <w:jc w:val="center"/>
              <w:rPr>
                <w:sz w:val="20"/>
                <w:lang w:val="it-IT"/>
              </w:rPr>
            </w:pPr>
            <w:r w:rsidRPr="00330A40">
              <w:rPr>
                <w:sz w:val="20"/>
                <w:lang w:val="it-IT"/>
              </w:rPr>
              <w:t>0,5</w:t>
            </w:r>
          </w:p>
        </w:tc>
      </w:tr>
      <w:tr w:rsidR="009C0666" w:rsidRPr="006A2BF9" w14:paraId="4F16AD2A" w14:textId="77777777" w:rsidTr="00C65E97">
        <w:tc>
          <w:tcPr>
            <w:tcW w:w="2791" w:type="dxa"/>
            <w:tcBorders>
              <w:bottom w:val="single" w:sz="4" w:space="0" w:color="auto"/>
            </w:tcBorders>
          </w:tcPr>
          <w:p w14:paraId="5933BFFE" w14:textId="77777777" w:rsidR="009C0666" w:rsidRPr="006A2BF9" w:rsidRDefault="009C0666" w:rsidP="00214FBA">
            <w:pPr>
              <w:keepNext/>
              <w:keepLines/>
              <w:spacing w:before="40" w:after="40"/>
              <w:rPr>
                <w:sz w:val="20"/>
                <w:lang w:val="it-IT"/>
              </w:rPr>
            </w:pPr>
            <w:r w:rsidRPr="006A2BF9">
              <w:rPr>
                <w:sz w:val="20"/>
                <w:lang w:val="it-IT"/>
              </w:rPr>
              <w:tab/>
              <w:t>Valore di p</w:t>
            </w:r>
          </w:p>
        </w:tc>
        <w:tc>
          <w:tcPr>
            <w:tcW w:w="1284" w:type="dxa"/>
            <w:tcBorders>
              <w:bottom w:val="single" w:sz="4" w:space="0" w:color="auto"/>
            </w:tcBorders>
            <w:vAlign w:val="center"/>
          </w:tcPr>
          <w:p w14:paraId="315958E1" w14:textId="77777777" w:rsidR="009C0666" w:rsidRPr="006A2BF9" w:rsidRDefault="009C0666" w:rsidP="00214FBA">
            <w:pPr>
              <w:pStyle w:val="TableCellCenter"/>
              <w:spacing w:before="40" w:after="40" w:line="240" w:lineRule="auto"/>
              <w:rPr>
                <w:lang w:val="it-IT"/>
              </w:rPr>
            </w:pPr>
            <w:r w:rsidRPr="006A2BF9">
              <w:rPr>
                <w:lang w:val="it-IT"/>
              </w:rPr>
              <w:t>-</w:t>
            </w:r>
          </w:p>
        </w:tc>
        <w:tc>
          <w:tcPr>
            <w:tcW w:w="1284" w:type="dxa"/>
            <w:tcBorders>
              <w:bottom w:val="single" w:sz="4" w:space="0" w:color="auto"/>
            </w:tcBorders>
            <w:vAlign w:val="center"/>
          </w:tcPr>
          <w:p w14:paraId="4BB36EE7" w14:textId="77777777" w:rsidR="009C0666" w:rsidRPr="006A2BF9" w:rsidRDefault="009C0666" w:rsidP="00214FBA">
            <w:pPr>
              <w:pStyle w:val="TableCellCenter"/>
              <w:spacing w:before="40" w:after="40" w:line="240" w:lineRule="auto"/>
              <w:rPr>
                <w:lang w:val="it-IT"/>
              </w:rPr>
            </w:pPr>
            <w:r w:rsidRPr="006A2BF9">
              <w:rPr>
                <w:lang w:val="it-IT"/>
              </w:rPr>
              <w:t>0,0049</w:t>
            </w:r>
          </w:p>
        </w:tc>
        <w:tc>
          <w:tcPr>
            <w:tcW w:w="1284" w:type="dxa"/>
            <w:tcBorders>
              <w:bottom w:val="single" w:sz="4" w:space="0" w:color="auto"/>
            </w:tcBorders>
            <w:vAlign w:val="center"/>
          </w:tcPr>
          <w:p w14:paraId="3DB2727A" w14:textId="77777777" w:rsidR="009C0666" w:rsidRPr="006A2BF9" w:rsidRDefault="009C0666" w:rsidP="00214FBA">
            <w:pPr>
              <w:pStyle w:val="TableCellCenter"/>
              <w:spacing w:before="40" w:after="40" w:line="240" w:lineRule="auto"/>
              <w:rPr>
                <w:lang w:val="it-IT"/>
              </w:rPr>
            </w:pPr>
            <w:r w:rsidRPr="006A2BF9">
              <w:rPr>
                <w:lang w:val="it-IT"/>
              </w:rPr>
              <w:t>0,217</w:t>
            </w:r>
          </w:p>
        </w:tc>
        <w:tc>
          <w:tcPr>
            <w:tcW w:w="1284" w:type="dxa"/>
            <w:tcBorders>
              <w:bottom w:val="single" w:sz="4" w:space="0" w:color="auto"/>
            </w:tcBorders>
            <w:vAlign w:val="center"/>
          </w:tcPr>
          <w:p w14:paraId="01DE9501" w14:textId="77777777" w:rsidR="009C0666" w:rsidRPr="006A2BF9" w:rsidRDefault="009C0666" w:rsidP="00214FBA">
            <w:pPr>
              <w:keepNext/>
              <w:keepLines/>
              <w:spacing w:before="40" w:after="40"/>
              <w:jc w:val="center"/>
              <w:rPr>
                <w:sz w:val="20"/>
                <w:lang w:val="it-IT"/>
              </w:rPr>
            </w:pPr>
          </w:p>
        </w:tc>
        <w:tc>
          <w:tcPr>
            <w:tcW w:w="1284" w:type="dxa"/>
            <w:vAlign w:val="center"/>
          </w:tcPr>
          <w:p w14:paraId="5307034E" w14:textId="77777777" w:rsidR="009C0666" w:rsidRPr="006A2BF9" w:rsidRDefault="009C0666" w:rsidP="00214FBA">
            <w:pPr>
              <w:keepNext/>
              <w:keepLines/>
              <w:spacing w:before="40" w:after="40"/>
              <w:jc w:val="center"/>
              <w:rPr>
                <w:sz w:val="20"/>
                <w:lang w:val="it-IT"/>
              </w:rPr>
            </w:pPr>
            <w:r w:rsidRPr="006A2BF9">
              <w:rPr>
                <w:sz w:val="20"/>
                <w:lang w:val="it-IT"/>
              </w:rPr>
              <w:t>0,0002</w:t>
            </w:r>
          </w:p>
        </w:tc>
      </w:tr>
      <w:tr w:rsidR="009C0666" w:rsidRPr="006A2BF9" w14:paraId="21B6CC37" w14:textId="77777777" w:rsidTr="00C65E97">
        <w:tc>
          <w:tcPr>
            <w:tcW w:w="2791" w:type="dxa"/>
            <w:tcBorders>
              <w:right w:val="nil"/>
            </w:tcBorders>
          </w:tcPr>
          <w:p w14:paraId="33FE0F55" w14:textId="77777777" w:rsidR="009C0666" w:rsidRPr="006A2BF9" w:rsidRDefault="009C0666" w:rsidP="00214FBA">
            <w:pPr>
              <w:keepNext/>
              <w:keepLines/>
              <w:spacing w:before="40" w:after="40"/>
              <w:rPr>
                <w:sz w:val="20"/>
                <w:lang w:val="it-IT"/>
              </w:rPr>
            </w:pPr>
            <w:r w:rsidRPr="006A2BF9">
              <w:rPr>
                <w:sz w:val="20"/>
                <w:lang w:val="it-IT"/>
              </w:rPr>
              <w:t>Tasso di risposta globale</w:t>
            </w:r>
          </w:p>
        </w:tc>
        <w:tc>
          <w:tcPr>
            <w:tcW w:w="1284" w:type="dxa"/>
            <w:tcBorders>
              <w:left w:val="nil"/>
              <w:right w:val="nil"/>
            </w:tcBorders>
            <w:vAlign w:val="center"/>
          </w:tcPr>
          <w:p w14:paraId="349EF903"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51C3A65B"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59D1C8B9"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600E4EFA" w14:textId="77777777" w:rsidR="009C0666" w:rsidRPr="006A2BF9" w:rsidRDefault="009C0666" w:rsidP="00214FBA">
            <w:pPr>
              <w:keepNext/>
              <w:keepLines/>
              <w:spacing w:before="40" w:after="40"/>
              <w:jc w:val="center"/>
              <w:rPr>
                <w:sz w:val="20"/>
                <w:lang w:val="it-IT"/>
              </w:rPr>
            </w:pPr>
          </w:p>
        </w:tc>
        <w:tc>
          <w:tcPr>
            <w:tcW w:w="1284" w:type="dxa"/>
            <w:tcBorders>
              <w:left w:val="nil"/>
            </w:tcBorders>
            <w:vAlign w:val="center"/>
          </w:tcPr>
          <w:p w14:paraId="1FF8AAA2" w14:textId="77777777" w:rsidR="009C0666" w:rsidRPr="006A2BF9" w:rsidRDefault="009C0666" w:rsidP="00214FBA">
            <w:pPr>
              <w:keepNext/>
              <w:keepLines/>
              <w:spacing w:before="40" w:after="40"/>
              <w:jc w:val="center"/>
              <w:rPr>
                <w:sz w:val="20"/>
                <w:lang w:val="it-IT"/>
              </w:rPr>
            </w:pPr>
          </w:p>
        </w:tc>
      </w:tr>
      <w:tr w:rsidR="009C0666" w:rsidRPr="006A2BF9" w14:paraId="4FA79783" w14:textId="77777777" w:rsidTr="00C65E97">
        <w:tc>
          <w:tcPr>
            <w:tcW w:w="2791" w:type="dxa"/>
          </w:tcPr>
          <w:p w14:paraId="7CC518C4" w14:textId="77777777" w:rsidR="009C0666" w:rsidRPr="006A2BF9" w:rsidRDefault="009C0666" w:rsidP="00214FBA">
            <w:pPr>
              <w:keepNext/>
              <w:keepLines/>
              <w:spacing w:before="40" w:after="40"/>
              <w:rPr>
                <w:sz w:val="20"/>
                <w:lang w:val="it-IT"/>
              </w:rPr>
            </w:pPr>
            <w:r w:rsidRPr="006A2BF9">
              <w:rPr>
                <w:sz w:val="20"/>
                <w:lang w:val="it-IT"/>
              </w:rPr>
              <w:tab/>
              <w:t>Tasso (percentuale)</w:t>
            </w:r>
          </w:p>
        </w:tc>
        <w:tc>
          <w:tcPr>
            <w:tcW w:w="1284" w:type="dxa"/>
            <w:vAlign w:val="center"/>
          </w:tcPr>
          <w:p w14:paraId="30541FA6" w14:textId="77777777" w:rsidR="009C0666" w:rsidRPr="006A2BF9" w:rsidRDefault="009C0666" w:rsidP="00214FBA">
            <w:pPr>
              <w:pStyle w:val="TableCellCenter"/>
              <w:spacing w:before="40" w:after="40" w:line="240" w:lineRule="auto"/>
              <w:rPr>
                <w:lang w:val="it-IT"/>
              </w:rPr>
            </w:pPr>
            <w:r w:rsidRPr="006A2BF9">
              <w:rPr>
                <w:lang w:val="it-IT"/>
              </w:rPr>
              <w:t>16,7</w:t>
            </w:r>
          </w:p>
        </w:tc>
        <w:tc>
          <w:tcPr>
            <w:tcW w:w="1284" w:type="dxa"/>
            <w:vAlign w:val="center"/>
          </w:tcPr>
          <w:p w14:paraId="264EF44E" w14:textId="77777777" w:rsidR="009C0666" w:rsidRPr="006A2BF9" w:rsidRDefault="009C0666" w:rsidP="00214FBA">
            <w:pPr>
              <w:pStyle w:val="TableCellCenter"/>
              <w:spacing w:before="40" w:after="40" w:line="240" w:lineRule="auto"/>
              <w:rPr>
                <w:lang w:val="it-IT"/>
              </w:rPr>
            </w:pPr>
            <w:r w:rsidRPr="006A2BF9">
              <w:rPr>
                <w:lang w:val="it-IT"/>
              </w:rPr>
              <w:t>40,0</w:t>
            </w:r>
          </w:p>
        </w:tc>
        <w:tc>
          <w:tcPr>
            <w:tcW w:w="1284" w:type="dxa"/>
            <w:vAlign w:val="center"/>
          </w:tcPr>
          <w:p w14:paraId="3DFF1560" w14:textId="77777777" w:rsidR="009C0666" w:rsidRPr="006A2BF9" w:rsidRDefault="009C0666" w:rsidP="00214FBA">
            <w:pPr>
              <w:pStyle w:val="TableCellCenter"/>
              <w:spacing w:before="40" w:after="40" w:line="240" w:lineRule="auto"/>
              <w:rPr>
                <w:lang w:val="it-IT"/>
              </w:rPr>
            </w:pPr>
            <w:r w:rsidRPr="006A2BF9">
              <w:rPr>
                <w:lang w:val="it-IT"/>
              </w:rPr>
              <w:t>24,2</w:t>
            </w:r>
          </w:p>
        </w:tc>
        <w:tc>
          <w:tcPr>
            <w:tcW w:w="1284" w:type="dxa"/>
            <w:vAlign w:val="center"/>
          </w:tcPr>
          <w:p w14:paraId="7DE3D0D3" w14:textId="77777777" w:rsidR="009C0666" w:rsidRPr="006A2BF9" w:rsidRDefault="009C0666" w:rsidP="00214FBA">
            <w:pPr>
              <w:keepNext/>
              <w:keepLines/>
              <w:spacing w:before="40" w:after="40"/>
              <w:jc w:val="center"/>
              <w:rPr>
                <w:sz w:val="20"/>
                <w:lang w:val="it-IT"/>
              </w:rPr>
            </w:pPr>
            <w:r w:rsidRPr="006A2BF9">
              <w:rPr>
                <w:sz w:val="20"/>
                <w:lang w:val="it-IT"/>
              </w:rPr>
              <w:t>15,2</w:t>
            </w:r>
          </w:p>
        </w:tc>
        <w:tc>
          <w:tcPr>
            <w:tcW w:w="1284" w:type="dxa"/>
            <w:vAlign w:val="center"/>
          </w:tcPr>
          <w:p w14:paraId="27CF1D66" w14:textId="77777777" w:rsidR="009C0666" w:rsidRPr="006A2BF9" w:rsidRDefault="009C0666" w:rsidP="00214FBA">
            <w:pPr>
              <w:keepNext/>
              <w:keepLines/>
              <w:spacing w:before="40" w:after="40"/>
              <w:jc w:val="center"/>
              <w:rPr>
                <w:sz w:val="20"/>
                <w:lang w:val="it-IT"/>
              </w:rPr>
            </w:pPr>
            <w:r w:rsidRPr="006A2BF9">
              <w:rPr>
                <w:sz w:val="20"/>
                <w:lang w:val="it-IT"/>
              </w:rPr>
              <w:t>26</w:t>
            </w:r>
          </w:p>
        </w:tc>
      </w:tr>
      <w:tr w:rsidR="009C0666" w:rsidRPr="006A2BF9" w14:paraId="0638EE5A" w14:textId="77777777" w:rsidTr="00C65E97">
        <w:tc>
          <w:tcPr>
            <w:tcW w:w="2791" w:type="dxa"/>
          </w:tcPr>
          <w:p w14:paraId="6B6C650A" w14:textId="77777777" w:rsidR="009C0666" w:rsidRPr="00330A40" w:rsidRDefault="009C0666" w:rsidP="00214FBA">
            <w:pPr>
              <w:keepNext/>
              <w:keepLines/>
              <w:spacing w:before="40" w:after="40"/>
              <w:rPr>
                <w:sz w:val="20"/>
                <w:lang w:val="it-IT"/>
              </w:rPr>
            </w:pPr>
            <w:r w:rsidRPr="006A2BF9">
              <w:rPr>
                <w:sz w:val="20"/>
                <w:lang w:val="it-IT"/>
              </w:rPr>
              <w:tab/>
              <w:t>IC</w:t>
            </w:r>
            <w:r w:rsidR="007933D2">
              <w:rPr>
                <w:sz w:val="20"/>
                <w:lang w:val="it-IT"/>
              </w:rPr>
              <w:t xml:space="preserve"> al</w:t>
            </w:r>
            <w:r w:rsidRPr="00330A40">
              <w:rPr>
                <w:sz w:val="20"/>
                <w:lang w:val="it-IT"/>
              </w:rPr>
              <w:t xml:space="preserve"> 95%</w:t>
            </w:r>
          </w:p>
        </w:tc>
        <w:tc>
          <w:tcPr>
            <w:tcW w:w="1284" w:type="dxa"/>
            <w:vAlign w:val="center"/>
          </w:tcPr>
          <w:p w14:paraId="386D126A" w14:textId="77777777" w:rsidR="009C0666" w:rsidRPr="00330A40" w:rsidRDefault="009C0666" w:rsidP="00214FBA">
            <w:pPr>
              <w:pStyle w:val="TableCellCenter"/>
              <w:spacing w:before="40" w:after="40" w:line="240" w:lineRule="auto"/>
              <w:rPr>
                <w:lang w:val="it-IT"/>
              </w:rPr>
            </w:pPr>
            <w:r w:rsidRPr="00330A40">
              <w:rPr>
                <w:lang w:val="it-IT"/>
              </w:rPr>
              <w:t>7,0</w:t>
            </w:r>
            <w:r w:rsidR="00CC3FE5" w:rsidRPr="00330A40">
              <w:rPr>
                <w:lang w:val="it-IT"/>
              </w:rPr>
              <w:noBreakHyphen/>
            </w:r>
            <w:r w:rsidRPr="00330A40">
              <w:rPr>
                <w:lang w:val="it-IT"/>
              </w:rPr>
              <w:t>33,5</w:t>
            </w:r>
          </w:p>
        </w:tc>
        <w:tc>
          <w:tcPr>
            <w:tcW w:w="1284" w:type="dxa"/>
            <w:vAlign w:val="center"/>
          </w:tcPr>
          <w:p w14:paraId="4B6847FF" w14:textId="77777777" w:rsidR="009C0666" w:rsidRPr="00330A40" w:rsidRDefault="009C0666" w:rsidP="00214FBA">
            <w:pPr>
              <w:pStyle w:val="TableCellCenter"/>
              <w:spacing w:before="40" w:after="40" w:line="240" w:lineRule="auto"/>
              <w:rPr>
                <w:lang w:val="it-IT"/>
              </w:rPr>
            </w:pPr>
            <w:r w:rsidRPr="00330A40">
              <w:rPr>
                <w:lang w:val="it-IT"/>
              </w:rPr>
              <w:t>24,4</w:t>
            </w:r>
            <w:r w:rsidR="00CC3FE5" w:rsidRPr="00330A40">
              <w:rPr>
                <w:rFonts w:ascii="Symbol" w:hAnsi="Symbol"/>
                <w:lang w:val="it-IT"/>
              </w:rPr>
              <w:noBreakHyphen/>
            </w:r>
            <w:r w:rsidRPr="00330A40">
              <w:rPr>
                <w:lang w:val="it-IT"/>
              </w:rPr>
              <w:t>57,8</w:t>
            </w:r>
          </w:p>
        </w:tc>
        <w:tc>
          <w:tcPr>
            <w:tcW w:w="1284" w:type="dxa"/>
            <w:vAlign w:val="center"/>
          </w:tcPr>
          <w:p w14:paraId="7A9ED328" w14:textId="77777777" w:rsidR="009C0666" w:rsidRPr="00330A40" w:rsidRDefault="009847F8" w:rsidP="00214FBA">
            <w:pPr>
              <w:pStyle w:val="TableCellCenter"/>
              <w:spacing w:before="40" w:after="40" w:line="240" w:lineRule="auto"/>
              <w:rPr>
                <w:lang w:val="it-IT"/>
              </w:rPr>
            </w:pPr>
            <w:r w:rsidRPr="00330A40">
              <w:rPr>
                <w:lang w:val="it-IT"/>
              </w:rPr>
              <w:t>11,7</w:t>
            </w:r>
            <w:r w:rsidR="00CC3FE5" w:rsidRPr="00330A40">
              <w:rPr>
                <w:lang w:val="it-IT"/>
              </w:rPr>
              <w:noBreakHyphen/>
            </w:r>
            <w:r w:rsidR="009C0666" w:rsidRPr="00330A40">
              <w:rPr>
                <w:lang w:val="it-IT"/>
              </w:rPr>
              <w:t>42,6</w:t>
            </w:r>
          </w:p>
        </w:tc>
        <w:tc>
          <w:tcPr>
            <w:tcW w:w="1284" w:type="dxa"/>
            <w:vAlign w:val="center"/>
          </w:tcPr>
          <w:p w14:paraId="3A179759" w14:textId="77777777" w:rsidR="009C0666" w:rsidRPr="00330A40" w:rsidRDefault="009C0666" w:rsidP="00214FBA">
            <w:pPr>
              <w:keepNext/>
              <w:keepLines/>
              <w:spacing w:before="40" w:after="40"/>
              <w:jc w:val="center"/>
              <w:rPr>
                <w:sz w:val="20"/>
                <w:lang w:val="it-IT"/>
              </w:rPr>
            </w:pPr>
            <w:r w:rsidRPr="00330A40">
              <w:rPr>
                <w:sz w:val="20"/>
                <w:lang w:val="it-IT"/>
              </w:rPr>
              <w:t>9,2</w:t>
            </w:r>
            <w:r w:rsidR="00CC3FE5" w:rsidRPr="00330A40">
              <w:rPr>
                <w:sz w:val="20"/>
                <w:lang w:val="it-IT"/>
              </w:rPr>
              <w:noBreakHyphen/>
            </w:r>
            <w:r w:rsidRPr="00330A40">
              <w:rPr>
                <w:sz w:val="20"/>
                <w:lang w:val="it-IT"/>
              </w:rPr>
              <w:t>23,9</w:t>
            </w:r>
          </w:p>
        </w:tc>
        <w:tc>
          <w:tcPr>
            <w:tcW w:w="1284" w:type="dxa"/>
            <w:vAlign w:val="center"/>
          </w:tcPr>
          <w:p w14:paraId="361607E0" w14:textId="77777777" w:rsidR="009C0666" w:rsidRPr="006A2BF9" w:rsidRDefault="009C0666" w:rsidP="00214FBA">
            <w:pPr>
              <w:keepNext/>
              <w:keepLines/>
              <w:spacing w:before="40" w:after="40"/>
              <w:jc w:val="center"/>
              <w:rPr>
                <w:sz w:val="20"/>
                <w:lang w:val="it-IT"/>
              </w:rPr>
            </w:pPr>
            <w:r w:rsidRPr="00330A40">
              <w:rPr>
                <w:sz w:val="20"/>
                <w:lang w:val="it-IT"/>
              </w:rPr>
              <w:t>18,1</w:t>
            </w:r>
            <w:r w:rsidR="00CC3FE5" w:rsidRPr="006A2BF9">
              <w:rPr>
                <w:sz w:val="20"/>
                <w:lang w:val="it-IT"/>
              </w:rPr>
              <w:noBreakHyphen/>
            </w:r>
            <w:r w:rsidRPr="006A2BF9">
              <w:rPr>
                <w:sz w:val="20"/>
                <w:lang w:val="it-IT"/>
              </w:rPr>
              <w:t>35,6</w:t>
            </w:r>
          </w:p>
        </w:tc>
      </w:tr>
      <w:tr w:rsidR="009C0666" w:rsidRPr="006A2BF9" w14:paraId="11AC4BDE" w14:textId="77777777" w:rsidTr="00C65E97">
        <w:tc>
          <w:tcPr>
            <w:tcW w:w="2791" w:type="dxa"/>
            <w:tcBorders>
              <w:bottom w:val="single" w:sz="4" w:space="0" w:color="auto"/>
            </w:tcBorders>
          </w:tcPr>
          <w:p w14:paraId="511C9B3B" w14:textId="77777777" w:rsidR="009C0666" w:rsidRPr="006A2BF9" w:rsidRDefault="009C0666" w:rsidP="00214FBA">
            <w:pPr>
              <w:keepNext/>
              <w:keepLines/>
              <w:spacing w:before="40" w:after="40"/>
              <w:rPr>
                <w:sz w:val="20"/>
                <w:lang w:val="it-IT"/>
              </w:rPr>
            </w:pPr>
            <w:r w:rsidRPr="006A2BF9">
              <w:rPr>
                <w:sz w:val="20"/>
                <w:lang w:val="it-IT"/>
              </w:rPr>
              <w:tab/>
              <w:t>Valore di p</w:t>
            </w:r>
          </w:p>
        </w:tc>
        <w:tc>
          <w:tcPr>
            <w:tcW w:w="1284" w:type="dxa"/>
            <w:tcBorders>
              <w:bottom w:val="single" w:sz="4" w:space="0" w:color="auto"/>
            </w:tcBorders>
            <w:vAlign w:val="center"/>
          </w:tcPr>
          <w:p w14:paraId="517C0A89" w14:textId="77777777" w:rsidR="009C0666" w:rsidRPr="006A2BF9" w:rsidRDefault="009C0666" w:rsidP="00214FBA">
            <w:pPr>
              <w:pStyle w:val="TableCellCenter"/>
              <w:spacing w:before="40" w:after="40" w:line="240" w:lineRule="auto"/>
              <w:rPr>
                <w:lang w:val="it-IT"/>
              </w:rPr>
            </w:pPr>
          </w:p>
        </w:tc>
        <w:tc>
          <w:tcPr>
            <w:tcW w:w="1284" w:type="dxa"/>
            <w:tcBorders>
              <w:bottom w:val="single" w:sz="4" w:space="0" w:color="auto"/>
            </w:tcBorders>
            <w:vAlign w:val="center"/>
          </w:tcPr>
          <w:p w14:paraId="1EAD1D63" w14:textId="77777777" w:rsidR="009C0666" w:rsidRPr="006A2BF9" w:rsidRDefault="009C0666" w:rsidP="00214FBA">
            <w:pPr>
              <w:pStyle w:val="TableCellCenter"/>
              <w:spacing w:before="40" w:after="40" w:line="240" w:lineRule="auto"/>
              <w:rPr>
                <w:lang w:val="it-IT"/>
              </w:rPr>
            </w:pPr>
            <w:r w:rsidRPr="006A2BF9">
              <w:rPr>
                <w:lang w:val="it-IT"/>
              </w:rPr>
              <w:t>0,029</w:t>
            </w:r>
          </w:p>
        </w:tc>
        <w:tc>
          <w:tcPr>
            <w:tcW w:w="1284" w:type="dxa"/>
            <w:tcBorders>
              <w:bottom w:val="single" w:sz="4" w:space="0" w:color="auto"/>
            </w:tcBorders>
            <w:vAlign w:val="center"/>
          </w:tcPr>
          <w:p w14:paraId="724D1CDA" w14:textId="77777777" w:rsidR="009C0666" w:rsidRPr="006A2BF9" w:rsidRDefault="009C0666" w:rsidP="00214FBA">
            <w:pPr>
              <w:keepNext/>
              <w:keepLines/>
              <w:spacing w:before="40" w:after="40"/>
              <w:jc w:val="center"/>
              <w:rPr>
                <w:sz w:val="20"/>
                <w:lang w:val="it-IT"/>
              </w:rPr>
            </w:pPr>
            <w:r w:rsidRPr="006A2BF9">
              <w:rPr>
                <w:sz w:val="20"/>
                <w:lang w:val="it-IT"/>
              </w:rPr>
              <w:t>0,43</w:t>
            </w:r>
          </w:p>
        </w:tc>
        <w:tc>
          <w:tcPr>
            <w:tcW w:w="1284" w:type="dxa"/>
            <w:tcBorders>
              <w:bottom w:val="single" w:sz="4" w:space="0" w:color="auto"/>
            </w:tcBorders>
            <w:vAlign w:val="center"/>
          </w:tcPr>
          <w:p w14:paraId="1358D8C0" w14:textId="77777777" w:rsidR="009C0666" w:rsidRPr="006A2BF9" w:rsidRDefault="009C0666" w:rsidP="00214FBA">
            <w:pPr>
              <w:keepNext/>
              <w:keepLines/>
              <w:spacing w:before="40" w:after="40"/>
              <w:jc w:val="center"/>
              <w:rPr>
                <w:sz w:val="20"/>
                <w:lang w:val="it-IT"/>
              </w:rPr>
            </w:pPr>
          </w:p>
        </w:tc>
        <w:tc>
          <w:tcPr>
            <w:tcW w:w="1284" w:type="dxa"/>
            <w:vAlign w:val="center"/>
          </w:tcPr>
          <w:p w14:paraId="527FF379" w14:textId="77777777" w:rsidR="009C0666" w:rsidRPr="006A2BF9" w:rsidRDefault="009C0666" w:rsidP="00214FBA">
            <w:pPr>
              <w:keepNext/>
              <w:keepLines/>
              <w:spacing w:before="40" w:after="40"/>
              <w:jc w:val="center"/>
              <w:rPr>
                <w:sz w:val="20"/>
                <w:lang w:val="it-IT"/>
              </w:rPr>
            </w:pPr>
            <w:r w:rsidRPr="006A2BF9">
              <w:rPr>
                <w:sz w:val="20"/>
                <w:lang w:val="it-IT"/>
              </w:rPr>
              <w:t>0,055</w:t>
            </w:r>
          </w:p>
        </w:tc>
      </w:tr>
      <w:tr w:rsidR="009C0666" w:rsidRPr="006A2BF9" w14:paraId="021757D7" w14:textId="77777777" w:rsidTr="00C65E97">
        <w:tc>
          <w:tcPr>
            <w:tcW w:w="2791" w:type="dxa"/>
            <w:tcBorders>
              <w:right w:val="nil"/>
            </w:tcBorders>
          </w:tcPr>
          <w:p w14:paraId="19E72E23" w14:textId="77777777" w:rsidR="009C0666" w:rsidRPr="006A2BF9" w:rsidRDefault="009C0666" w:rsidP="00214FBA">
            <w:pPr>
              <w:keepNext/>
              <w:keepLines/>
              <w:spacing w:before="40" w:after="40"/>
              <w:rPr>
                <w:sz w:val="20"/>
                <w:lang w:val="it-IT"/>
              </w:rPr>
            </w:pPr>
            <w:r w:rsidRPr="006A2BF9">
              <w:rPr>
                <w:sz w:val="20"/>
                <w:lang w:val="it-IT"/>
              </w:rPr>
              <w:t>Durata della risposta</w:t>
            </w:r>
          </w:p>
        </w:tc>
        <w:tc>
          <w:tcPr>
            <w:tcW w:w="1284" w:type="dxa"/>
            <w:tcBorders>
              <w:left w:val="nil"/>
              <w:right w:val="nil"/>
            </w:tcBorders>
            <w:vAlign w:val="center"/>
          </w:tcPr>
          <w:p w14:paraId="54E1A7D1"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6FEFD21E"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5E5CB6E4" w14:textId="77777777" w:rsidR="009C0666" w:rsidRPr="006A2BF9" w:rsidRDefault="009C0666" w:rsidP="00214FBA">
            <w:pPr>
              <w:pStyle w:val="TableCellCenter"/>
              <w:spacing w:before="40" w:after="40" w:line="240" w:lineRule="auto"/>
              <w:rPr>
                <w:lang w:val="it-IT"/>
              </w:rPr>
            </w:pPr>
          </w:p>
        </w:tc>
        <w:tc>
          <w:tcPr>
            <w:tcW w:w="1284" w:type="dxa"/>
            <w:tcBorders>
              <w:left w:val="nil"/>
              <w:right w:val="nil"/>
            </w:tcBorders>
            <w:vAlign w:val="center"/>
          </w:tcPr>
          <w:p w14:paraId="25E13B8C" w14:textId="77777777" w:rsidR="009C0666" w:rsidRPr="006A2BF9" w:rsidRDefault="009C0666" w:rsidP="00214FBA">
            <w:pPr>
              <w:keepNext/>
              <w:keepLines/>
              <w:spacing w:before="40" w:after="40"/>
              <w:jc w:val="center"/>
              <w:rPr>
                <w:sz w:val="20"/>
                <w:lang w:val="it-IT"/>
              </w:rPr>
            </w:pPr>
          </w:p>
        </w:tc>
        <w:tc>
          <w:tcPr>
            <w:tcW w:w="1284" w:type="dxa"/>
            <w:tcBorders>
              <w:left w:val="nil"/>
            </w:tcBorders>
            <w:vAlign w:val="center"/>
          </w:tcPr>
          <w:p w14:paraId="4CB620DB" w14:textId="77777777" w:rsidR="009C0666" w:rsidRPr="006A2BF9" w:rsidRDefault="009C0666" w:rsidP="00214FBA">
            <w:pPr>
              <w:keepNext/>
              <w:keepLines/>
              <w:spacing w:before="40" w:after="40"/>
              <w:jc w:val="center"/>
              <w:rPr>
                <w:sz w:val="20"/>
                <w:lang w:val="it-IT"/>
              </w:rPr>
            </w:pPr>
          </w:p>
        </w:tc>
      </w:tr>
      <w:tr w:rsidR="009C0666" w:rsidRPr="006A2BF9" w14:paraId="61768E7E" w14:textId="77777777" w:rsidTr="00C65E97">
        <w:tc>
          <w:tcPr>
            <w:tcW w:w="2791" w:type="dxa"/>
          </w:tcPr>
          <w:p w14:paraId="54918442" w14:textId="77777777" w:rsidR="009C0666" w:rsidRPr="006A2BF9" w:rsidRDefault="009C0666" w:rsidP="00214FBA">
            <w:pPr>
              <w:keepNext/>
              <w:keepLines/>
              <w:spacing w:before="40" w:after="40"/>
              <w:rPr>
                <w:sz w:val="20"/>
                <w:lang w:val="it-IT"/>
              </w:rPr>
            </w:pPr>
            <w:r w:rsidRPr="006A2BF9">
              <w:rPr>
                <w:sz w:val="20"/>
                <w:lang w:val="it-IT"/>
              </w:rPr>
              <w:tab/>
              <w:t>Tempo mediano (mesi)</w:t>
            </w:r>
          </w:p>
        </w:tc>
        <w:tc>
          <w:tcPr>
            <w:tcW w:w="1284" w:type="dxa"/>
            <w:vAlign w:val="center"/>
          </w:tcPr>
          <w:p w14:paraId="6D8BB7CF" w14:textId="77777777" w:rsidR="009C0666" w:rsidRPr="006A2BF9" w:rsidRDefault="009C0666" w:rsidP="00214FBA">
            <w:pPr>
              <w:pStyle w:val="TableCellCenter"/>
              <w:spacing w:before="40" w:after="40" w:line="240" w:lineRule="auto"/>
              <w:rPr>
                <w:lang w:val="it-IT"/>
              </w:rPr>
            </w:pPr>
            <w:r w:rsidRPr="006A2BF9">
              <w:rPr>
                <w:lang w:val="it-IT"/>
              </w:rPr>
              <w:t>NR</w:t>
            </w:r>
          </w:p>
        </w:tc>
        <w:tc>
          <w:tcPr>
            <w:tcW w:w="1284" w:type="dxa"/>
            <w:vAlign w:val="center"/>
          </w:tcPr>
          <w:p w14:paraId="24177D42" w14:textId="77777777" w:rsidR="009C0666" w:rsidRPr="006A2BF9" w:rsidRDefault="009C0666" w:rsidP="00214FBA">
            <w:pPr>
              <w:pStyle w:val="TableCellCenter"/>
              <w:spacing w:before="40" w:after="40" w:line="240" w:lineRule="auto"/>
              <w:rPr>
                <w:lang w:val="it-IT"/>
              </w:rPr>
            </w:pPr>
            <w:r w:rsidRPr="006A2BF9">
              <w:rPr>
                <w:lang w:val="it-IT"/>
              </w:rPr>
              <w:t>9,3</w:t>
            </w:r>
          </w:p>
        </w:tc>
        <w:tc>
          <w:tcPr>
            <w:tcW w:w="1284" w:type="dxa"/>
            <w:vAlign w:val="center"/>
          </w:tcPr>
          <w:p w14:paraId="342D0699" w14:textId="77777777" w:rsidR="009C0666" w:rsidRPr="006A2BF9" w:rsidRDefault="009C0666" w:rsidP="00214FBA">
            <w:pPr>
              <w:pStyle w:val="TableCellCenter"/>
              <w:spacing w:before="40" w:after="40" w:line="240" w:lineRule="auto"/>
              <w:rPr>
                <w:lang w:val="it-IT"/>
              </w:rPr>
            </w:pPr>
            <w:r w:rsidRPr="006A2BF9">
              <w:rPr>
                <w:lang w:val="it-IT"/>
              </w:rPr>
              <w:t>5,0</w:t>
            </w:r>
          </w:p>
        </w:tc>
        <w:tc>
          <w:tcPr>
            <w:tcW w:w="1284" w:type="dxa"/>
            <w:vAlign w:val="center"/>
          </w:tcPr>
          <w:p w14:paraId="3E62E935" w14:textId="77777777" w:rsidR="009C0666" w:rsidRPr="006A2BF9" w:rsidRDefault="009C0666" w:rsidP="00214FBA">
            <w:pPr>
              <w:keepNext/>
              <w:keepLines/>
              <w:spacing w:before="40" w:after="40"/>
              <w:jc w:val="center"/>
              <w:rPr>
                <w:sz w:val="20"/>
                <w:lang w:val="it-IT"/>
              </w:rPr>
            </w:pPr>
            <w:r w:rsidRPr="006A2BF9">
              <w:rPr>
                <w:sz w:val="20"/>
                <w:lang w:val="it-IT"/>
              </w:rPr>
              <w:t>6,8</w:t>
            </w:r>
          </w:p>
        </w:tc>
        <w:tc>
          <w:tcPr>
            <w:tcW w:w="1284" w:type="dxa"/>
            <w:vAlign w:val="center"/>
          </w:tcPr>
          <w:p w14:paraId="739976FC" w14:textId="77777777" w:rsidR="009C0666" w:rsidRPr="006A2BF9" w:rsidRDefault="009C0666" w:rsidP="00214FBA">
            <w:pPr>
              <w:keepNext/>
              <w:keepLines/>
              <w:spacing w:before="40" w:after="40"/>
              <w:jc w:val="center"/>
              <w:rPr>
                <w:sz w:val="20"/>
                <w:lang w:val="it-IT"/>
              </w:rPr>
            </w:pPr>
            <w:r w:rsidRPr="006A2BF9">
              <w:rPr>
                <w:sz w:val="20"/>
                <w:lang w:val="it-IT"/>
              </w:rPr>
              <w:t>9,2</w:t>
            </w:r>
          </w:p>
        </w:tc>
      </w:tr>
      <w:tr w:rsidR="009C0666" w:rsidRPr="006A2BF9" w14:paraId="3002993A" w14:textId="77777777" w:rsidTr="00C65E97">
        <w:tc>
          <w:tcPr>
            <w:tcW w:w="2791" w:type="dxa"/>
            <w:tcBorders>
              <w:bottom w:val="single" w:sz="4" w:space="0" w:color="auto"/>
            </w:tcBorders>
          </w:tcPr>
          <w:p w14:paraId="1C4555D0" w14:textId="77777777" w:rsidR="009C0666" w:rsidRPr="006A2BF9" w:rsidRDefault="009C0666" w:rsidP="00214FBA">
            <w:pPr>
              <w:keepNext/>
              <w:keepLines/>
              <w:spacing w:before="40" w:after="40"/>
              <w:rPr>
                <w:sz w:val="20"/>
                <w:lang w:val="it-IT"/>
              </w:rPr>
            </w:pPr>
            <w:r w:rsidRPr="006A2BF9">
              <w:rPr>
                <w:sz w:val="20"/>
                <w:lang w:val="it-IT"/>
              </w:rPr>
              <w:tab/>
              <w:t>25°/75° percentile (mesi)</w:t>
            </w:r>
          </w:p>
        </w:tc>
        <w:tc>
          <w:tcPr>
            <w:tcW w:w="1284" w:type="dxa"/>
            <w:tcBorders>
              <w:bottom w:val="single" w:sz="4" w:space="0" w:color="auto"/>
            </w:tcBorders>
            <w:vAlign w:val="center"/>
          </w:tcPr>
          <w:p w14:paraId="2AF9BE77" w14:textId="77777777" w:rsidR="009C0666" w:rsidRPr="006A2BF9" w:rsidRDefault="009C0666" w:rsidP="00214FBA">
            <w:pPr>
              <w:pStyle w:val="TableCellCenter"/>
              <w:spacing w:before="40" w:after="40" w:line="240" w:lineRule="auto"/>
              <w:rPr>
                <w:lang w:val="it-IT"/>
              </w:rPr>
            </w:pPr>
            <w:r w:rsidRPr="006A2BF9">
              <w:rPr>
                <w:lang w:val="it-IT"/>
              </w:rPr>
              <w:t>5,5</w:t>
            </w:r>
            <w:r w:rsidR="00CC3FE5" w:rsidRPr="006A2BF9">
              <w:rPr>
                <w:rFonts w:ascii="Symbol" w:hAnsi="Symbol"/>
                <w:lang w:val="it-IT"/>
              </w:rPr>
              <w:noBreakHyphen/>
            </w:r>
            <w:r w:rsidRPr="006A2BF9">
              <w:rPr>
                <w:lang w:val="it-IT"/>
              </w:rPr>
              <w:t>NR</w:t>
            </w:r>
          </w:p>
        </w:tc>
        <w:tc>
          <w:tcPr>
            <w:tcW w:w="1284" w:type="dxa"/>
            <w:tcBorders>
              <w:bottom w:val="single" w:sz="4" w:space="0" w:color="auto"/>
            </w:tcBorders>
            <w:vAlign w:val="center"/>
          </w:tcPr>
          <w:p w14:paraId="4A0CB405" w14:textId="77777777" w:rsidR="009C0666" w:rsidRPr="006A2BF9" w:rsidRDefault="009C0666" w:rsidP="00214FBA">
            <w:pPr>
              <w:pStyle w:val="TableCellCenter"/>
              <w:spacing w:before="40" w:after="40" w:line="240" w:lineRule="auto"/>
              <w:rPr>
                <w:lang w:val="it-IT"/>
              </w:rPr>
            </w:pPr>
            <w:r w:rsidRPr="006A2BF9">
              <w:rPr>
                <w:lang w:val="it-IT"/>
              </w:rPr>
              <w:t>6,1</w:t>
            </w:r>
            <w:r w:rsidR="00CC3FE5" w:rsidRPr="006A2BF9">
              <w:rPr>
                <w:rFonts w:ascii="Symbol" w:hAnsi="Symbol"/>
                <w:lang w:val="it-IT"/>
              </w:rPr>
              <w:noBreakHyphen/>
            </w:r>
            <w:r w:rsidRPr="006A2BF9">
              <w:rPr>
                <w:lang w:val="it-IT"/>
              </w:rPr>
              <w:t>NR</w:t>
            </w:r>
          </w:p>
        </w:tc>
        <w:tc>
          <w:tcPr>
            <w:tcW w:w="1284" w:type="dxa"/>
            <w:tcBorders>
              <w:bottom w:val="single" w:sz="4" w:space="0" w:color="auto"/>
            </w:tcBorders>
            <w:vAlign w:val="center"/>
          </w:tcPr>
          <w:p w14:paraId="64630705" w14:textId="77777777" w:rsidR="009C0666" w:rsidRPr="006A2BF9" w:rsidRDefault="009C0666" w:rsidP="00214FBA">
            <w:pPr>
              <w:pStyle w:val="TableCellCenter"/>
              <w:spacing w:before="40" w:after="40" w:line="240" w:lineRule="auto"/>
              <w:rPr>
                <w:lang w:val="it-IT"/>
              </w:rPr>
            </w:pPr>
            <w:r w:rsidRPr="006A2BF9">
              <w:rPr>
                <w:lang w:val="it-IT"/>
              </w:rPr>
              <w:t>3,8</w:t>
            </w:r>
            <w:r w:rsidR="00CC3FE5" w:rsidRPr="006A2BF9">
              <w:rPr>
                <w:lang w:val="it-IT"/>
              </w:rPr>
              <w:noBreakHyphen/>
            </w:r>
            <w:r w:rsidRPr="006A2BF9">
              <w:rPr>
                <w:lang w:val="it-IT"/>
              </w:rPr>
              <w:t>7,8</w:t>
            </w:r>
          </w:p>
        </w:tc>
        <w:tc>
          <w:tcPr>
            <w:tcW w:w="1284" w:type="dxa"/>
            <w:tcBorders>
              <w:bottom w:val="single" w:sz="4" w:space="0" w:color="auto"/>
            </w:tcBorders>
            <w:vAlign w:val="center"/>
          </w:tcPr>
          <w:p w14:paraId="4611378A" w14:textId="77777777" w:rsidR="009C0666" w:rsidRPr="006A2BF9" w:rsidRDefault="009C0666" w:rsidP="00214FBA">
            <w:pPr>
              <w:keepNext/>
              <w:keepLines/>
              <w:spacing w:before="40" w:after="40"/>
              <w:jc w:val="center"/>
              <w:rPr>
                <w:sz w:val="20"/>
                <w:lang w:val="it-IT"/>
              </w:rPr>
            </w:pPr>
            <w:r w:rsidRPr="006A2BF9">
              <w:rPr>
                <w:sz w:val="20"/>
                <w:lang w:val="it-IT"/>
              </w:rPr>
              <w:t>5,59</w:t>
            </w:r>
            <w:r w:rsidR="00CC3FE5" w:rsidRPr="006A2BF9">
              <w:rPr>
                <w:sz w:val="20"/>
                <w:lang w:val="it-IT"/>
              </w:rPr>
              <w:noBreakHyphen/>
            </w:r>
            <w:r w:rsidRPr="006A2BF9">
              <w:rPr>
                <w:sz w:val="20"/>
                <w:lang w:val="it-IT"/>
              </w:rPr>
              <w:t>9,17</w:t>
            </w:r>
          </w:p>
        </w:tc>
        <w:tc>
          <w:tcPr>
            <w:tcW w:w="1284" w:type="dxa"/>
            <w:tcBorders>
              <w:bottom w:val="single" w:sz="4" w:space="0" w:color="auto"/>
            </w:tcBorders>
            <w:vAlign w:val="center"/>
          </w:tcPr>
          <w:p w14:paraId="1D8C721E" w14:textId="77777777" w:rsidR="009C0666" w:rsidRPr="006A2BF9" w:rsidRDefault="009C0666" w:rsidP="00214FBA">
            <w:pPr>
              <w:keepNext/>
              <w:keepLines/>
              <w:spacing w:before="40" w:after="40"/>
              <w:jc w:val="center"/>
              <w:rPr>
                <w:sz w:val="20"/>
                <w:lang w:val="it-IT"/>
              </w:rPr>
            </w:pPr>
            <w:r w:rsidRPr="006A2BF9">
              <w:rPr>
                <w:sz w:val="20"/>
                <w:lang w:val="it-IT"/>
              </w:rPr>
              <w:t>5,88</w:t>
            </w:r>
            <w:r w:rsidR="00CC3FE5" w:rsidRPr="006A2BF9">
              <w:rPr>
                <w:sz w:val="20"/>
                <w:lang w:val="it-IT"/>
              </w:rPr>
              <w:noBreakHyphen/>
            </w:r>
            <w:r w:rsidRPr="006A2BF9">
              <w:rPr>
                <w:sz w:val="20"/>
                <w:lang w:val="it-IT"/>
              </w:rPr>
              <w:t>13,01</w:t>
            </w:r>
          </w:p>
        </w:tc>
      </w:tr>
      <w:tr w:rsidR="009C0666" w:rsidRPr="006A2BF9" w14:paraId="715CA9B2" w14:textId="77777777" w:rsidTr="00C65E97">
        <w:tc>
          <w:tcPr>
            <w:tcW w:w="9211" w:type="dxa"/>
            <w:gridSpan w:val="6"/>
            <w:tcBorders>
              <w:left w:val="nil"/>
              <w:bottom w:val="nil"/>
              <w:right w:val="nil"/>
            </w:tcBorders>
            <w:vAlign w:val="center"/>
          </w:tcPr>
          <w:p w14:paraId="6EBD25FA" w14:textId="77777777" w:rsidR="009C0666" w:rsidRPr="006A2BF9" w:rsidRDefault="009C0666" w:rsidP="00214FBA">
            <w:pPr>
              <w:keepNext/>
              <w:keepLines/>
              <w:ind w:left="170" w:hanging="170"/>
              <w:rPr>
                <w:sz w:val="18"/>
                <w:szCs w:val="18"/>
                <w:lang w:val="it-IT"/>
              </w:rPr>
            </w:pPr>
            <w:r w:rsidRPr="006A2BF9">
              <w:rPr>
                <w:sz w:val="18"/>
                <w:szCs w:val="18"/>
                <w:vertAlign w:val="superscript"/>
                <w:lang w:val="it-IT"/>
              </w:rPr>
              <w:t>a</w:t>
            </w:r>
            <w:r w:rsidRPr="006A2BF9">
              <w:rPr>
                <w:sz w:val="18"/>
                <w:szCs w:val="18"/>
                <w:lang w:val="it-IT"/>
              </w:rPr>
              <w:t xml:space="preserve"> 5 mg/kg ogni 2</w:t>
            </w:r>
            <w:r w:rsidR="00D37A63" w:rsidRPr="006A2BF9">
              <w:rPr>
                <w:sz w:val="18"/>
                <w:szCs w:val="18"/>
                <w:lang w:val="it-IT"/>
              </w:rPr>
              <w:t> </w:t>
            </w:r>
            <w:r w:rsidRPr="006A2BF9">
              <w:rPr>
                <w:sz w:val="18"/>
                <w:szCs w:val="18"/>
                <w:lang w:val="it-IT"/>
              </w:rPr>
              <w:t>settimane</w:t>
            </w:r>
          </w:p>
          <w:p w14:paraId="6966D4D7" w14:textId="77777777" w:rsidR="009C0666" w:rsidRPr="006A2BF9" w:rsidRDefault="009C0666" w:rsidP="00214FBA">
            <w:pPr>
              <w:keepNext/>
              <w:keepLines/>
              <w:rPr>
                <w:sz w:val="18"/>
                <w:szCs w:val="18"/>
                <w:lang w:val="it-IT"/>
              </w:rPr>
            </w:pPr>
            <w:r w:rsidRPr="006A2BF9">
              <w:rPr>
                <w:sz w:val="18"/>
                <w:szCs w:val="18"/>
                <w:vertAlign w:val="superscript"/>
                <w:lang w:val="it-IT"/>
              </w:rPr>
              <w:t>b</w:t>
            </w:r>
            <w:r w:rsidRPr="006A2BF9">
              <w:rPr>
                <w:sz w:val="18"/>
                <w:szCs w:val="18"/>
                <w:lang w:val="it-IT"/>
              </w:rPr>
              <w:t xml:space="preserve"> 10 mg/kg ogni 2</w:t>
            </w:r>
            <w:r w:rsidR="00D37A63" w:rsidRPr="006A2BF9">
              <w:rPr>
                <w:sz w:val="18"/>
                <w:szCs w:val="18"/>
                <w:lang w:val="it-IT"/>
              </w:rPr>
              <w:t> </w:t>
            </w:r>
            <w:r w:rsidRPr="006A2BF9">
              <w:rPr>
                <w:sz w:val="18"/>
                <w:szCs w:val="18"/>
                <w:lang w:val="it-IT"/>
              </w:rPr>
              <w:t>settimane</w:t>
            </w:r>
          </w:p>
          <w:p w14:paraId="29002109" w14:textId="77777777" w:rsidR="009C0666" w:rsidRPr="006A2BF9" w:rsidRDefault="009C0666" w:rsidP="00214FBA">
            <w:pPr>
              <w:keepNext/>
              <w:keepLines/>
              <w:rPr>
                <w:sz w:val="18"/>
                <w:szCs w:val="18"/>
                <w:lang w:val="it-IT"/>
              </w:rPr>
            </w:pPr>
            <w:r w:rsidRPr="006A2BF9">
              <w:rPr>
                <w:sz w:val="18"/>
                <w:szCs w:val="18"/>
                <w:vertAlign w:val="superscript"/>
                <w:lang w:val="it-IT"/>
              </w:rPr>
              <w:t>c</w:t>
            </w:r>
            <w:r w:rsidRPr="006A2BF9">
              <w:rPr>
                <w:sz w:val="18"/>
                <w:szCs w:val="18"/>
                <w:lang w:val="it-IT"/>
              </w:rPr>
              <w:t xml:space="preserve"> </w:t>
            </w:r>
            <w:r w:rsidR="0025736A" w:rsidRPr="006A2BF9">
              <w:rPr>
                <w:sz w:val="18"/>
                <w:szCs w:val="18"/>
                <w:lang w:val="it-IT"/>
              </w:rPr>
              <w:t xml:space="preserve">Relativamente </w:t>
            </w:r>
            <w:r w:rsidRPr="006A2BF9">
              <w:rPr>
                <w:sz w:val="18"/>
                <w:szCs w:val="18"/>
                <w:lang w:val="it-IT"/>
              </w:rPr>
              <w:t>al braccio di controllo</w:t>
            </w:r>
          </w:p>
          <w:p w14:paraId="05002373" w14:textId="77777777" w:rsidR="009C0666" w:rsidRPr="006A2BF9" w:rsidRDefault="009C0666" w:rsidP="00214FBA">
            <w:pPr>
              <w:keepNext/>
              <w:keepLines/>
              <w:rPr>
                <w:sz w:val="18"/>
                <w:szCs w:val="18"/>
                <w:lang w:val="it-IT"/>
              </w:rPr>
            </w:pPr>
            <w:r w:rsidRPr="006A2BF9">
              <w:rPr>
                <w:sz w:val="18"/>
                <w:szCs w:val="18"/>
                <w:lang w:val="it-IT"/>
              </w:rPr>
              <w:t>NR </w:t>
            </w:r>
            <w:r w:rsidRPr="006A2BF9">
              <w:rPr>
                <w:rFonts w:ascii="Symbol" w:hAnsi="Symbol"/>
                <w:sz w:val="18"/>
                <w:szCs w:val="18"/>
                <w:lang w:val="it-IT"/>
              </w:rPr>
              <w:t></w:t>
            </w:r>
            <w:r w:rsidRPr="006A2BF9">
              <w:rPr>
                <w:sz w:val="18"/>
                <w:szCs w:val="18"/>
                <w:lang w:val="it-IT"/>
              </w:rPr>
              <w:t> non raggiunto</w:t>
            </w:r>
          </w:p>
        </w:tc>
      </w:tr>
    </w:tbl>
    <w:p w14:paraId="0AE71757" w14:textId="77777777" w:rsidR="008D7C25" w:rsidRPr="006A2BF9" w:rsidRDefault="008D7C25" w:rsidP="00214FBA">
      <w:pPr>
        <w:keepNext/>
        <w:keepLines/>
        <w:rPr>
          <w:b/>
          <w:lang w:val="it-IT"/>
        </w:rPr>
      </w:pPr>
    </w:p>
    <w:p w14:paraId="5E7719E1" w14:textId="77777777" w:rsidR="008D7C25" w:rsidRPr="006A2BF9" w:rsidRDefault="008D7C25" w:rsidP="001B5FB1">
      <w:pPr>
        <w:keepNext/>
        <w:keepLines/>
        <w:rPr>
          <w:i/>
          <w:lang w:val="it-IT"/>
        </w:rPr>
      </w:pPr>
      <w:r w:rsidRPr="006A2BF9">
        <w:rPr>
          <w:i/>
          <w:lang w:val="it-IT"/>
        </w:rPr>
        <w:t>NO16966</w:t>
      </w:r>
    </w:p>
    <w:p w14:paraId="1A28AC33" w14:textId="77777777" w:rsidR="008D7C25" w:rsidRPr="006A2BF9" w:rsidRDefault="008D7C25" w:rsidP="00AC1C19">
      <w:pPr>
        <w:keepNext/>
        <w:keepLines/>
        <w:rPr>
          <w:lang w:val="it-IT"/>
        </w:rPr>
      </w:pPr>
      <w:r w:rsidRPr="006A2BF9">
        <w:rPr>
          <w:lang w:val="it-IT"/>
        </w:rPr>
        <w:t>Questo era uno studio di fase</w:t>
      </w:r>
      <w:r w:rsidR="00D37A63" w:rsidRPr="006A2BF9">
        <w:rPr>
          <w:lang w:val="it-IT"/>
        </w:rPr>
        <w:t> </w:t>
      </w:r>
      <w:r w:rsidRPr="006A2BF9">
        <w:rPr>
          <w:lang w:val="it-IT"/>
        </w:rPr>
        <w:t>III, randomizzato in doppio cieco (per bevacizumab)</w:t>
      </w:r>
      <w:r w:rsidR="00390824" w:rsidRPr="006A2BF9">
        <w:rPr>
          <w:lang w:val="it-IT"/>
        </w:rPr>
        <w:t xml:space="preserve">, </w:t>
      </w:r>
      <w:r w:rsidR="0025736A" w:rsidRPr="006A2BF9">
        <w:rPr>
          <w:lang w:val="it-IT"/>
        </w:rPr>
        <w:t>per</w:t>
      </w:r>
      <w:r w:rsidR="00390824" w:rsidRPr="006A2BF9">
        <w:rPr>
          <w:lang w:val="it-IT"/>
        </w:rPr>
        <w:t xml:space="preserve"> valutare </w:t>
      </w:r>
      <w:r w:rsidR="00D37A63" w:rsidRPr="006A2BF9">
        <w:rPr>
          <w:lang w:val="it-IT"/>
        </w:rPr>
        <w:t>bevacizumab</w:t>
      </w:r>
      <w:r w:rsidR="00D37A63" w:rsidRPr="006A2BF9" w:rsidDel="00FD6236">
        <w:rPr>
          <w:lang w:val="it-IT"/>
        </w:rPr>
        <w:t xml:space="preserve"> </w:t>
      </w:r>
      <w:r w:rsidR="00390824" w:rsidRPr="006A2BF9">
        <w:rPr>
          <w:lang w:val="it-IT"/>
        </w:rPr>
        <w:t>7,</w:t>
      </w:r>
      <w:r w:rsidRPr="006A2BF9">
        <w:rPr>
          <w:lang w:val="it-IT"/>
        </w:rPr>
        <w:t>5</w:t>
      </w:r>
      <w:r w:rsidR="00950E9C" w:rsidRPr="006A2BF9">
        <w:rPr>
          <w:lang w:val="it-IT"/>
        </w:rPr>
        <w:t> </w:t>
      </w:r>
      <w:r w:rsidRPr="006A2BF9">
        <w:rPr>
          <w:lang w:val="it-IT"/>
        </w:rPr>
        <w:t xml:space="preserve">mg/kg in </w:t>
      </w:r>
      <w:r w:rsidR="003A32A4" w:rsidRPr="006A2BF9">
        <w:rPr>
          <w:lang w:val="it-IT"/>
        </w:rPr>
        <w:t xml:space="preserve">associazione </w:t>
      </w:r>
      <w:r w:rsidR="008518B3" w:rsidRPr="006A2BF9">
        <w:rPr>
          <w:lang w:val="it-IT"/>
        </w:rPr>
        <w:t xml:space="preserve">a </w:t>
      </w:r>
      <w:r w:rsidRPr="006A2BF9">
        <w:rPr>
          <w:lang w:val="it-IT"/>
        </w:rPr>
        <w:t>capecitabina</w:t>
      </w:r>
      <w:r w:rsidR="00390824" w:rsidRPr="006A2BF9">
        <w:rPr>
          <w:lang w:val="it-IT"/>
        </w:rPr>
        <w:t xml:space="preserve"> orale e oxaliplatino </w:t>
      </w:r>
      <w:r w:rsidR="0017104B">
        <w:rPr>
          <w:lang w:val="it-IT"/>
        </w:rPr>
        <w:t>per via endovenosa</w:t>
      </w:r>
      <w:r w:rsidRPr="006A2BF9">
        <w:rPr>
          <w:lang w:val="it-IT"/>
        </w:rPr>
        <w:t xml:space="preserve"> (XELOX)</w:t>
      </w:r>
      <w:r w:rsidR="00390824" w:rsidRPr="006A2BF9">
        <w:rPr>
          <w:lang w:val="it-IT"/>
        </w:rPr>
        <w:t>,</w:t>
      </w:r>
      <w:r w:rsidRPr="006A2BF9">
        <w:rPr>
          <w:lang w:val="it-IT"/>
        </w:rPr>
        <w:t xml:space="preserve"> somministrati a cicli</w:t>
      </w:r>
      <w:r w:rsidR="00390824" w:rsidRPr="006A2BF9">
        <w:rPr>
          <w:lang w:val="it-IT"/>
        </w:rPr>
        <w:t xml:space="preserve"> di 3</w:t>
      </w:r>
      <w:r w:rsidR="00D37A63" w:rsidRPr="006A2BF9">
        <w:rPr>
          <w:lang w:val="it-IT"/>
        </w:rPr>
        <w:t> </w:t>
      </w:r>
      <w:r w:rsidR="00390824" w:rsidRPr="006A2BF9">
        <w:rPr>
          <w:lang w:val="it-IT"/>
        </w:rPr>
        <w:t xml:space="preserve">settimane, oppure </w:t>
      </w:r>
      <w:r w:rsidR="00D37A63" w:rsidRPr="006A2BF9">
        <w:rPr>
          <w:lang w:val="it-IT"/>
        </w:rPr>
        <w:t>bevacizumab</w:t>
      </w:r>
      <w:r w:rsidR="00D37A63" w:rsidRPr="006A2BF9" w:rsidDel="00FD6236">
        <w:rPr>
          <w:lang w:val="it-IT"/>
        </w:rPr>
        <w:t xml:space="preserve"> </w:t>
      </w:r>
      <w:r w:rsidR="00390824" w:rsidRPr="006A2BF9">
        <w:rPr>
          <w:lang w:val="it-IT"/>
        </w:rPr>
        <w:t>5 </w:t>
      </w:r>
      <w:r w:rsidRPr="006A2BF9">
        <w:rPr>
          <w:lang w:val="it-IT"/>
        </w:rPr>
        <w:t xml:space="preserve">mg/kg in </w:t>
      </w:r>
      <w:r w:rsidR="003A32A4" w:rsidRPr="006A2BF9">
        <w:rPr>
          <w:lang w:val="it-IT"/>
        </w:rPr>
        <w:t xml:space="preserve">associazione </w:t>
      </w:r>
      <w:r w:rsidR="008518B3" w:rsidRPr="006A2BF9">
        <w:rPr>
          <w:lang w:val="it-IT"/>
        </w:rPr>
        <w:t xml:space="preserve">a </w:t>
      </w:r>
      <w:r w:rsidRPr="006A2BF9">
        <w:rPr>
          <w:lang w:val="it-IT"/>
        </w:rPr>
        <w:t>le</w:t>
      </w:r>
      <w:r w:rsidR="00854CA4" w:rsidRPr="006A2BF9">
        <w:rPr>
          <w:lang w:val="it-IT"/>
        </w:rPr>
        <w:t>u</w:t>
      </w:r>
      <w:r w:rsidRPr="006A2BF9">
        <w:rPr>
          <w:lang w:val="it-IT"/>
        </w:rPr>
        <w:t>covorin e 5</w:t>
      </w:r>
      <w:r w:rsidR="00D37A63" w:rsidRPr="006A2BF9">
        <w:rPr>
          <w:lang w:val="it-IT"/>
        </w:rPr>
        <w:noBreakHyphen/>
      </w:r>
      <w:r w:rsidRPr="006A2BF9">
        <w:rPr>
          <w:lang w:val="it-IT"/>
        </w:rPr>
        <w:t>fluorouracile in bolo</w:t>
      </w:r>
      <w:r w:rsidR="00390824" w:rsidRPr="006A2BF9">
        <w:rPr>
          <w:lang w:val="it-IT"/>
        </w:rPr>
        <w:t>,</w:t>
      </w:r>
      <w:r w:rsidRPr="006A2BF9">
        <w:rPr>
          <w:lang w:val="it-IT"/>
        </w:rPr>
        <w:t xml:space="preserve"> seguiti da 5-fluorouracile</w:t>
      </w:r>
      <w:r w:rsidR="00390824" w:rsidRPr="006A2BF9">
        <w:rPr>
          <w:lang w:val="it-IT"/>
        </w:rPr>
        <w:t xml:space="preserve"> </w:t>
      </w:r>
      <w:r w:rsidR="003E4249">
        <w:rPr>
          <w:lang w:val="it-IT"/>
        </w:rPr>
        <w:t xml:space="preserve">per </w:t>
      </w:r>
      <w:r w:rsidR="00390824" w:rsidRPr="006A2BF9">
        <w:rPr>
          <w:lang w:val="it-IT"/>
        </w:rPr>
        <w:t>infusion</w:t>
      </w:r>
      <w:r w:rsidR="003E4249">
        <w:rPr>
          <w:lang w:val="it-IT"/>
        </w:rPr>
        <w:t>e</w:t>
      </w:r>
      <w:r w:rsidR="00390824" w:rsidRPr="006A2BF9">
        <w:rPr>
          <w:lang w:val="it-IT"/>
        </w:rPr>
        <w:t xml:space="preserve">, con oxaliplatino </w:t>
      </w:r>
      <w:r w:rsidR="0017104B">
        <w:rPr>
          <w:lang w:val="it-IT"/>
        </w:rPr>
        <w:t>per via endovenosa</w:t>
      </w:r>
      <w:r w:rsidR="0017104B" w:rsidRPr="006A2BF9" w:rsidDel="0017104B">
        <w:rPr>
          <w:lang w:val="it-IT"/>
        </w:rPr>
        <w:t xml:space="preserve"> </w:t>
      </w:r>
      <w:r w:rsidRPr="006A2BF9">
        <w:rPr>
          <w:lang w:val="it-IT"/>
        </w:rPr>
        <w:t xml:space="preserve">(FOLFOX-4) somministrati a cicli di </w:t>
      </w:r>
      <w:r w:rsidR="00390824" w:rsidRPr="006A2BF9">
        <w:rPr>
          <w:lang w:val="it-IT"/>
        </w:rPr>
        <w:t>2</w:t>
      </w:r>
      <w:r w:rsidR="00D37A63" w:rsidRPr="006A2BF9">
        <w:rPr>
          <w:lang w:val="it-IT"/>
        </w:rPr>
        <w:t> </w:t>
      </w:r>
      <w:r w:rsidRPr="006A2BF9">
        <w:rPr>
          <w:lang w:val="it-IT"/>
        </w:rPr>
        <w:t xml:space="preserve">settimane. Lo studio era composto da due fasi: una parte iniziale in aperto con </w:t>
      </w:r>
      <w:r w:rsidR="004E10AB" w:rsidRPr="006A2BF9">
        <w:rPr>
          <w:lang w:val="it-IT"/>
        </w:rPr>
        <w:t>2</w:t>
      </w:r>
      <w:r w:rsidR="00D37A63" w:rsidRPr="006A2BF9">
        <w:rPr>
          <w:lang w:val="it-IT"/>
        </w:rPr>
        <w:t> </w:t>
      </w:r>
      <w:r w:rsidRPr="006A2BF9">
        <w:rPr>
          <w:lang w:val="it-IT"/>
        </w:rPr>
        <w:t>bracci (parte</w:t>
      </w:r>
      <w:r w:rsidR="00D37A63" w:rsidRPr="006A2BF9">
        <w:rPr>
          <w:lang w:val="it-IT"/>
        </w:rPr>
        <w:t> </w:t>
      </w:r>
      <w:r w:rsidRPr="006A2BF9">
        <w:rPr>
          <w:lang w:val="it-IT"/>
        </w:rPr>
        <w:t xml:space="preserve">I) dove i pazienti erano randomizzati a due </w:t>
      </w:r>
      <w:r w:rsidR="004E10AB" w:rsidRPr="006A2BF9">
        <w:rPr>
          <w:lang w:val="it-IT"/>
        </w:rPr>
        <w:t xml:space="preserve">differenti </w:t>
      </w:r>
      <w:r w:rsidRPr="006A2BF9">
        <w:rPr>
          <w:lang w:val="it-IT"/>
        </w:rPr>
        <w:t xml:space="preserve">gruppi di trattamento (XELOX </w:t>
      </w:r>
      <w:r w:rsidR="004E10AB" w:rsidRPr="006A2BF9">
        <w:rPr>
          <w:lang w:val="it-IT"/>
        </w:rPr>
        <w:t>e</w:t>
      </w:r>
      <w:r w:rsidRPr="006A2BF9">
        <w:rPr>
          <w:lang w:val="it-IT"/>
        </w:rPr>
        <w:t xml:space="preserve"> FOLFOX-4), e una parte successiva con 4</w:t>
      </w:r>
      <w:r w:rsidR="00D37A63" w:rsidRPr="006A2BF9">
        <w:rPr>
          <w:lang w:val="it-IT"/>
        </w:rPr>
        <w:t> </w:t>
      </w:r>
      <w:r w:rsidRPr="006A2BF9">
        <w:rPr>
          <w:lang w:val="it-IT"/>
        </w:rPr>
        <w:t>bracci 2</w:t>
      </w:r>
      <w:r w:rsidR="004E10AB" w:rsidRPr="006A2BF9">
        <w:rPr>
          <w:lang w:val="it-IT"/>
        </w:rPr>
        <w:t> </w:t>
      </w:r>
      <w:r w:rsidRPr="006A2BF9">
        <w:rPr>
          <w:lang w:val="it-IT"/>
        </w:rPr>
        <w:t>x</w:t>
      </w:r>
      <w:r w:rsidR="004E10AB" w:rsidRPr="006A2BF9">
        <w:rPr>
          <w:lang w:val="it-IT"/>
        </w:rPr>
        <w:t> </w:t>
      </w:r>
      <w:r w:rsidRPr="006A2BF9">
        <w:rPr>
          <w:lang w:val="it-IT"/>
        </w:rPr>
        <w:t>2 fattoriale (parte</w:t>
      </w:r>
      <w:r w:rsidR="00C512B3" w:rsidRPr="006A2BF9">
        <w:rPr>
          <w:lang w:val="it-IT"/>
        </w:rPr>
        <w:t> </w:t>
      </w:r>
      <w:r w:rsidRPr="006A2BF9">
        <w:rPr>
          <w:lang w:val="it-IT"/>
        </w:rPr>
        <w:t xml:space="preserve">II) dove i pazienti erano randomizzati a quattro </w:t>
      </w:r>
      <w:r w:rsidR="004E10AB" w:rsidRPr="006A2BF9">
        <w:rPr>
          <w:lang w:val="it-IT"/>
        </w:rPr>
        <w:t>gruppi di trattamento (XELOX + </w:t>
      </w:r>
      <w:r w:rsidRPr="006A2BF9">
        <w:rPr>
          <w:lang w:val="it-IT"/>
        </w:rPr>
        <w:t>placebo, FOLFOX</w:t>
      </w:r>
      <w:r w:rsidRPr="006A2BF9">
        <w:rPr>
          <w:lang w:val="it-IT"/>
        </w:rPr>
        <w:noBreakHyphen/>
        <w:t>4 + placebo, XELOX + </w:t>
      </w:r>
      <w:r w:rsidR="00D37A63" w:rsidRPr="006A2BF9">
        <w:rPr>
          <w:lang w:val="it-IT"/>
        </w:rPr>
        <w:t>bevacizumab</w:t>
      </w:r>
      <w:r w:rsidRPr="006A2BF9">
        <w:rPr>
          <w:lang w:val="it-IT"/>
        </w:rPr>
        <w:t>, FOLFO</w:t>
      </w:r>
      <w:r w:rsidR="004E10AB" w:rsidRPr="006A2BF9">
        <w:rPr>
          <w:lang w:val="it-IT"/>
        </w:rPr>
        <w:t>X</w:t>
      </w:r>
      <w:r w:rsidR="004E10AB" w:rsidRPr="006A2BF9">
        <w:rPr>
          <w:lang w:val="it-IT"/>
        </w:rPr>
        <w:noBreakHyphen/>
        <w:t>4 + </w:t>
      </w:r>
      <w:r w:rsidR="00D37A63" w:rsidRPr="006A2BF9">
        <w:rPr>
          <w:lang w:val="it-IT"/>
        </w:rPr>
        <w:t>bevacizumab</w:t>
      </w:r>
      <w:r w:rsidR="004E10AB" w:rsidRPr="006A2BF9">
        <w:rPr>
          <w:lang w:val="it-IT"/>
        </w:rPr>
        <w:t>). Nella parte</w:t>
      </w:r>
      <w:r w:rsidR="00D37A63" w:rsidRPr="006A2BF9">
        <w:rPr>
          <w:lang w:val="it-IT"/>
        </w:rPr>
        <w:t> </w:t>
      </w:r>
      <w:r w:rsidR="004E10AB" w:rsidRPr="006A2BF9">
        <w:rPr>
          <w:lang w:val="it-IT"/>
        </w:rPr>
        <w:t>II, l’assegnazione del</w:t>
      </w:r>
      <w:r w:rsidRPr="006A2BF9">
        <w:rPr>
          <w:lang w:val="it-IT"/>
        </w:rPr>
        <w:t xml:space="preserve"> trattamento era in </w:t>
      </w:r>
      <w:r w:rsidR="004E10AB" w:rsidRPr="006A2BF9">
        <w:rPr>
          <w:lang w:val="it-IT"/>
        </w:rPr>
        <w:t xml:space="preserve">doppio </w:t>
      </w:r>
      <w:r w:rsidRPr="006A2BF9">
        <w:rPr>
          <w:lang w:val="it-IT"/>
        </w:rPr>
        <w:t xml:space="preserve">cieco relativamente alla somministrazione di </w:t>
      </w:r>
      <w:r w:rsidR="00D37A63" w:rsidRPr="006A2BF9">
        <w:rPr>
          <w:lang w:val="it-IT"/>
        </w:rPr>
        <w:t>bevacizumab</w:t>
      </w:r>
      <w:r w:rsidRPr="006A2BF9">
        <w:rPr>
          <w:lang w:val="it-IT"/>
        </w:rPr>
        <w:t>.</w:t>
      </w:r>
    </w:p>
    <w:p w14:paraId="2562E3BD" w14:textId="77777777" w:rsidR="008D7C25" w:rsidRPr="006A2BF9" w:rsidRDefault="008D7C25" w:rsidP="008D7C25">
      <w:pPr>
        <w:rPr>
          <w:lang w:val="it-IT"/>
        </w:rPr>
      </w:pPr>
    </w:p>
    <w:p w14:paraId="5DC7A0E0" w14:textId="77777777" w:rsidR="008D7C25" w:rsidRPr="006A2BF9" w:rsidRDefault="008D7C25" w:rsidP="008D7C25">
      <w:pPr>
        <w:rPr>
          <w:lang w:val="it-IT"/>
        </w:rPr>
      </w:pPr>
      <w:r w:rsidRPr="006A2BF9">
        <w:rPr>
          <w:lang w:val="it-IT"/>
        </w:rPr>
        <w:t>Circa 350</w:t>
      </w:r>
      <w:r w:rsidR="00D37A63" w:rsidRPr="006A2BF9">
        <w:rPr>
          <w:lang w:val="it-IT"/>
        </w:rPr>
        <w:t> </w:t>
      </w:r>
      <w:r w:rsidRPr="006A2BF9">
        <w:rPr>
          <w:lang w:val="it-IT"/>
        </w:rPr>
        <w:t>pazienti sono stati randomizzati in ciascuno dei 4</w:t>
      </w:r>
      <w:r w:rsidR="00D37A63" w:rsidRPr="006A2BF9">
        <w:rPr>
          <w:lang w:val="it-IT"/>
        </w:rPr>
        <w:t> </w:t>
      </w:r>
      <w:r w:rsidRPr="006A2BF9">
        <w:rPr>
          <w:lang w:val="it-IT"/>
        </w:rPr>
        <w:t>bracci di studio nella parte</w:t>
      </w:r>
      <w:r w:rsidR="00D37A63" w:rsidRPr="006A2BF9">
        <w:rPr>
          <w:lang w:val="it-IT"/>
        </w:rPr>
        <w:t> </w:t>
      </w:r>
      <w:r w:rsidRPr="006A2BF9">
        <w:rPr>
          <w:lang w:val="it-IT"/>
        </w:rPr>
        <w:t>II dello studio.</w:t>
      </w:r>
    </w:p>
    <w:p w14:paraId="4E739BB3" w14:textId="77777777" w:rsidR="008D7C25" w:rsidRPr="006A2BF9" w:rsidRDefault="008D7C25" w:rsidP="008D7C25">
      <w:pPr>
        <w:rPr>
          <w:lang w:val="it-IT"/>
        </w:rPr>
      </w:pPr>
    </w:p>
    <w:p w14:paraId="4428F233" w14:textId="77777777" w:rsidR="008D7C25" w:rsidRPr="006A2BF9" w:rsidRDefault="008D7C25" w:rsidP="001B5FB1">
      <w:pPr>
        <w:keepNext/>
        <w:keepLines/>
        <w:ind w:left="1276" w:hanging="1276"/>
        <w:rPr>
          <w:b/>
          <w:lang w:val="it-IT"/>
        </w:rPr>
      </w:pPr>
      <w:r w:rsidRPr="006A2BF9">
        <w:rPr>
          <w:b/>
          <w:lang w:val="it-IT"/>
        </w:rPr>
        <w:lastRenderedPageBreak/>
        <w:t>Tabella</w:t>
      </w:r>
      <w:r w:rsidR="00163336" w:rsidRPr="006A2BF9">
        <w:rPr>
          <w:b/>
          <w:lang w:val="it-IT"/>
        </w:rPr>
        <w:t> </w:t>
      </w:r>
      <w:r w:rsidR="00D966E3" w:rsidRPr="006A2BF9">
        <w:rPr>
          <w:b/>
          <w:lang w:val="it-IT"/>
        </w:rPr>
        <w:t>6</w:t>
      </w:r>
      <w:r w:rsidRPr="006A2BF9">
        <w:rPr>
          <w:b/>
          <w:lang w:val="it-IT"/>
        </w:rPr>
        <w:t xml:space="preserve"> </w:t>
      </w:r>
      <w:r w:rsidR="00A5607A" w:rsidRPr="006A2BF9">
        <w:rPr>
          <w:b/>
          <w:lang w:val="it-IT"/>
        </w:rPr>
        <w:tab/>
      </w:r>
      <w:r w:rsidR="00496F3E" w:rsidRPr="006A2BF9">
        <w:rPr>
          <w:b/>
          <w:lang w:val="it-IT"/>
        </w:rPr>
        <w:t>R</w:t>
      </w:r>
      <w:r w:rsidRPr="006A2BF9">
        <w:rPr>
          <w:b/>
          <w:lang w:val="it-IT"/>
        </w:rPr>
        <w:t>egimi di tratta</w:t>
      </w:r>
      <w:r w:rsidR="004E10AB" w:rsidRPr="006A2BF9">
        <w:rPr>
          <w:b/>
          <w:lang w:val="it-IT"/>
        </w:rPr>
        <w:t>mento nello studio NO16966 (</w:t>
      </w:r>
      <w:r w:rsidR="009E0073" w:rsidRPr="006A2BF9">
        <w:rPr>
          <w:b/>
          <w:lang w:val="it-IT"/>
        </w:rPr>
        <w:t>mCRC</w:t>
      </w:r>
      <w:r w:rsidRPr="006A2BF9">
        <w:rPr>
          <w:b/>
          <w:lang w:val="it-IT"/>
        </w:rPr>
        <w:t>)</w:t>
      </w:r>
    </w:p>
    <w:tbl>
      <w:tblPr>
        <w:tblW w:w="5000" w:type="pct"/>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2162"/>
        <w:gridCol w:w="1628"/>
        <w:gridCol w:w="1979"/>
        <w:gridCol w:w="3282"/>
      </w:tblGrid>
      <w:tr w:rsidR="008D7C25" w:rsidRPr="006A2BF9" w14:paraId="23A07299" w14:textId="77777777" w:rsidTr="002C7DCE">
        <w:trPr>
          <w:jc w:val="center"/>
        </w:trPr>
        <w:tc>
          <w:tcPr>
            <w:tcW w:w="808" w:type="pct"/>
            <w:tcBorders>
              <w:top w:val="single" w:sz="8" w:space="0" w:color="auto"/>
              <w:bottom w:val="single" w:sz="8" w:space="0" w:color="auto"/>
              <w:right w:val="single" w:sz="8" w:space="0" w:color="auto"/>
            </w:tcBorders>
            <w:vAlign w:val="bottom"/>
          </w:tcPr>
          <w:p w14:paraId="71E07600" w14:textId="77777777" w:rsidR="008D7C25" w:rsidRPr="006A2BF9" w:rsidRDefault="008D7C25" w:rsidP="00185751">
            <w:pPr>
              <w:pStyle w:val="TableCellCenter"/>
              <w:rPr>
                <w:b/>
                <w:lang w:val="it-IT"/>
              </w:rPr>
            </w:pPr>
          </w:p>
        </w:tc>
        <w:tc>
          <w:tcPr>
            <w:tcW w:w="1028" w:type="pct"/>
            <w:tcBorders>
              <w:top w:val="single" w:sz="8" w:space="0" w:color="auto"/>
              <w:left w:val="single" w:sz="8" w:space="0" w:color="auto"/>
              <w:bottom w:val="single" w:sz="8" w:space="0" w:color="auto"/>
              <w:right w:val="single" w:sz="8" w:space="0" w:color="auto"/>
            </w:tcBorders>
            <w:vAlign w:val="bottom"/>
          </w:tcPr>
          <w:p w14:paraId="4B1BD848" w14:textId="77777777" w:rsidR="008D7C25" w:rsidRPr="006A2BF9" w:rsidRDefault="004E10AB" w:rsidP="00185751">
            <w:pPr>
              <w:pStyle w:val="TableCellCenter"/>
              <w:rPr>
                <w:b/>
                <w:lang w:val="it-IT"/>
              </w:rPr>
            </w:pPr>
            <w:r w:rsidRPr="006A2BF9">
              <w:rPr>
                <w:b/>
                <w:lang w:val="it-IT"/>
              </w:rPr>
              <w:t>Trattamento</w:t>
            </w:r>
          </w:p>
        </w:tc>
        <w:tc>
          <w:tcPr>
            <w:tcW w:w="1222" w:type="pct"/>
            <w:tcBorders>
              <w:top w:val="single" w:sz="8" w:space="0" w:color="auto"/>
              <w:left w:val="single" w:sz="8" w:space="0" w:color="auto"/>
              <w:bottom w:val="single" w:sz="8" w:space="0" w:color="auto"/>
              <w:right w:val="single" w:sz="8" w:space="0" w:color="auto"/>
            </w:tcBorders>
            <w:vAlign w:val="bottom"/>
          </w:tcPr>
          <w:p w14:paraId="06452CC8" w14:textId="77777777" w:rsidR="008D7C25" w:rsidRPr="006A2BF9" w:rsidRDefault="004E10AB" w:rsidP="00185751">
            <w:pPr>
              <w:pStyle w:val="TableCellCenter"/>
              <w:rPr>
                <w:b/>
                <w:lang w:val="it-IT"/>
              </w:rPr>
            </w:pPr>
            <w:r w:rsidRPr="006A2BF9">
              <w:rPr>
                <w:b/>
                <w:lang w:val="it-IT"/>
              </w:rPr>
              <w:t>Dose iniziale</w:t>
            </w:r>
          </w:p>
        </w:tc>
        <w:tc>
          <w:tcPr>
            <w:tcW w:w="1943" w:type="pct"/>
            <w:tcBorders>
              <w:top w:val="single" w:sz="8" w:space="0" w:color="auto"/>
              <w:left w:val="single" w:sz="8" w:space="0" w:color="auto"/>
              <w:bottom w:val="single" w:sz="8" w:space="0" w:color="auto"/>
            </w:tcBorders>
            <w:vAlign w:val="bottom"/>
          </w:tcPr>
          <w:p w14:paraId="26D3BA57" w14:textId="77777777" w:rsidR="008D7C25" w:rsidRPr="006A2BF9" w:rsidRDefault="004E10AB" w:rsidP="00185751">
            <w:pPr>
              <w:pStyle w:val="TableCellCenter"/>
              <w:rPr>
                <w:b/>
                <w:lang w:val="it-IT"/>
              </w:rPr>
            </w:pPr>
            <w:r w:rsidRPr="006A2BF9">
              <w:rPr>
                <w:b/>
                <w:lang w:val="it-IT"/>
              </w:rPr>
              <w:t>Programmazione</w:t>
            </w:r>
          </w:p>
        </w:tc>
      </w:tr>
      <w:tr w:rsidR="008D7C25" w:rsidRPr="006A2BF9" w14:paraId="09F90347" w14:textId="77777777" w:rsidTr="002C7DCE">
        <w:trPr>
          <w:cantSplit/>
          <w:jc w:val="center"/>
        </w:trPr>
        <w:tc>
          <w:tcPr>
            <w:tcW w:w="808" w:type="pct"/>
            <w:vMerge w:val="restart"/>
            <w:tcBorders>
              <w:top w:val="single" w:sz="8" w:space="0" w:color="auto"/>
              <w:bottom w:val="single" w:sz="8" w:space="0" w:color="auto"/>
              <w:right w:val="single" w:sz="8" w:space="0" w:color="auto"/>
            </w:tcBorders>
          </w:tcPr>
          <w:p w14:paraId="5D592D00" w14:textId="77777777" w:rsidR="008D7C25" w:rsidRPr="006A2BF9" w:rsidRDefault="008D7C25" w:rsidP="00185751">
            <w:pPr>
              <w:pStyle w:val="TableCellCenter"/>
              <w:rPr>
                <w:lang w:val="it-IT"/>
              </w:rPr>
            </w:pPr>
            <w:r w:rsidRPr="006A2BF9">
              <w:rPr>
                <w:lang w:val="it-IT"/>
              </w:rPr>
              <w:t xml:space="preserve">FOLFOX-4 </w:t>
            </w:r>
          </w:p>
          <w:p w14:paraId="41203589" w14:textId="77777777" w:rsidR="008D7C25" w:rsidRPr="006A2BF9" w:rsidRDefault="004E10AB" w:rsidP="00185751">
            <w:pPr>
              <w:pStyle w:val="TableCellCenter"/>
              <w:rPr>
                <w:lang w:val="it-IT"/>
              </w:rPr>
            </w:pPr>
            <w:r w:rsidRPr="006A2BF9">
              <w:rPr>
                <w:lang w:val="it-IT"/>
              </w:rPr>
              <w:t>o</w:t>
            </w:r>
          </w:p>
          <w:p w14:paraId="0BB2AF20" w14:textId="77777777" w:rsidR="008D7C25" w:rsidRPr="006A2BF9" w:rsidRDefault="008D7C25" w:rsidP="00185751">
            <w:pPr>
              <w:pStyle w:val="TableCellCenter"/>
              <w:rPr>
                <w:lang w:val="it-IT"/>
              </w:rPr>
            </w:pPr>
            <w:r w:rsidRPr="006A2BF9">
              <w:rPr>
                <w:lang w:val="it-IT"/>
              </w:rPr>
              <w:t>FOLFOX-4</w:t>
            </w:r>
            <w:r w:rsidR="0012374C" w:rsidRPr="006A2BF9">
              <w:rPr>
                <w:lang w:val="it-IT"/>
              </w:rPr>
              <w:t> </w:t>
            </w:r>
            <w:r w:rsidRPr="006A2BF9">
              <w:rPr>
                <w:lang w:val="it-IT"/>
              </w:rPr>
              <w:t>+</w:t>
            </w:r>
            <w:r w:rsidR="0012374C" w:rsidRPr="006A2BF9">
              <w:rPr>
                <w:lang w:val="it-IT"/>
              </w:rPr>
              <w:t> </w:t>
            </w:r>
            <w:r w:rsidR="00B94CA8" w:rsidRPr="006A2BF9">
              <w:rPr>
                <w:lang w:val="it-IT"/>
              </w:rPr>
              <w:t>bevacizumab</w:t>
            </w:r>
          </w:p>
        </w:tc>
        <w:tc>
          <w:tcPr>
            <w:tcW w:w="1028" w:type="pct"/>
            <w:tcBorders>
              <w:top w:val="single" w:sz="8" w:space="0" w:color="auto"/>
              <w:left w:val="single" w:sz="8" w:space="0" w:color="auto"/>
              <w:bottom w:val="nil"/>
              <w:right w:val="single" w:sz="8" w:space="0" w:color="auto"/>
            </w:tcBorders>
          </w:tcPr>
          <w:p w14:paraId="60F516BF" w14:textId="77777777" w:rsidR="008D7C25" w:rsidRPr="006A2BF9" w:rsidRDefault="008D7C25" w:rsidP="00185751">
            <w:pPr>
              <w:pStyle w:val="TableCellLeft"/>
              <w:rPr>
                <w:lang w:val="it-IT"/>
              </w:rPr>
            </w:pPr>
            <w:r w:rsidRPr="006A2BF9">
              <w:rPr>
                <w:lang w:val="it-IT"/>
              </w:rPr>
              <w:t>Oxaliplatino</w:t>
            </w:r>
          </w:p>
        </w:tc>
        <w:tc>
          <w:tcPr>
            <w:tcW w:w="1222" w:type="pct"/>
            <w:tcBorders>
              <w:top w:val="single" w:sz="8" w:space="0" w:color="auto"/>
              <w:left w:val="single" w:sz="8" w:space="0" w:color="auto"/>
              <w:bottom w:val="nil"/>
              <w:right w:val="single" w:sz="8" w:space="0" w:color="auto"/>
            </w:tcBorders>
          </w:tcPr>
          <w:p w14:paraId="3576791A" w14:textId="77777777" w:rsidR="008D7C25" w:rsidRPr="006A2BF9" w:rsidRDefault="004E10AB" w:rsidP="00185751">
            <w:pPr>
              <w:pStyle w:val="TableCellLeft"/>
              <w:rPr>
                <w:lang w:val="it-IT"/>
              </w:rPr>
            </w:pPr>
            <w:r w:rsidRPr="006A2BF9">
              <w:rPr>
                <w:lang w:val="it-IT"/>
              </w:rPr>
              <w:t>85 </w:t>
            </w:r>
            <w:r w:rsidR="008D7C25" w:rsidRPr="006A2BF9">
              <w:rPr>
                <w:lang w:val="it-IT"/>
              </w:rPr>
              <w:t>mg/m</w:t>
            </w:r>
            <w:r w:rsidR="008D7C25" w:rsidRPr="006A2BF9">
              <w:rPr>
                <w:vertAlign w:val="superscript"/>
                <w:lang w:val="it-IT"/>
              </w:rPr>
              <w:t>2</w:t>
            </w:r>
            <w:r w:rsidRPr="006A2BF9">
              <w:rPr>
                <w:lang w:val="it-IT"/>
              </w:rPr>
              <w:t xml:space="preserve"> </w:t>
            </w:r>
            <w:r w:rsidR="0017104B">
              <w:rPr>
                <w:lang w:val="it-IT"/>
              </w:rPr>
              <w:t xml:space="preserve">per via endovenosa </w:t>
            </w:r>
            <w:r w:rsidR="008D7C25" w:rsidRPr="006A2BF9">
              <w:rPr>
                <w:lang w:val="it-IT"/>
              </w:rPr>
              <w:t>2</w:t>
            </w:r>
            <w:r w:rsidR="0017104B">
              <w:rPr>
                <w:lang w:val="it-IT"/>
              </w:rPr>
              <w:t> </w:t>
            </w:r>
            <w:r w:rsidR="008D7C25" w:rsidRPr="006A2BF9">
              <w:rPr>
                <w:lang w:val="it-IT"/>
              </w:rPr>
              <w:t>h</w:t>
            </w:r>
          </w:p>
        </w:tc>
        <w:tc>
          <w:tcPr>
            <w:tcW w:w="1943" w:type="pct"/>
            <w:vMerge w:val="restart"/>
            <w:tcBorders>
              <w:top w:val="single" w:sz="8" w:space="0" w:color="auto"/>
              <w:left w:val="single" w:sz="8" w:space="0" w:color="auto"/>
            </w:tcBorders>
          </w:tcPr>
          <w:p w14:paraId="1D109A83" w14:textId="77777777" w:rsidR="008D7C25" w:rsidRPr="006A2BF9" w:rsidRDefault="008D7C25" w:rsidP="00185751">
            <w:pPr>
              <w:pStyle w:val="TableCellLeft"/>
              <w:rPr>
                <w:lang w:val="it-IT"/>
              </w:rPr>
            </w:pPr>
            <w:r w:rsidRPr="006A2BF9">
              <w:rPr>
                <w:lang w:val="it-IT"/>
              </w:rPr>
              <w:t xml:space="preserve">Oxaliplatino </w:t>
            </w:r>
            <w:r w:rsidR="004E10AB" w:rsidRPr="006A2BF9">
              <w:rPr>
                <w:lang w:val="it-IT"/>
              </w:rPr>
              <w:t xml:space="preserve">al </w:t>
            </w:r>
            <w:r w:rsidRPr="006A2BF9">
              <w:rPr>
                <w:lang w:val="it-IT"/>
              </w:rPr>
              <w:t>giorno</w:t>
            </w:r>
            <w:r w:rsidR="0012374C" w:rsidRPr="006A2BF9">
              <w:rPr>
                <w:lang w:val="it-IT"/>
              </w:rPr>
              <w:t> </w:t>
            </w:r>
            <w:r w:rsidRPr="006A2BF9">
              <w:rPr>
                <w:lang w:val="it-IT"/>
              </w:rPr>
              <w:t>1</w:t>
            </w:r>
          </w:p>
          <w:p w14:paraId="210452AF" w14:textId="77777777" w:rsidR="008D7C25" w:rsidRPr="006A2BF9" w:rsidRDefault="008D7C25" w:rsidP="00185751">
            <w:pPr>
              <w:pStyle w:val="TableCellLeft"/>
              <w:rPr>
                <w:lang w:val="it-IT"/>
              </w:rPr>
            </w:pPr>
            <w:r w:rsidRPr="006A2BF9">
              <w:rPr>
                <w:lang w:val="it-IT"/>
              </w:rPr>
              <w:t xml:space="preserve">Leucovorin </w:t>
            </w:r>
            <w:r w:rsidR="004E10AB" w:rsidRPr="006A2BF9">
              <w:rPr>
                <w:lang w:val="it-IT"/>
              </w:rPr>
              <w:t xml:space="preserve">al </w:t>
            </w:r>
            <w:r w:rsidRPr="006A2BF9">
              <w:rPr>
                <w:lang w:val="it-IT"/>
              </w:rPr>
              <w:t>giorno</w:t>
            </w:r>
            <w:r w:rsidR="0012374C" w:rsidRPr="006A2BF9">
              <w:rPr>
                <w:lang w:val="it-IT"/>
              </w:rPr>
              <w:t> </w:t>
            </w:r>
            <w:r w:rsidRPr="006A2BF9">
              <w:rPr>
                <w:lang w:val="it-IT"/>
              </w:rPr>
              <w:t>1 e</w:t>
            </w:r>
            <w:r w:rsidR="0012374C" w:rsidRPr="006A2BF9">
              <w:rPr>
                <w:lang w:val="it-IT"/>
              </w:rPr>
              <w:t> </w:t>
            </w:r>
            <w:r w:rsidRPr="006A2BF9">
              <w:rPr>
                <w:lang w:val="it-IT"/>
              </w:rPr>
              <w:t>2</w:t>
            </w:r>
          </w:p>
          <w:p w14:paraId="3DE4B4CD" w14:textId="77777777" w:rsidR="008D7C25" w:rsidRPr="006A2BF9" w:rsidRDefault="008D7C25" w:rsidP="0025736A">
            <w:pPr>
              <w:pStyle w:val="TableCellLeft"/>
              <w:rPr>
                <w:lang w:val="it-IT"/>
              </w:rPr>
            </w:pPr>
            <w:r w:rsidRPr="006A2BF9">
              <w:rPr>
                <w:lang w:val="it-IT"/>
              </w:rPr>
              <w:t xml:space="preserve">5-fluorouracile </w:t>
            </w:r>
            <w:r w:rsidR="00B656CC">
              <w:rPr>
                <w:lang w:val="it-IT"/>
              </w:rPr>
              <w:t xml:space="preserve">in </w:t>
            </w:r>
            <w:r w:rsidRPr="006A2BF9">
              <w:rPr>
                <w:lang w:val="it-IT"/>
              </w:rPr>
              <w:t>bolo</w:t>
            </w:r>
            <w:r w:rsidR="0025736A" w:rsidRPr="006A2BF9">
              <w:rPr>
                <w:lang w:val="it-IT"/>
              </w:rPr>
              <w:t xml:space="preserve"> e</w:t>
            </w:r>
            <w:r w:rsidR="00831F5D" w:rsidRPr="006A2BF9">
              <w:rPr>
                <w:lang w:val="it-IT"/>
              </w:rPr>
              <w:t xml:space="preserve"> </w:t>
            </w:r>
            <w:r w:rsidRPr="006A2BF9">
              <w:rPr>
                <w:lang w:val="it-IT"/>
              </w:rPr>
              <w:t>infusione</w:t>
            </w:r>
            <w:r w:rsidR="00B656CC">
              <w:rPr>
                <w:lang w:val="it-IT"/>
              </w:rPr>
              <w:t xml:space="preserve"> </w:t>
            </w:r>
            <w:r w:rsidR="00B656CC" w:rsidRPr="00B656CC">
              <w:rPr>
                <w:lang w:val="it-IT"/>
              </w:rPr>
              <w:t>endovenosa</w:t>
            </w:r>
            <w:r w:rsidRPr="006A2BF9">
              <w:rPr>
                <w:lang w:val="it-IT"/>
              </w:rPr>
              <w:t xml:space="preserve">, </w:t>
            </w:r>
            <w:r w:rsidR="0025736A" w:rsidRPr="006A2BF9">
              <w:rPr>
                <w:lang w:val="it-IT"/>
              </w:rPr>
              <w:t xml:space="preserve">al </w:t>
            </w:r>
            <w:r w:rsidRPr="006A2BF9">
              <w:rPr>
                <w:lang w:val="it-IT"/>
              </w:rPr>
              <w:t>giorno</w:t>
            </w:r>
            <w:r w:rsidR="0012374C" w:rsidRPr="006A2BF9">
              <w:rPr>
                <w:lang w:val="it-IT"/>
              </w:rPr>
              <w:t> </w:t>
            </w:r>
            <w:r w:rsidRPr="006A2BF9">
              <w:rPr>
                <w:lang w:val="it-IT"/>
              </w:rPr>
              <w:t>1 e</w:t>
            </w:r>
            <w:r w:rsidR="0012374C" w:rsidRPr="006A2BF9">
              <w:rPr>
                <w:lang w:val="it-IT"/>
              </w:rPr>
              <w:t> </w:t>
            </w:r>
            <w:r w:rsidRPr="006A2BF9">
              <w:rPr>
                <w:lang w:val="it-IT"/>
              </w:rPr>
              <w:t xml:space="preserve">2 </w:t>
            </w:r>
          </w:p>
        </w:tc>
      </w:tr>
      <w:tr w:rsidR="008D7C25" w:rsidRPr="006A2BF9" w14:paraId="1535F3E2" w14:textId="77777777" w:rsidTr="002C7DCE">
        <w:trPr>
          <w:cantSplit/>
          <w:jc w:val="center"/>
        </w:trPr>
        <w:tc>
          <w:tcPr>
            <w:tcW w:w="808" w:type="pct"/>
            <w:vMerge/>
            <w:tcBorders>
              <w:top w:val="nil"/>
              <w:bottom w:val="single" w:sz="8" w:space="0" w:color="auto"/>
              <w:right w:val="single" w:sz="8" w:space="0" w:color="auto"/>
            </w:tcBorders>
          </w:tcPr>
          <w:p w14:paraId="30FF765D" w14:textId="77777777" w:rsidR="008D7C25" w:rsidRPr="006A2BF9" w:rsidRDefault="008D7C25" w:rsidP="00185751">
            <w:pPr>
              <w:pStyle w:val="TableCellCenter"/>
              <w:rPr>
                <w:lang w:val="it-IT"/>
              </w:rPr>
            </w:pPr>
          </w:p>
        </w:tc>
        <w:tc>
          <w:tcPr>
            <w:tcW w:w="1028" w:type="pct"/>
            <w:tcBorders>
              <w:top w:val="nil"/>
              <w:left w:val="single" w:sz="8" w:space="0" w:color="auto"/>
              <w:bottom w:val="nil"/>
              <w:right w:val="single" w:sz="8" w:space="0" w:color="auto"/>
            </w:tcBorders>
          </w:tcPr>
          <w:p w14:paraId="536C90C5" w14:textId="77777777" w:rsidR="008D7C25" w:rsidRPr="006A2BF9" w:rsidRDefault="008D7C25" w:rsidP="00185751">
            <w:pPr>
              <w:pStyle w:val="TableCellLeft"/>
              <w:rPr>
                <w:lang w:val="it-IT"/>
              </w:rPr>
            </w:pPr>
            <w:r w:rsidRPr="006A2BF9">
              <w:rPr>
                <w:lang w:val="it-IT"/>
              </w:rPr>
              <w:t>Leucovorin</w:t>
            </w:r>
          </w:p>
        </w:tc>
        <w:tc>
          <w:tcPr>
            <w:tcW w:w="1222" w:type="pct"/>
            <w:tcBorders>
              <w:top w:val="nil"/>
              <w:left w:val="single" w:sz="8" w:space="0" w:color="auto"/>
              <w:bottom w:val="nil"/>
              <w:right w:val="single" w:sz="8" w:space="0" w:color="auto"/>
            </w:tcBorders>
          </w:tcPr>
          <w:p w14:paraId="06FABE3F" w14:textId="77777777" w:rsidR="008D7C25" w:rsidRPr="006A2BF9" w:rsidRDefault="004E10AB" w:rsidP="00185751">
            <w:pPr>
              <w:pStyle w:val="TableCellLeft"/>
              <w:rPr>
                <w:lang w:val="it-IT"/>
              </w:rPr>
            </w:pPr>
            <w:r w:rsidRPr="006A2BF9">
              <w:rPr>
                <w:lang w:val="it-IT"/>
              </w:rPr>
              <w:t>200 </w:t>
            </w:r>
            <w:r w:rsidR="008D7C25" w:rsidRPr="006A2BF9">
              <w:rPr>
                <w:lang w:val="it-IT"/>
              </w:rPr>
              <w:t>mg/m</w:t>
            </w:r>
            <w:r w:rsidR="008D7C25" w:rsidRPr="006A2BF9">
              <w:rPr>
                <w:vertAlign w:val="superscript"/>
                <w:lang w:val="it-IT"/>
              </w:rPr>
              <w:t>2</w:t>
            </w:r>
            <w:r w:rsidRPr="006A2BF9">
              <w:rPr>
                <w:lang w:val="it-IT"/>
              </w:rPr>
              <w:t xml:space="preserve"> </w:t>
            </w:r>
            <w:r w:rsidR="0017104B">
              <w:rPr>
                <w:lang w:val="it-IT"/>
              </w:rPr>
              <w:t xml:space="preserve">per via endovenosa </w:t>
            </w:r>
            <w:r w:rsidR="008D7C25" w:rsidRPr="006A2BF9">
              <w:rPr>
                <w:lang w:val="it-IT"/>
              </w:rPr>
              <w:t>2</w:t>
            </w:r>
            <w:r w:rsidR="0017104B">
              <w:rPr>
                <w:lang w:val="it-IT"/>
              </w:rPr>
              <w:t> </w:t>
            </w:r>
            <w:r w:rsidR="008D7C25" w:rsidRPr="006A2BF9">
              <w:rPr>
                <w:lang w:val="it-IT"/>
              </w:rPr>
              <w:t>h</w:t>
            </w:r>
          </w:p>
        </w:tc>
        <w:tc>
          <w:tcPr>
            <w:tcW w:w="1943" w:type="pct"/>
            <w:vMerge/>
            <w:tcBorders>
              <w:left w:val="single" w:sz="8" w:space="0" w:color="auto"/>
            </w:tcBorders>
          </w:tcPr>
          <w:p w14:paraId="5C6120D8" w14:textId="77777777" w:rsidR="008D7C25" w:rsidRPr="006A2BF9" w:rsidRDefault="008D7C25" w:rsidP="00185751">
            <w:pPr>
              <w:pStyle w:val="TableCellLeft"/>
              <w:rPr>
                <w:lang w:val="it-IT"/>
              </w:rPr>
            </w:pPr>
          </w:p>
        </w:tc>
      </w:tr>
      <w:tr w:rsidR="008D7C25" w:rsidRPr="006A2BF9" w14:paraId="32C167B6" w14:textId="77777777" w:rsidTr="002C7DCE">
        <w:trPr>
          <w:cantSplit/>
          <w:jc w:val="center"/>
        </w:trPr>
        <w:tc>
          <w:tcPr>
            <w:tcW w:w="808" w:type="pct"/>
            <w:vMerge/>
            <w:tcBorders>
              <w:top w:val="nil"/>
              <w:bottom w:val="single" w:sz="8" w:space="0" w:color="auto"/>
              <w:right w:val="single" w:sz="8" w:space="0" w:color="auto"/>
            </w:tcBorders>
          </w:tcPr>
          <w:p w14:paraId="51D9F0C7" w14:textId="77777777" w:rsidR="008D7C25" w:rsidRPr="006A2BF9" w:rsidRDefault="008D7C25" w:rsidP="00185751">
            <w:pPr>
              <w:pStyle w:val="TableCellCenter"/>
              <w:rPr>
                <w:lang w:val="it-IT"/>
              </w:rPr>
            </w:pPr>
          </w:p>
        </w:tc>
        <w:tc>
          <w:tcPr>
            <w:tcW w:w="1028" w:type="pct"/>
            <w:tcBorders>
              <w:top w:val="nil"/>
              <w:left w:val="single" w:sz="8" w:space="0" w:color="auto"/>
              <w:bottom w:val="single" w:sz="8" w:space="0" w:color="auto"/>
              <w:right w:val="single" w:sz="8" w:space="0" w:color="auto"/>
            </w:tcBorders>
          </w:tcPr>
          <w:p w14:paraId="30F6EDAB" w14:textId="77777777" w:rsidR="008D7C25" w:rsidRPr="006A2BF9" w:rsidRDefault="008D7C25" w:rsidP="00185751">
            <w:pPr>
              <w:pStyle w:val="TableCellLeft"/>
              <w:rPr>
                <w:lang w:val="it-IT"/>
              </w:rPr>
            </w:pPr>
            <w:r w:rsidRPr="006A2BF9">
              <w:rPr>
                <w:lang w:val="it-IT"/>
              </w:rPr>
              <w:t>5-Fluorouracile</w:t>
            </w:r>
          </w:p>
        </w:tc>
        <w:tc>
          <w:tcPr>
            <w:tcW w:w="1222" w:type="pct"/>
            <w:tcBorders>
              <w:top w:val="nil"/>
              <w:left w:val="single" w:sz="8" w:space="0" w:color="auto"/>
              <w:bottom w:val="single" w:sz="8" w:space="0" w:color="auto"/>
              <w:right w:val="single" w:sz="8" w:space="0" w:color="auto"/>
            </w:tcBorders>
          </w:tcPr>
          <w:p w14:paraId="0C0877C4" w14:textId="77777777" w:rsidR="008D7C25" w:rsidRPr="006A2BF9" w:rsidRDefault="004E10AB" w:rsidP="00185751">
            <w:pPr>
              <w:pStyle w:val="TableCellLeft"/>
              <w:rPr>
                <w:lang w:val="it-IT"/>
              </w:rPr>
            </w:pPr>
            <w:r w:rsidRPr="006A2BF9">
              <w:rPr>
                <w:lang w:val="it-IT"/>
              </w:rPr>
              <w:t>400 </w:t>
            </w:r>
            <w:r w:rsidR="008D7C25" w:rsidRPr="006A2BF9">
              <w:rPr>
                <w:lang w:val="it-IT"/>
              </w:rPr>
              <w:t>mg/m</w:t>
            </w:r>
            <w:r w:rsidR="008D7C25" w:rsidRPr="006A2BF9">
              <w:rPr>
                <w:vertAlign w:val="superscript"/>
                <w:lang w:val="it-IT"/>
              </w:rPr>
              <w:t>2</w:t>
            </w:r>
            <w:r w:rsidRPr="006A2BF9">
              <w:rPr>
                <w:lang w:val="it-IT"/>
              </w:rPr>
              <w:t xml:space="preserve"> </w:t>
            </w:r>
            <w:r w:rsidR="00B656CC" w:rsidRPr="00B656CC">
              <w:rPr>
                <w:lang w:val="it-IT"/>
              </w:rPr>
              <w:t>in bolo endovenoso</w:t>
            </w:r>
            <w:r w:rsidRPr="006A2BF9">
              <w:rPr>
                <w:lang w:val="it-IT"/>
              </w:rPr>
              <w:t>, 600 </w:t>
            </w:r>
            <w:r w:rsidR="008D7C25" w:rsidRPr="006A2BF9">
              <w:rPr>
                <w:lang w:val="it-IT"/>
              </w:rPr>
              <w:t>mg/m</w:t>
            </w:r>
            <w:r w:rsidR="008D7C25" w:rsidRPr="006A2BF9">
              <w:rPr>
                <w:vertAlign w:val="superscript"/>
                <w:lang w:val="it-IT"/>
              </w:rPr>
              <w:t>2</w:t>
            </w:r>
            <w:r w:rsidRPr="006A2BF9">
              <w:rPr>
                <w:lang w:val="it-IT"/>
              </w:rPr>
              <w:t xml:space="preserve"> </w:t>
            </w:r>
            <w:r w:rsidR="0017104B">
              <w:rPr>
                <w:lang w:val="it-IT"/>
              </w:rPr>
              <w:t xml:space="preserve">per via endovenosa </w:t>
            </w:r>
            <w:r w:rsidR="008D7C25" w:rsidRPr="006A2BF9">
              <w:rPr>
                <w:lang w:val="it-IT"/>
              </w:rPr>
              <w:t>22</w:t>
            </w:r>
            <w:r w:rsidR="0017104B">
              <w:rPr>
                <w:lang w:val="it-IT"/>
              </w:rPr>
              <w:t> </w:t>
            </w:r>
            <w:r w:rsidR="008D7C25" w:rsidRPr="006A2BF9">
              <w:rPr>
                <w:lang w:val="it-IT"/>
              </w:rPr>
              <w:t>h</w:t>
            </w:r>
          </w:p>
        </w:tc>
        <w:tc>
          <w:tcPr>
            <w:tcW w:w="1943" w:type="pct"/>
            <w:vMerge/>
            <w:tcBorders>
              <w:left w:val="single" w:sz="8" w:space="0" w:color="auto"/>
              <w:bottom w:val="single" w:sz="8" w:space="0" w:color="auto"/>
            </w:tcBorders>
          </w:tcPr>
          <w:p w14:paraId="3BE747FC" w14:textId="77777777" w:rsidR="008D7C25" w:rsidRPr="006A2BF9" w:rsidRDefault="008D7C25" w:rsidP="00185751">
            <w:pPr>
              <w:pStyle w:val="TableCellLeft"/>
              <w:rPr>
                <w:lang w:val="it-IT"/>
              </w:rPr>
            </w:pPr>
          </w:p>
        </w:tc>
      </w:tr>
      <w:tr w:rsidR="008D7C25" w:rsidRPr="006A2BF9" w14:paraId="6DC3F2A5" w14:textId="77777777" w:rsidTr="002C7DCE">
        <w:trPr>
          <w:cantSplit/>
          <w:jc w:val="center"/>
        </w:trPr>
        <w:tc>
          <w:tcPr>
            <w:tcW w:w="808" w:type="pct"/>
            <w:vMerge/>
            <w:tcBorders>
              <w:top w:val="nil"/>
              <w:bottom w:val="single" w:sz="8" w:space="0" w:color="auto"/>
              <w:right w:val="single" w:sz="8" w:space="0" w:color="auto"/>
            </w:tcBorders>
          </w:tcPr>
          <w:p w14:paraId="40B490CD" w14:textId="77777777" w:rsidR="008D7C25" w:rsidRPr="006A2BF9" w:rsidRDefault="008D7C25" w:rsidP="00185751">
            <w:pPr>
              <w:pStyle w:val="TableCellCenter"/>
              <w:rPr>
                <w:lang w:val="it-IT"/>
              </w:rPr>
            </w:pPr>
          </w:p>
        </w:tc>
        <w:tc>
          <w:tcPr>
            <w:tcW w:w="1028" w:type="pct"/>
            <w:tcBorders>
              <w:top w:val="single" w:sz="8" w:space="0" w:color="auto"/>
              <w:left w:val="single" w:sz="8" w:space="0" w:color="auto"/>
              <w:bottom w:val="single" w:sz="8" w:space="0" w:color="auto"/>
              <w:right w:val="single" w:sz="8" w:space="0" w:color="auto"/>
            </w:tcBorders>
          </w:tcPr>
          <w:p w14:paraId="6A23E096" w14:textId="77777777" w:rsidR="008D7C25" w:rsidRPr="006A2BF9" w:rsidRDefault="008D7C25" w:rsidP="00185751">
            <w:pPr>
              <w:pStyle w:val="TableCellLeft"/>
              <w:rPr>
                <w:lang w:val="it-IT"/>
              </w:rPr>
            </w:pPr>
            <w:r w:rsidRPr="006A2BF9">
              <w:rPr>
                <w:lang w:val="it-IT"/>
              </w:rPr>
              <w:t xml:space="preserve">Placebo o </w:t>
            </w:r>
            <w:r w:rsidR="005477DC" w:rsidRPr="006A2BF9">
              <w:rPr>
                <w:lang w:val="it-IT"/>
              </w:rPr>
              <w:t>bevacizumab</w:t>
            </w:r>
          </w:p>
        </w:tc>
        <w:tc>
          <w:tcPr>
            <w:tcW w:w="1222" w:type="pct"/>
            <w:tcBorders>
              <w:top w:val="single" w:sz="8" w:space="0" w:color="auto"/>
              <w:left w:val="single" w:sz="8" w:space="0" w:color="auto"/>
              <w:bottom w:val="single" w:sz="8" w:space="0" w:color="auto"/>
              <w:right w:val="single" w:sz="8" w:space="0" w:color="auto"/>
            </w:tcBorders>
          </w:tcPr>
          <w:p w14:paraId="7D6BCBB5" w14:textId="77777777" w:rsidR="008D7C25" w:rsidRPr="006A2BF9" w:rsidRDefault="004E10AB" w:rsidP="004E42B7">
            <w:pPr>
              <w:pStyle w:val="TableCellLeft"/>
              <w:rPr>
                <w:lang w:val="it-IT"/>
              </w:rPr>
            </w:pPr>
            <w:r w:rsidRPr="006A2BF9">
              <w:rPr>
                <w:lang w:val="it-IT"/>
              </w:rPr>
              <w:t xml:space="preserve">5 mg/kg </w:t>
            </w:r>
            <w:r w:rsidR="0017104B">
              <w:rPr>
                <w:lang w:val="it-IT"/>
              </w:rPr>
              <w:t xml:space="preserve">per via endovenosa </w:t>
            </w:r>
            <w:r w:rsidR="008D7C25" w:rsidRPr="006A2BF9">
              <w:rPr>
                <w:lang w:val="it-IT"/>
              </w:rPr>
              <w:t xml:space="preserve"> 30</w:t>
            </w:r>
            <w:r w:rsidR="0012374C" w:rsidRPr="006A2BF9">
              <w:rPr>
                <w:lang w:val="it-IT"/>
              </w:rPr>
              <w:noBreakHyphen/>
            </w:r>
            <w:r w:rsidR="008D7C25" w:rsidRPr="006A2BF9">
              <w:rPr>
                <w:lang w:val="it-IT"/>
              </w:rPr>
              <w:t>90</w:t>
            </w:r>
            <w:r w:rsidR="004E42B7" w:rsidRPr="006A2BF9">
              <w:rPr>
                <w:lang w:val="it-IT"/>
              </w:rPr>
              <w:t> </w:t>
            </w:r>
            <w:r w:rsidR="008D7C25" w:rsidRPr="006A2BF9">
              <w:rPr>
                <w:lang w:val="it-IT"/>
              </w:rPr>
              <w:t>min</w:t>
            </w:r>
          </w:p>
        </w:tc>
        <w:tc>
          <w:tcPr>
            <w:tcW w:w="1943" w:type="pct"/>
            <w:tcBorders>
              <w:top w:val="single" w:sz="8" w:space="0" w:color="auto"/>
              <w:left w:val="single" w:sz="8" w:space="0" w:color="auto"/>
              <w:bottom w:val="single" w:sz="8" w:space="0" w:color="auto"/>
            </w:tcBorders>
          </w:tcPr>
          <w:p w14:paraId="2B72CA34" w14:textId="77777777" w:rsidR="008D7C25" w:rsidRPr="006A2BF9" w:rsidRDefault="009847F8" w:rsidP="00185751">
            <w:pPr>
              <w:pStyle w:val="TableCellLeft"/>
              <w:rPr>
                <w:lang w:val="it-IT"/>
              </w:rPr>
            </w:pPr>
            <w:r w:rsidRPr="006A2BF9">
              <w:rPr>
                <w:lang w:val="it-IT"/>
              </w:rPr>
              <w:t>Giorno</w:t>
            </w:r>
            <w:r w:rsidR="0012374C" w:rsidRPr="006A2BF9">
              <w:rPr>
                <w:lang w:val="it-IT"/>
              </w:rPr>
              <w:t> </w:t>
            </w:r>
            <w:r w:rsidRPr="006A2BF9">
              <w:rPr>
                <w:lang w:val="it-IT"/>
              </w:rPr>
              <w:t xml:space="preserve">1, prima di </w:t>
            </w:r>
            <w:r w:rsidR="008D7C25" w:rsidRPr="006A2BF9">
              <w:rPr>
                <w:lang w:val="it-IT"/>
              </w:rPr>
              <w:t>FOLFOX-4, ogni 2 settimane</w:t>
            </w:r>
          </w:p>
        </w:tc>
      </w:tr>
      <w:tr w:rsidR="008D7C25" w:rsidRPr="006A2BF9" w14:paraId="5D7AB576" w14:textId="77777777" w:rsidTr="002C7DCE">
        <w:trPr>
          <w:cantSplit/>
          <w:jc w:val="center"/>
        </w:trPr>
        <w:tc>
          <w:tcPr>
            <w:tcW w:w="808" w:type="pct"/>
            <w:vMerge w:val="restart"/>
            <w:tcBorders>
              <w:top w:val="single" w:sz="8" w:space="0" w:color="auto"/>
              <w:bottom w:val="single" w:sz="8" w:space="0" w:color="auto"/>
              <w:right w:val="single" w:sz="8" w:space="0" w:color="auto"/>
            </w:tcBorders>
          </w:tcPr>
          <w:p w14:paraId="1140A845" w14:textId="77777777" w:rsidR="008D7C25" w:rsidRPr="006A2BF9" w:rsidRDefault="008D7C25" w:rsidP="00185751">
            <w:pPr>
              <w:pStyle w:val="TableCellCenter"/>
              <w:rPr>
                <w:lang w:val="it-IT"/>
              </w:rPr>
            </w:pPr>
            <w:r w:rsidRPr="006A2BF9">
              <w:rPr>
                <w:lang w:val="it-IT"/>
              </w:rPr>
              <w:t xml:space="preserve">XELOX </w:t>
            </w:r>
          </w:p>
          <w:p w14:paraId="78840A26" w14:textId="77777777" w:rsidR="008D7C25" w:rsidRPr="006A2BF9" w:rsidRDefault="004E10AB" w:rsidP="00185751">
            <w:pPr>
              <w:pStyle w:val="TableCellCenter"/>
              <w:rPr>
                <w:lang w:val="it-IT"/>
              </w:rPr>
            </w:pPr>
            <w:r w:rsidRPr="006A2BF9">
              <w:rPr>
                <w:lang w:val="it-IT"/>
              </w:rPr>
              <w:t>o</w:t>
            </w:r>
          </w:p>
          <w:p w14:paraId="7C863EA6" w14:textId="77777777" w:rsidR="008D7C25" w:rsidRPr="006A2BF9" w:rsidRDefault="008D7C25" w:rsidP="00D164F9">
            <w:pPr>
              <w:pStyle w:val="TableCellCenter"/>
              <w:rPr>
                <w:lang w:val="it-IT"/>
              </w:rPr>
            </w:pPr>
            <w:r w:rsidRPr="006A2BF9">
              <w:rPr>
                <w:lang w:val="it-IT"/>
              </w:rPr>
              <w:t>XELOX</w:t>
            </w:r>
            <w:r w:rsidR="00D164F9" w:rsidRPr="006A2BF9">
              <w:rPr>
                <w:lang w:val="it-IT"/>
              </w:rPr>
              <w:t> </w:t>
            </w:r>
            <w:r w:rsidRPr="006A2BF9">
              <w:rPr>
                <w:lang w:val="it-IT"/>
              </w:rPr>
              <w:t>+</w:t>
            </w:r>
            <w:r w:rsidR="00D164F9" w:rsidRPr="006A2BF9">
              <w:rPr>
                <w:lang w:val="it-IT"/>
              </w:rPr>
              <w:t> </w:t>
            </w:r>
            <w:r w:rsidR="00B94CA8" w:rsidRPr="006A2BF9">
              <w:rPr>
                <w:lang w:val="it-IT"/>
              </w:rPr>
              <w:t>bevacizumab</w:t>
            </w:r>
          </w:p>
        </w:tc>
        <w:tc>
          <w:tcPr>
            <w:tcW w:w="1028" w:type="pct"/>
            <w:tcBorders>
              <w:top w:val="single" w:sz="8" w:space="0" w:color="auto"/>
              <w:left w:val="single" w:sz="8" w:space="0" w:color="auto"/>
              <w:bottom w:val="nil"/>
              <w:right w:val="single" w:sz="8" w:space="0" w:color="auto"/>
            </w:tcBorders>
          </w:tcPr>
          <w:p w14:paraId="451E6768" w14:textId="77777777" w:rsidR="008D7C25" w:rsidRPr="006A2BF9" w:rsidRDefault="008D7C25" w:rsidP="00185751">
            <w:pPr>
              <w:pStyle w:val="TableCellLeft"/>
              <w:rPr>
                <w:lang w:val="it-IT"/>
              </w:rPr>
            </w:pPr>
            <w:r w:rsidRPr="006A2BF9">
              <w:rPr>
                <w:lang w:val="it-IT"/>
              </w:rPr>
              <w:t>Oxaliplatino</w:t>
            </w:r>
          </w:p>
        </w:tc>
        <w:tc>
          <w:tcPr>
            <w:tcW w:w="1222" w:type="pct"/>
            <w:tcBorders>
              <w:top w:val="single" w:sz="8" w:space="0" w:color="auto"/>
              <w:left w:val="single" w:sz="8" w:space="0" w:color="auto"/>
              <w:bottom w:val="nil"/>
              <w:right w:val="single" w:sz="8" w:space="0" w:color="auto"/>
            </w:tcBorders>
          </w:tcPr>
          <w:p w14:paraId="3A71D96C" w14:textId="77777777" w:rsidR="008D7C25" w:rsidRPr="006A2BF9" w:rsidRDefault="008D7C25" w:rsidP="00185751">
            <w:pPr>
              <w:pStyle w:val="TableCellLeft"/>
              <w:rPr>
                <w:lang w:val="it-IT"/>
              </w:rPr>
            </w:pPr>
            <w:r w:rsidRPr="006A2BF9">
              <w:rPr>
                <w:lang w:val="it-IT"/>
              </w:rPr>
              <w:t>130</w:t>
            </w:r>
            <w:r w:rsidR="004E10AB" w:rsidRPr="006A2BF9">
              <w:rPr>
                <w:lang w:val="it-IT"/>
              </w:rPr>
              <w:t> </w:t>
            </w:r>
            <w:r w:rsidRPr="006A2BF9">
              <w:rPr>
                <w:lang w:val="it-IT"/>
              </w:rPr>
              <w:t>mg/m</w:t>
            </w:r>
            <w:r w:rsidRPr="006A2BF9">
              <w:rPr>
                <w:vertAlign w:val="superscript"/>
                <w:lang w:val="it-IT"/>
              </w:rPr>
              <w:t>2</w:t>
            </w:r>
            <w:r w:rsidR="004E10AB" w:rsidRPr="006A2BF9">
              <w:rPr>
                <w:lang w:val="it-IT"/>
              </w:rPr>
              <w:t xml:space="preserve"> </w:t>
            </w:r>
            <w:r w:rsidR="0017104B">
              <w:rPr>
                <w:lang w:val="it-IT"/>
              </w:rPr>
              <w:t xml:space="preserve">per via endovenosa </w:t>
            </w:r>
            <w:r w:rsidRPr="006A2BF9">
              <w:rPr>
                <w:lang w:val="it-IT"/>
              </w:rPr>
              <w:t>2</w:t>
            </w:r>
            <w:r w:rsidR="0012374C" w:rsidRPr="006A2BF9">
              <w:rPr>
                <w:lang w:val="it-IT"/>
              </w:rPr>
              <w:t> </w:t>
            </w:r>
            <w:r w:rsidRPr="006A2BF9">
              <w:rPr>
                <w:lang w:val="it-IT"/>
              </w:rPr>
              <w:t>h</w:t>
            </w:r>
          </w:p>
        </w:tc>
        <w:tc>
          <w:tcPr>
            <w:tcW w:w="1943" w:type="pct"/>
            <w:vMerge w:val="restart"/>
            <w:tcBorders>
              <w:top w:val="single" w:sz="8" w:space="0" w:color="auto"/>
              <w:left w:val="single" w:sz="8" w:space="0" w:color="auto"/>
            </w:tcBorders>
          </w:tcPr>
          <w:p w14:paraId="3CAED981" w14:textId="77777777" w:rsidR="008D7C25" w:rsidRPr="006A2BF9" w:rsidRDefault="008D7C25" w:rsidP="00185751">
            <w:pPr>
              <w:pStyle w:val="TableCellLeft"/>
              <w:rPr>
                <w:lang w:val="it-IT"/>
              </w:rPr>
            </w:pPr>
            <w:r w:rsidRPr="006A2BF9">
              <w:rPr>
                <w:lang w:val="it-IT"/>
              </w:rPr>
              <w:t xml:space="preserve">Oxaliplatino </w:t>
            </w:r>
            <w:r w:rsidR="004E10AB" w:rsidRPr="006A2BF9">
              <w:rPr>
                <w:lang w:val="it-IT"/>
              </w:rPr>
              <w:t xml:space="preserve">al </w:t>
            </w:r>
            <w:r w:rsidRPr="006A2BF9">
              <w:rPr>
                <w:lang w:val="it-IT"/>
              </w:rPr>
              <w:t>giorno</w:t>
            </w:r>
            <w:r w:rsidR="004E42B7" w:rsidRPr="006A2BF9">
              <w:rPr>
                <w:lang w:val="it-IT"/>
              </w:rPr>
              <w:t> </w:t>
            </w:r>
            <w:r w:rsidRPr="006A2BF9">
              <w:rPr>
                <w:lang w:val="it-IT"/>
              </w:rPr>
              <w:t>1</w:t>
            </w:r>
          </w:p>
          <w:p w14:paraId="1ADAF877" w14:textId="77777777" w:rsidR="008D7C25" w:rsidRPr="006A2BF9" w:rsidRDefault="008D1728" w:rsidP="00185751">
            <w:pPr>
              <w:pStyle w:val="TableCellLeft"/>
              <w:rPr>
                <w:lang w:val="it-IT"/>
              </w:rPr>
            </w:pPr>
            <w:r w:rsidRPr="006A2BF9">
              <w:rPr>
                <w:lang w:val="it-IT"/>
              </w:rPr>
              <w:t>Capecitabina orale due volte al giorno</w:t>
            </w:r>
            <w:r w:rsidR="008D7C25" w:rsidRPr="006A2BF9">
              <w:rPr>
                <w:lang w:val="it-IT"/>
              </w:rPr>
              <w:t xml:space="preserve"> per 2</w:t>
            </w:r>
            <w:r w:rsidR="0012374C" w:rsidRPr="006A2BF9">
              <w:rPr>
                <w:lang w:val="it-IT"/>
              </w:rPr>
              <w:t> </w:t>
            </w:r>
            <w:r w:rsidR="008D7C25" w:rsidRPr="006A2BF9">
              <w:rPr>
                <w:lang w:val="it-IT"/>
              </w:rPr>
              <w:t>settimane (seguita da 1</w:t>
            </w:r>
            <w:r w:rsidR="0012374C" w:rsidRPr="006A2BF9">
              <w:rPr>
                <w:lang w:val="it-IT"/>
              </w:rPr>
              <w:t> </w:t>
            </w:r>
            <w:r w:rsidR="008D7C25" w:rsidRPr="006A2BF9">
              <w:rPr>
                <w:lang w:val="it-IT"/>
              </w:rPr>
              <w:t>settimana senza trat</w:t>
            </w:r>
            <w:r w:rsidRPr="006A2BF9">
              <w:rPr>
                <w:lang w:val="it-IT"/>
              </w:rPr>
              <w:t>ta</w:t>
            </w:r>
            <w:r w:rsidR="008D7C25" w:rsidRPr="006A2BF9">
              <w:rPr>
                <w:lang w:val="it-IT"/>
              </w:rPr>
              <w:t>mento)</w:t>
            </w:r>
          </w:p>
        </w:tc>
      </w:tr>
      <w:tr w:rsidR="008D7C25" w:rsidRPr="006A2BF9" w:rsidDel="007D0861" w14:paraId="7C940DA7" w14:textId="77777777" w:rsidTr="002C7DCE">
        <w:trPr>
          <w:cantSplit/>
          <w:jc w:val="center"/>
        </w:trPr>
        <w:tc>
          <w:tcPr>
            <w:tcW w:w="808" w:type="pct"/>
            <w:vMerge/>
            <w:tcBorders>
              <w:top w:val="nil"/>
              <w:bottom w:val="single" w:sz="8" w:space="0" w:color="auto"/>
              <w:right w:val="single" w:sz="8" w:space="0" w:color="auto"/>
            </w:tcBorders>
          </w:tcPr>
          <w:p w14:paraId="47904D9A" w14:textId="77777777" w:rsidR="008D7C25" w:rsidRPr="006A2BF9" w:rsidDel="007D0861" w:rsidRDefault="008D7C25" w:rsidP="00185751">
            <w:pPr>
              <w:pStyle w:val="TableCellCenter"/>
              <w:keepNext w:val="0"/>
              <w:keepLines w:val="0"/>
              <w:rPr>
                <w:lang w:val="it-IT"/>
              </w:rPr>
            </w:pPr>
          </w:p>
        </w:tc>
        <w:tc>
          <w:tcPr>
            <w:tcW w:w="1028" w:type="pct"/>
            <w:tcBorders>
              <w:top w:val="nil"/>
              <w:left w:val="single" w:sz="8" w:space="0" w:color="auto"/>
              <w:bottom w:val="nil"/>
              <w:right w:val="single" w:sz="8" w:space="0" w:color="auto"/>
            </w:tcBorders>
          </w:tcPr>
          <w:p w14:paraId="05FDEFB4" w14:textId="77777777" w:rsidR="008D7C25" w:rsidRPr="006A2BF9" w:rsidDel="007D0861" w:rsidRDefault="008D7C25" w:rsidP="00185751">
            <w:pPr>
              <w:pStyle w:val="TableCellLeft"/>
              <w:keepNext w:val="0"/>
              <w:keepLines w:val="0"/>
              <w:rPr>
                <w:lang w:val="it-IT"/>
              </w:rPr>
            </w:pPr>
            <w:r w:rsidRPr="006A2BF9">
              <w:rPr>
                <w:lang w:val="it-IT"/>
              </w:rPr>
              <w:t>Capecitabina</w:t>
            </w:r>
          </w:p>
        </w:tc>
        <w:tc>
          <w:tcPr>
            <w:tcW w:w="1222" w:type="pct"/>
            <w:tcBorders>
              <w:top w:val="nil"/>
              <w:left w:val="single" w:sz="8" w:space="0" w:color="auto"/>
              <w:bottom w:val="nil"/>
              <w:right w:val="single" w:sz="8" w:space="0" w:color="auto"/>
            </w:tcBorders>
          </w:tcPr>
          <w:p w14:paraId="79E18F4C" w14:textId="77777777" w:rsidR="008D7C25" w:rsidRPr="006A2BF9" w:rsidDel="007D0861" w:rsidRDefault="008D7C25" w:rsidP="00185751">
            <w:pPr>
              <w:pStyle w:val="TableCellLeft"/>
              <w:keepNext w:val="0"/>
              <w:keepLines w:val="0"/>
              <w:rPr>
                <w:lang w:val="it-IT"/>
              </w:rPr>
            </w:pPr>
            <w:r w:rsidRPr="006A2BF9">
              <w:rPr>
                <w:lang w:val="it-IT"/>
              </w:rPr>
              <w:t>1000</w:t>
            </w:r>
            <w:r w:rsidR="004E10AB" w:rsidRPr="006A2BF9">
              <w:rPr>
                <w:lang w:val="it-IT"/>
              </w:rPr>
              <w:t> </w:t>
            </w:r>
            <w:r w:rsidRPr="006A2BF9">
              <w:rPr>
                <w:lang w:val="it-IT"/>
              </w:rPr>
              <w:t>mg/m</w:t>
            </w:r>
            <w:r w:rsidRPr="006A2BF9">
              <w:rPr>
                <w:vertAlign w:val="superscript"/>
                <w:lang w:val="it-IT"/>
              </w:rPr>
              <w:t>2</w:t>
            </w:r>
            <w:r w:rsidRPr="006A2BF9">
              <w:rPr>
                <w:lang w:val="it-IT"/>
              </w:rPr>
              <w:t xml:space="preserve"> ora</w:t>
            </w:r>
            <w:r w:rsidR="008D1728" w:rsidRPr="006A2BF9">
              <w:rPr>
                <w:lang w:val="it-IT"/>
              </w:rPr>
              <w:t>le due volte al giorno</w:t>
            </w:r>
          </w:p>
        </w:tc>
        <w:tc>
          <w:tcPr>
            <w:tcW w:w="1943" w:type="pct"/>
            <w:vMerge/>
            <w:tcBorders>
              <w:left w:val="single" w:sz="8" w:space="0" w:color="auto"/>
            </w:tcBorders>
          </w:tcPr>
          <w:p w14:paraId="5D435EAD" w14:textId="77777777" w:rsidR="008D7C25" w:rsidRPr="006A2BF9" w:rsidDel="007D0861" w:rsidRDefault="008D7C25" w:rsidP="00185751">
            <w:pPr>
              <w:pStyle w:val="TableCellLeft"/>
              <w:keepNext w:val="0"/>
              <w:keepLines w:val="0"/>
              <w:rPr>
                <w:lang w:val="it-IT"/>
              </w:rPr>
            </w:pPr>
          </w:p>
        </w:tc>
      </w:tr>
      <w:tr w:rsidR="008D7C25" w:rsidRPr="006A2BF9" w14:paraId="5A20B2EC" w14:textId="77777777" w:rsidTr="002C7DCE">
        <w:trPr>
          <w:cantSplit/>
          <w:jc w:val="center"/>
        </w:trPr>
        <w:tc>
          <w:tcPr>
            <w:tcW w:w="808" w:type="pct"/>
            <w:vMerge/>
            <w:tcBorders>
              <w:top w:val="nil"/>
              <w:bottom w:val="single" w:sz="8" w:space="0" w:color="auto"/>
              <w:right w:val="single" w:sz="8" w:space="0" w:color="auto"/>
            </w:tcBorders>
          </w:tcPr>
          <w:p w14:paraId="56DCB4B4" w14:textId="77777777" w:rsidR="008D7C25" w:rsidRPr="006A2BF9" w:rsidRDefault="008D7C25" w:rsidP="00185751">
            <w:pPr>
              <w:pStyle w:val="TableCellCenter"/>
              <w:keepNext w:val="0"/>
              <w:keepLines w:val="0"/>
              <w:rPr>
                <w:lang w:val="it-IT"/>
              </w:rPr>
            </w:pPr>
          </w:p>
        </w:tc>
        <w:tc>
          <w:tcPr>
            <w:tcW w:w="1028" w:type="pct"/>
            <w:tcBorders>
              <w:top w:val="nil"/>
              <w:left w:val="single" w:sz="8" w:space="0" w:color="auto"/>
              <w:bottom w:val="single" w:sz="8" w:space="0" w:color="auto"/>
              <w:right w:val="single" w:sz="8" w:space="0" w:color="auto"/>
            </w:tcBorders>
          </w:tcPr>
          <w:p w14:paraId="6C0D531A" w14:textId="77777777" w:rsidR="008D7C25" w:rsidRPr="006A2BF9" w:rsidRDefault="008D7C25" w:rsidP="00185751">
            <w:pPr>
              <w:pStyle w:val="TableCellLeft"/>
              <w:keepNext w:val="0"/>
              <w:keepLines w:val="0"/>
              <w:rPr>
                <w:lang w:val="it-IT"/>
              </w:rPr>
            </w:pPr>
          </w:p>
        </w:tc>
        <w:tc>
          <w:tcPr>
            <w:tcW w:w="1222" w:type="pct"/>
            <w:tcBorders>
              <w:top w:val="nil"/>
              <w:left w:val="single" w:sz="8" w:space="0" w:color="auto"/>
              <w:bottom w:val="single" w:sz="8" w:space="0" w:color="auto"/>
              <w:right w:val="single" w:sz="8" w:space="0" w:color="auto"/>
            </w:tcBorders>
          </w:tcPr>
          <w:p w14:paraId="5639F3FF" w14:textId="77777777" w:rsidR="008D7C25" w:rsidRPr="006A2BF9" w:rsidRDefault="008D7C25" w:rsidP="00185751">
            <w:pPr>
              <w:pStyle w:val="TableCellLeft"/>
              <w:keepNext w:val="0"/>
              <w:keepLines w:val="0"/>
              <w:rPr>
                <w:lang w:val="it-IT"/>
              </w:rPr>
            </w:pPr>
          </w:p>
        </w:tc>
        <w:tc>
          <w:tcPr>
            <w:tcW w:w="1943" w:type="pct"/>
            <w:vMerge/>
            <w:tcBorders>
              <w:left w:val="single" w:sz="8" w:space="0" w:color="auto"/>
              <w:bottom w:val="single" w:sz="8" w:space="0" w:color="auto"/>
            </w:tcBorders>
          </w:tcPr>
          <w:p w14:paraId="085258AE" w14:textId="77777777" w:rsidR="008D7C25" w:rsidRPr="006A2BF9" w:rsidRDefault="008D7C25" w:rsidP="00185751">
            <w:pPr>
              <w:pStyle w:val="TableCellLeft"/>
              <w:keepNext w:val="0"/>
              <w:keepLines w:val="0"/>
              <w:rPr>
                <w:lang w:val="it-IT"/>
              </w:rPr>
            </w:pPr>
          </w:p>
        </w:tc>
      </w:tr>
      <w:tr w:rsidR="008D7C25" w:rsidRPr="006A2BF9" w14:paraId="3E9EB5A2" w14:textId="77777777" w:rsidTr="002C7DCE">
        <w:trPr>
          <w:cantSplit/>
          <w:jc w:val="center"/>
        </w:trPr>
        <w:tc>
          <w:tcPr>
            <w:tcW w:w="808" w:type="pct"/>
            <w:vMerge/>
            <w:tcBorders>
              <w:top w:val="nil"/>
              <w:bottom w:val="single" w:sz="8" w:space="0" w:color="auto"/>
              <w:right w:val="single" w:sz="8" w:space="0" w:color="auto"/>
            </w:tcBorders>
          </w:tcPr>
          <w:p w14:paraId="337CEBEA" w14:textId="77777777" w:rsidR="008D7C25" w:rsidRPr="006A2BF9" w:rsidRDefault="008D7C25" w:rsidP="00185751">
            <w:pPr>
              <w:pStyle w:val="TableCellCenter"/>
              <w:keepNext w:val="0"/>
              <w:keepLines w:val="0"/>
              <w:rPr>
                <w:lang w:val="it-IT"/>
              </w:rPr>
            </w:pPr>
          </w:p>
        </w:tc>
        <w:tc>
          <w:tcPr>
            <w:tcW w:w="1028" w:type="pct"/>
            <w:tcBorders>
              <w:top w:val="single" w:sz="8" w:space="0" w:color="auto"/>
              <w:left w:val="single" w:sz="8" w:space="0" w:color="auto"/>
              <w:bottom w:val="single" w:sz="8" w:space="0" w:color="auto"/>
              <w:right w:val="single" w:sz="8" w:space="0" w:color="auto"/>
            </w:tcBorders>
          </w:tcPr>
          <w:p w14:paraId="5A73443A" w14:textId="77777777" w:rsidR="008D7C25" w:rsidRPr="006A2BF9" w:rsidRDefault="008D7C25" w:rsidP="00185751">
            <w:pPr>
              <w:pStyle w:val="TableCellLeft"/>
              <w:keepNext w:val="0"/>
              <w:keepLines w:val="0"/>
              <w:rPr>
                <w:lang w:val="it-IT"/>
              </w:rPr>
            </w:pPr>
            <w:r w:rsidRPr="006A2BF9">
              <w:rPr>
                <w:lang w:val="it-IT"/>
              </w:rPr>
              <w:t xml:space="preserve">Placebo o </w:t>
            </w:r>
            <w:r w:rsidR="00B94CA8" w:rsidRPr="006A2BF9">
              <w:rPr>
                <w:lang w:val="it-IT"/>
              </w:rPr>
              <w:t>bevacizumab</w:t>
            </w:r>
          </w:p>
        </w:tc>
        <w:tc>
          <w:tcPr>
            <w:tcW w:w="1222" w:type="pct"/>
            <w:tcBorders>
              <w:top w:val="single" w:sz="8" w:space="0" w:color="auto"/>
              <w:left w:val="single" w:sz="8" w:space="0" w:color="auto"/>
              <w:bottom w:val="single" w:sz="8" w:space="0" w:color="auto"/>
              <w:right w:val="single" w:sz="8" w:space="0" w:color="auto"/>
            </w:tcBorders>
          </w:tcPr>
          <w:p w14:paraId="130D4535" w14:textId="77777777" w:rsidR="008D7C25" w:rsidRPr="006A2BF9" w:rsidRDefault="004E10AB" w:rsidP="004E42B7">
            <w:pPr>
              <w:pStyle w:val="TableCellLeft"/>
              <w:keepNext w:val="0"/>
              <w:keepLines w:val="0"/>
              <w:rPr>
                <w:lang w:val="it-IT"/>
              </w:rPr>
            </w:pPr>
            <w:r w:rsidRPr="006A2BF9">
              <w:rPr>
                <w:lang w:val="it-IT"/>
              </w:rPr>
              <w:t xml:space="preserve">7,5 mg/kg </w:t>
            </w:r>
            <w:r w:rsidR="0017104B">
              <w:rPr>
                <w:lang w:val="it-IT"/>
              </w:rPr>
              <w:t>per via endovenosa</w:t>
            </w:r>
            <w:r w:rsidRPr="006A2BF9">
              <w:rPr>
                <w:lang w:val="it-IT"/>
              </w:rPr>
              <w:t xml:space="preserve"> </w:t>
            </w:r>
            <w:r w:rsidR="008D7C25" w:rsidRPr="006A2BF9">
              <w:rPr>
                <w:lang w:val="it-IT"/>
              </w:rPr>
              <w:t>30</w:t>
            </w:r>
            <w:r w:rsidR="0012374C" w:rsidRPr="006A2BF9">
              <w:rPr>
                <w:lang w:val="it-IT"/>
              </w:rPr>
              <w:noBreakHyphen/>
            </w:r>
            <w:r w:rsidR="008D7C25" w:rsidRPr="006A2BF9">
              <w:rPr>
                <w:lang w:val="it-IT"/>
              </w:rPr>
              <w:t>90</w:t>
            </w:r>
            <w:r w:rsidR="004E42B7" w:rsidRPr="006A2BF9">
              <w:rPr>
                <w:lang w:val="it-IT"/>
              </w:rPr>
              <w:t> </w:t>
            </w:r>
            <w:r w:rsidR="008D7C25" w:rsidRPr="006A2BF9">
              <w:rPr>
                <w:lang w:val="it-IT"/>
              </w:rPr>
              <w:t>min</w:t>
            </w:r>
          </w:p>
        </w:tc>
        <w:tc>
          <w:tcPr>
            <w:tcW w:w="1943" w:type="pct"/>
            <w:tcBorders>
              <w:top w:val="single" w:sz="8" w:space="0" w:color="auto"/>
              <w:left w:val="single" w:sz="8" w:space="0" w:color="auto"/>
              <w:bottom w:val="single" w:sz="8" w:space="0" w:color="auto"/>
            </w:tcBorders>
          </w:tcPr>
          <w:p w14:paraId="7F24B773" w14:textId="77777777" w:rsidR="008D7C25" w:rsidRPr="006A2BF9" w:rsidRDefault="008D7C25" w:rsidP="00185751">
            <w:pPr>
              <w:pStyle w:val="TableCellLeft"/>
              <w:keepNext w:val="0"/>
              <w:keepLines w:val="0"/>
              <w:rPr>
                <w:lang w:val="it-IT"/>
              </w:rPr>
            </w:pPr>
            <w:r w:rsidRPr="006A2BF9">
              <w:rPr>
                <w:lang w:val="it-IT"/>
              </w:rPr>
              <w:t>Giorno</w:t>
            </w:r>
            <w:r w:rsidR="0012374C" w:rsidRPr="006A2BF9">
              <w:rPr>
                <w:lang w:val="it-IT"/>
              </w:rPr>
              <w:t> </w:t>
            </w:r>
            <w:r w:rsidRPr="006A2BF9">
              <w:rPr>
                <w:lang w:val="it-IT"/>
              </w:rPr>
              <w:t>1, prima di XELOX, ogni 3 settimane</w:t>
            </w:r>
          </w:p>
        </w:tc>
      </w:tr>
      <w:tr w:rsidR="008D7C25" w:rsidRPr="006A2BF9" w14:paraId="58DDF4C9" w14:textId="77777777" w:rsidTr="002C7DCE">
        <w:trPr>
          <w:cantSplit/>
          <w:jc w:val="center"/>
        </w:trPr>
        <w:tc>
          <w:tcPr>
            <w:tcW w:w="5000" w:type="pct"/>
            <w:gridSpan w:val="4"/>
            <w:tcBorders>
              <w:top w:val="single" w:sz="8" w:space="0" w:color="auto"/>
              <w:bottom w:val="single" w:sz="8" w:space="0" w:color="auto"/>
            </w:tcBorders>
          </w:tcPr>
          <w:p w14:paraId="69AACF42" w14:textId="77777777" w:rsidR="008D7C25" w:rsidRPr="006A2BF9" w:rsidRDefault="008D7C25" w:rsidP="00185751">
            <w:pPr>
              <w:pStyle w:val="TableFooter"/>
              <w:keepNext w:val="0"/>
              <w:keepLines w:val="0"/>
              <w:rPr>
                <w:lang w:val="it-IT"/>
              </w:rPr>
            </w:pPr>
            <w:r w:rsidRPr="006A2BF9">
              <w:rPr>
                <w:lang w:val="it-IT"/>
              </w:rPr>
              <w:t xml:space="preserve">5-Fluorouracile: </w:t>
            </w:r>
            <w:r w:rsidRPr="006A2BF9">
              <w:rPr>
                <w:lang w:val="it-IT"/>
              </w:rPr>
              <w:tab/>
              <w:t xml:space="preserve">bolo </w:t>
            </w:r>
            <w:r w:rsidR="0017104B">
              <w:rPr>
                <w:lang w:val="it-IT"/>
              </w:rPr>
              <w:t>endovenoso</w:t>
            </w:r>
            <w:r w:rsidRPr="006A2BF9">
              <w:rPr>
                <w:lang w:val="it-IT"/>
              </w:rPr>
              <w:t xml:space="preserve"> immediatamente dopo leucovorin</w:t>
            </w:r>
          </w:p>
        </w:tc>
      </w:tr>
    </w:tbl>
    <w:p w14:paraId="5604ACBE" w14:textId="77777777" w:rsidR="008D7C25" w:rsidRPr="006A2BF9" w:rsidRDefault="008D7C25" w:rsidP="008D7C25">
      <w:pPr>
        <w:rPr>
          <w:lang w:val="it-IT"/>
        </w:rPr>
      </w:pPr>
    </w:p>
    <w:p w14:paraId="0C63DA2E" w14:textId="77777777" w:rsidR="008D7C25" w:rsidRPr="006A2BF9" w:rsidRDefault="008D7C25" w:rsidP="008D7C25">
      <w:pPr>
        <w:rPr>
          <w:lang w:val="it-IT"/>
        </w:rPr>
      </w:pPr>
      <w:r w:rsidRPr="006A2BF9">
        <w:rPr>
          <w:lang w:val="it-IT"/>
        </w:rPr>
        <w:t xml:space="preserve">Il parametro primario per la valutazione dell’efficacia </w:t>
      </w:r>
      <w:r w:rsidR="004E10AB" w:rsidRPr="006A2BF9">
        <w:rPr>
          <w:lang w:val="it-IT"/>
        </w:rPr>
        <w:t xml:space="preserve">dello studio </w:t>
      </w:r>
      <w:r w:rsidRPr="006A2BF9">
        <w:rPr>
          <w:lang w:val="it-IT"/>
        </w:rPr>
        <w:t xml:space="preserve">era la durata della </w:t>
      </w:r>
      <w:r w:rsidR="0017104B">
        <w:rPr>
          <w:lang w:val="it-IT"/>
        </w:rPr>
        <w:t>PFS</w:t>
      </w:r>
      <w:r w:rsidRPr="006A2BF9">
        <w:rPr>
          <w:lang w:val="it-IT"/>
        </w:rPr>
        <w:t>. In questo studio</w:t>
      </w:r>
      <w:r w:rsidR="004E10AB" w:rsidRPr="006A2BF9">
        <w:rPr>
          <w:lang w:val="it-IT"/>
        </w:rPr>
        <w:t xml:space="preserve"> vi </w:t>
      </w:r>
      <w:r w:rsidRPr="006A2BF9">
        <w:rPr>
          <w:lang w:val="it-IT"/>
        </w:rPr>
        <w:t>erano due diversi obiettivi primari: dimostrare che XELOX non era inferiore a FOLFOX-4 e mostrare c</w:t>
      </w:r>
      <w:r w:rsidR="004E10AB" w:rsidRPr="006A2BF9">
        <w:rPr>
          <w:lang w:val="it-IT"/>
        </w:rPr>
        <w:t>h</w:t>
      </w:r>
      <w:r w:rsidRPr="006A2BF9">
        <w:rPr>
          <w:lang w:val="it-IT"/>
        </w:rPr>
        <w:t xml:space="preserve">e </w:t>
      </w:r>
      <w:r w:rsidR="00D37A63" w:rsidRPr="006A2BF9">
        <w:rPr>
          <w:lang w:val="it-IT"/>
        </w:rPr>
        <w:t>bevacizumab</w:t>
      </w:r>
      <w:r w:rsidR="00D37A63" w:rsidRPr="006A2BF9" w:rsidDel="00FD6236">
        <w:rPr>
          <w:lang w:val="it-IT"/>
        </w:rPr>
        <w:t xml:space="preserve"> </w:t>
      </w:r>
      <w:r w:rsidRPr="006A2BF9">
        <w:rPr>
          <w:lang w:val="it-IT"/>
        </w:rPr>
        <w:t xml:space="preserve">in </w:t>
      </w:r>
      <w:r w:rsidR="003A32A4" w:rsidRPr="006A2BF9">
        <w:rPr>
          <w:lang w:val="it-IT"/>
        </w:rPr>
        <w:t xml:space="preserve">associazione </w:t>
      </w:r>
      <w:r w:rsidR="00C35913">
        <w:rPr>
          <w:lang w:val="it-IT"/>
        </w:rPr>
        <w:t>a</w:t>
      </w:r>
      <w:r w:rsidR="00C35913" w:rsidRPr="006A2BF9">
        <w:rPr>
          <w:lang w:val="it-IT"/>
        </w:rPr>
        <w:t xml:space="preserve"> </w:t>
      </w:r>
      <w:r w:rsidRPr="006A2BF9">
        <w:rPr>
          <w:lang w:val="it-IT"/>
        </w:rPr>
        <w:t>chemioterapia FOLFOX-4 o XELOX era superiore alla chemioterapia da sola. Entrambi gli obiettivi primari sono stati raggiunti</w:t>
      </w:r>
      <w:r w:rsidR="008518B3" w:rsidRPr="006A2BF9">
        <w:rPr>
          <w:lang w:val="it-IT"/>
        </w:rPr>
        <w:t>.</w:t>
      </w:r>
    </w:p>
    <w:p w14:paraId="6DB5D26D" w14:textId="77777777" w:rsidR="008D7C25" w:rsidRPr="006A2BF9" w:rsidRDefault="008D7C25" w:rsidP="008D7C25">
      <w:pPr>
        <w:rPr>
          <w:lang w:val="it-IT"/>
        </w:rPr>
      </w:pPr>
    </w:p>
    <w:p w14:paraId="735696E1" w14:textId="77777777" w:rsidR="008D7C25" w:rsidRPr="006A2BF9" w:rsidRDefault="00BA69D5" w:rsidP="0012374C">
      <w:pPr>
        <w:tabs>
          <w:tab w:val="left" w:pos="567"/>
        </w:tabs>
        <w:ind w:left="567" w:hanging="567"/>
        <w:rPr>
          <w:lang w:val="it-IT"/>
        </w:rPr>
      </w:pPr>
      <w:r w:rsidRPr="006A2BF9">
        <w:rPr>
          <w:lang w:val="it-IT"/>
        </w:rPr>
        <w:t>•</w:t>
      </w:r>
      <w:r w:rsidRPr="006A2BF9">
        <w:rPr>
          <w:lang w:val="it-IT"/>
        </w:rPr>
        <w:tab/>
      </w:r>
      <w:r w:rsidR="008D7C25" w:rsidRPr="006A2BF9">
        <w:rPr>
          <w:lang w:val="it-IT"/>
        </w:rPr>
        <w:t xml:space="preserve">La non inferiorità dei bracci contenenti XELOX </w:t>
      </w:r>
      <w:r w:rsidR="00005746" w:rsidRPr="006A2BF9">
        <w:rPr>
          <w:lang w:val="it-IT"/>
        </w:rPr>
        <w:t>rispetto</w:t>
      </w:r>
      <w:r w:rsidR="008D7C25" w:rsidRPr="006A2BF9">
        <w:rPr>
          <w:lang w:val="it-IT"/>
        </w:rPr>
        <w:t xml:space="preserve"> </w:t>
      </w:r>
      <w:r w:rsidR="00005746" w:rsidRPr="006A2BF9">
        <w:rPr>
          <w:lang w:val="it-IT"/>
        </w:rPr>
        <w:t>a</w:t>
      </w:r>
      <w:r w:rsidR="008D7C25" w:rsidRPr="006A2BF9">
        <w:rPr>
          <w:lang w:val="it-IT"/>
        </w:rPr>
        <w:t xml:space="preserve">i bracci contenenti FOLFOX-4 </w:t>
      </w:r>
      <w:r w:rsidR="00005746" w:rsidRPr="006A2BF9">
        <w:rPr>
          <w:lang w:val="it-IT"/>
        </w:rPr>
        <w:t xml:space="preserve">nel confronto globale </w:t>
      </w:r>
      <w:r w:rsidR="008D7C25" w:rsidRPr="006A2BF9">
        <w:rPr>
          <w:lang w:val="it-IT"/>
        </w:rPr>
        <w:t xml:space="preserve">è stata dimostrata in termini di </w:t>
      </w:r>
      <w:r w:rsidR="0017104B">
        <w:rPr>
          <w:lang w:val="it-IT"/>
        </w:rPr>
        <w:t>PFS</w:t>
      </w:r>
      <w:r w:rsidR="008D7C25" w:rsidRPr="006A2BF9">
        <w:rPr>
          <w:lang w:val="it-IT"/>
        </w:rPr>
        <w:t xml:space="preserve"> e di </w:t>
      </w:r>
      <w:r w:rsidR="0017104B">
        <w:rPr>
          <w:lang w:val="it-IT"/>
        </w:rPr>
        <w:t>OS</w:t>
      </w:r>
      <w:r w:rsidR="008D7C25" w:rsidRPr="006A2BF9">
        <w:rPr>
          <w:lang w:val="it-IT"/>
        </w:rPr>
        <w:t xml:space="preserve"> nella popolazione eleggibile trattata come da protocollo.</w:t>
      </w:r>
    </w:p>
    <w:p w14:paraId="5BE73C88" w14:textId="77777777" w:rsidR="008D7C25" w:rsidRPr="006A2BF9" w:rsidRDefault="008D7C25" w:rsidP="0012374C">
      <w:pPr>
        <w:tabs>
          <w:tab w:val="left" w:pos="567"/>
        </w:tabs>
        <w:ind w:left="567" w:hanging="567"/>
        <w:rPr>
          <w:lang w:val="it-IT"/>
        </w:rPr>
      </w:pPr>
    </w:p>
    <w:p w14:paraId="510A24EB" w14:textId="77777777" w:rsidR="008D7C25" w:rsidRPr="006A2BF9" w:rsidRDefault="00BA69D5" w:rsidP="0012374C">
      <w:pPr>
        <w:tabs>
          <w:tab w:val="left" w:pos="567"/>
        </w:tabs>
        <w:ind w:left="567" w:hanging="567"/>
        <w:rPr>
          <w:lang w:val="it-IT"/>
        </w:rPr>
      </w:pPr>
      <w:r w:rsidRPr="006A2BF9">
        <w:rPr>
          <w:lang w:val="it-IT"/>
        </w:rPr>
        <w:t>•</w:t>
      </w:r>
      <w:r w:rsidRPr="006A2BF9">
        <w:rPr>
          <w:lang w:val="it-IT"/>
        </w:rPr>
        <w:tab/>
      </w:r>
      <w:r w:rsidR="008D7C25" w:rsidRPr="006A2BF9">
        <w:rPr>
          <w:lang w:val="it-IT"/>
        </w:rPr>
        <w:t xml:space="preserve">La superiorità dei bracci contenenti </w:t>
      </w:r>
      <w:r w:rsidR="00D37A63" w:rsidRPr="006A2BF9">
        <w:rPr>
          <w:lang w:val="it-IT"/>
        </w:rPr>
        <w:t>bevacizumab</w:t>
      </w:r>
      <w:r w:rsidR="00D37A63" w:rsidRPr="006A2BF9" w:rsidDel="00FD6236">
        <w:rPr>
          <w:lang w:val="it-IT"/>
        </w:rPr>
        <w:t xml:space="preserve"> </w:t>
      </w:r>
      <w:r w:rsidR="008D7C25" w:rsidRPr="006A2BF9">
        <w:rPr>
          <w:lang w:val="it-IT"/>
        </w:rPr>
        <w:t xml:space="preserve">rispetto ai bracci con solo chemioterapia nel confronto globale è stata dimostrata in termini </w:t>
      </w:r>
      <w:r w:rsidR="00570D9F" w:rsidRPr="006A2BF9">
        <w:rPr>
          <w:lang w:val="it-IT"/>
        </w:rPr>
        <w:t xml:space="preserve">di </w:t>
      </w:r>
      <w:r w:rsidR="0017104B">
        <w:rPr>
          <w:lang w:val="it-IT"/>
        </w:rPr>
        <w:t>PFS</w:t>
      </w:r>
      <w:r w:rsidR="00005746" w:rsidRPr="006A2BF9">
        <w:rPr>
          <w:lang w:val="it-IT"/>
        </w:rPr>
        <w:t xml:space="preserve"> nella popolazione ITT </w:t>
      </w:r>
      <w:r w:rsidR="008D7C25" w:rsidRPr="006A2BF9">
        <w:rPr>
          <w:lang w:val="it-IT"/>
        </w:rPr>
        <w:t>(tabella</w:t>
      </w:r>
      <w:r w:rsidR="00554E48" w:rsidRPr="006A2BF9">
        <w:rPr>
          <w:lang w:val="it-IT"/>
        </w:rPr>
        <w:t> </w:t>
      </w:r>
      <w:r w:rsidR="00D966E3" w:rsidRPr="006A2BF9">
        <w:rPr>
          <w:lang w:val="it-IT"/>
        </w:rPr>
        <w:t>7</w:t>
      </w:r>
      <w:r w:rsidR="008D7C25" w:rsidRPr="006A2BF9">
        <w:rPr>
          <w:lang w:val="it-IT"/>
        </w:rPr>
        <w:t>)</w:t>
      </w:r>
      <w:r w:rsidR="008D1728" w:rsidRPr="006A2BF9">
        <w:rPr>
          <w:lang w:val="it-IT"/>
        </w:rPr>
        <w:t>.</w:t>
      </w:r>
    </w:p>
    <w:p w14:paraId="0D371A59" w14:textId="77777777" w:rsidR="008D7C25" w:rsidRPr="006A2BF9" w:rsidRDefault="008D7C25" w:rsidP="008D7C25">
      <w:pPr>
        <w:rPr>
          <w:lang w:val="it-IT"/>
        </w:rPr>
      </w:pPr>
    </w:p>
    <w:p w14:paraId="15FA8D0B" w14:textId="77777777" w:rsidR="008D7C25" w:rsidRPr="006A2BF9" w:rsidRDefault="008D7C25" w:rsidP="008D7C25">
      <w:pPr>
        <w:rPr>
          <w:lang w:val="it-IT"/>
        </w:rPr>
      </w:pPr>
      <w:r w:rsidRPr="006A2BF9">
        <w:rPr>
          <w:lang w:val="it-IT"/>
        </w:rPr>
        <w:t xml:space="preserve">Le analisi secondarie di PFS, basate sulla valutazione delle risposte di pazienti </w:t>
      </w:r>
      <w:r w:rsidR="0017104B">
        <w:rPr>
          <w:lang w:val="it-IT"/>
        </w:rPr>
        <w:t>“</w:t>
      </w:r>
      <w:r w:rsidRPr="006A2BF9">
        <w:rPr>
          <w:lang w:val="it-IT"/>
        </w:rPr>
        <w:t xml:space="preserve">in </w:t>
      </w:r>
      <w:r w:rsidR="008518B3" w:rsidRPr="006A2BF9">
        <w:rPr>
          <w:lang w:val="it-IT"/>
        </w:rPr>
        <w:t>trattamento”</w:t>
      </w:r>
      <w:r w:rsidRPr="006A2BF9">
        <w:rPr>
          <w:lang w:val="it-IT"/>
        </w:rPr>
        <w:t xml:space="preserve">, hanno confermato il beneficio clinico significativamente superiore per i pazienti trattati con </w:t>
      </w:r>
      <w:r w:rsidR="00D37A63" w:rsidRPr="006A2BF9">
        <w:rPr>
          <w:lang w:val="it-IT"/>
        </w:rPr>
        <w:t>bevacizumab</w:t>
      </w:r>
      <w:r w:rsidR="00D37A63" w:rsidRPr="006A2BF9" w:rsidDel="00FD6236">
        <w:rPr>
          <w:lang w:val="it-IT"/>
        </w:rPr>
        <w:t xml:space="preserve"> </w:t>
      </w:r>
      <w:r w:rsidRPr="006A2BF9">
        <w:rPr>
          <w:lang w:val="it-IT"/>
        </w:rPr>
        <w:t xml:space="preserve">(analisi </w:t>
      </w:r>
      <w:r w:rsidR="00005746" w:rsidRPr="006A2BF9">
        <w:rPr>
          <w:lang w:val="it-IT"/>
        </w:rPr>
        <w:t>mostrate</w:t>
      </w:r>
      <w:r w:rsidRPr="006A2BF9">
        <w:rPr>
          <w:lang w:val="it-IT"/>
        </w:rPr>
        <w:t xml:space="preserve"> nella tabella</w:t>
      </w:r>
      <w:r w:rsidR="00013161" w:rsidRPr="006A2BF9">
        <w:rPr>
          <w:lang w:val="it-IT"/>
        </w:rPr>
        <w:t> </w:t>
      </w:r>
      <w:r w:rsidR="00D966E3" w:rsidRPr="006A2BF9">
        <w:rPr>
          <w:lang w:val="it-IT"/>
        </w:rPr>
        <w:t>7</w:t>
      </w:r>
      <w:r w:rsidRPr="006A2BF9">
        <w:rPr>
          <w:lang w:val="it-IT"/>
        </w:rPr>
        <w:t xml:space="preserve">), coerente con </w:t>
      </w:r>
      <w:r w:rsidR="00005746" w:rsidRPr="006A2BF9">
        <w:rPr>
          <w:lang w:val="it-IT"/>
        </w:rPr>
        <w:t>il beneficio</w:t>
      </w:r>
      <w:r w:rsidRPr="006A2BF9">
        <w:rPr>
          <w:lang w:val="it-IT"/>
        </w:rPr>
        <w:t xml:space="preserve"> statistica</w:t>
      </w:r>
      <w:r w:rsidR="00005746" w:rsidRPr="006A2BF9">
        <w:rPr>
          <w:lang w:val="it-IT"/>
        </w:rPr>
        <w:t>mente significativo osservato</w:t>
      </w:r>
      <w:r w:rsidRPr="006A2BF9">
        <w:rPr>
          <w:lang w:val="it-IT"/>
        </w:rPr>
        <w:t xml:space="preserve"> nell’analisi combinata.</w:t>
      </w:r>
    </w:p>
    <w:p w14:paraId="4801A820" w14:textId="77777777" w:rsidR="008D7C25" w:rsidRPr="006A2BF9" w:rsidRDefault="008D7C25" w:rsidP="008D7C25">
      <w:pPr>
        <w:rPr>
          <w:b/>
          <w:lang w:val="it-IT"/>
        </w:rPr>
      </w:pPr>
    </w:p>
    <w:p w14:paraId="029BB842" w14:textId="77777777" w:rsidR="008D7C25" w:rsidRPr="006A2BF9" w:rsidRDefault="008D7C25" w:rsidP="001B5FB1">
      <w:pPr>
        <w:keepNext/>
        <w:keepLines/>
        <w:ind w:left="1418" w:hanging="1418"/>
        <w:rPr>
          <w:b/>
          <w:lang w:val="it-IT"/>
        </w:rPr>
      </w:pPr>
      <w:r w:rsidRPr="006A2BF9">
        <w:rPr>
          <w:b/>
          <w:lang w:val="it-IT"/>
        </w:rPr>
        <w:lastRenderedPageBreak/>
        <w:t>Tabella </w:t>
      </w:r>
      <w:r w:rsidR="00D966E3" w:rsidRPr="006A2BF9">
        <w:rPr>
          <w:b/>
          <w:lang w:val="it-IT"/>
        </w:rPr>
        <w:t>7</w:t>
      </w:r>
      <w:r w:rsidRPr="006A2BF9">
        <w:rPr>
          <w:b/>
          <w:lang w:val="it-IT"/>
        </w:rPr>
        <w:tab/>
      </w:r>
      <w:r w:rsidR="00CF659F" w:rsidRPr="006A2BF9">
        <w:rPr>
          <w:b/>
          <w:lang w:val="it-IT"/>
        </w:rPr>
        <w:t>Principali r</w:t>
      </w:r>
      <w:r w:rsidRPr="006A2BF9">
        <w:rPr>
          <w:b/>
          <w:lang w:val="it-IT"/>
        </w:rPr>
        <w:t xml:space="preserve">isultati </w:t>
      </w:r>
      <w:r w:rsidR="00005746" w:rsidRPr="006A2BF9">
        <w:rPr>
          <w:b/>
          <w:lang w:val="it-IT"/>
        </w:rPr>
        <w:t xml:space="preserve">di efficacia </w:t>
      </w:r>
      <w:r w:rsidRPr="006A2BF9">
        <w:rPr>
          <w:b/>
          <w:lang w:val="it-IT"/>
        </w:rPr>
        <w:t>per l’analisi di superiorità (popolazione ITT – studio NO16966)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2108"/>
        <w:gridCol w:w="2108"/>
        <w:gridCol w:w="1578"/>
      </w:tblGrid>
      <w:tr w:rsidR="008D7C25" w:rsidRPr="006A2BF9" w14:paraId="350323A9" w14:textId="77777777" w:rsidTr="00E93D3C">
        <w:trPr>
          <w:tblHeader/>
        </w:trPr>
        <w:tc>
          <w:tcPr>
            <w:tcW w:w="1803" w:type="pct"/>
            <w:tcBorders>
              <w:bottom w:val="single" w:sz="4" w:space="0" w:color="auto"/>
            </w:tcBorders>
            <w:shd w:val="clear" w:color="auto" w:fill="auto"/>
          </w:tcPr>
          <w:p w14:paraId="2AF86D48" w14:textId="77777777" w:rsidR="008D7C25" w:rsidRPr="006A2BF9" w:rsidRDefault="008D7C25" w:rsidP="00E93D3C">
            <w:pPr>
              <w:keepNext/>
              <w:keepLines/>
              <w:rPr>
                <w:b/>
                <w:bCs/>
                <w:sz w:val="20"/>
                <w:lang w:val="it-IT" w:eastAsia="da-DK"/>
              </w:rPr>
            </w:pPr>
            <w:r w:rsidRPr="006A2BF9">
              <w:rPr>
                <w:b/>
                <w:bCs/>
                <w:sz w:val="20"/>
                <w:lang w:val="it-IT" w:eastAsia="da-DK"/>
              </w:rPr>
              <w:t>Endpoint (mesi)</w:t>
            </w:r>
          </w:p>
        </w:tc>
        <w:tc>
          <w:tcPr>
            <w:tcW w:w="1163" w:type="pct"/>
            <w:tcBorders>
              <w:bottom w:val="single" w:sz="4" w:space="0" w:color="auto"/>
            </w:tcBorders>
            <w:shd w:val="clear" w:color="auto" w:fill="auto"/>
          </w:tcPr>
          <w:p w14:paraId="17852A91" w14:textId="77777777" w:rsidR="00D37A63" w:rsidRPr="006A2BF9" w:rsidRDefault="008D7C25" w:rsidP="00E93D3C">
            <w:pPr>
              <w:keepNext/>
              <w:keepLines/>
              <w:jc w:val="center"/>
              <w:rPr>
                <w:b/>
                <w:bCs/>
                <w:sz w:val="20"/>
                <w:lang w:val="it-IT" w:eastAsia="da-DK"/>
              </w:rPr>
            </w:pPr>
            <w:r w:rsidRPr="006A2BF9">
              <w:rPr>
                <w:b/>
                <w:bCs/>
                <w:sz w:val="20"/>
                <w:lang w:val="it-IT" w:eastAsia="da-DK"/>
              </w:rPr>
              <w:t>FOLFOX-4</w:t>
            </w:r>
          </w:p>
          <w:p w14:paraId="6ABECB20" w14:textId="77777777" w:rsidR="008D7C25" w:rsidRPr="006A2BF9" w:rsidRDefault="008D7C25" w:rsidP="00E93D3C">
            <w:pPr>
              <w:keepNext/>
              <w:keepLines/>
              <w:jc w:val="center"/>
              <w:rPr>
                <w:b/>
                <w:bCs/>
                <w:sz w:val="20"/>
                <w:lang w:val="it-IT" w:eastAsia="da-DK"/>
              </w:rPr>
            </w:pPr>
            <w:r w:rsidRPr="006A2BF9">
              <w:rPr>
                <w:b/>
                <w:bCs/>
                <w:sz w:val="20"/>
                <w:lang w:val="it-IT" w:eastAsia="da-DK"/>
              </w:rPr>
              <w:t>o XELOX</w:t>
            </w:r>
          </w:p>
          <w:p w14:paraId="34836B49" w14:textId="77777777" w:rsidR="008D7C25" w:rsidRPr="006A2BF9" w:rsidRDefault="008D7C25" w:rsidP="00D37A63">
            <w:pPr>
              <w:keepNext/>
              <w:keepLines/>
              <w:jc w:val="center"/>
              <w:rPr>
                <w:b/>
                <w:bCs/>
                <w:sz w:val="20"/>
                <w:lang w:val="it-IT" w:eastAsia="da-DK"/>
              </w:rPr>
            </w:pPr>
            <w:r w:rsidRPr="006A2BF9">
              <w:rPr>
                <w:b/>
                <w:bCs/>
                <w:sz w:val="20"/>
                <w:lang w:val="it-IT" w:eastAsia="da-DK"/>
              </w:rPr>
              <w:t>+</w:t>
            </w:r>
            <w:r w:rsidR="0012374C" w:rsidRPr="006A2BF9">
              <w:rPr>
                <w:b/>
                <w:bCs/>
                <w:sz w:val="20"/>
                <w:lang w:val="it-IT" w:eastAsia="da-DK"/>
              </w:rPr>
              <w:t> </w:t>
            </w:r>
            <w:r w:rsidR="00496F3E" w:rsidRPr="006A2BF9">
              <w:rPr>
                <w:b/>
                <w:bCs/>
                <w:sz w:val="20"/>
                <w:lang w:val="it-IT" w:eastAsia="da-DK"/>
              </w:rPr>
              <w:t>p</w:t>
            </w:r>
            <w:r w:rsidRPr="006A2BF9">
              <w:rPr>
                <w:b/>
                <w:bCs/>
                <w:sz w:val="20"/>
                <w:lang w:val="it-IT" w:eastAsia="da-DK"/>
              </w:rPr>
              <w:t>lacebo</w:t>
            </w:r>
            <w:r w:rsidR="00D37A63" w:rsidRPr="006A2BF9">
              <w:rPr>
                <w:b/>
                <w:bCs/>
                <w:sz w:val="20"/>
                <w:lang w:val="it-IT" w:eastAsia="da-DK"/>
              </w:rPr>
              <w:t xml:space="preserve"> </w:t>
            </w:r>
            <w:r w:rsidRPr="006A2BF9">
              <w:rPr>
                <w:b/>
                <w:bCs/>
                <w:sz w:val="20"/>
                <w:lang w:val="it-IT" w:eastAsia="da-DK"/>
              </w:rPr>
              <w:t>(n</w:t>
            </w:r>
            <w:r w:rsidR="0012374C" w:rsidRPr="006A2BF9">
              <w:rPr>
                <w:b/>
                <w:bCs/>
                <w:sz w:val="20"/>
                <w:lang w:val="it-IT" w:eastAsia="da-DK"/>
              </w:rPr>
              <w:t> </w:t>
            </w:r>
            <w:r w:rsidRPr="006A2BF9">
              <w:rPr>
                <w:b/>
                <w:bCs/>
                <w:sz w:val="20"/>
                <w:lang w:val="it-IT" w:eastAsia="da-DK"/>
              </w:rPr>
              <w:t>=</w:t>
            </w:r>
            <w:r w:rsidR="0012374C" w:rsidRPr="006A2BF9">
              <w:rPr>
                <w:b/>
                <w:bCs/>
                <w:sz w:val="20"/>
                <w:lang w:val="it-IT" w:eastAsia="da-DK"/>
              </w:rPr>
              <w:t> </w:t>
            </w:r>
            <w:r w:rsidRPr="006A2BF9">
              <w:rPr>
                <w:b/>
                <w:bCs/>
                <w:sz w:val="20"/>
                <w:lang w:val="it-IT" w:eastAsia="da-DK"/>
              </w:rPr>
              <w:t>701)</w:t>
            </w:r>
          </w:p>
        </w:tc>
        <w:tc>
          <w:tcPr>
            <w:tcW w:w="1163" w:type="pct"/>
            <w:tcBorders>
              <w:bottom w:val="single" w:sz="4" w:space="0" w:color="auto"/>
            </w:tcBorders>
            <w:shd w:val="clear" w:color="auto" w:fill="auto"/>
          </w:tcPr>
          <w:p w14:paraId="30B78F23" w14:textId="77777777" w:rsidR="00D37A63" w:rsidRPr="006A2BF9" w:rsidRDefault="008D7C25" w:rsidP="00E93D3C">
            <w:pPr>
              <w:keepNext/>
              <w:keepLines/>
              <w:jc w:val="center"/>
              <w:rPr>
                <w:b/>
                <w:bCs/>
                <w:sz w:val="20"/>
                <w:lang w:val="it-IT" w:eastAsia="da-DK"/>
              </w:rPr>
            </w:pPr>
            <w:r w:rsidRPr="006A2BF9">
              <w:rPr>
                <w:b/>
                <w:bCs/>
                <w:sz w:val="20"/>
                <w:lang w:val="it-IT" w:eastAsia="da-DK"/>
              </w:rPr>
              <w:t>FOLFOX-4</w:t>
            </w:r>
          </w:p>
          <w:p w14:paraId="0CFAED5C" w14:textId="77777777" w:rsidR="008D7C25" w:rsidRPr="006A2BF9" w:rsidRDefault="008D7C25" w:rsidP="00E93D3C">
            <w:pPr>
              <w:keepNext/>
              <w:keepLines/>
              <w:jc w:val="center"/>
              <w:rPr>
                <w:b/>
                <w:bCs/>
                <w:sz w:val="20"/>
                <w:lang w:val="it-IT" w:eastAsia="da-DK"/>
              </w:rPr>
            </w:pPr>
            <w:r w:rsidRPr="006A2BF9">
              <w:rPr>
                <w:b/>
                <w:bCs/>
                <w:sz w:val="20"/>
                <w:lang w:val="it-IT" w:eastAsia="da-DK"/>
              </w:rPr>
              <w:t>o XELOX</w:t>
            </w:r>
          </w:p>
          <w:p w14:paraId="1170AC61" w14:textId="77777777" w:rsidR="008D7C25" w:rsidRPr="006A2BF9" w:rsidRDefault="008D7C25" w:rsidP="00D37A63">
            <w:pPr>
              <w:keepNext/>
              <w:keepLines/>
              <w:jc w:val="center"/>
              <w:rPr>
                <w:b/>
                <w:bCs/>
                <w:sz w:val="20"/>
                <w:lang w:val="it-IT" w:eastAsia="da-DK"/>
              </w:rPr>
            </w:pPr>
            <w:r w:rsidRPr="006A2BF9">
              <w:rPr>
                <w:b/>
                <w:bCs/>
                <w:sz w:val="20"/>
                <w:lang w:val="it-IT" w:eastAsia="da-DK"/>
              </w:rPr>
              <w:t>+</w:t>
            </w:r>
            <w:r w:rsidR="0012374C" w:rsidRPr="006A2BF9">
              <w:rPr>
                <w:b/>
                <w:bCs/>
                <w:sz w:val="20"/>
                <w:lang w:val="it-IT" w:eastAsia="da-DK"/>
              </w:rPr>
              <w:t> </w:t>
            </w:r>
            <w:r w:rsidR="00496F3E" w:rsidRPr="006A2BF9">
              <w:rPr>
                <w:b/>
                <w:bCs/>
                <w:sz w:val="20"/>
                <w:lang w:val="it-IT" w:eastAsia="da-DK"/>
              </w:rPr>
              <w:t>b</w:t>
            </w:r>
            <w:r w:rsidRPr="006A2BF9">
              <w:rPr>
                <w:b/>
                <w:bCs/>
                <w:sz w:val="20"/>
                <w:lang w:val="it-IT" w:eastAsia="da-DK"/>
              </w:rPr>
              <w:t>evacizumab (n</w:t>
            </w:r>
            <w:r w:rsidR="0012374C" w:rsidRPr="006A2BF9">
              <w:rPr>
                <w:b/>
                <w:bCs/>
                <w:sz w:val="20"/>
                <w:lang w:val="it-IT" w:eastAsia="da-DK"/>
              </w:rPr>
              <w:t> </w:t>
            </w:r>
            <w:r w:rsidRPr="006A2BF9">
              <w:rPr>
                <w:b/>
                <w:bCs/>
                <w:sz w:val="20"/>
                <w:lang w:val="it-IT" w:eastAsia="da-DK"/>
              </w:rPr>
              <w:t>=</w:t>
            </w:r>
            <w:r w:rsidR="0012374C" w:rsidRPr="006A2BF9">
              <w:rPr>
                <w:b/>
                <w:bCs/>
                <w:sz w:val="20"/>
                <w:lang w:val="it-IT" w:eastAsia="da-DK"/>
              </w:rPr>
              <w:t> </w:t>
            </w:r>
            <w:r w:rsidRPr="006A2BF9">
              <w:rPr>
                <w:b/>
                <w:bCs/>
                <w:sz w:val="20"/>
                <w:lang w:val="it-IT" w:eastAsia="da-DK"/>
              </w:rPr>
              <w:t>699)</w:t>
            </w:r>
          </w:p>
        </w:tc>
        <w:tc>
          <w:tcPr>
            <w:tcW w:w="872" w:type="pct"/>
            <w:shd w:val="clear" w:color="auto" w:fill="auto"/>
          </w:tcPr>
          <w:p w14:paraId="2A91C36E" w14:textId="77777777" w:rsidR="008D7C25" w:rsidRPr="006A2BF9" w:rsidRDefault="00005746" w:rsidP="00E93D3C">
            <w:pPr>
              <w:keepNext/>
              <w:keepLines/>
              <w:jc w:val="center"/>
              <w:rPr>
                <w:b/>
                <w:bCs/>
                <w:sz w:val="20"/>
                <w:lang w:val="it-IT" w:eastAsia="da-DK"/>
              </w:rPr>
            </w:pPr>
            <w:r w:rsidRPr="006A2BF9">
              <w:rPr>
                <w:b/>
                <w:bCs/>
                <w:sz w:val="20"/>
                <w:lang w:val="it-IT" w:eastAsia="da-DK"/>
              </w:rPr>
              <w:t>Valore di p</w:t>
            </w:r>
          </w:p>
        </w:tc>
      </w:tr>
      <w:tr w:rsidR="008D7C25" w:rsidRPr="006A2BF9" w14:paraId="45CD1834" w14:textId="77777777" w:rsidTr="00E93D3C">
        <w:tc>
          <w:tcPr>
            <w:tcW w:w="1803" w:type="pct"/>
            <w:tcBorders>
              <w:right w:val="nil"/>
            </w:tcBorders>
            <w:shd w:val="clear" w:color="auto" w:fill="auto"/>
          </w:tcPr>
          <w:p w14:paraId="547BD5EC" w14:textId="77777777" w:rsidR="008D7C25" w:rsidRPr="006A2BF9" w:rsidRDefault="008D7C25" w:rsidP="00E93D3C">
            <w:pPr>
              <w:keepNext/>
              <w:keepLines/>
              <w:spacing w:line="480" w:lineRule="auto"/>
              <w:rPr>
                <w:sz w:val="20"/>
                <w:lang w:val="it-IT" w:eastAsia="da-DK"/>
              </w:rPr>
            </w:pPr>
            <w:r w:rsidRPr="006A2BF9">
              <w:rPr>
                <w:sz w:val="20"/>
                <w:lang w:val="it-IT" w:eastAsia="da-DK"/>
              </w:rPr>
              <w:t>Endpoint primario</w:t>
            </w:r>
          </w:p>
        </w:tc>
        <w:tc>
          <w:tcPr>
            <w:tcW w:w="1163" w:type="pct"/>
            <w:tcBorders>
              <w:left w:val="nil"/>
              <w:right w:val="nil"/>
            </w:tcBorders>
            <w:shd w:val="clear" w:color="auto" w:fill="auto"/>
          </w:tcPr>
          <w:p w14:paraId="2DCA9C2C" w14:textId="77777777" w:rsidR="008D7C25" w:rsidRPr="006A2BF9" w:rsidRDefault="008D7C25" w:rsidP="00E93D3C">
            <w:pPr>
              <w:keepNext/>
              <w:keepLines/>
              <w:spacing w:line="480" w:lineRule="auto"/>
              <w:rPr>
                <w:sz w:val="20"/>
                <w:lang w:val="it-IT" w:eastAsia="da-DK"/>
              </w:rPr>
            </w:pPr>
          </w:p>
        </w:tc>
        <w:tc>
          <w:tcPr>
            <w:tcW w:w="1163" w:type="pct"/>
            <w:tcBorders>
              <w:left w:val="nil"/>
              <w:right w:val="nil"/>
            </w:tcBorders>
            <w:shd w:val="clear" w:color="auto" w:fill="auto"/>
          </w:tcPr>
          <w:p w14:paraId="50D60ADE" w14:textId="77777777" w:rsidR="008D7C25" w:rsidRPr="006A2BF9" w:rsidRDefault="008D7C25" w:rsidP="00E93D3C">
            <w:pPr>
              <w:keepNext/>
              <w:keepLines/>
              <w:spacing w:line="480" w:lineRule="auto"/>
              <w:rPr>
                <w:sz w:val="20"/>
                <w:lang w:val="it-IT" w:eastAsia="da-DK"/>
              </w:rPr>
            </w:pPr>
          </w:p>
        </w:tc>
        <w:tc>
          <w:tcPr>
            <w:tcW w:w="872" w:type="pct"/>
            <w:tcBorders>
              <w:left w:val="nil"/>
            </w:tcBorders>
            <w:shd w:val="clear" w:color="auto" w:fill="auto"/>
          </w:tcPr>
          <w:p w14:paraId="3E6BBA0B" w14:textId="77777777" w:rsidR="008D7C25" w:rsidRPr="006A2BF9" w:rsidRDefault="008D7C25" w:rsidP="00E93D3C">
            <w:pPr>
              <w:keepNext/>
              <w:keepLines/>
              <w:spacing w:line="480" w:lineRule="auto"/>
              <w:rPr>
                <w:sz w:val="20"/>
                <w:lang w:val="it-IT" w:eastAsia="da-DK"/>
              </w:rPr>
            </w:pPr>
          </w:p>
        </w:tc>
      </w:tr>
      <w:tr w:rsidR="008D7C25" w:rsidRPr="006A2BF9" w14:paraId="14B6D72C" w14:textId="77777777" w:rsidTr="00E93D3C">
        <w:tc>
          <w:tcPr>
            <w:tcW w:w="1803" w:type="pct"/>
            <w:shd w:val="clear" w:color="auto" w:fill="auto"/>
          </w:tcPr>
          <w:p w14:paraId="6826656B" w14:textId="77777777" w:rsidR="008D7C25" w:rsidRPr="006A2BF9" w:rsidRDefault="008D7C25" w:rsidP="00E93D3C">
            <w:pPr>
              <w:keepNext/>
              <w:keepLines/>
              <w:spacing w:line="480" w:lineRule="auto"/>
              <w:ind w:left="360"/>
              <w:rPr>
                <w:sz w:val="20"/>
                <w:lang w:val="it-IT" w:eastAsia="da-DK"/>
              </w:rPr>
            </w:pPr>
            <w:r w:rsidRPr="006A2BF9">
              <w:rPr>
                <w:sz w:val="20"/>
                <w:lang w:val="it-IT" w:eastAsia="da-DK"/>
              </w:rPr>
              <w:t>PFS mediana**</w:t>
            </w:r>
          </w:p>
        </w:tc>
        <w:tc>
          <w:tcPr>
            <w:tcW w:w="1163" w:type="pct"/>
            <w:shd w:val="clear" w:color="auto" w:fill="auto"/>
          </w:tcPr>
          <w:p w14:paraId="240DB49B" w14:textId="77777777" w:rsidR="008D7C25" w:rsidRPr="006A2BF9" w:rsidRDefault="00005746" w:rsidP="00E93D3C">
            <w:pPr>
              <w:keepNext/>
              <w:keepLines/>
              <w:spacing w:line="480" w:lineRule="auto"/>
              <w:jc w:val="center"/>
              <w:rPr>
                <w:sz w:val="20"/>
                <w:lang w:val="it-IT" w:eastAsia="da-DK"/>
              </w:rPr>
            </w:pPr>
            <w:r w:rsidRPr="006A2BF9">
              <w:rPr>
                <w:sz w:val="20"/>
                <w:lang w:val="it-IT" w:eastAsia="da-DK"/>
              </w:rPr>
              <w:t>8,</w:t>
            </w:r>
            <w:r w:rsidR="008D7C25" w:rsidRPr="006A2BF9">
              <w:rPr>
                <w:sz w:val="20"/>
                <w:lang w:val="it-IT" w:eastAsia="da-DK"/>
              </w:rPr>
              <w:t>0</w:t>
            </w:r>
          </w:p>
        </w:tc>
        <w:tc>
          <w:tcPr>
            <w:tcW w:w="1163" w:type="pct"/>
            <w:shd w:val="clear" w:color="auto" w:fill="auto"/>
          </w:tcPr>
          <w:p w14:paraId="3CD66604" w14:textId="77777777" w:rsidR="008D7C25" w:rsidRPr="006A2BF9" w:rsidRDefault="008D7C25" w:rsidP="00E93D3C">
            <w:pPr>
              <w:keepNext/>
              <w:keepLines/>
              <w:spacing w:line="480" w:lineRule="auto"/>
              <w:jc w:val="center"/>
              <w:rPr>
                <w:sz w:val="20"/>
                <w:lang w:val="it-IT" w:eastAsia="da-DK"/>
              </w:rPr>
            </w:pPr>
            <w:r w:rsidRPr="006A2BF9">
              <w:rPr>
                <w:sz w:val="20"/>
                <w:lang w:val="it-IT" w:eastAsia="da-DK"/>
              </w:rPr>
              <w:t>9</w:t>
            </w:r>
            <w:r w:rsidR="00005746" w:rsidRPr="006A2BF9">
              <w:rPr>
                <w:sz w:val="20"/>
                <w:lang w:val="it-IT" w:eastAsia="da-DK"/>
              </w:rPr>
              <w:t>,</w:t>
            </w:r>
            <w:r w:rsidRPr="006A2BF9">
              <w:rPr>
                <w:sz w:val="20"/>
                <w:lang w:val="it-IT" w:eastAsia="da-DK"/>
              </w:rPr>
              <w:t>4</w:t>
            </w:r>
          </w:p>
        </w:tc>
        <w:tc>
          <w:tcPr>
            <w:tcW w:w="872" w:type="pct"/>
            <w:shd w:val="clear" w:color="auto" w:fill="auto"/>
          </w:tcPr>
          <w:p w14:paraId="08147AC7" w14:textId="77777777" w:rsidR="008D7C25" w:rsidRPr="006A2BF9" w:rsidRDefault="008D7C25" w:rsidP="00E93D3C">
            <w:pPr>
              <w:keepNext/>
              <w:keepLines/>
              <w:spacing w:line="480" w:lineRule="auto"/>
              <w:jc w:val="center"/>
              <w:rPr>
                <w:sz w:val="20"/>
                <w:lang w:val="it-IT" w:eastAsia="da-DK"/>
              </w:rPr>
            </w:pPr>
            <w:r w:rsidRPr="006A2BF9">
              <w:rPr>
                <w:sz w:val="20"/>
                <w:lang w:val="it-IT" w:eastAsia="da-DK"/>
              </w:rPr>
              <w:t>0</w:t>
            </w:r>
            <w:r w:rsidR="00005746" w:rsidRPr="006A2BF9">
              <w:rPr>
                <w:sz w:val="20"/>
                <w:lang w:val="it-IT" w:eastAsia="da-DK"/>
              </w:rPr>
              <w:t>,</w:t>
            </w:r>
            <w:r w:rsidRPr="006A2BF9">
              <w:rPr>
                <w:sz w:val="20"/>
                <w:lang w:val="it-IT" w:eastAsia="da-DK"/>
              </w:rPr>
              <w:t>0023</w:t>
            </w:r>
          </w:p>
        </w:tc>
      </w:tr>
      <w:tr w:rsidR="008D7C25" w:rsidRPr="006A2BF9" w14:paraId="3883FE94" w14:textId="77777777" w:rsidTr="00E93D3C">
        <w:tc>
          <w:tcPr>
            <w:tcW w:w="1803" w:type="pct"/>
            <w:tcBorders>
              <w:bottom w:val="single" w:sz="4" w:space="0" w:color="auto"/>
            </w:tcBorders>
            <w:shd w:val="clear" w:color="auto" w:fill="auto"/>
          </w:tcPr>
          <w:p w14:paraId="45697346" w14:textId="77777777" w:rsidR="008D7C25" w:rsidRPr="00EA41E1" w:rsidRDefault="008D7C25" w:rsidP="00570D9F">
            <w:pPr>
              <w:keepNext/>
              <w:keepLines/>
              <w:spacing w:line="480" w:lineRule="auto"/>
              <w:ind w:left="720"/>
              <w:rPr>
                <w:sz w:val="20"/>
                <w:lang w:val="es-ES" w:eastAsia="da-DK"/>
              </w:rPr>
            </w:pPr>
            <w:r w:rsidRPr="00EA41E1">
              <w:rPr>
                <w:i/>
                <w:sz w:val="20"/>
                <w:lang w:val="es-ES" w:eastAsia="da-DK"/>
              </w:rPr>
              <w:t>Hazard ratio</w:t>
            </w:r>
            <w:r w:rsidRPr="00EA41E1">
              <w:rPr>
                <w:sz w:val="20"/>
                <w:lang w:val="es-ES" w:eastAsia="da-DK"/>
              </w:rPr>
              <w:t xml:space="preserve"> (I</w:t>
            </w:r>
            <w:r w:rsidR="00005746" w:rsidRPr="00EA41E1">
              <w:rPr>
                <w:sz w:val="20"/>
                <w:lang w:val="es-ES" w:eastAsia="da-DK"/>
              </w:rPr>
              <w:t xml:space="preserve">C </w:t>
            </w:r>
            <w:r w:rsidR="00831FDE" w:rsidRPr="00EA41E1">
              <w:rPr>
                <w:sz w:val="20"/>
                <w:lang w:val="es-ES" w:eastAsia="da-DK"/>
              </w:rPr>
              <w:t xml:space="preserve">al </w:t>
            </w:r>
            <w:r w:rsidR="00005746" w:rsidRPr="00EA41E1">
              <w:rPr>
                <w:sz w:val="20"/>
                <w:lang w:val="es-ES" w:eastAsia="da-DK"/>
              </w:rPr>
              <w:t>97</w:t>
            </w:r>
            <w:r w:rsidR="00570D9F" w:rsidRPr="00EA41E1">
              <w:rPr>
                <w:sz w:val="20"/>
                <w:lang w:val="es-ES" w:eastAsia="da-DK"/>
              </w:rPr>
              <w:t>,</w:t>
            </w:r>
            <w:r w:rsidR="00005746" w:rsidRPr="00EA41E1">
              <w:rPr>
                <w:sz w:val="20"/>
                <w:lang w:val="es-ES" w:eastAsia="da-DK"/>
              </w:rPr>
              <w:t>5%</w:t>
            </w:r>
            <w:r w:rsidRPr="00EA41E1">
              <w:rPr>
                <w:sz w:val="20"/>
                <w:lang w:val="es-ES" w:eastAsia="da-DK"/>
              </w:rPr>
              <w:t>)</w:t>
            </w:r>
            <w:r w:rsidRPr="00EA41E1">
              <w:rPr>
                <w:sz w:val="20"/>
                <w:vertAlign w:val="superscript"/>
                <w:lang w:val="es-ES" w:eastAsia="da-DK"/>
              </w:rPr>
              <w:t>a</w:t>
            </w:r>
          </w:p>
        </w:tc>
        <w:tc>
          <w:tcPr>
            <w:tcW w:w="2326" w:type="pct"/>
            <w:gridSpan w:val="2"/>
            <w:shd w:val="clear" w:color="auto" w:fill="auto"/>
          </w:tcPr>
          <w:p w14:paraId="7978186C" w14:textId="77777777" w:rsidR="008D7C25" w:rsidRPr="00330A40" w:rsidRDefault="00005746" w:rsidP="00E93D3C">
            <w:pPr>
              <w:keepNext/>
              <w:keepLines/>
              <w:spacing w:line="480" w:lineRule="auto"/>
              <w:jc w:val="center"/>
              <w:rPr>
                <w:sz w:val="20"/>
                <w:lang w:val="it-IT" w:eastAsia="da-DK"/>
              </w:rPr>
            </w:pPr>
            <w:r w:rsidRPr="00330A40">
              <w:rPr>
                <w:sz w:val="20"/>
                <w:lang w:val="it-IT" w:eastAsia="da-DK"/>
              </w:rPr>
              <w:t>0,</w:t>
            </w:r>
            <w:r w:rsidR="008D7C25" w:rsidRPr="00330A40">
              <w:rPr>
                <w:sz w:val="20"/>
                <w:lang w:val="it-IT" w:eastAsia="da-DK"/>
              </w:rPr>
              <w:t>83 (0</w:t>
            </w:r>
            <w:r w:rsidRPr="00330A40">
              <w:rPr>
                <w:sz w:val="20"/>
                <w:lang w:val="it-IT" w:eastAsia="da-DK"/>
              </w:rPr>
              <w:t>,</w:t>
            </w:r>
            <w:r w:rsidR="008D7C25" w:rsidRPr="00330A40">
              <w:rPr>
                <w:sz w:val="20"/>
                <w:lang w:val="it-IT" w:eastAsia="da-DK"/>
              </w:rPr>
              <w:t>72</w:t>
            </w:r>
            <w:r w:rsidR="0012374C" w:rsidRPr="00330A40">
              <w:rPr>
                <w:sz w:val="20"/>
                <w:lang w:val="it-IT" w:eastAsia="da-DK"/>
              </w:rPr>
              <w:noBreakHyphen/>
            </w:r>
            <w:r w:rsidR="008D7C25" w:rsidRPr="00330A40">
              <w:rPr>
                <w:sz w:val="20"/>
                <w:lang w:val="it-IT" w:eastAsia="da-DK"/>
              </w:rPr>
              <w:t>0</w:t>
            </w:r>
            <w:r w:rsidRPr="00330A40">
              <w:rPr>
                <w:sz w:val="20"/>
                <w:lang w:val="it-IT" w:eastAsia="da-DK"/>
              </w:rPr>
              <w:t>,</w:t>
            </w:r>
            <w:r w:rsidR="008D7C25" w:rsidRPr="00330A40">
              <w:rPr>
                <w:sz w:val="20"/>
                <w:lang w:val="it-IT" w:eastAsia="da-DK"/>
              </w:rPr>
              <w:t>95)</w:t>
            </w:r>
          </w:p>
        </w:tc>
        <w:tc>
          <w:tcPr>
            <w:tcW w:w="872" w:type="pct"/>
            <w:shd w:val="clear" w:color="auto" w:fill="auto"/>
          </w:tcPr>
          <w:p w14:paraId="0F4DD8D4" w14:textId="77777777" w:rsidR="008D7C25" w:rsidRPr="00330A40" w:rsidRDefault="008D7C25" w:rsidP="00E93D3C">
            <w:pPr>
              <w:keepNext/>
              <w:keepLines/>
              <w:spacing w:line="480" w:lineRule="auto"/>
              <w:rPr>
                <w:sz w:val="20"/>
                <w:lang w:val="it-IT" w:eastAsia="da-DK"/>
              </w:rPr>
            </w:pPr>
          </w:p>
        </w:tc>
      </w:tr>
      <w:tr w:rsidR="008D7C25" w:rsidRPr="006A2BF9" w14:paraId="32DB4411" w14:textId="77777777" w:rsidTr="00E93D3C">
        <w:tc>
          <w:tcPr>
            <w:tcW w:w="1803" w:type="pct"/>
            <w:tcBorders>
              <w:right w:val="nil"/>
            </w:tcBorders>
            <w:shd w:val="clear" w:color="auto" w:fill="auto"/>
          </w:tcPr>
          <w:p w14:paraId="3ACA4B22" w14:textId="77777777" w:rsidR="008D7C25" w:rsidRPr="006A2BF9" w:rsidRDefault="00005746" w:rsidP="00E93D3C">
            <w:pPr>
              <w:keepNext/>
              <w:keepLines/>
              <w:spacing w:line="480" w:lineRule="auto"/>
              <w:rPr>
                <w:sz w:val="20"/>
                <w:lang w:val="it-IT" w:eastAsia="da-DK"/>
              </w:rPr>
            </w:pPr>
            <w:r w:rsidRPr="006A2BF9">
              <w:rPr>
                <w:sz w:val="20"/>
                <w:lang w:val="it-IT" w:eastAsia="da-DK"/>
              </w:rPr>
              <w:t>E</w:t>
            </w:r>
            <w:r w:rsidR="008D7C25" w:rsidRPr="006A2BF9">
              <w:rPr>
                <w:sz w:val="20"/>
                <w:lang w:val="it-IT" w:eastAsia="da-DK"/>
              </w:rPr>
              <w:t>ndpoint secondari</w:t>
            </w:r>
          </w:p>
        </w:tc>
        <w:tc>
          <w:tcPr>
            <w:tcW w:w="1163" w:type="pct"/>
            <w:tcBorders>
              <w:left w:val="nil"/>
              <w:right w:val="nil"/>
            </w:tcBorders>
            <w:shd w:val="clear" w:color="auto" w:fill="auto"/>
          </w:tcPr>
          <w:p w14:paraId="7DB1293F" w14:textId="77777777" w:rsidR="008D7C25" w:rsidRPr="006A2BF9" w:rsidRDefault="008D7C25" w:rsidP="00E93D3C">
            <w:pPr>
              <w:keepNext/>
              <w:keepLines/>
              <w:spacing w:line="480" w:lineRule="auto"/>
              <w:rPr>
                <w:sz w:val="20"/>
                <w:lang w:val="it-IT" w:eastAsia="da-DK"/>
              </w:rPr>
            </w:pPr>
          </w:p>
        </w:tc>
        <w:tc>
          <w:tcPr>
            <w:tcW w:w="1163" w:type="pct"/>
            <w:tcBorders>
              <w:left w:val="nil"/>
              <w:right w:val="nil"/>
            </w:tcBorders>
            <w:shd w:val="clear" w:color="auto" w:fill="auto"/>
          </w:tcPr>
          <w:p w14:paraId="1088442F" w14:textId="77777777" w:rsidR="008D7C25" w:rsidRPr="006A2BF9" w:rsidRDefault="008D7C25" w:rsidP="00E93D3C">
            <w:pPr>
              <w:keepNext/>
              <w:keepLines/>
              <w:spacing w:line="480" w:lineRule="auto"/>
              <w:rPr>
                <w:sz w:val="20"/>
                <w:lang w:val="it-IT" w:eastAsia="da-DK"/>
              </w:rPr>
            </w:pPr>
          </w:p>
        </w:tc>
        <w:tc>
          <w:tcPr>
            <w:tcW w:w="872" w:type="pct"/>
            <w:tcBorders>
              <w:left w:val="nil"/>
            </w:tcBorders>
            <w:shd w:val="clear" w:color="auto" w:fill="auto"/>
          </w:tcPr>
          <w:p w14:paraId="56AC80EF" w14:textId="77777777" w:rsidR="008D7C25" w:rsidRPr="006A2BF9" w:rsidRDefault="008D7C25" w:rsidP="00E93D3C">
            <w:pPr>
              <w:keepNext/>
              <w:keepLines/>
              <w:spacing w:line="480" w:lineRule="auto"/>
              <w:rPr>
                <w:sz w:val="20"/>
                <w:lang w:val="it-IT" w:eastAsia="da-DK"/>
              </w:rPr>
            </w:pPr>
          </w:p>
        </w:tc>
      </w:tr>
      <w:tr w:rsidR="008D7C25" w:rsidRPr="006A2BF9" w14:paraId="6E8DE5AB" w14:textId="77777777" w:rsidTr="00E93D3C">
        <w:tc>
          <w:tcPr>
            <w:tcW w:w="1803" w:type="pct"/>
            <w:shd w:val="clear" w:color="auto" w:fill="auto"/>
          </w:tcPr>
          <w:p w14:paraId="20CF0197" w14:textId="77777777" w:rsidR="008D7C25" w:rsidRPr="006A2BF9" w:rsidRDefault="008D7C25" w:rsidP="00E93D3C">
            <w:pPr>
              <w:keepNext/>
              <w:keepLines/>
              <w:spacing w:line="480" w:lineRule="auto"/>
              <w:ind w:left="360"/>
              <w:rPr>
                <w:sz w:val="20"/>
                <w:lang w:val="it-IT" w:eastAsia="da-DK"/>
              </w:rPr>
            </w:pPr>
            <w:r w:rsidRPr="006A2BF9">
              <w:rPr>
                <w:sz w:val="20"/>
                <w:lang w:val="it-IT" w:eastAsia="da-DK"/>
              </w:rPr>
              <w:t>PFS mediana (in trattamento)**</w:t>
            </w:r>
          </w:p>
        </w:tc>
        <w:tc>
          <w:tcPr>
            <w:tcW w:w="1163" w:type="pct"/>
            <w:shd w:val="clear" w:color="auto" w:fill="auto"/>
          </w:tcPr>
          <w:p w14:paraId="407CC749" w14:textId="77777777" w:rsidR="008D7C25" w:rsidRPr="006A2BF9" w:rsidRDefault="008D7C25" w:rsidP="00E93D3C">
            <w:pPr>
              <w:keepNext/>
              <w:keepLines/>
              <w:spacing w:line="480" w:lineRule="auto"/>
              <w:jc w:val="center"/>
              <w:rPr>
                <w:sz w:val="20"/>
                <w:lang w:val="it-IT" w:eastAsia="da-DK"/>
              </w:rPr>
            </w:pPr>
            <w:r w:rsidRPr="006A2BF9">
              <w:rPr>
                <w:sz w:val="20"/>
                <w:lang w:val="it-IT" w:eastAsia="da-DK"/>
              </w:rPr>
              <w:t>7</w:t>
            </w:r>
            <w:r w:rsidR="00005746" w:rsidRPr="006A2BF9">
              <w:rPr>
                <w:sz w:val="20"/>
                <w:lang w:val="it-IT" w:eastAsia="da-DK"/>
              </w:rPr>
              <w:t>,</w:t>
            </w:r>
            <w:r w:rsidRPr="006A2BF9">
              <w:rPr>
                <w:sz w:val="20"/>
                <w:lang w:val="it-IT" w:eastAsia="da-DK"/>
              </w:rPr>
              <w:t>9</w:t>
            </w:r>
          </w:p>
        </w:tc>
        <w:tc>
          <w:tcPr>
            <w:tcW w:w="1163" w:type="pct"/>
            <w:shd w:val="clear" w:color="auto" w:fill="auto"/>
          </w:tcPr>
          <w:p w14:paraId="0DF615A9" w14:textId="77777777" w:rsidR="008D7C25" w:rsidRPr="006A2BF9" w:rsidRDefault="008D7C25" w:rsidP="00E93D3C">
            <w:pPr>
              <w:keepNext/>
              <w:keepLines/>
              <w:spacing w:line="480" w:lineRule="auto"/>
              <w:jc w:val="center"/>
              <w:rPr>
                <w:sz w:val="20"/>
                <w:lang w:val="it-IT" w:eastAsia="da-DK"/>
              </w:rPr>
            </w:pPr>
            <w:r w:rsidRPr="006A2BF9">
              <w:rPr>
                <w:sz w:val="20"/>
                <w:lang w:val="it-IT" w:eastAsia="da-DK"/>
              </w:rPr>
              <w:t>10</w:t>
            </w:r>
            <w:r w:rsidR="00005746" w:rsidRPr="006A2BF9">
              <w:rPr>
                <w:sz w:val="20"/>
                <w:lang w:val="it-IT" w:eastAsia="da-DK"/>
              </w:rPr>
              <w:t>,</w:t>
            </w:r>
            <w:r w:rsidRPr="006A2BF9">
              <w:rPr>
                <w:sz w:val="20"/>
                <w:lang w:val="it-IT" w:eastAsia="da-DK"/>
              </w:rPr>
              <w:t>4</w:t>
            </w:r>
          </w:p>
        </w:tc>
        <w:tc>
          <w:tcPr>
            <w:tcW w:w="872" w:type="pct"/>
            <w:shd w:val="clear" w:color="auto" w:fill="auto"/>
          </w:tcPr>
          <w:p w14:paraId="34A9BB94" w14:textId="77777777" w:rsidR="008D7C25" w:rsidRPr="006A2BF9" w:rsidRDefault="008D7C25" w:rsidP="00E93D3C">
            <w:pPr>
              <w:keepNext/>
              <w:keepLines/>
              <w:spacing w:line="480" w:lineRule="auto"/>
              <w:jc w:val="center"/>
              <w:rPr>
                <w:sz w:val="20"/>
                <w:lang w:val="it-IT" w:eastAsia="da-DK"/>
              </w:rPr>
            </w:pPr>
            <w:r w:rsidRPr="006A2BF9">
              <w:rPr>
                <w:sz w:val="20"/>
                <w:lang w:val="it-IT" w:eastAsia="da-DK"/>
              </w:rPr>
              <w:t>&lt;</w:t>
            </w:r>
            <w:r w:rsidR="0012374C" w:rsidRPr="006A2BF9">
              <w:rPr>
                <w:sz w:val="20"/>
                <w:lang w:val="it-IT" w:eastAsia="da-DK"/>
              </w:rPr>
              <w:t> </w:t>
            </w:r>
            <w:r w:rsidRPr="006A2BF9">
              <w:rPr>
                <w:sz w:val="20"/>
                <w:lang w:val="it-IT" w:eastAsia="da-DK"/>
              </w:rPr>
              <w:t>0</w:t>
            </w:r>
            <w:r w:rsidR="00005746" w:rsidRPr="006A2BF9">
              <w:rPr>
                <w:sz w:val="20"/>
                <w:lang w:val="it-IT" w:eastAsia="da-DK"/>
              </w:rPr>
              <w:t>,</w:t>
            </w:r>
            <w:r w:rsidRPr="006A2BF9">
              <w:rPr>
                <w:sz w:val="20"/>
                <w:lang w:val="it-IT" w:eastAsia="da-DK"/>
              </w:rPr>
              <w:t>0001</w:t>
            </w:r>
          </w:p>
        </w:tc>
      </w:tr>
      <w:tr w:rsidR="008D7C25" w:rsidRPr="006A2BF9" w14:paraId="4F54DED9" w14:textId="77777777" w:rsidTr="00E93D3C">
        <w:tc>
          <w:tcPr>
            <w:tcW w:w="1803" w:type="pct"/>
            <w:shd w:val="clear" w:color="auto" w:fill="auto"/>
          </w:tcPr>
          <w:p w14:paraId="54B0C735" w14:textId="77777777" w:rsidR="008D7C25" w:rsidRPr="00330A40" w:rsidRDefault="008D7C25" w:rsidP="00E93D3C">
            <w:pPr>
              <w:keepNext/>
              <w:keepLines/>
              <w:spacing w:line="480" w:lineRule="auto"/>
              <w:ind w:left="720"/>
              <w:rPr>
                <w:sz w:val="20"/>
                <w:lang w:val="it-IT" w:eastAsia="da-DK"/>
              </w:rPr>
            </w:pPr>
            <w:r w:rsidRPr="000F0246">
              <w:rPr>
                <w:i/>
                <w:sz w:val="20"/>
                <w:lang w:val="it-IT" w:eastAsia="da-DK"/>
              </w:rPr>
              <w:t>Hazard ratio</w:t>
            </w:r>
            <w:r w:rsidRPr="00330A40">
              <w:rPr>
                <w:sz w:val="20"/>
                <w:lang w:val="it-IT" w:eastAsia="da-DK"/>
              </w:rPr>
              <w:t xml:space="preserve"> (</w:t>
            </w:r>
            <w:r w:rsidR="00005746" w:rsidRPr="00330A40">
              <w:rPr>
                <w:sz w:val="20"/>
                <w:lang w:val="it-IT" w:eastAsia="da-DK"/>
              </w:rPr>
              <w:t xml:space="preserve">IC </w:t>
            </w:r>
            <w:r w:rsidR="00EB09E1">
              <w:rPr>
                <w:sz w:val="20"/>
                <w:lang w:val="it-IT" w:eastAsia="da-DK"/>
              </w:rPr>
              <w:t xml:space="preserve">al </w:t>
            </w:r>
            <w:r w:rsidR="00005746" w:rsidRPr="00330A40">
              <w:rPr>
                <w:sz w:val="20"/>
                <w:lang w:val="it-IT" w:eastAsia="da-DK"/>
              </w:rPr>
              <w:t>97</w:t>
            </w:r>
            <w:r w:rsidR="00570D9F" w:rsidRPr="00330A40">
              <w:rPr>
                <w:sz w:val="20"/>
                <w:lang w:val="it-IT" w:eastAsia="da-DK"/>
              </w:rPr>
              <w:t>,</w:t>
            </w:r>
            <w:r w:rsidR="00005746" w:rsidRPr="00330A40">
              <w:rPr>
                <w:sz w:val="20"/>
                <w:lang w:val="it-IT" w:eastAsia="da-DK"/>
              </w:rPr>
              <w:t>5%</w:t>
            </w:r>
            <w:r w:rsidRPr="00330A40">
              <w:rPr>
                <w:sz w:val="20"/>
                <w:lang w:val="it-IT" w:eastAsia="da-DK"/>
              </w:rPr>
              <w:t>)</w:t>
            </w:r>
          </w:p>
        </w:tc>
        <w:tc>
          <w:tcPr>
            <w:tcW w:w="2326" w:type="pct"/>
            <w:gridSpan w:val="2"/>
            <w:shd w:val="clear" w:color="auto" w:fill="auto"/>
          </w:tcPr>
          <w:p w14:paraId="1CD72049" w14:textId="77777777" w:rsidR="008D7C25" w:rsidRPr="00330A40" w:rsidRDefault="008D7C25" w:rsidP="00E93D3C">
            <w:pPr>
              <w:keepNext/>
              <w:keepLines/>
              <w:spacing w:line="480" w:lineRule="auto"/>
              <w:jc w:val="center"/>
              <w:rPr>
                <w:sz w:val="20"/>
                <w:lang w:val="it-IT" w:eastAsia="da-DK"/>
              </w:rPr>
            </w:pPr>
            <w:r w:rsidRPr="00330A40">
              <w:rPr>
                <w:sz w:val="20"/>
                <w:lang w:val="it-IT" w:eastAsia="da-DK"/>
              </w:rPr>
              <w:t>0</w:t>
            </w:r>
            <w:r w:rsidR="00005746" w:rsidRPr="00330A40">
              <w:rPr>
                <w:sz w:val="20"/>
                <w:lang w:val="it-IT" w:eastAsia="da-DK"/>
              </w:rPr>
              <w:t>,</w:t>
            </w:r>
            <w:r w:rsidRPr="00330A40">
              <w:rPr>
                <w:sz w:val="20"/>
                <w:lang w:val="it-IT" w:eastAsia="da-DK"/>
              </w:rPr>
              <w:t>63 (0</w:t>
            </w:r>
            <w:r w:rsidR="00005746" w:rsidRPr="00330A40">
              <w:rPr>
                <w:sz w:val="20"/>
                <w:lang w:val="it-IT" w:eastAsia="da-DK"/>
              </w:rPr>
              <w:t>,</w:t>
            </w:r>
            <w:r w:rsidRPr="00330A40">
              <w:rPr>
                <w:sz w:val="20"/>
                <w:lang w:val="it-IT" w:eastAsia="da-DK"/>
              </w:rPr>
              <w:t>52</w:t>
            </w:r>
            <w:r w:rsidR="0012374C" w:rsidRPr="00330A40">
              <w:rPr>
                <w:sz w:val="20"/>
                <w:lang w:val="it-IT" w:eastAsia="da-DK"/>
              </w:rPr>
              <w:noBreakHyphen/>
            </w:r>
            <w:r w:rsidRPr="00330A40">
              <w:rPr>
                <w:sz w:val="20"/>
                <w:lang w:val="it-IT" w:eastAsia="da-DK"/>
              </w:rPr>
              <w:t>0</w:t>
            </w:r>
            <w:r w:rsidR="00005746" w:rsidRPr="00330A40">
              <w:rPr>
                <w:sz w:val="20"/>
                <w:lang w:val="it-IT" w:eastAsia="da-DK"/>
              </w:rPr>
              <w:t>,</w:t>
            </w:r>
            <w:r w:rsidRPr="00330A40">
              <w:rPr>
                <w:sz w:val="20"/>
                <w:lang w:val="it-IT" w:eastAsia="da-DK"/>
              </w:rPr>
              <w:t>75)</w:t>
            </w:r>
          </w:p>
        </w:tc>
        <w:tc>
          <w:tcPr>
            <w:tcW w:w="872" w:type="pct"/>
            <w:shd w:val="clear" w:color="auto" w:fill="auto"/>
          </w:tcPr>
          <w:p w14:paraId="03FE56CE" w14:textId="77777777" w:rsidR="008D7C25" w:rsidRPr="00330A40" w:rsidRDefault="008D7C25" w:rsidP="00E93D3C">
            <w:pPr>
              <w:keepNext/>
              <w:keepLines/>
              <w:spacing w:line="480" w:lineRule="auto"/>
              <w:rPr>
                <w:sz w:val="20"/>
                <w:lang w:val="it-IT" w:eastAsia="da-DK"/>
              </w:rPr>
            </w:pPr>
          </w:p>
        </w:tc>
      </w:tr>
      <w:tr w:rsidR="008D7C25" w:rsidRPr="006A2BF9" w14:paraId="5BBA42EA" w14:textId="77777777" w:rsidTr="00E93D3C">
        <w:tc>
          <w:tcPr>
            <w:tcW w:w="1803" w:type="pct"/>
            <w:shd w:val="clear" w:color="auto" w:fill="auto"/>
          </w:tcPr>
          <w:p w14:paraId="05F605A6" w14:textId="77777777" w:rsidR="008D7C25" w:rsidRPr="006A2BF9" w:rsidRDefault="00005746" w:rsidP="00E93D3C">
            <w:pPr>
              <w:ind w:left="357"/>
              <w:rPr>
                <w:sz w:val="20"/>
                <w:lang w:val="it-IT" w:eastAsia="da-DK"/>
              </w:rPr>
            </w:pPr>
            <w:r w:rsidRPr="006A2BF9">
              <w:rPr>
                <w:sz w:val="20"/>
                <w:lang w:val="it-IT" w:eastAsia="da-DK"/>
              </w:rPr>
              <w:t>Tasso di risposta</w:t>
            </w:r>
            <w:r w:rsidR="008D7C25" w:rsidRPr="006A2BF9">
              <w:rPr>
                <w:sz w:val="20"/>
                <w:lang w:val="it-IT" w:eastAsia="da-DK"/>
              </w:rPr>
              <w:t xml:space="preserve"> </w:t>
            </w:r>
            <w:r w:rsidRPr="006A2BF9">
              <w:rPr>
                <w:sz w:val="20"/>
                <w:lang w:val="it-IT" w:eastAsia="da-DK"/>
              </w:rPr>
              <w:t>globale</w:t>
            </w:r>
            <w:r w:rsidR="008D7C25" w:rsidRPr="006A2BF9">
              <w:rPr>
                <w:sz w:val="20"/>
                <w:lang w:val="it-IT" w:eastAsia="da-DK"/>
              </w:rPr>
              <w:br/>
              <w:t>(valutazione dello sperimentatore)**</w:t>
            </w:r>
          </w:p>
        </w:tc>
        <w:tc>
          <w:tcPr>
            <w:tcW w:w="1163" w:type="pct"/>
            <w:shd w:val="clear" w:color="auto" w:fill="auto"/>
          </w:tcPr>
          <w:p w14:paraId="4A436A7A" w14:textId="77777777" w:rsidR="008D7C25" w:rsidRPr="006A2BF9" w:rsidRDefault="008D7C25" w:rsidP="00E93D3C">
            <w:pPr>
              <w:spacing w:line="480" w:lineRule="auto"/>
              <w:jc w:val="center"/>
              <w:rPr>
                <w:sz w:val="20"/>
                <w:lang w:val="it-IT" w:eastAsia="da-DK"/>
              </w:rPr>
            </w:pPr>
            <w:r w:rsidRPr="006A2BF9">
              <w:rPr>
                <w:sz w:val="20"/>
                <w:lang w:val="it-IT" w:eastAsia="da-DK"/>
              </w:rPr>
              <w:t>49</w:t>
            </w:r>
            <w:r w:rsidR="00005746" w:rsidRPr="006A2BF9">
              <w:rPr>
                <w:sz w:val="20"/>
                <w:lang w:val="it-IT" w:eastAsia="da-DK"/>
              </w:rPr>
              <w:t>,</w:t>
            </w:r>
            <w:r w:rsidR="008D1728" w:rsidRPr="006A2BF9">
              <w:rPr>
                <w:sz w:val="20"/>
                <w:lang w:val="it-IT" w:eastAsia="da-DK"/>
              </w:rPr>
              <w:t>2%</w:t>
            </w:r>
          </w:p>
        </w:tc>
        <w:tc>
          <w:tcPr>
            <w:tcW w:w="1163" w:type="pct"/>
            <w:shd w:val="clear" w:color="auto" w:fill="auto"/>
          </w:tcPr>
          <w:p w14:paraId="17589481" w14:textId="77777777" w:rsidR="008D7C25" w:rsidRPr="006A2BF9" w:rsidRDefault="00005746" w:rsidP="00E93D3C">
            <w:pPr>
              <w:spacing w:line="480" w:lineRule="auto"/>
              <w:jc w:val="center"/>
              <w:rPr>
                <w:sz w:val="20"/>
                <w:lang w:val="it-IT" w:eastAsia="da-DK"/>
              </w:rPr>
            </w:pPr>
            <w:r w:rsidRPr="006A2BF9">
              <w:rPr>
                <w:sz w:val="20"/>
                <w:lang w:val="it-IT" w:eastAsia="da-DK"/>
              </w:rPr>
              <w:t>46,</w:t>
            </w:r>
            <w:r w:rsidR="008D7C25" w:rsidRPr="006A2BF9">
              <w:rPr>
                <w:sz w:val="20"/>
                <w:lang w:val="it-IT" w:eastAsia="da-DK"/>
              </w:rPr>
              <w:t>5%</w:t>
            </w:r>
          </w:p>
        </w:tc>
        <w:tc>
          <w:tcPr>
            <w:tcW w:w="872" w:type="pct"/>
            <w:shd w:val="clear" w:color="auto" w:fill="auto"/>
          </w:tcPr>
          <w:p w14:paraId="3C45C599" w14:textId="77777777" w:rsidR="008D7C25" w:rsidRPr="006A2BF9" w:rsidRDefault="008D7C25" w:rsidP="00E93D3C">
            <w:pPr>
              <w:spacing w:line="480" w:lineRule="auto"/>
              <w:jc w:val="center"/>
              <w:rPr>
                <w:sz w:val="20"/>
                <w:lang w:val="it-IT" w:eastAsia="da-DK"/>
              </w:rPr>
            </w:pPr>
          </w:p>
        </w:tc>
      </w:tr>
      <w:tr w:rsidR="008D7C25" w:rsidRPr="006A2BF9" w14:paraId="7C921ED6" w14:textId="77777777" w:rsidTr="00E93D3C">
        <w:tc>
          <w:tcPr>
            <w:tcW w:w="1803" w:type="pct"/>
            <w:shd w:val="clear" w:color="auto" w:fill="auto"/>
          </w:tcPr>
          <w:p w14:paraId="13A5FE07" w14:textId="77777777" w:rsidR="008D7C25" w:rsidRPr="006A2BF9" w:rsidRDefault="008D7C25" w:rsidP="00E93D3C">
            <w:pPr>
              <w:spacing w:line="480" w:lineRule="auto"/>
              <w:ind w:left="360"/>
              <w:rPr>
                <w:sz w:val="20"/>
                <w:lang w:val="it-IT" w:eastAsia="da-DK"/>
              </w:rPr>
            </w:pPr>
            <w:r w:rsidRPr="006A2BF9">
              <w:rPr>
                <w:sz w:val="20"/>
                <w:lang w:val="it-IT" w:eastAsia="da-DK"/>
              </w:rPr>
              <w:t>Sopravvivenza mediana globale*</w:t>
            </w:r>
          </w:p>
        </w:tc>
        <w:tc>
          <w:tcPr>
            <w:tcW w:w="1163" w:type="pct"/>
            <w:shd w:val="clear" w:color="auto" w:fill="auto"/>
          </w:tcPr>
          <w:p w14:paraId="620EFF0C" w14:textId="77777777" w:rsidR="008D7C25" w:rsidRPr="006A2BF9" w:rsidRDefault="008D7C25" w:rsidP="00E93D3C">
            <w:pPr>
              <w:spacing w:line="480" w:lineRule="auto"/>
              <w:jc w:val="center"/>
              <w:rPr>
                <w:sz w:val="20"/>
                <w:lang w:val="it-IT" w:eastAsia="da-DK"/>
              </w:rPr>
            </w:pPr>
            <w:r w:rsidRPr="006A2BF9">
              <w:rPr>
                <w:sz w:val="20"/>
                <w:lang w:val="it-IT" w:eastAsia="da-DK"/>
              </w:rPr>
              <w:t>19</w:t>
            </w:r>
            <w:r w:rsidR="00965503" w:rsidRPr="006A2BF9">
              <w:rPr>
                <w:sz w:val="20"/>
                <w:lang w:val="it-IT" w:eastAsia="da-DK"/>
              </w:rPr>
              <w:t>,</w:t>
            </w:r>
            <w:r w:rsidRPr="006A2BF9">
              <w:rPr>
                <w:sz w:val="20"/>
                <w:lang w:val="it-IT" w:eastAsia="da-DK"/>
              </w:rPr>
              <w:t>9</w:t>
            </w:r>
          </w:p>
        </w:tc>
        <w:tc>
          <w:tcPr>
            <w:tcW w:w="1163" w:type="pct"/>
            <w:shd w:val="clear" w:color="auto" w:fill="auto"/>
          </w:tcPr>
          <w:p w14:paraId="745B6B83" w14:textId="77777777" w:rsidR="008D7C25" w:rsidRPr="006A2BF9" w:rsidRDefault="00965503" w:rsidP="00E93D3C">
            <w:pPr>
              <w:spacing w:line="480" w:lineRule="auto"/>
              <w:jc w:val="center"/>
              <w:rPr>
                <w:sz w:val="20"/>
                <w:lang w:val="it-IT" w:eastAsia="da-DK"/>
              </w:rPr>
            </w:pPr>
            <w:r w:rsidRPr="006A2BF9">
              <w:rPr>
                <w:sz w:val="20"/>
                <w:lang w:val="it-IT" w:eastAsia="da-DK"/>
              </w:rPr>
              <w:t>21,</w:t>
            </w:r>
            <w:r w:rsidR="008D7C25" w:rsidRPr="006A2BF9">
              <w:rPr>
                <w:sz w:val="20"/>
                <w:lang w:val="it-IT" w:eastAsia="da-DK"/>
              </w:rPr>
              <w:t>2</w:t>
            </w:r>
          </w:p>
        </w:tc>
        <w:tc>
          <w:tcPr>
            <w:tcW w:w="872" w:type="pct"/>
            <w:shd w:val="clear" w:color="auto" w:fill="auto"/>
          </w:tcPr>
          <w:p w14:paraId="72387FF7" w14:textId="77777777" w:rsidR="008D7C25" w:rsidRPr="006A2BF9" w:rsidRDefault="00965503" w:rsidP="00E93D3C">
            <w:pPr>
              <w:spacing w:line="480" w:lineRule="auto"/>
              <w:jc w:val="center"/>
              <w:rPr>
                <w:sz w:val="20"/>
                <w:lang w:val="it-IT" w:eastAsia="da-DK"/>
              </w:rPr>
            </w:pPr>
            <w:r w:rsidRPr="006A2BF9">
              <w:rPr>
                <w:sz w:val="20"/>
                <w:lang w:val="it-IT" w:eastAsia="da-DK"/>
              </w:rPr>
              <w:t>0,</w:t>
            </w:r>
            <w:r w:rsidR="008D7C25" w:rsidRPr="006A2BF9">
              <w:rPr>
                <w:sz w:val="20"/>
                <w:lang w:val="it-IT" w:eastAsia="da-DK"/>
              </w:rPr>
              <w:t>0769</w:t>
            </w:r>
          </w:p>
        </w:tc>
      </w:tr>
      <w:tr w:rsidR="008D7C25" w:rsidRPr="006A2BF9" w14:paraId="04681F11" w14:textId="77777777" w:rsidTr="00E93D3C">
        <w:tc>
          <w:tcPr>
            <w:tcW w:w="1803" w:type="pct"/>
            <w:shd w:val="clear" w:color="auto" w:fill="auto"/>
          </w:tcPr>
          <w:p w14:paraId="0CB5FE8B" w14:textId="77777777" w:rsidR="008D7C25" w:rsidRPr="00330A40" w:rsidRDefault="00965503" w:rsidP="00570D9F">
            <w:pPr>
              <w:spacing w:line="480" w:lineRule="auto"/>
              <w:ind w:left="720"/>
              <w:rPr>
                <w:sz w:val="20"/>
                <w:lang w:val="it-IT" w:eastAsia="da-DK"/>
              </w:rPr>
            </w:pPr>
            <w:r w:rsidRPr="000F0246">
              <w:rPr>
                <w:i/>
                <w:sz w:val="20"/>
                <w:lang w:val="it-IT" w:eastAsia="da-DK"/>
              </w:rPr>
              <w:t>Hazard ratio</w:t>
            </w:r>
            <w:r w:rsidRPr="00330A40">
              <w:rPr>
                <w:sz w:val="20"/>
                <w:lang w:val="it-IT" w:eastAsia="da-DK"/>
              </w:rPr>
              <w:t xml:space="preserve"> (IC </w:t>
            </w:r>
            <w:r w:rsidR="00831FDE">
              <w:rPr>
                <w:sz w:val="20"/>
                <w:lang w:val="it-IT" w:eastAsia="da-DK"/>
              </w:rPr>
              <w:t xml:space="preserve">al </w:t>
            </w:r>
            <w:r w:rsidRPr="00330A40">
              <w:rPr>
                <w:sz w:val="20"/>
                <w:lang w:val="it-IT" w:eastAsia="da-DK"/>
              </w:rPr>
              <w:t>97</w:t>
            </w:r>
            <w:r w:rsidR="00570D9F" w:rsidRPr="00330A40">
              <w:rPr>
                <w:sz w:val="20"/>
                <w:lang w:val="it-IT" w:eastAsia="da-DK"/>
              </w:rPr>
              <w:t>,</w:t>
            </w:r>
            <w:r w:rsidRPr="00330A40">
              <w:rPr>
                <w:sz w:val="20"/>
                <w:lang w:val="it-IT" w:eastAsia="da-DK"/>
              </w:rPr>
              <w:t>5%</w:t>
            </w:r>
            <w:r w:rsidR="008D7C25" w:rsidRPr="00330A40">
              <w:rPr>
                <w:sz w:val="20"/>
                <w:lang w:val="it-IT" w:eastAsia="da-DK"/>
              </w:rPr>
              <w:t>)</w:t>
            </w:r>
          </w:p>
        </w:tc>
        <w:tc>
          <w:tcPr>
            <w:tcW w:w="2326" w:type="pct"/>
            <w:gridSpan w:val="2"/>
            <w:shd w:val="clear" w:color="auto" w:fill="auto"/>
          </w:tcPr>
          <w:p w14:paraId="3CF2C548" w14:textId="77777777" w:rsidR="008D7C25" w:rsidRPr="00330A40" w:rsidRDefault="00965503" w:rsidP="00E93D3C">
            <w:pPr>
              <w:spacing w:line="480" w:lineRule="auto"/>
              <w:jc w:val="center"/>
              <w:rPr>
                <w:sz w:val="20"/>
                <w:lang w:val="it-IT" w:eastAsia="da-DK"/>
              </w:rPr>
            </w:pPr>
            <w:r w:rsidRPr="00330A40">
              <w:rPr>
                <w:sz w:val="20"/>
                <w:lang w:val="it-IT" w:eastAsia="da-DK"/>
              </w:rPr>
              <w:t>0,89 (0,76</w:t>
            </w:r>
            <w:r w:rsidR="0012374C" w:rsidRPr="00330A40">
              <w:rPr>
                <w:sz w:val="20"/>
                <w:lang w:val="it-IT" w:eastAsia="da-DK"/>
              </w:rPr>
              <w:noBreakHyphen/>
            </w:r>
            <w:r w:rsidRPr="00330A40">
              <w:rPr>
                <w:sz w:val="20"/>
                <w:lang w:val="it-IT" w:eastAsia="da-DK"/>
              </w:rPr>
              <w:t>1,</w:t>
            </w:r>
            <w:r w:rsidR="008D7C25" w:rsidRPr="00330A40">
              <w:rPr>
                <w:sz w:val="20"/>
                <w:lang w:val="it-IT" w:eastAsia="da-DK"/>
              </w:rPr>
              <w:t>03)</w:t>
            </w:r>
          </w:p>
        </w:tc>
        <w:tc>
          <w:tcPr>
            <w:tcW w:w="872" w:type="pct"/>
            <w:shd w:val="clear" w:color="auto" w:fill="auto"/>
          </w:tcPr>
          <w:p w14:paraId="48872A21" w14:textId="77777777" w:rsidR="008D7C25" w:rsidRPr="00330A40" w:rsidRDefault="008D7C25" w:rsidP="00E93D3C">
            <w:pPr>
              <w:spacing w:line="480" w:lineRule="auto"/>
              <w:rPr>
                <w:sz w:val="20"/>
                <w:lang w:val="it-IT" w:eastAsia="da-DK"/>
              </w:rPr>
            </w:pPr>
          </w:p>
        </w:tc>
      </w:tr>
    </w:tbl>
    <w:p w14:paraId="297C71F2" w14:textId="77777777" w:rsidR="008D7C25" w:rsidRPr="006A2BF9" w:rsidRDefault="008D7C25" w:rsidP="009734E3">
      <w:pPr>
        <w:rPr>
          <w:sz w:val="18"/>
          <w:szCs w:val="18"/>
          <w:lang w:val="it-IT"/>
        </w:rPr>
      </w:pPr>
      <w:r w:rsidRPr="006A2BF9">
        <w:rPr>
          <w:sz w:val="18"/>
          <w:szCs w:val="18"/>
          <w:lang w:val="it-IT"/>
        </w:rPr>
        <w:t xml:space="preserve">* </w:t>
      </w:r>
      <w:r w:rsidR="0025736A" w:rsidRPr="006A2BF9">
        <w:rPr>
          <w:sz w:val="18"/>
          <w:szCs w:val="18"/>
          <w:lang w:val="it-IT"/>
        </w:rPr>
        <w:t xml:space="preserve">Analisi sulla </w:t>
      </w:r>
      <w:r w:rsidR="0017104B">
        <w:rPr>
          <w:sz w:val="18"/>
          <w:szCs w:val="18"/>
          <w:lang w:val="it-IT"/>
        </w:rPr>
        <w:t>OS</w:t>
      </w:r>
      <w:r w:rsidRPr="006A2BF9">
        <w:rPr>
          <w:sz w:val="18"/>
          <w:szCs w:val="18"/>
          <w:lang w:val="it-IT"/>
        </w:rPr>
        <w:t xml:space="preserve"> al </w:t>
      </w:r>
      <w:r w:rsidR="0025736A" w:rsidRPr="006A2BF9">
        <w:rPr>
          <w:sz w:val="18"/>
          <w:szCs w:val="18"/>
          <w:lang w:val="it-IT"/>
        </w:rPr>
        <w:t xml:space="preserve">cut-off </w:t>
      </w:r>
      <w:r w:rsidRPr="006A2BF9">
        <w:rPr>
          <w:sz w:val="18"/>
          <w:szCs w:val="18"/>
          <w:lang w:val="it-IT"/>
        </w:rPr>
        <w:t>clinico del 31 gennaio 2007</w:t>
      </w:r>
    </w:p>
    <w:p w14:paraId="262C0F2E" w14:textId="77777777" w:rsidR="008D7C25" w:rsidRPr="006A2BF9" w:rsidRDefault="008D7C25" w:rsidP="009734E3">
      <w:pPr>
        <w:rPr>
          <w:sz w:val="18"/>
          <w:szCs w:val="18"/>
          <w:lang w:val="it-IT"/>
        </w:rPr>
      </w:pPr>
      <w:r w:rsidRPr="006A2BF9">
        <w:rPr>
          <w:sz w:val="18"/>
          <w:szCs w:val="18"/>
          <w:lang w:val="it-IT"/>
        </w:rPr>
        <w:t xml:space="preserve">** </w:t>
      </w:r>
      <w:r w:rsidR="0025736A" w:rsidRPr="006A2BF9">
        <w:rPr>
          <w:sz w:val="18"/>
          <w:szCs w:val="18"/>
          <w:lang w:val="it-IT"/>
        </w:rPr>
        <w:t>A</w:t>
      </w:r>
      <w:r w:rsidRPr="006A2BF9">
        <w:rPr>
          <w:sz w:val="18"/>
          <w:szCs w:val="18"/>
          <w:lang w:val="it-IT"/>
        </w:rPr>
        <w:t xml:space="preserve">nalisi primaria al </w:t>
      </w:r>
      <w:r w:rsidR="0025736A" w:rsidRPr="006A2BF9">
        <w:rPr>
          <w:sz w:val="18"/>
          <w:szCs w:val="18"/>
          <w:lang w:val="it-IT"/>
        </w:rPr>
        <w:t xml:space="preserve">cut-off </w:t>
      </w:r>
      <w:r w:rsidRPr="006A2BF9">
        <w:rPr>
          <w:sz w:val="18"/>
          <w:szCs w:val="18"/>
          <w:lang w:val="it-IT"/>
        </w:rPr>
        <w:t>clinico</w:t>
      </w:r>
      <w:r w:rsidR="00965503" w:rsidRPr="006A2BF9">
        <w:rPr>
          <w:sz w:val="18"/>
          <w:szCs w:val="18"/>
          <w:lang w:val="it-IT"/>
        </w:rPr>
        <w:t xml:space="preserve"> del</w:t>
      </w:r>
      <w:r w:rsidRPr="006A2BF9">
        <w:rPr>
          <w:sz w:val="18"/>
          <w:szCs w:val="18"/>
          <w:lang w:val="it-IT"/>
        </w:rPr>
        <w:t xml:space="preserve"> 31 gennaio 2006</w:t>
      </w:r>
    </w:p>
    <w:p w14:paraId="034F2F62" w14:textId="77777777" w:rsidR="008D7C25" w:rsidRPr="006A2BF9" w:rsidRDefault="008D7C25" w:rsidP="009734E3">
      <w:pPr>
        <w:rPr>
          <w:sz w:val="18"/>
          <w:szCs w:val="18"/>
          <w:lang w:val="it-IT"/>
        </w:rPr>
      </w:pPr>
      <w:r w:rsidRPr="006A2BF9">
        <w:rPr>
          <w:sz w:val="18"/>
          <w:szCs w:val="18"/>
          <w:vertAlign w:val="superscript"/>
          <w:lang w:val="it-IT"/>
        </w:rPr>
        <w:t>a</w:t>
      </w:r>
      <w:r w:rsidRPr="006A2BF9">
        <w:rPr>
          <w:sz w:val="18"/>
          <w:szCs w:val="18"/>
          <w:lang w:val="it-IT"/>
        </w:rPr>
        <w:t xml:space="preserve"> </w:t>
      </w:r>
      <w:r w:rsidR="0025736A" w:rsidRPr="006A2BF9">
        <w:rPr>
          <w:sz w:val="18"/>
          <w:szCs w:val="18"/>
          <w:lang w:val="it-IT"/>
        </w:rPr>
        <w:t>R</w:t>
      </w:r>
      <w:r w:rsidRPr="006A2BF9">
        <w:rPr>
          <w:sz w:val="18"/>
          <w:szCs w:val="18"/>
          <w:lang w:val="it-IT"/>
        </w:rPr>
        <w:t>elativ</w:t>
      </w:r>
      <w:r w:rsidR="0025736A" w:rsidRPr="006A2BF9">
        <w:rPr>
          <w:sz w:val="18"/>
          <w:szCs w:val="18"/>
          <w:lang w:val="it-IT"/>
        </w:rPr>
        <w:t>amente</w:t>
      </w:r>
      <w:r w:rsidRPr="006A2BF9">
        <w:rPr>
          <w:sz w:val="18"/>
          <w:szCs w:val="18"/>
          <w:lang w:val="it-IT"/>
        </w:rPr>
        <w:t xml:space="preserve"> al braccio di controllo</w:t>
      </w:r>
    </w:p>
    <w:p w14:paraId="0FD963A6" w14:textId="77777777" w:rsidR="008D7C25" w:rsidRPr="006A2BF9" w:rsidRDefault="008D7C25" w:rsidP="008D7C25">
      <w:pPr>
        <w:rPr>
          <w:sz w:val="18"/>
          <w:szCs w:val="18"/>
          <w:lang w:val="it-IT"/>
        </w:rPr>
      </w:pPr>
    </w:p>
    <w:p w14:paraId="21D08EC2" w14:textId="77777777" w:rsidR="008D7C25" w:rsidRPr="00330A40" w:rsidRDefault="008D7C25" w:rsidP="008D7C25">
      <w:pPr>
        <w:rPr>
          <w:lang w:val="it-IT"/>
        </w:rPr>
      </w:pPr>
      <w:r w:rsidRPr="006A2BF9">
        <w:rPr>
          <w:lang w:val="it-IT"/>
        </w:rPr>
        <w:t>Nel sottogruppo in trattamento con FOLFOX</w:t>
      </w:r>
      <w:r w:rsidR="00965503" w:rsidRPr="006A2BF9">
        <w:rPr>
          <w:lang w:val="it-IT"/>
        </w:rPr>
        <w:t>,</w:t>
      </w:r>
      <w:r w:rsidRPr="006A2BF9">
        <w:rPr>
          <w:lang w:val="it-IT"/>
        </w:rPr>
        <w:t xml:space="preserve"> la PFS mediana era di 8,6</w:t>
      </w:r>
      <w:r w:rsidR="00D37A63" w:rsidRPr="006A2BF9">
        <w:rPr>
          <w:lang w:val="it-IT"/>
        </w:rPr>
        <w:t> </w:t>
      </w:r>
      <w:r w:rsidRPr="006A2BF9">
        <w:rPr>
          <w:lang w:val="it-IT"/>
        </w:rPr>
        <w:t xml:space="preserve">mesi nei pazienti trattati con placebo e di 9,4 mesi in quelli trattati con bevacizumab, </w:t>
      </w:r>
      <w:r w:rsidR="0017104B">
        <w:rPr>
          <w:i/>
          <w:lang w:val="it-IT"/>
        </w:rPr>
        <w:t>hazard ratio</w:t>
      </w:r>
      <w:r w:rsidR="0017104B">
        <w:rPr>
          <w:lang w:val="it-IT"/>
        </w:rPr>
        <w:t xml:space="preserve"> (</w:t>
      </w:r>
      <w:r w:rsidRPr="006A2BF9">
        <w:rPr>
          <w:lang w:val="it-IT"/>
        </w:rPr>
        <w:t>HR</w:t>
      </w:r>
      <w:r w:rsidR="0017104B">
        <w:rPr>
          <w:lang w:val="it-IT"/>
        </w:rPr>
        <w:t>)</w:t>
      </w:r>
      <w:r w:rsidR="0012374C" w:rsidRPr="006A2BF9">
        <w:rPr>
          <w:lang w:val="it-IT"/>
        </w:rPr>
        <w:t> </w:t>
      </w:r>
      <w:r w:rsidRPr="006A2BF9">
        <w:rPr>
          <w:lang w:val="it-IT"/>
        </w:rPr>
        <w:t>=</w:t>
      </w:r>
      <w:r w:rsidR="0012374C" w:rsidRPr="006A2BF9">
        <w:rPr>
          <w:lang w:val="it-IT"/>
        </w:rPr>
        <w:t> </w:t>
      </w:r>
      <w:r w:rsidRPr="006A2BF9">
        <w:rPr>
          <w:lang w:val="it-IT"/>
        </w:rPr>
        <w:t xml:space="preserve">0,89, IC </w:t>
      </w:r>
      <w:r w:rsidR="00831FDE">
        <w:rPr>
          <w:lang w:val="it-IT"/>
        </w:rPr>
        <w:t xml:space="preserve">al </w:t>
      </w:r>
      <w:r w:rsidR="00965503" w:rsidRPr="00330A40">
        <w:rPr>
          <w:lang w:val="it-IT"/>
        </w:rPr>
        <w:t>97,5%</w:t>
      </w:r>
      <w:r w:rsidR="0012374C" w:rsidRPr="00330A40">
        <w:rPr>
          <w:lang w:val="it-IT"/>
        </w:rPr>
        <w:t> </w:t>
      </w:r>
      <w:r w:rsidR="00965503" w:rsidRPr="00330A40">
        <w:rPr>
          <w:lang w:val="it-IT"/>
        </w:rPr>
        <w:t>=</w:t>
      </w:r>
      <w:r w:rsidR="0012374C" w:rsidRPr="00330A40">
        <w:rPr>
          <w:lang w:val="it-IT"/>
        </w:rPr>
        <w:t> </w:t>
      </w:r>
      <w:r w:rsidR="00965503" w:rsidRPr="00330A40">
        <w:rPr>
          <w:lang w:val="it-IT"/>
        </w:rPr>
        <w:t>[</w:t>
      </w:r>
      <w:r w:rsidRPr="00330A40">
        <w:rPr>
          <w:lang w:val="it-IT"/>
        </w:rPr>
        <w:t>0,73; 1,08</w:t>
      </w:r>
      <w:r w:rsidR="00965503" w:rsidRPr="00330A40">
        <w:rPr>
          <w:lang w:val="it-IT"/>
        </w:rPr>
        <w:t>]</w:t>
      </w:r>
      <w:r w:rsidRPr="00330A40">
        <w:rPr>
          <w:lang w:val="it-IT"/>
        </w:rPr>
        <w:t>; valore di p</w:t>
      </w:r>
      <w:r w:rsidR="0012374C" w:rsidRPr="00330A40">
        <w:rPr>
          <w:lang w:val="it-IT"/>
        </w:rPr>
        <w:t> </w:t>
      </w:r>
      <w:r w:rsidRPr="00330A40">
        <w:rPr>
          <w:lang w:val="it-IT"/>
        </w:rPr>
        <w:t>=</w:t>
      </w:r>
      <w:r w:rsidR="0012374C" w:rsidRPr="00330A40">
        <w:rPr>
          <w:lang w:val="it-IT"/>
        </w:rPr>
        <w:t> </w:t>
      </w:r>
      <w:r w:rsidRPr="00330A40">
        <w:rPr>
          <w:lang w:val="it-IT"/>
        </w:rPr>
        <w:t>0,</w:t>
      </w:r>
      <w:r w:rsidR="00965503" w:rsidRPr="00330A40">
        <w:rPr>
          <w:lang w:val="it-IT"/>
        </w:rPr>
        <w:t>1</w:t>
      </w:r>
      <w:r w:rsidRPr="00330A40">
        <w:rPr>
          <w:lang w:val="it-IT"/>
        </w:rPr>
        <w:t>871, mentre i risultati corrispondenti nel sottogruppo trattato con XELOX erano 7,4 vs. 9,3</w:t>
      </w:r>
      <w:r w:rsidR="00D37A63" w:rsidRPr="00330A40">
        <w:rPr>
          <w:lang w:val="it-IT"/>
        </w:rPr>
        <w:t> </w:t>
      </w:r>
      <w:r w:rsidRPr="00330A40">
        <w:rPr>
          <w:lang w:val="it-IT"/>
        </w:rPr>
        <w:t>mesi</w:t>
      </w:r>
      <w:r w:rsidR="008D1728" w:rsidRPr="00330A40">
        <w:rPr>
          <w:lang w:val="it-IT"/>
        </w:rPr>
        <w:t>,</w:t>
      </w:r>
      <w:r w:rsidRPr="00330A40">
        <w:rPr>
          <w:lang w:val="it-IT"/>
        </w:rPr>
        <w:t xml:space="preserve"> HR</w:t>
      </w:r>
      <w:r w:rsidR="0012374C" w:rsidRPr="00330A40">
        <w:rPr>
          <w:lang w:val="it-IT"/>
        </w:rPr>
        <w:t> </w:t>
      </w:r>
      <w:r w:rsidRPr="00330A40">
        <w:rPr>
          <w:lang w:val="it-IT"/>
        </w:rPr>
        <w:t>=</w:t>
      </w:r>
      <w:r w:rsidR="0012374C" w:rsidRPr="00330A40">
        <w:rPr>
          <w:lang w:val="it-IT"/>
        </w:rPr>
        <w:t> </w:t>
      </w:r>
      <w:r w:rsidRPr="00330A40">
        <w:rPr>
          <w:lang w:val="it-IT"/>
        </w:rPr>
        <w:t>0,77, IC</w:t>
      </w:r>
      <w:r w:rsidR="00965503" w:rsidRPr="00330A40">
        <w:rPr>
          <w:lang w:val="it-IT"/>
        </w:rPr>
        <w:t xml:space="preserve"> </w:t>
      </w:r>
      <w:r w:rsidR="00831FDE">
        <w:rPr>
          <w:lang w:val="it-IT"/>
        </w:rPr>
        <w:t xml:space="preserve">al </w:t>
      </w:r>
      <w:r w:rsidR="00965503" w:rsidRPr="00330A40">
        <w:rPr>
          <w:lang w:val="it-IT"/>
        </w:rPr>
        <w:t>97,5%</w:t>
      </w:r>
      <w:r w:rsidR="0012374C" w:rsidRPr="00330A40">
        <w:rPr>
          <w:lang w:val="it-IT"/>
        </w:rPr>
        <w:t> </w:t>
      </w:r>
      <w:r w:rsidRPr="00330A40">
        <w:rPr>
          <w:lang w:val="it-IT"/>
        </w:rPr>
        <w:t>=</w:t>
      </w:r>
      <w:r w:rsidR="0012374C" w:rsidRPr="00330A40">
        <w:rPr>
          <w:lang w:val="it-IT"/>
        </w:rPr>
        <w:t> </w:t>
      </w:r>
      <w:r w:rsidR="00965503" w:rsidRPr="00330A40">
        <w:rPr>
          <w:lang w:val="it-IT"/>
        </w:rPr>
        <w:t>[</w:t>
      </w:r>
      <w:r w:rsidRPr="00330A40">
        <w:rPr>
          <w:lang w:val="it-IT"/>
        </w:rPr>
        <w:t>0,63; 0,94</w:t>
      </w:r>
      <w:r w:rsidR="00965503" w:rsidRPr="00330A40">
        <w:rPr>
          <w:lang w:val="it-IT"/>
        </w:rPr>
        <w:t>];</w:t>
      </w:r>
      <w:r w:rsidRPr="00330A40">
        <w:rPr>
          <w:lang w:val="it-IT"/>
        </w:rPr>
        <w:t xml:space="preserve"> valore di p</w:t>
      </w:r>
      <w:r w:rsidR="0012374C" w:rsidRPr="00330A40">
        <w:rPr>
          <w:lang w:val="it-IT"/>
        </w:rPr>
        <w:t> </w:t>
      </w:r>
      <w:r w:rsidRPr="00330A40">
        <w:rPr>
          <w:lang w:val="it-IT"/>
        </w:rPr>
        <w:t>=</w:t>
      </w:r>
      <w:r w:rsidR="0012374C" w:rsidRPr="00330A40">
        <w:rPr>
          <w:lang w:val="it-IT"/>
        </w:rPr>
        <w:t> </w:t>
      </w:r>
      <w:r w:rsidRPr="00330A40">
        <w:rPr>
          <w:lang w:val="it-IT"/>
        </w:rPr>
        <w:t>0,0026.</w:t>
      </w:r>
    </w:p>
    <w:p w14:paraId="59015C7A" w14:textId="77777777" w:rsidR="008D7C25" w:rsidRPr="00330A40" w:rsidRDefault="008D7C25" w:rsidP="008D7C25">
      <w:pPr>
        <w:rPr>
          <w:lang w:val="it-IT"/>
        </w:rPr>
      </w:pPr>
    </w:p>
    <w:p w14:paraId="24459069" w14:textId="77777777" w:rsidR="008D7C25" w:rsidRPr="006A2BF9" w:rsidRDefault="008D7C25" w:rsidP="008D7C25">
      <w:pPr>
        <w:rPr>
          <w:lang w:val="it-IT"/>
        </w:rPr>
      </w:pPr>
      <w:r w:rsidRPr="00330A40">
        <w:rPr>
          <w:lang w:val="it-IT"/>
        </w:rPr>
        <w:t xml:space="preserve">Nel sottogruppo in trattamento con FOLFOX la </w:t>
      </w:r>
      <w:r w:rsidR="0017104B">
        <w:rPr>
          <w:lang w:val="it-IT"/>
        </w:rPr>
        <w:t>OS</w:t>
      </w:r>
      <w:r w:rsidRPr="00330A40">
        <w:rPr>
          <w:lang w:val="it-IT"/>
        </w:rPr>
        <w:t xml:space="preserve"> mediana era di 20,3</w:t>
      </w:r>
      <w:r w:rsidR="00D37A63" w:rsidRPr="00330A40">
        <w:rPr>
          <w:lang w:val="it-IT"/>
        </w:rPr>
        <w:t> </w:t>
      </w:r>
      <w:r w:rsidRPr="00330A40">
        <w:rPr>
          <w:lang w:val="it-IT"/>
        </w:rPr>
        <w:t xml:space="preserve">mesi nei </w:t>
      </w:r>
      <w:r w:rsidRPr="00C47BF3">
        <w:rPr>
          <w:lang w:val="it-IT"/>
        </w:rPr>
        <w:t>pazienti trattati con placebo e di 21,2 mesi in quelli trattati con bevacizumab, HR</w:t>
      </w:r>
      <w:r w:rsidR="0012374C" w:rsidRPr="00C47BF3">
        <w:rPr>
          <w:lang w:val="it-IT"/>
        </w:rPr>
        <w:t> </w:t>
      </w:r>
      <w:r w:rsidRPr="00C47BF3">
        <w:rPr>
          <w:lang w:val="it-IT"/>
        </w:rPr>
        <w:t>=</w:t>
      </w:r>
      <w:r w:rsidR="0012374C" w:rsidRPr="00C47BF3">
        <w:rPr>
          <w:lang w:val="it-IT"/>
        </w:rPr>
        <w:t> </w:t>
      </w:r>
      <w:r w:rsidRPr="00C47BF3">
        <w:rPr>
          <w:lang w:val="it-IT"/>
        </w:rPr>
        <w:t xml:space="preserve">0,94, IC </w:t>
      </w:r>
      <w:r w:rsidR="00831FDE" w:rsidRPr="00C47BF3">
        <w:rPr>
          <w:lang w:val="it-IT"/>
        </w:rPr>
        <w:t xml:space="preserve">al </w:t>
      </w:r>
      <w:r w:rsidR="00965503" w:rsidRPr="00C47BF3">
        <w:rPr>
          <w:lang w:val="it-IT"/>
        </w:rPr>
        <w:t>97,5%</w:t>
      </w:r>
      <w:r w:rsidR="0012374C" w:rsidRPr="006A2BF9">
        <w:rPr>
          <w:lang w:val="it-IT"/>
        </w:rPr>
        <w:t> </w:t>
      </w:r>
      <w:r w:rsidRPr="006A2BF9">
        <w:rPr>
          <w:lang w:val="it-IT"/>
        </w:rPr>
        <w:t>=</w:t>
      </w:r>
      <w:r w:rsidR="0012374C" w:rsidRPr="006A2BF9">
        <w:rPr>
          <w:lang w:val="it-IT"/>
        </w:rPr>
        <w:t> </w:t>
      </w:r>
      <w:r w:rsidR="00965503" w:rsidRPr="006A2BF9">
        <w:rPr>
          <w:lang w:val="it-IT"/>
        </w:rPr>
        <w:t>[</w:t>
      </w:r>
      <w:r w:rsidRPr="006A2BF9">
        <w:rPr>
          <w:lang w:val="it-IT"/>
        </w:rPr>
        <w:t>0,75; 1,16</w:t>
      </w:r>
      <w:r w:rsidR="00965503" w:rsidRPr="006A2BF9">
        <w:rPr>
          <w:lang w:val="it-IT"/>
        </w:rPr>
        <w:t>]</w:t>
      </w:r>
      <w:r w:rsidRPr="006A2BF9">
        <w:rPr>
          <w:lang w:val="it-IT"/>
        </w:rPr>
        <w:t>; valore di p</w:t>
      </w:r>
      <w:r w:rsidR="0012374C" w:rsidRPr="006A2BF9">
        <w:rPr>
          <w:lang w:val="it-IT"/>
        </w:rPr>
        <w:t> </w:t>
      </w:r>
      <w:r w:rsidRPr="006A2BF9">
        <w:rPr>
          <w:lang w:val="it-IT"/>
        </w:rPr>
        <w:t>=</w:t>
      </w:r>
      <w:r w:rsidR="0012374C" w:rsidRPr="006A2BF9">
        <w:rPr>
          <w:lang w:val="it-IT"/>
        </w:rPr>
        <w:t> </w:t>
      </w:r>
      <w:r w:rsidRPr="006A2BF9">
        <w:rPr>
          <w:lang w:val="it-IT"/>
        </w:rPr>
        <w:t>0,4937, mentre i risultati corrispondenti nel sottogruppo trattato con XELOX erano 19,2 vs. 21,4</w:t>
      </w:r>
      <w:r w:rsidR="00D37A63" w:rsidRPr="006A2BF9">
        <w:rPr>
          <w:lang w:val="it-IT"/>
        </w:rPr>
        <w:t> </w:t>
      </w:r>
      <w:r w:rsidRPr="006A2BF9">
        <w:rPr>
          <w:lang w:val="it-IT"/>
        </w:rPr>
        <w:t>mesi</w:t>
      </w:r>
      <w:r w:rsidR="00965503" w:rsidRPr="006A2BF9">
        <w:rPr>
          <w:lang w:val="it-IT"/>
        </w:rPr>
        <w:t>,</w:t>
      </w:r>
      <w:r w:rsidRPr="006A2BF9">
        <w:rPr>
          <w:lang w:val="it-IT"/>
        </w:rPr>
        <w:t xml:space="preserve"> HR</w:t>
      </w:r>
      <w:r w:rsidR="0012374C" w:rsidRPr="006A2BF9">
        <w:rPr>
          <w:lang w:val="it-IT"/>
        </w:rPr>
        <w:t> </w:t>
      </w:r>
      <w:r w:rsidRPr="006A2BF9">
        <w:rPr>
          <w:lang w:val="it-IT"/>
        </w:rPr>
        <w:t>=</w:t>
      </w:r>
      <w:r w:rsidR="0012374C" w:rsidRPr="006A2BF9">
        <w:rPr>
          <w:lang w:val="it-IT"/>
        </w:rPr>
        <w:t> </w:t>
      </w:r>
      <w:r w:rsidRPr="006A2BF9">
        <w:rPr>
          <w:lang w:val="it-IT"/>
        </w:rPr>
        <w:t>0,84, IC</w:t>
      </w:r>
      <w:r w:rsidR="00965503" w:rsidRPr="006A2BF9">
        <w:rPr>
          <w:lang w:val="it-IT"/>
        </w:rPr>
        <w:t xml:space="preserve"> </w:t>
      </w:r>
      <w:r w:rsidR="00831FDE" w:rsidRPr="006A2BF9">
        <w:rPr>
          <w:lang w:val="it-IT"/>
        </w:rPr>
        <w:t xml:space="preserve">al </w:t>
      </w:r>
      <w:r w:rsidR="00965503" w:rsidRPr="006A2BF9">
        <w:rPr>
          <w:lang w:val="it-IT"/>
        </w:rPr>
        <w:t>97,5%</w:t>
      </w:r>
      <w:r w:rsidR="0012374C" w:rsidRPr="006A2BF9">
        <w:rPr>
          <w:lang w:val="it-IT"/>
        </w:rPr>
        <w:t> </w:t>
      </w:r>
      <w:r w:rsidRPr="006A2BF9">
        <w:rPr>
          <w:lang w:val="it-IT"/>
        </w:rPr>
        <w:t>=</w:t>
      </w:r>
      <w:r w:rsidR="0012374C" w:rsidRPr="006A2BF9">
        <w:rPr>
          <w:lang w:val="it-IT"/>
        </w:rPr>
        <w:t> </w:t>
      </w:r>
      <w:r w:rsidR="00965503" w:rsidRPr="006A2BF9">
        <w:rPr>
          <w:lang w:val="it-IT"/>
        </w:rPr>
        <w:t>[</w:t>
      </w:r>
      <w:r w:rsidRPr="006A2BF9">
        <w:rPr>
          <w:lang w:val="it-IT"/>
        </w:rPr>
        <w:t>0,68; 1,04</w:t>
      </w:r>
      <w:r w:rsidR="00965503" w:rsidRPr="006A2BF9">
        <w:rPr>
          <w:lang w:val="it-IT"/>
        </w:rPr>
        <w:t>];</w:t>
      </w:r>
      <w:r w:rsidRPr="006A2BF9">
        <w:rPr>
          <w:lang w:val="it-IT"/>
        </w:rPr>
        <w:t xml:space="preserve"> valore di p</w:t>
      </w:r>
      <w:r w:rsidR="0012374C" w:rsidRPr="006A2BF9">
        <w:rPr>
          <w:lang w:val="it-IT"/>
        </w:rPr>
        <w:t> </w:t>
      </w:r>
      <w:r w:rsidRPr="006A2BF9">
        <w:rPr>
          <w:lang w:val="it-IT"/>
        </w:rPr>
        <w:t>=</w:t>
      </w:r>
      <w:r w:rsidR="0012374C" w:rsidRPr="006A2BF9">
        <w:rPr>
          <w:lang w:val="it-IT"/>
        </w:rPr>
        <w:t> </w:t>
      </w:r>
      <w:r w:rsidRPr="006A2BF9">
        <w:rPr>
          <w:lang w:val="it-IT"/>
        </w:rPr>
        <w:t>0,0698.</w:t>
      </w:r>
    </w:p>
    <w:p w14:paraId="1BC1C8B0" w14:textId="77777777" w:rsidR="008D7C25" w:rsidRPr="006A2BF9" w:rsidRDefault="008D7C25" w:rsidP="008D7C25">
      <w:pPr>
        <w:rPr>
          <w:b/>
          <w:lang w:val="it-IT"/>
        </w:rPr>
      </w:pPr>
    </w:p>
    <w:p w14:paraId="743CD8C8" w14:textId="77777777" w:rsidR="008D7C25" w:rsidRPr="006A2BF9" w:rsidRDefault="008D7C25" w:rsidP="008D7C25">
      <w:pPr>
        <w:rPr>
          <w:i/>
          <w:iCs/>
          <w:lang w:val="it-IT"/>
        </w:rPr>
      </w:pPr>
      <w:r w:rsidRPr="006A2BF9">
        <w:rPr>
          <w:i/>
          <w:iCs/>
          <w:lang w:val="it-IT"/>
        </w:rPr>
        <w:t>ECOG E3200</w:t>
      </w:r>
    </w:p>
    <w:p w14:paraId="5D55707C" w14:textId="77777777" w:rsidR="008D7C25" w:rsidRPr="006A2BF9" w:rsidRDefault="008D7C25" w:rsidP="008D7C25">
      <w:pPr>
        <w:rPr>
          <w:lang w:val="it-IT"/>
        </w:rPr>
      </w:pPr>
      <w:r w:rsidRPr="006A2BF9">
        <w:rPr>
          <w:lang w:val="it-IT"/>
        </w:rPr>
        <w:t>Questo era uno studio di fase</w:t>
      </w:r>
      <w:r w:rsidR="0012374C" w:rsidRPr="006A2BF9">
        <w:rPr>
          <w:lang w:val="it-IT"/>
        </w:rPr>
        <w:t> </w:t>
      </w:r>
      <w:r w:rsidRPr="006A2BF9">
        <w:rPr>
          <w:lang w:val="it-IT"/>
        </w:rPr>
        <w:t>III randomizzato, controllato in</w:t>
      </w:r>
      <w:r w:rsidR="00965503" w:rsidRPr="006A2BF9">
        <w:rPr>
          <w:lang w:val="it-IT"/>
        </w:rPr>
        <w:t xml:space="preserve"> aperto per valutare </w:t>
      </w:r>
      <w:r w:rsidR="00D37A63" w:rsidRPr="006A2BF9">
        <w:rPr>
          <w:lang w:val="it-IT"/>
        </w:rPr>
        <w:t>bevacizumab</w:t>
      </w:r>
      <w:r w:rsidR="00D37A63" w:rsidRPr="006A2BF9" w:rsidDel="00FD6236">
        <w:rPr>
          <w:lang w:val="it-IT"/>
        </w:rPr>
        <w:t xml:space="preserve"> </w:t>
      </w:r>
      <w:r w:rsidR="00965503" w:rsidRPr="006A2BF9">
        <w:rPr>
          <w:lang w:val="it-IT"/>
        </w:rPr>
        <w:t>10 </w:t>
      </w:r>
      <w:r w:rsidRPr="006A2BF9">
        <w:rPr>
          <w:lang w:val="it-IT"/>
        </w:rPr>
        <w:t xml:space="preserve">mg/kg in </w:t>
      </w:r>
      <w:r w:rsidR="009847F8" w:rsidRPr="006A2BF9">
        <w:rPr>
          <w:lang w:val="it-IT"/>
        </w:rPr>
        <w:t xml:space="preserve">associazione </w:t>
      </w:r>
      <w:r w:rsidR="00450DEE" w:rsidRPr="006A2BF9">
        <w:rPr>
          <w:lang w:val="it-IT"/>
        </w:rPr>
        <w:t xml:space="preserve">a </w:t>
      </w:r>
      <w:r w:rsidRPr="006A2BF9">
        <w:rPr>
          <w:lang w:val="it-IT"/>
        </w:rPr>
        <w:t>le</w:t>
      </w:r>
      <w:r w:rsidR="00854CA4" w:rsidRPr="006A2BF9">
        <w:rPr>
          <w:lang w:val="it-IT"/>
        </w:rPr>
        <w:t>uc</w:t>
      </w:r>
      <w:r w:rsidRPr="006A2BF9">
        <w:rPr>
          <w:lang w:val="it-IT"/>
        </w:rPr>
        <w:t xml:space="preserve">ovorin e 5-fluorouracile in bolo seguiti da 5-fluorouracile </w:t>
      </w:r>
      <w:r w:rsidR="003E4249">
        <w:rPr>
          <w:lang w:val="it-IT"/>
        </w:rPr>
        <w:t xml:space="preserve">per </w:t>
      </w:r>
      <w:r w:rsidRPr="006A2BF9">
        <w:rPr>
          <w:lang w:val="it-IT"/>
        </w:rPr>
        <w:t xml:space="preserve">infusione con oxaliplatino </w:t>
      </w:r>
      <w:r w:rsidR="0017104B">
        <w:rPr>
          <w:lang w:val="it-IT"/>
        </w:rPr>
        <w:t xml:space="preserve">per via endovenosa </w:t>
      </w:r>
      <w:r w:rsidRPr="006A2BF9">
        <w:rPr>
          <w:lang w:val="it-IT"/>
        </w:rPr>
        <w:t>(FOLFOX-4)</w:t>
      </w:r>
      <w:r w:rsidR="00965503" w:rsidRPr="006A2BF9">
        <w:rPr>
          <w:lang w:val="it-IT"/>
        </w:rPr>
        <w:t>,</w:t>
      </w:r>
      <w:r w:rsidRPr="006A2BF9">
        <w:rPr>
          <w:lang w:val="it-IT"/>
        </w:rPr>
        <w:t xml:space="preserve"> somministrati a cicli di </w:t>
      </w:r>
      <w:r w:rsidR="00965503" w:rsidRPr="006A2BF9">
        <w:rPr>
          <w:lang w:val="it-IT"/>
        </w:rPr>
        <w:t>2</w:t>
      </w:r>
      <w:r w:rsidR="00D37A63" w:rsidRPr="006A2BF9">
        <w:rPr>
          <w:lang w:val="it-IT"/>
        </w:rPr>
        <w:t> </w:t>
      </w:r>
      <w:r w:rsidRPr="006A2BF9">
        <w:rPr>
          <w:lang w:val="it-IT"/>
        </w:rPr>
        <w:t>settimane in pazienti già</w:t>
      </w:r>
      <w:r w:rsidR="00965503" w:rsidRPr="006A2BF9">
        <w:rPr>
          <w:lang w:val="it-IT"/>
        </w:rPr>
        <w:t xml:space="preserve"> precedentemente</w:t>
      </w:r>
      <w:r w:rsidRPr="006A2BF9">
        <w:rPr>
          <w:lang w:val="it-IT"/>
        </w:rPr>
        <w:t xml:space="preserve"> trattati (seconda linea) con </w:t>
      </w:r>
      <w:r w:rsidR="006970D8">
        <w:rPr>
          <w:lang w:val="it-IT"/>
        </w:rPr>
        <w:t>cancro</w:t>
      </w:r>
      <w:r w:rsidR="006970D8" w:rsidRPr="006A2BF9">
        <w:rPr>
          <w:lang w:val="it-IT"/>
        </w:rPr>
        <w:t xml:space="preserve"> </w:t>
      </w:r>
      <w:r w:rsidRPr="006A2BF9">
        <w:rPr>
          <w:lang w:val="it-IT"/>
        </w:rPr>
        <w:t xml:space="preserve">colorettale avanzato. Nei bracci con chemioterapia, il regime FOLFOX-4 era utilizzato </w:t>
      </w:r>
      <w:r w:rsidR="00965503" w:rsidRPr="006A2BF9">
        <w:rPr>
          <w:lang w:val="it-IT"/>
        </w:rPr>
        <w:t>alle</w:t>
      </w:r>
      <w:r w:rsidRPr="006A2BF9">
        <w:rPr>
          <w:lang w:val="it-IT"/>
        </w:rPr>
        <w:t xml:space="preserve"> stesse dosi e lo stesso schema mostrato nella tabella</w:t>
      </w:r>
      <w:r w:rsidR="00EC6075" w:rsidRPr="006A2BF9">
        <w:rPr>
          <w:lang w:val="it-IT"/>
        </w:rPr>
        <w:t> </w:t>
      </w:r>
      <w:r w:rsidR="00D966E3" w:rsidRPr="006A2BF9">
        <w:rPr>
          <w:lang w:val="it-IT"/>
        </w:rPr>
        <w:t>6</w:t>
      </w:r>
      <w:r w:rsidR="00D9509D" w:rsidRPr="006A2BF9">
        <w:rPr>
          <w:lang w:val="it-IT"/>
        </w:rPr>
        <w:t xml:space="preserve"> </w:t>
      </w:r>
      <w:r w:rsidRPr="006A2BF9">
        <w:rPr>
          <w:lang w:val="it-IT"/>
        </w:rPr>
        <w:t>per lo studio NO16966.</w:t>
      </w:r>
    </w:p>
    <w:p w14:paraId="31C91A64" w14:textId="77777777" w:rsidR="008D7C25" w:rsidRPr="006A2BF9" w:rsidRDefault="008D7C25" w:rsidP="008D7C25">
      <w:pPr>
        <w:rPr>
          <w:lang w:val="it-IT"/>
        </w:rPr>
      </w:pPr>
    </w:p>
    <w:p w14:paraId="0B0643E6" w14:textId="77777777" w:rsidR="008D7C25" w:rsidRPr="006A2BF9" w:rsidRDefault="008D7C25" w:rsidP="008D7C25">
      <w:pPr>
        <w:rPr>
          <w:lang w:val="it-IT"/>
        </w:rPr>
      </w:pPr>
      <w:r w:rsidRPr="006A2BF9">
        <w:rPr>
          <w:lang w:val="it-IT"/>
        </w:rPr>
        <w:t>Il parametro primario dello studio per</w:t>
      </w:r>
      <w:r w:rsidRPr="00330A40">
        <w:rPr>
          <w:lang w:val="it-IT"/>
        </w:rPr>
        <w:t xml:space="preserve"> la valutazione dell’efficacia era la </w:t>
      </w:r>
      <w:r w:rsidR="0017104B">
        <w:rPr>
          <w:lang w:val="it-IT"/>
        </w:rPr>
        <w:t>OS</w:t>
      </w:r>
      <w:r w:rsidRPr="00330A40">
        <w:rPr>
          <w:lang w:val="it-IT"/>
        </w:rPr>
        <w:t xml:space="preserve"> definita come il tempo tra la randomizzazione e la morte per </w:t>
      </w:r>
      <w:r w:rsidR="00570D9F" w:rsidRPr="00330A40">
        <w:rPr>
          <w:lang w:val="it-IT"/>
        </w:rPr>
        <w:t xml:space="preserve">una </w:t>
      </w:r>
      <w:r w:rsidRPr="00330A40">
        <w:rPr>
          <w:lang w:val="it-IT"/>
        </w:rPr>
        <w:t xml:space="preserve">qualsiasi causa. Sono stati randomizzati </w:t>
      </w:r>
      <w:r w:rsidR="00965503" w:rsidRPr="00330A40">
        <w:rPr>
          <w:lang w:val="it-IT"/>
        </w:rPr>
        <w:t xml:space="preserve">ottocentoventinove pazienti (292 FOLFOX-4, 293 </w:t>
      </w:r>
      <w:r w:rsidR="00D37A63" w:rsidRPr="006A2BF9">
        <w:rPr>
          <w:lang w:val="it-IT"/>
        </w:rPr>
        <w:t>bevacizumab</w:t>
      </w:r>
      <w:r w:rsidR="0012374C" w:rsidRPr="006A2BF9">
        <w:rPr>
          <w:lang w:val="it-IT"/>
        </w:rPr>
        <w:t> </w:t>
      </w:r>
      <w:r w:rsidR="00965503" w:rsidRPr="006A2BF9">
        <w:rPr>
          <w:lang w:val="it-IT"/>
        </w:rPr>
        <w:t>+</w:t>
      </w:r>
      <w:r w:rsidR="0012374C" w:rsidRPr="006A2BF9">
        <w:rPr>
          <w:lang w:val="it-IT"/>
        </w:rPr>
        <w:t> </w:t>
      </w:r>
      <w:r w:rsidR="00965503" w:rsidRPr="006A2BF9">
        <w:rPr>
          <w:lang w:val="it-IT"/>
        </w:rPr>
        <w:t>FOLFOX-4 e</w:t>
      </w:r>
      <w:r w:rsidRPr="006A2BF9">
        <w:rPr>
          <w:lang w:val="it-IT"/>
        </w:rPr>
        <w:t xml:space="preserve"> 244 </w:t>
      </w:r>
      <w:r w:rsidR="00D37A63" w:rsidRPr="006A2BF9">
        <w:rPr>
          <w:lang w:val="it-IT"/>
        </w:rPr>
        <w:t>bevacizumab</w:t>
      </w:r>
      <w:r w:rsidR="00D37A63" w:rsidRPr="006A2BF9" w:rsidDel="00FD6236">
        <w:rPr>
          <w:lang w:val="it-IT"/>
        </w:rPr>
        <w:t xml:space="preserve"> </w:t>
      </w:r>
      <w:r w:rsidR="0025736A" w:rsidRPr="006A2BF9">
        <w:rPr>
          <w:lang w:val="it-IT"/>
        </w:rPr>
        <w:t xml:space="preserve">in </w:t>
      </w:r>
      <w:r w:rsidRPr="006A2BF9">
        <w:rPr>
          <w:lang w:val="it-IT"/>
        </w:rPr>
        <w:t xml:space="preserve">monoterapia). L’aggiunta di </w:t>
      </w:r>
      <w:r w:rsidR="00D37A63" w:rsidRPr="006A2BF9">
        <w:rPr>
          <w:lang w:val="it-IT"/>
        </w:rPr>
        <w:t>bevacizumab</w:t>
      </w:r>
      <w:r w:rsidR="00D37A63" w:rsidRPr="006A2BF9" w:rsidDel="00FD6236">
        <w:rPr>
          <w:lang w:val="it-IT"/>
        </w:rPr>
        <w:t xml:space="preserve"> </w:t>
      </w:r>
      <w:r w:rsidRPr="006A2BF9">
        <w:rPr>
          <w:lang w:val="it-IT"/>
        </w:rPr>
        <w:t>al regime FOLFOX-4 ha prolungato in maniera statisticamente</w:t>
      </w:r>
      <w:r w:rsidR="00965503" w:rsidRPr="006A2BF9">
        <w:rPr>
          <w:lang w:val="it-IT"/>
        </w:rPr>
        <w:t xml:space="preserve"> significativa la sopravvivenza</w:t>
      </w:r>
      <w:r w:rsidRPr="006A2BF9">
        <w:rPr>
          <w:lang w:val="it-IT"/>
        </w:rPr>
        <w:t xml:space="preserve">. Sono stati osservati anche miglioramenti statisticamente significativi nella </w:t>
      </w:r>
      <w:r w:rsidR="0017104B">
        <w:rPr>
          <w:lang w:val="it-IT"/>
        </w:rPr>
        <w:t>PFS</w:t>
      </w:r>
      <w:r w:rsidRPr="006A2BF9">
        <w:rPr>
          <w:lang w:val="it-IT"/>
        </w:rPr>
        <w:t xml:space="preserve"> e</w:t>
      </w:r>
      <w:r w:rsidR="00965503" w:rsidRPr="006A2BF9">
        <w:rPr>
          <w:lang w:val="it-IT"/>
        </w:rPr>
        <w:t xml:space="preserve"> nel tasso di risposta obiettiva</w:t>
      </w:r>
      <w:r w:rsidRPr="006A2BF9">
        <w:rPr>
          <w:lang w:val="it-IT"/>
        </w:rPr>
        <w:t xml:space="preserve"> (ved</w:t>
      </w:r>
      <w:r w:rsidR="00C96ED8" w:rsidRPr="006A2BF9">
        <w:rPr>
          <w:lang w:val="it-IT"/>
        </w:rPr>
        <w:t>ere</w:t>
      </w:r>
      <w:r w:rsidRPr="006A2BF9">
        <w:rPr>
          <w:lang w:val="it-IT"/>
        </w:rPr>
        <w:t xml:space="preserve"> tabella</w:t>
      </w:r>
      <w:r w:rsidR="00692542" w:rsidRPr="006A2BF9">
        <w:rPr>
          <w:lang w:val="it-IT"/>
        </w:rPr>
        <w:t> </w:t>
      </w:r>
      <w:r w:rsidR="00D966E3" w:rsidRPr="006A2BF9">
        <w:rPr>
          <w:lang w:val="it-IT"/>
        </w:rPr>
        <w:t>8</w:t>
      </w:r>
      <w:r w:rsidRPr="006A2BF9">
        <w:rPr>
          <w:lang w:val="it-IT"/>
        </w:rPr>
        <w:t>)</w:t>
      </w:r>
      <w:r w:rsidR="008D1728" w:rsidRPr="006A2BF9">
        <w:rPr>
          <w:lang w:val="it-IT"/>
        </w:rPr>
        <w:t>.</w:t>
      </w:r>
    </w:p>
    <w:p w14:paraId="0A6792AB" w14:textId="77777777" w:rsidR="008D7C25" w:rsidRPr="006A2BF9" w:rsidRDefault="008D7C25" w:rsidP="008D7C25">
      <w:pPr>
        <w:rPr>
          <w:lang w:val="it-IT"/>
        </w:rPr>
      </w:pPr>
    </w:p>
    <w:p w14:paraId="427261DE" w14:textId="77777777" w:rsidR="008D7C25" w:rsidRPr="006A2BF9" w:rsidRDefault="008D7C25" w:rsidP="001B5FB1">
      <w:pPr>
        <w:keepNext/>
        <w:keepLines/>
        <w:ind w:left="1418" w:hanging="1418"/>
        <w:rPr>
          <w:b/>
          <w:lang w:val="it-IT"/>
        </w:rPr>
      </w:pPr>
      <w:r w:rsidRPr="006A2BF9">
        <w:rPr>
          <w:b/>
          <w:lang w:val="it-IT"/>
        </w:rPr>
        <w:lastRenderedPageBreak/>
        <w:t>Tabella</w:t>
      </w:r>
      <w:r w:rsidR="0065245B" w:rsidRPr="006A2BF9">
        <w:rPr>
          <w:b/>
          <w:lang w:val="it-IT"/>
        </w:rPr>
        <w:t> </w:t>
      </w:r>
      <w:r w:rsidR="00D966E3" w:rsidRPr="006A2BF9">
        <w:rPr>
          <w:b/>
          <w:lang w:val="it-IT"/>
        </w:rPr>
        <w:t>8</w:t>
      </w:r>
      <w:r w:rsidRPr="006A2BF9">
        <w:rPr>
          <w:b/>
          <w:lang w:val="it-IT"/>
        </w:rPr>
        <w:tab/>
        <w:t>Risultati di efficacia per lo studio E3200</w:t>
      </w:r>
    </w:p>
    <w:tbl>
      <w:tblPr>
        <w:tblW w:w="5000" w:type="pct"/>
        <w:jc w:val="center"/>
        <w:tblLook w:val="0000" w:firstRow="0" w:lastRow="0" w:firstColumn="0" w:lastColumn="0" w:noHBand="0" w:noVBand="0"/>
      </w:tblPr>
      <w:tblGrid>
        <w:gridCol w:w="4694"/>
        <w:gridCol w:w="2120"/>
        <w:gridCol w:w="2237"/>
      </w:tblGrid>
      <w:tr w:rsidR="008D7C25" w:rsidRPr="006A2BF9" w14:paraId="08A17326" w14:textId="77777777" w:rsidTr="002C7DCE">
        <w:trPr>
          <w:cantSplit/>
          <w:trHeight w:val="360"/>
          <w:jc w:val="center"/>
        </w:trPr>
        <w:tc>
          <w:tcPr>
            <w:tcW w:w="2593" w:type="pct"/>
            <w:tcBorders>
              <w:top w:val="single" w:sz="4" w:space="0" w:color="auto"/>
              <w:left w:val="single" w:sz="8" w:space="0" w:color="auto"/>
              <w:right w:val="single" w:sz="8" w:space="0" w:color="auto"/>
            </w:tcBorders>
            <w:vAlign w:val="bottom"/>
          </w:tcPr>
          <w:p w14:paraId="392160E2" w14:textId="77777777" w:rsidR="008D7C25" w:rsidRPr="006A2BF9" w:rsidRDefault="008D7C25" w:rsidP="009734E3">
            <w:pPr>
              <w:pStyle w:val="TableCellCenter"/>
              <w:rPr>
                <w:b/>
                <w:lang w:val="it-IT"/>
              </w:rPr>
            </w:pPr>
          </w:p>
        </w:tc>
        <w:tc>
          <w:tcPr>
            <w:tcW w:w="2407" w:type="pct"/>
            <w:gridSpan w:val="2"/>
            <w:tcBorders>
              <w:top w:val="single" w:sz="4" w:space="0" w:color="auto"/>
              <w:left w:val="single" w:sz="8" w:space="0" w:color="auto"/>
              <w:bottom w:val="single" w:sz="4" w:space="0" w:color="auto"/>
              <w:right w:val="single" w:sz="8" w:space="0" w:color="auto"/>
            </w:tcBorders>
            <w:vAlign w:val="bottom"/>
          </w:tcPr>
          <w:p w14:paraId="508E92C5" w14:textId="77777777" w:rsidR="008D7C25" w:rsidRPr="006A2BF9" w:rsidRDefault="008D7C25" w:rsidP="009734E3">
            <w:pPr>
              <w:pStyle w:val="TableCellCenter"/>
              <w:rPr>
                <w:b/>
                <w:lang w:val="it-IT"/>
              </w:rPr>
            </w:pPr>
            <w:r w:rsidRPr="006A2BF9">
              <w:rPr>
                <w:b/>
                <w:lang w:val="it-IT"/>
              </w:rPr>
              <w:t>E3200</w:t>
            </w:r>
          </w:p>
        </w:tc>
      </w:tr>
      <w:tr w:rsidR="008D7C25" w:rsidRPr="006A2BF9" w14:paraId="1C3192BA" w14:textId="77777777" w:rsidTr="002C7DCE">
        <w:trPr>
          <w:cantSplit/>
          <w:trHeight w:val="457"/>
          <w:jc w:val="center"/>
        </w:trPr>
        <w:tc>
          <w:tcPr>
            <w:tcW w:w="2593" w:type="pct"/>
            <w:tcBorders>
              <w:left w:val="single" w:sz="8" w:space="0" w:color="auto"/>
              <w:bottom w:val="single" w:sz="8" w:space="0" w:color="auto"/>
              <w:right w:val="single" w:sz="8" w:space="0" w:color="auto"/>
            </w:tcBorders>
            <w:vAlign w:val="bottom"/>
          </w:tcPr>
          <w:p w14:paraId="34CB3BA4" w14:textId="77777777" w:rsidR="008D7C25" w:rsidRPr="006A2BF9" w:rsidRDefault="008D7C25" w:rsidP="009734E3">
            <w:pPr>
              <w:pStyle w:val="TableCellCenter"/>
              <w:rPr>
                <w:b/>
                <w:lang w:val="it-IT"/>
              </w:rPr>
            </w:pPr>
          </w:p>
        </w:tc>
        <w:tc>
          <w:tcPr>
            <w:tcW w:w="1171" w:type="pct"/>
            <w:tcBorders>
              <w:top w:val="single" w:sz="4" w:space="0" w:color="auto"/>
              <w:left w:val="single" w:sz="8" w:space="0" w:color="auto"/>
              <w:bottom w:val="single" w:sz="8" w:space="0" w:color="auto"/>
              <w:right w:val="single" w:sz="8" w:space="0" w:color="auto"/>
            </w:tcBorders>
            <w:vAlign w:val="bottom"/>
          </w:tcPr>
          <w:p w14:paraId="73BBDD50" w14:textId="77777777" w:rsidR="008D7C25" w:rsidRPr="006A2BF9" w:rsidRDefault="008D7C25" w:rsidP="009734E3">
            <w:pPr>
              <w:pStyle w:val="TableCellCenter"/>
              <w:rPr>
                <w:b/>
                <w:lang w:val="it-IT"/>
              </w:rPr>
            </w:pPr>
            <w:r w:rsidRPr="006A2BF9">
              <w:rPr>
                <w:b/>
                <w:lang w:val="it-IT"/>
              </w:rPr>
              <w:t>FOLFOX-4</w:t>
            </w:r>
          </w:p>
        </w:tc>
        <w:tc>
          <w:tcPr>
            <w:tcW w:w="1236" w:type="pct"/>
            <w:tcBorders>
              <w:top w:val="single" w:sz="4" w:space="0" w:color="auto"/>
              <w:left w:val="single" w:sz="8" w:space="0" w:color="auto"/>
              <w:bottom w:val="single" w:sz="8" w:space="0" w:color="auto"/>
              <w:right w:val="single" w:sz="8" w:space="0" w:color="auto"/>
            </w:tcBorders>
            <w:shd w:val="clear" w:color="auto" w:fill="auto"/>
            <w:vAlign w:val="bottom"/>
          </w:tcPr>
          <w:p w14:paraId="092644FF" w14:textId="77777777" w:rsidR="008D7C25" w:rsidRPr="006A2BF9" w:rsidRDefault="008D7C25" w:rsidP="00D37A63">
            <w:pPr>
              <w:pStyle w:val="TableCellCenter"/>
              <w:rPr>
                <w:b/>
                <w:lang w:val="it-IT"/>
              </w:rPr>
            </w:pPr>
            <w:r w:rsidRPr="006A2BF9">
              <w:rPr>
                <w:b/>
                <w:lang w:val="it-IT"/>
              </w:rPr>
              <w:t>FOLFOX-4 </w:t>
            </w:r>
            <w:r w:rsidRPr="006A2BF9">
              <w:rPr>
                <w:rFonts w:ascii="Symbol" w:hAnsi="Symbol"/>
                <w:b/>
                <w:lang w:val="it-IT"/>
              </w:rPr>
              <w:t></w:t>
            </w:r>
            <w:r w:rsidRPr="006A2BF9">
              <w:rPr>
                <w:b/>
                <w:lang w:val="it-IT"/>
              </w:rPr>
              <w:t> </w:t>
            </w:r>
            <w:r w:rsidR="00D37A63" w:rsidRPr="006A2BF9">
              <w:rPr>
                <w:b/>
                <w:lang w:val="it-IT"/>
              </w:rPr>
              <w:t>bevacizumab</w:t>
            </w:r>
            <w:r w:rsidRPr="006A2BF9">
              <w:rPr>
                <w:b/>
                <w:vertAlign w:val="superscript"/>
                <w:lang w:val="it-IT"/>
              </w:rPr>
              <w:t>a</w:t>
            </w:r>
          </w:p>
        </w:tc>
      </w:tr>
      <w:tr w:rsidR="008D7C25" w:rsidRPr="006A2BF9" w14:paraId="36142F4A" w14:textId="77777777" w:rsidTr="002C7DCE">
        <w:trPr>
          <w:cantSplit/>
          <w:jc w:val="center"/>
        </w:trPr>
        <w:tc>
          <w:tcPr>
            <w:tcW w:w="2593" w:type="pct"/>
            <w:tcBorders>
              <w:top w:val="single" w:sz="8" w:space="0" w:color="auto"/>
              <w:left w:val="single" w:sz="8" w:space="0" w:color="auto"/>
              <w:bottom w:val="single" w:sz="4" w:space="0" w:color="auto"/>
              <w:right w:val="single" w:sz="8" w:space="0" w:color="auto"/>
            </w:tcBorders>
          </w:tcPr>
          <w:p w14:paraId="34D6A3DE" w14:textId="77777777" w:rsidR="008D7C25" w:rsidRPr="006A2BF9" w:rsidRDefault="008D7C25" w:rsidP="009734E3">
            <w:pPr>
              <w:pStyle w:val="TableCellLeft"/>
              <w:rPr>
                <w:lang w:val="it-IT"/>
              </w:rPr>
            </w:pPr>
            <w:r w:rsidRPr="006A2BF9">
              <w:rPr>
                <w:lang w:val="it-IT"/>
              </w:rPr>
              <w:t>Numero di pazienti</w:t>
            </w:r>
          </w:p>
        </w:tc>
        <w:tc>
          <w:tcPr>
            <w:tcW w:w="1171" w:type="pct"/>
            <w:tcBorders>
              <w:top w:val="single" w:sz="8" w:space="0" w:color="auto"/>
              <w:left w:val="single" w:sz="8" w:space="0" w:color="auto"/>
              <w:bottom w:val="single" w:sz="4" w:space="0" w:color="auto"/>
              <w:right w:val="single" w:sz="4" w:space="0" w:color="auto"/>
            </w:tcBorders>
          </w:tcPr>
          <w:p w14:paraId="29593B44" w14:textId="77777777" w:rsidR="008D7C25" w:rsidRPr="006A2BF9" w:rsidRDefault="008D7C25" w:rsidP="009734E3">
            <w:pPr>
              <w:pStyle w:val="TableCellCenter"/>
              <w:rPr>
                <w:lang w:val="it-IT"/>
              </w:rPr>
            </w:pPr>
            <w:r w:rsidRPr="006A2BF9">
              <w:rPr>
                <w:lang w:val="it-IT"/>
              </w:rPr>
              <w:t>292</w:t>
            </w:r>
          </w:p>
        </w:tc>
        <w:tc>
          <w:tcPr>
            <w:tcW w:w="1236" w:type="pct"/>
            <w:tcBorders>
              <w:top w:val="single" w:sz="8" w:space="0" w:color="auto"/>
              <w:left w:val="single" w:sz="4" w:space="0" w:color="auto"/>
              <w:bottom w:val="single" w:sz="4" w:space="0" w:color="auto"/>
              <w:right w:val="single" w:sz="8" w:space="0" w:color="auto"/>
            </w:tcBorders>
          </w:tcPr>
          <w:p w14:paraId="5F435B58" w14:textId="77777777" w:rsidR="008D7C25" w:rsidRPr="006A2BF9" w:rsidRDefault="008D7C25" w:rsidP="009734E3">
            <w:pPr>
              <w:pStyle w:val="TableCellCenter"/>
              <w:rPr>
                <w:lang w:val="it-IT"/>
              </w:rPr>
            </w:pPr>
            <w:r w:rsidRPr="006A2BF9">
              <w:rPr>
                <w:lang w:val="it-IT"/>
              </w:rPr>
              <w:t>293</w:t>
            </w:r>
          </w:p>
        </w:tc>
      </w:tr>
      <w:tr w:rsidR="008D7C25" w:rsidRPr="006A2BF9" w14:paraId="0A943B65" w14:textId="77777777" w:rsidTr="002C7DCE">
        <w:trPr>
          <w:cantSplit/>
          <w:jc w:val="center"/>
        </w:trPr>
        <w:tc>
          <w:tcPr>
            <w:tcW w:w="2593" w:type="pct"/>
            <w:tcBorders>
              <w:top w:val="single" w:sz="4" w:space="0" w:color="auto"/>
              <w:left w:val="single" w:sz="8" w:space="0" w:color="auto"/>
              <w:bottom w:val="single" w:sz="4" w:space="0" w:color="auto"/>
            </w:tcBorders>
          </w:tcPr>
          <w:p w14:paraId="3F66E813" w14:textId="77777777" w:rsidR="008D7C25" w:rsidRPr="006A2BF9" w:rsidRDefault="008D7C25" w:rsidP="009734E3">
            <w:pPr>
              <w:pStyle w:val="TableCellHead"/>
              <w:keepNext w:val="0"/>
              <w:keepLines w:val="0"/>
              <w:rPr>
                <w:u w:val="none"/>
                <w:lang w:val="it-IT"/>
              </w:rPr>
            </w:pPr>
            <w:r w:rsidRPr="006A2BF9">
              <w:rPr>
                <w:u w:val="none"/>
                <w:lang w:val="it-IT"/>
              </w:rPr>
              <w:t>Sopravvivenza globale</w:t>
            </w:r>
          </w:p>
        </w:tc>
        <w:tc>
          <w:tcPr>
            <w:tcW w:w="1171" w:type="pct"/>
            <w:tcBorders>
              <w:top w:val="single" w:sz="4" w:space="0" w:color="auto"/>
              <w:left w:val="nil"/>
              <w:bottom w:val="single" w:sz="4" w:space="0" w:color="auto"/>
            </w:tcBorders>
          </w:tcPr>
          <w:p w14:paraId="69E1F199" w14:textId="77777777" w:rsidR="008D7C25" w:rsidRPr="006A2BF9" w:rsidRDefault="008D7C25" w:rsidP="009734E3">
            <w:pPr>
              <w:pStyle w:val="TableCellCenter"/>
              <w:keepNext w:val="0"/>
              <w:keepLines w:val="0"/>
              <w:rPr>
                <w:lang w:val="it-IT"/>
              </w:rPr>
            </w:pPr>
          </w:p>
        </w:tc>
        <w:tc>
          <w:tcPr>
            <w:tcW w:w="1236" w:type="pct"/>
            <w:tcBorders>
              <w:top w:val="single" w:sz="4" w:space="0" w:color="auto"/>
              <w:left w:val="nil"/>
              <w:bottom w:val="single" w:sz="4" w:space="0" w:color="auto"/>
              <w:right w:val="single" w:sz="8" w:space="0" w:color="auto"/>
            </w:tcBorders>
          </w:tcPr>
          <w:p w14:paraId="1BFE6C7A" w14:textId="77777777" w:rsidR="008D7C25" w:rsidRPr="006A2BF9" w:rsidRDefault="008D7C25" w:rsidP="009734E3">
            <w:pPr>
              <w:pStyle w:val="TableCellCenter"/>
              <w:keepNext w:val="0"/>
              <w:keepLines w:val="0"/>
              <w:rPr>
                <w:lang w:val="it-IT"/>
              </w:rPr>
            </w:pPr>
          </w:p>
        </w:tc>
      </w:tr>
      <w:tr w:rsidR="008D7C25" w:rsidRPr="006A2BF9" w14:paraId="237431D4" w14:textId="77777777" w:rsidTr="002C7DCE">
        <w:trPr>
          <w:cantSplit/>
          <w:jc w:val="center"/>
        </w:trPr>
        <w:tc>
          <w:tcPr>
            <w:tcW w:w="2593" w:type="pct"/>
            <w:tcBorders>
              <w:top w:val="single" w:sz="4" w:space="0" w:color="auto"/>
              <w:left w:val="single" w:sz="8" w:space="0" w:color="auto"/>
              <w:bottom w:val="single" w:sz="4" w:space="0" w:color="auto"/>
              <w:right w:val="single" w:sz="8" w:space="0" w:color="auto"/>
            </w:tcBorders>
          </w:tcPr>
          <w:p w14:paraId="73B75892" w14:textId="77777777" w:rsidR="008D7C25" w:rsidRPr="006A2BF9" w:rsidRDefault="008D7C25" w:rsidP="009734E3">
            <w:pPr>
              <w:pStyle w:val="TableCellLeft"/>
              <w:keepNext w:val="0"/>
              <w:keepLines w:val="0"/>
              <w:ind w:left="360"/>
              <w:rPr>
                <w:lang w:val="it-IT"/>
              </w:rPr>
            </w:pPr>
            <w:r w:rsidRPr="006A2BF9">
              <w:rPr>
                <w:lang w:val="it-IT"/>
              </w:rPr>
              <w:t>Mediana (mesi)</w:t>
            </w:r>
          </w:p>
        </w:tc>
        <w:tc>
          <w:tcPr>
            <w:tcW w:w="1171" w:type="pct"/>
            <w:tcBorders>
              <w:top w:val="single" w:sz="4" w:space="0" w:color="auto"/>
              <w:left w:val="single" w:sz="8" w:space="0" w:color="auto"/>
              <w:bottom w:val="single" w:sz="4" w:space="0" w:color="auto"/>
              <w:right w:val="single" w:sz="4" w:space="0" w:color="auto"/>
            </w:tcBorders>
          </w:tcPr>
          <w:p w14:paraId="5BCDD2CC" w14:textId="77777777" w:rsidR="008D7C25" w:rsidRPr="006A2BF9" w:rsidRDefault="00965503" w:rsidP="009734E3">
            <w:pPr>
              <w:pStyle w:val="TableCellCenter"/>
              <w:keepNext w:val="0"/>
              <w:keepLines w:val="0"/>
              <w:rPr>
                <w:lang w:val="it-IT"/>
              </w:rPr>
            </w:pPr>
            <w:r w:rsidRPr="006A2BF9">
              <w:rPr>
                <w:lang w:val="it-IT"/>
              </w:rPr>
              <w:t>10,</w:t>
            </w:r>
            <w:r w:rsidR="008D7C25" w:rsidRPr="006A2BF9">
              <w:rPr>
                <w:lang w:val="it-IT"/>
              </w:rPr>
              <w:t>8</w:t>
            </w:r>
          </w:p>
        </w:tc>
        <w:tc>
          <w:tcPr>
            <w:tcW w:w="1236" w:type="pct"/>
            <w:tcBorders>
              <w:top w:val="single" w:sz="4" w:space="0" w:color="auto"/>
              <w:left w:val="single" w:sz="4" w:space="0" w:color="auto"/>
              <w:bottom w:val="single" w:sz="4" w:space="0" w:color="auto"/>
              <w:right w:val="single" w:sz="8" w:space="0" w:color="auto"/>
            </w:tcBorders>
          </w:tcPr>
          <w:p w14:paraId="021CBC65" w14:textId="77777777" w:rsidR="008D7C25" w:rsidRPr="006A2BF9" w:rsidRDefault="00965503" w:rsidP="009734E3">
            <w:pPr>
              <w:pStyle w:val="TableCellCenter"/>
              <w:keepNext w:val="0"/>
              <w:keepLines w:val="0"/>
              <w:rPr>
                <w:lang w:val="it-IT"/>
              </w:rPr>
            </w:pPr>
            <w:r w:rsidRPr="006A2BF9">
              <w:rPr>
                <w:lang w:val="it-IT"/>
              </w:rPr>
              <w:t>13,</w:t>
            </w:r>
            <w:r w:rsidR="008D7C25" w:rsidRPr="006A2BF9">
              <w:rPr>
                <w:lang w:val="it-IT"/>
              </w:rPr>
              <w:t>0</w:t>
            </w:r>
          </w:p>
        </w:tc>
      </w:tr>
      <w:tr w:rsidR="008D7C25" w:rsidRPr="006A2BF9" w14:paraId="5684515B" w14:textId="77777777" w:rsidTr="002C7DCE">
        <w:trPr>
          <w:cantSplit/>
          <w:jc w:val="center"/>
        </w:trPr>
        <w:tc>
          <w:tcPr>
            <w:tcW w:w="2593" w:type="pct"/>
            <w:tcBorders>
              <w:top w:val="single" w:sz="4" w:space="0" w:color="auto"/>
              <w:left w:val="single" w:sz="8" w:space="0" w:color="auto"/>
              <w:bottom w:val="single" w:sz="4" w:space="0" w:color="auto"/>
              <w:right w:val="single" w:sz="8" w:space="0" w:color="auto"/>
            </w:tcBorders>
          </w:tcPr>
          <w:p w14:paraId="3BA86244" w14:textId="77777777" w:rsidR="008D7C25" w:rsidRPr="00330A40" w:rsidRDefault="00ED451F" w:rsidP="009734E3">
            <w:pPr>
              <w:pStyle w:val="TableCellLeft"/>
              <w:keepNext w:val="0"/>
              <w:keepLines w:val="0"/>
              <w:ind w:left="360"/>
              <w:rPr>
                <w:lang w:val="it-IT"/>
              </w:rPr>
            </w:pPr>
            <w:r w:rsidRPr="006A2BF9">
              <w:rPr>
                <w:lang w:val="it-IT"/>
              </w:rPr>
              <w:t xml:space="preserve">IC </w:t>
            </w:r>
            <w:r w:rsidR="007933D2">
              <w:rPr>
                <w:lang w:val="it-IT"/>
              </w:rPr>
              <w:t xml:space="preserve">al </w:t>
            </w:r>
            <w:r w:rsidR="00965503" w:rsidRPr="00330A40">
              <w:rPr>
                <w:lang w:val="it-IT"/>
              </w:rPr>
              <w:t>95%</w:t>
            </w:r>
          </w:p>
        </w:tc>
        <w:tc>
          <w:tcPr>
            <w:tcW w:w="1171" w:type="pct"/>
            <w:tcBorders>
              <w:top w:val="single" w:sz="4" w:space="0" w:color="auto"/>
              <w:left w:val="single" w:sz="8" w:space="0" w:color="auto"/>
              <w:bottom w:val="single" w:sz="4" w:space="0" w:color="auto"/>
              <w:right w:val="single" w:sz="4" w:space="0" w:color="auto"/>
            </w:tcBorders>
          </w:tcPr>
          <w:p w14:paraId="45CEA9C9" w14:textId="77777777" w:rsidR="008D7C25" w:rsidRPr="00330A40" w:rsidRDefault="00965503" w:rsidP="009734E3">
            <w:pPr>
              <w:pStyle w:val="TableCellCenter"/>
              <w:keepNext w:val="0"/>
              <w:keepLines w:val="0"/>
              <w:rPr>
                <w:lang w:val="it-IT"/>
              </w:rPr>
            </w:pPr>
            <w:r w:rsidRPr="00330A40">
              <w:rPr>
                <w:lang w:val="it-IT"/>
              </w:rPr>
              <w:t>10,12</w:t>
            </w:r>
            <w:r w:rsidR="0012374C" w:rsidRPr="00330A40">
              <w:rPr>
                <w:lang w:val="it-IT"/>
              </w:rPr>
              <w:noBreakHyphen/>
            </w:r>
            <w:r w:rsidRPr="00330A40">
              <w:rPr>
                <w:lang w:val="it-IT"/>
              </w:rPr>
              <w:t>11,</w:t>
            </w:r>
            <w:r w:rsidR="008D7C25" w:rsidRPr="00330A40">
              <w:rPr>
                <w:lang w:val="it-IT"/>
              </w:rPr>
              <w:t>86</w:t>
            </w:r>
          </w:p>
        </w:tc>
        <w:tc>
          <w:tcPr>
            <w:tcW w:w="1236" w:type="pct"/>
            <w:tcBorders>
              <w:top w:val="single" w:sz="4" w:space="0" w:color="auto"/>
              <w:left w:val="single" w:sz="4" w:space="0" w:color="auto"/>
              <w:bottom w:val="single" w:sz="4" w:space="0" w:color="auto"/>
              <w:right w:val="single" w:sz="8" w:space="0" w:color="auto"/>
            </w:tcBorders>
          </w:tcPr>
          <w:p w14:paraId="2454711E" w14:textId="77777777" w:rsidR="008D7C25" w:rsidRPr="00330A40" w:rsidRDefault="00965503" w:rsidP="009734E3">
            <w:pPr>
              <w:pStyle w:val="TableCellCenter"/>
              <w:keepNext w:val="0"/>
              <w:keepLines w:val="0"/>
              <w:rPr>
                <w:lang w:val="it-IT"/>
              </w:rPr>
            </w:pPr>
            <w:r w:rsidRPr="00330A40">
              <w:rPr>
                <w:lang w:val="it-IT"/>
              </w:rPr>
              <w:t>12,09</w:t>
            </w:r>
            <w:r w:rsidR="0012374C" w:rsidRPr="00330A40">
              <w:rPr>
                <w:lang w:val="it-IT"/>
              </w:rPr>
              <w:noBreakHyphen/>
            </w:r>
            <w:r w:rsidRPr="00330A40">
              <w:rPr>
                <w:lang w:val="it-IT"/>
              </w:rPr>
              <w:t>14,</w:t>
            </w:r>
            <w:r w:rsidR="008D7C25" w:rsidRPr="00330A40">
              <w:rPr>
                <w:lang w:val="it-IT"/>
              </w:rPr>
              <w:t>03</w:t>
            </w:r>
          </w:p>
        </w:tc>
      </w:tr>
      <w:tr w:rsidR="008D7C25" w:rsidRPr="006A2BF9" w14:paraId="4A9594A2" w14:textId="77777777" w:rsidTr="002C7DCE">
        <w:trPr>
          <w:cantSplit/>
          <w:jc w:val="center"/>
        </w:trPr>
        <w:tc>
          <w:tcPr>
            <w:tcW w:w="2593" w:type="pct"/>
            <w:tcBorders>
              <w:top w:val="single" w:sz="4" w:space="0" w:color="auto"/>
              <w:left w:val="single" w:sz="8" w:space="0" w:color="auto"/>
              <w:bottom w:val="single" w:sz="4" w:space="0" w:color="auto"/>
              <w:right w:val="single" w:sz="8" w:space="0" w:color="auto"/>
            </w:tcBorders>
          </w:tcPr>
          <w:p w14:paraId="2D31F883" w14:textId="77777777" w:rsidR="008D7C25" w:rsidRPr="00330A40" w:rsidRDefault="008D7C25" w:rsidP="009734E3">
            <w:pPr>
              <w:pStyle w:val="TableCellLeft"/>
              <w:keepNext w:val="0"/>
              <w:keepLines w:val="0"/>
              <w:ind w:left="360"/>
              <w:rPr>
                <w:lang w:val="it-IT"/>
              </w:rPr>
            </w:pPr>
            <w:r w:rsidRPr="000F0246">
              <w:rPr>
                <w:i/>
                <w:lang w:val="it-IT"/>
              </w:rPr>
              <w:t>Hazard ratio</w:t>
            </w:r>
            <w:r w:rsidRPr="00330A40">
              <w:rPr>
                <w:vertAlign w:val="superscript"/>
                <w:lang w:val="it-IT"/>
              </w:rPr>
              <w:t>b</w:t>
            </w:r>
          </w:p>
        </w:tc>
        <w:tc>
          <w:tcPr>
            <w:tcW w:w="2407" w:type="pct"/>
            <w:gridSpan w:val="2"/>
            <w:tcBorders>
              <w:top w:val="single" w:sz="4" w:space="0" w:color="auto"/>
              <w:left w:val="single" w:sz="8" w:space="0" w:color="auto"/>
              <w:bottom w:val="single" w:sz="4" w:space="0" w:color="auto"/>
              <w:right w:val="single" w:sz="8" w:space="0" w:color="auto"/>
            </w:tcBorders>
          </w:tcPr>
          <w:p w14:paraId="71177501" w14:textId="77777777" w:rsidR="008D7C25" w:rsidRPr="00330A40" w:rsidRDefault="00965503" w:rsidP="009734E3">
            <w:pPr>
              <w:pStyle w:val="TableCellCenter"/>
              <w:keepNext w:val="0"/>
              <w:keepLines w:val="0"/>
              <w:rPr>
                <w:lang w:val="it-IT"/>
              </w:rPr>
            </w:pPr>
            <w:r w:rsidRPr="00330A40">
              <w:rPr>
                <w:lang w:val="it-IT"/>
              </w:rPr>
              <w:t>0,</w:t>
            </w:r>
            <w:r w:rsidR="008D7C25" w:rsidRPr="00330A40">
              <w:rPr>
                <w:lang w:val="it-IT"/>
              </w:rPr>
              <w:t>751</w:t>
            </w:r>
          </w:p>
          <w:p w14:paraId="2BF0A924" w14:textId="77777777" w:rsidR="008D7C25" w:rsidRPr="00330A40" w:rsidRDefault="008D7C25" w:rsidP="009734E3">
            <w:pPr>
              <w:pStyle w:val="TableCellCenter"/>
              <w:keepNext w:val="0"/>
              <w:keepLines w:val="0"/>
              <w:rPr>
                <w:lang w:val="it-IT"/>
              </w:rPr>
            </w:pPr>
            <w:r w:rsidRPr="00330A40">
              <w:rPr>
                <w:lang w:val="it-IT"/>
              </w:rPr>
              <w:t>(</w:t>
            </w:r>
            <w:r w:rsidR="00965503" w:rsidRPr="00330A40">
              <w:rPr>
                <w:lang w:val="it-IT"/>
              </w:rPr>
              <w:t xml:space="preserve">valore di </w:t>
            </w:r>
            <w:r w:rsidRPr="00330A40">
              <w:rPr>
                <w:lang w:val="it-IT"/>
              </w:rPr>
              <w:t>p</w:t>
            </w:r>
            <w:r w:rsidR="0012374C" w:rsidRPr="00330A40">
              <w:rPr>
                <w:lang w:val="it-IT"/>
              </w:rPr>
              <w:t> </w:t>
            </w:r>
            <w:r w:rsidRPr="00330A40">
              <w:rPr>
                <w:lang w:val="it-IT"/>
              </w:rPr>
              <w:t>=</w:t>
            </w:r>
            <w:r w:rsidR="0012374C" w:rsidRPr="00330A40">
              <w:rPr>
                <w:lang w:val="it-IT"/>
              </w:rPr>
              <w:t> </w:t>
            </w:r>
            <w:r w:rsidRPr="00330A40">
              <w:rPr>
                <w:lang w:val="it-IT"/>
              </w:rPr>
              <w:t>0</w:t>
            </w:r>
            <w:r w:rsidR="00965503" w:rsidRPr="00330A40">
              <w:rPr>
                <w:lang w:val="it-IT"/>
              </w:rPr>
              <w:t>,</w:t>
            </w:r>
            <w:r w:rsidRPr="00330A40">
              <w:rPr>
                <w:lang w:val="it-IT"/>
              </w:rPr>
              <w:t>0012)</w:t>
            </w:r>
          </w:p>
        </w:tc>
      </w:tr>
      <w:tr w:rsidR="008D7C25" w:rsidRPr="006A2BF9" w14:paraId="6C270F47" w14:textId="77777777" w:rsidTr="002C7DCE">
        <w:trPr>
          <w:cantSplit/>
          <w:jc w:val="center"/>
        </w:trPr>
        <w:tc>
          <w:tcPr>
            <w:tcW w:w="2593" w:type="pct"/>
            <w:tcBorders>
              <w:top w:val="single" w:sz="4" w:space="0" w:color="auto"/>
              <w:left w:val="single" w:sz="4" w:space="0" w:color="auto"/>
              <w:bottom w:val="single" w:sz="4" w:space="0" w:color="auto"/>
            </w:tcBorders>
          </w:tcPr>
          <w:p w14:paraId="6773DA6C" w14:textId="77777777" w:rsidR="008D7C25" w:rsidRPr="006A2BF9" w:rsidRDefault="008D7C25" w:rsidP="009734E3">
            <w:pPr>
              <w:pStyle w:val="TableCellHead"/>
              <w:keepNext w:val="0"/>
              <w:keepLines w:val="0"/>
              <w:rPr>
                <w:u w:val="none"/>
                <w:lang w:val="it-IT"/>
              </w:rPr>
            </w:pPr>
            <w:r w:rsidRPr="006A2BF9">
              <w:rPr>
                <w:u w:val="none"/>
                <w:lang w:val="it-IT"/>
              </w:rPr>
              <w:t>Sopravvivenza libera da progressione</w:t>
            </w:r>
          </w:p>
        </w:tc>
        <w:tc>
          <w:tcPr>
            <w:tcW w:w="1171" w:type="pct"/>
            <w:tcBorders>
              <w:top w:val="single" w:sz="4" w:space="0" w:color="auto"/>
              <w:left w:val="nil"/>
              <w:bottom w:val="single" w:sz="4" w:space="0" w:color="auto"/>
            </w:tcBorders>
          </w:tcPr>
          <w:p w14:paraId="628F5DB0" w14:textId="77777777" w:rsidR="008D7C25" w:rsidRPr="006A2BF9" w:rsidRDefault="008D7C25" w:rsidP="009734E3">
            <w:pPr>
              <w:pStyle w:val="TableCellCenter"/>
              <w:keepNext w:val="0"/>
              <w:keepLines w:val="0"/>
              <w:rPr>
                <w:lang w:val="it-IT"/>
              </w:rPr>
            </w:pPr>
          </w:p>
        </w:tc>
        <w:tc>
          <w:tcPr>
            <w:tcW w:w="1236" w:type="pct"/>
            <w:tcBorders>
              <w:top w:val="single" w:sz="4" w:space="0" w:color="auto"/>
              <w:left w:val="nil"/>
              <w:bottom w:val="single" w:sz="4" w:space="0" w:color="auto"/>
              <w:right w:val="single" w:sz="4" w:space="0" w:color="auto"/>
            </w:tcBorders>
          </w:tcPr>
          <w:p w14:paraId="310A1DD4" w14:textId="77777777" w:rsidR="008D7C25" w:rsidRPr="006A2BF9" w:rsidRDefault="008D7C25" w:rsidP="009734E3">
            <w:pPr>
              <w:pStyle w:val="TableCellCenter"/>
              <w:keepNext w:val="0"/>
              <w:keepLines w:val="0"/>
              <w:rPr>
                <w:lang w:val="it-IT"/>
              </w:rPr>
            </w:pPr>
          </w:p>
        </w:tc>
      </w:tr>
      <w:tr w:rsidR="008D7C25" w:rsidRPr="006A2BF9" w14:paraId="7CADD83D" w14:textId="77777777" w:rsidTr="002C7DCE">
        <w:trPr>
          <w:cantSplit/>
          <w:jc w:val="center"/>
        </w:trPr>
        <w:tc>
          <w:tcPr>
            <w:tcW w:w="2593" w:type="pct"/>
            <w:tcBorders>
              <w:top w:val="single" w:sz="4" w:space="0" w:color="auto"/>
              <w:left w:val="single" w:sz="4" w:space="0" w:color="auto"/>
              <w:bottom w:val="single" w:sz="4" w:space="0" w:color="auto"/>
              <w:right w:val="single" w:sz="4" w:space="0" w:color="auto"/>
            </w:tcBorders>
          </w:tcPr>
          <w:p w14:paraId="3181F8A7" w14:textId="77777777" w:rsidR="008D7C25" w:rsidRPr="006A2BF9" w:rsidRDefault="008D7C25" w:rsidP="009734E3">
            <w:pPr>
              <w:pStyle w:val="TableCellLeft"/>
              <w:keepNext w:val="0"/>
              <w:keepLines w:val="0"/>
              <w:ind w:left="360"/>
              <w:rPr>
                <w:lang w:val="it-IT"/>
              </w:rPr>
            </w:pPr>
            <w:r w:rsidRPr="006A2BF9">
              <w:rPr>
                <w:lang w:val="it-IT"/>
              </w:rPr>
              <w:t>Mediana (mesi)</w:t>
            </w:r>
          </w:p>
        </w:tc>
        <w:tc>
          <w:tcPr>
            <w:tcW w:w="1171" w:type="pct"/>
            <w:tcBorders>
              <w:top w:val="single" w:sz="4" w:space="0" w:color="auto"/>
              <w:left w:val="single" w:sz="4" w:space="0" w:color="auto"/>
              <w:bottom w:val="single" w:sz="4" w:space="0" w:color="auto"/>
              <w:right w:val="single" w:sz="4" w:space="0" w:color="auto"/>
            </w:tcBorders>
          </w:tcPr>
          <w:p w14:paraId="622CDAD5" w14:textId="77777777" w:rsidR="008D7C25" w:rsidRPr="006A2BF9" w:rsidRDefault="00965503" w:rsidP="009734E3">
            <w:pPr>
              <w:pStyle w:val="TableCellCenter"/>
              <w:keepNext w:val="0"/>
              <w:keepLines w:val="0"/>
              <w:rPr>
                <w:lang w:val="it-IT"/>
              </w:rPr>
            </w:pPr>
            <w:r w:rsidRPr="006A2BF9">
              <w:rPr>
                <w:lang w:val="it-IT"/>
              </w:rPr>
              <w:t>4,</w:t>
            </w:r>
            <w:r w:rsidR="008D7C25" w:rsidRPr="006A2BF9">
              <w:rPr>
                <w:lang w:val="it-IT"/>
              </w:rPr>
              <w:t>5</w:t>
            </w:r>
          </w:p>
        </w:tc>
        <w:tc>
          <w:tcPr>
            <w:tcW w:w="1236" w:type="pct"/>
            <w:tcBorders>
              <w:top w:val="single" w:sz="4" w:space="0" w:color="auto"/>
              <w:left w:val="single" w:sz="4" w:space="0" w:color="auto"/>
              <w:bottom w:val="single" w:sz="4" w:space="0" w:color="auto"/>
              <w:right w:val="single" w:sz="4" w:space="0" w:color="auto"/>
            </w:tcBorders>
          </w:tcPr>
          <w:p w14:paraId="6DD4181C" w14:textId="77777777" w:rsidR="008D7C25" w:rsidRPr="006A2BF9" w:rsidRDefault="008D7C25" w:rsidP="009734E3">
            <w:pPr>
              <w:pStyle w:val="TableCellCenter"/>
              <w:keepNext w:val="0"/>
              <w:keepLines w:val="0"/>
              <w:rPr>
                <w:lang w:val="it-IT"/>
              </w:rPr>
            </w:pPr>
            <w:r w:rsidRPr="006A2BF9">
              <w:rPr>
                <w:lang w:val="it-IT"/>
              </w:rPr>
              <w:t>7</w:t>
            </w:r>
            <w:r w:rsidR="00965503" w:rsidRPr="006A2BF9">
              <w:rPr>
                <w:lang w:val="it-IT"/>
              </w:rPr>
              <w:t>,</w:t>
            </w:r>
            <w:r w:rsidRPr="006A2BF9">
              <w:rPr>
                <w:lang w:val="it-IT"/>
              </w:rPr>
              <w:t>5</w:t>
            </w:r>
          </w:p>
        </w:tc>
      </w:tr>
      <w:tr w:rsidR="008D7C25" w:rsidRPr="006A2BF9" w14:paraId="0D2469DF" w14:textId="77777777" w:rsidTr="002C7DCE">
        <w:trPr>
          <w:cantSplit/>
          <w:jc w:val="center"/>
        </w:trPr>
        <w:tc>
          <w:tcPr>
            <w:tcW w:w="2593" w:type="pct"/>
            <w:tcBorders>
              <w:top w:val="single" w:sz="4" w:space="0" w:color="auto"/>
              <w:left w:val="single" w:sz="4" w:space="0" w:color="auto"/>
              <w:bottom w:val="single" w:sz="4" w:space="0" w:color="auto"/>
              <w:right w:val="single" w:sz="4" w:space="0" w:color="auto"/>
            </w:tcBorders>
          </w:tcPr>
          <w:p w14:paraId="344D95EB" w14:textId="77777777" w:rsidR="008D7C25" w:rsidRPr="000F0246" w:rsidRDefault="008D7C25" w:rsidP="009734E3">
            <w:pPr>
              <w:pStyle w:val="TableCellLeft"/>
              <w:keepNext w:val="0"/>
              <w:keepLines w:val="0"/>
              <w:ind w:left="360"/>
              <w:rPr>
                <w:i/>
                <w:lang w:val="it-IT"/>
              </w:rPr>
            </w:pPr>
            <w:r w:rsidRPr="000F0246">
              <w:rPr>
                <w:i/>
                <w:lang w:val="it-IT"/>
              </w:rPr>
              <w:t>Hazard ratio</w:t>
            </w:r>
          </w:p>
        </w:tc>
        <w:tc>
          <w:tcPr>
            <w:tcW w:w="2407" w:type="pct"/>
            <w:gridSpan w:val="2"/>
            <w:tcBorders>
              <w:top w:val="single" w:sz="4" w:space="0" w:color="auto"/>
              <w:left w:val="single" w:sz="4" w:space="0" w:color="auto"/>
              <w:bottom w:val="single" w:sz="4" w:space="0" w:color="auto"/>
              <w:right w:val="single" w:sz="4" w:space="0" w:color="auto"/>
            </w:tcBorders>
          </w:tcPr>
          <w:p w14:paraId="1F7D38A8" w14:textId="77777777" w:rsidR="008D7C25" w:rsidRPr="00330A40" w:rsidRDefault="008D7C25" w:rsidP="009734E3">
            <w:pPr>
              <w:pStyle w:val="TableCellCenter"/>
              <w:keepNext w:val="0"/>
              <w:keepLines w:val="0"/>
              <w:rPr>
                <w:lang w:val="it-IT"/>
              </w:rPr>
            </w:pPr>
            <w:r w:rsidRPr="00330A40">
              <w:rPr>
                <w:lang w:val="it-IT"/>
              </w:rPr>
              <w:t>0</w:t>
            </w:r>
            <w:r w:rsidR="00965503" w:rsidRPr="00330A40">
              <w:rPr>
                <w:lang w:val="it-IT"/>
              </w:rPr>
              <w:t>,</w:t>
            </w:r>
            <w:r w:rsidRPr="00330A40">
              <w:rPr>
                <w:lang w:val="it-IT"/>
              </w:rPr>
              <w:t>518</w:t>
            </w:r>
          </w:p>
          <w:p w14:paraId="21F3482B" w14:textId="77777777" w:rsidR="008D7C25" w:rsidRPr="00330A40" w:rsidRDefault="008D7C25" w:rsidP="009734E3">
            <w:pPr>
              <w:pStyle w:val="TableCellCenter"/>
              <w:keepNext w:val="0"/>
              <w:keepLines w:val="0"/>
              <w:rPr>
                <w:lang w:val="it-IT"/>
              </w:rPr>
            </w:pPr>
            <w:r w:rsidRPr="00330A40">
              <w:rPr>
                <w:lang w:val="it-IT"/>
              </w:rPr>
              <w:t>(</w:t>
            </w:r>
            <w:r w:rsidR="008D1728" w:rsidRPr="00330A40">
              <w:rPr>
                <w:lang w:val="it-IT"/>
              </w:rPr>
              <w:t xml:space="preserve">valore di </w:t>
            </w:r>
            <w:r w:rsidRPr="00330A40">
              <w:rPr>
                <w:lang w:val="it-IT"/>
              </w:rPr>
              <w:t xml:space="preserve">p </w:t>
            </w:r>
            <w:r w:rsidRPr="00330A40">
              <w:rPr>
                <w:rFonts w:ascii="Symbol" w:hAnsi="Symbol"/>
                <w:lang w:val="it-IT"/>
              </w:rPr>
              <w:t></w:t>
            </w:r>
            <w:r w:rsidR="008D1728" w:rsidRPr="00330A40">
              <w:rPr>
                <w:lang w:val="it-IT"/>
              </w:rPr>
              <w:t> 0,</w:t>
            </w:r>
            <w:r w:rsidRPr="00330A40">
              <w:rPr>
                <w:lang w:val="it-IT"/>
              </w:rPr>
              <w:t>0001)</w:t>
            </w:r>
          </w:p>
        </w:tc>
      </w:tr>
      <w:tr w:rsidR="008D7C25" w:rsidRPr="006A2BF9" w14:paraId="6EDF5CCD" w14:textId="77777777" w:rsidTr="002C7DCE">
        <w:trPr>
          <w:cantSplit/>
          <w:jc w:val="center"/>
        </w:trPr>
        <w:tc>
          <w:tcPr>
            <w:tcW w:w="2593" w:type="pct"/>
            <w:tcBorders>
              <w:top w:val="single" w:sz="4" w:space="0" w:color="auto"/>
              <w:left w:val="single" w:sz="4" w:space="0" w:color="auto"/>
              <w:bottom w:val="single" w:sz="4" w:space="0" w:color="auto"/>
            </w:tcBorders>
          </w:tcPr>
          <w:p w14:paraId="48FE5818" w14:textId="77777777" w:rsidR="008D7C25" w:rsidRPr="006A2BF9" w:rsidRDefault="00965503" w:rsidP="009734E3">
            <w:pPr>
              <w:pStyle w:val="TableCellLeft"/>
              <w:keepNext w:val="0"/>
              <w:keepLines w:val="0"/>
              <w:rPr>
                <w:lang w:val="it-IT"/>
              </w:rPr>
            </w:pPr>
            <w:r w:rsidRPr="006A2BF9">
              <w:rPr>
                <w:lang w:val="it-IT"/>
              </w:rPr>
              <w:t>Tasso di risposta obiettiva</w:t>
            </w:r>
          </w:p>
        </w:tc>
        <w:tc>
          <w:tcPr>
            <w:tcW w:w="1171" w:type="pct"/>
            <w:tcBorders>
              <w:top w:val="single" w:sz="4" w:space="0" w:color="auto"/>
              <w:left w:val="nil"/>
              <w:bottom w:val="single" w:sz="4" w:space="0" w:color="auto"/>
            </w:tcBorders>
          </w:tcPr>
          <w:p w14:paraId="60866084" w14:textId="77777777" w:rsidR="008D7C25" w:rsidRPr="006A2BF9" w:rsidRDefault="008D7C25" w:rsidP="009734E3">
            <w:pPr>
              <w:pStyle w:val="TableCellCenter"/>
              <w:keepNext w:val="0"/>
              <w:keepLines w:val="0"/>
              <w:rPr>
                <w:lang w:val="it-IT"/>
              </w:rPr>
            </w:pPr>
          </w:p>
        </w:tc>
        <w:tc>
          <w:tcPr>
            <w:tcW w:w="1236" w:type="pct"/>
            <w:tcBorders>
              <w:top w:val="single" w:sz="4" w:space="0" w:color="auto"/>
              <w:left w:val="nil"/>
              <w:bottom w:val="single" w:sz="4" w:space="0" w:color="auto"/>
              <w:right w:val="single" w:sz="4" w:space="0" w:color="auto"/>
            </w:tcBorders>
          </w:tcPr>
          <w:p w14:paraId="1E3192F4" w14:textId="77777777" w:rsidR="008D7C25" w:rsidRPr="006A2BF9" w:rsidRDefault="008D7C25" w:rsidP="009734E3">
            <w:pPr>
              <w:pStyle w:val="TableCellCenter"/>
              <w:keepNext w:val="0"/>
              <w:keepLines w:val="0"/>
              <w:rPr>
                <w:lang w:val="it-IT"/>
              </w:rPr>
            </w:pPr>
          </w:p>
        </w:tc>
      </w:tr>
      <w:tr w:rsidR="008D7C25" w:rsidRPr="006A2BF9" w14:paraId="0F82DF4C" w14:textId="77777777" w:rsidTr="002C7DCE">
        <w:trPr>
          <w:cantSplit/>
          <w:jc w:val="center"/>
        </w:trPr>
        <w:tc>
          <w:tcPr>
            <w:tcW w:w="2593" w:type="pct"/>
            <w:tcBorders>
              <w:top w:val="single" w:sz="4" w:space="0" w:color="auto"/>
              <w:left w:val="single" w:sz="4" w:space="0" w:color="auto"/>
              <w:bottom w:val="single" w:sz="4" w:space="0" w:color="auto"/>
              <w:right w:val="single" w:sz="4" w:space="0" w:color="auto"/>
            </w:tcBorders>
          </w:tcPr>
          <w:p w14:paraId="09F80D3A" w14:textId="77777777" w:rsidR="008D7C25" w:rsidRPr="006A2BF9" w:rsidRDefault="008D7C25" w:rsidP="009734E3">
            <w:pPr>
              <w:pStyle w:val="TableCellLeft"/>
              <w:keepNext w:val="0"/>
              <w:keepLines w:val="0"/>
              <w:ind w:left="360"/>
              <w:rPr>
                <w:lang w:val="it-IT"/>
              </w:rPr>
            </w:pPr>
            <w:r w:rsidRPr="006A2BF9">
              <w:rPr>
                <w:lang w:val="it-IT"/>
              </w:rPr>
              <w:t>tasso</w:t>
            </w:r>
          </w:p>
        </w:tc>
        <w:tc>
          <w:tcPr>
            <w:tcW w:w="1171" w:type="pct"/>
            <w:tcBorders>
              <w:top w:val="single" w:sz="4" w:space="0" w:color="auto"/>
              <w:left w:val="single" w:sz="4" w:space="0" w:color="auto"/>
              <w:bottom w:val="single" w:sz="4" w:space="0" w:color="auto"/>
              <w:right w:val="single" w:sz="4" w:space="0" w:color="auto"/>
            </w:tcBorders>
          </w:tcPr>
          <w:p w14:paraId="0C201B27" w14:textId="77777777" w:rsidR="008D7C25" w:rsidRPr="006A2BF9" w:rsidRDefault="008D7C25" w:rsidP="009734E3">
            <w:pPr>
              <w:pStyle w:val="TableCellCenter"/>
              <w:keepNext w:val="0"/>
              <w:keepLines w:val="0"/>
              <w:rPr>
                <w:lang w:val="it-IT"/>
              </w:rPr>
            </w:pPr>
            <w:r w:rsidRPr="006A2BF9">
              <w:rPr>
                <w:lang w:val="it-IT"/>
              </w:rPr>
              <w:t>8</w:t>
            </w:r>
            <w:r w:rsidR="00965503" w:rsidRPr="006A2BF9">
              <w:rPr>
                <w:lang w:val="it-IT"/>
              </w:rPr>
              <w:t>,</w:t>
            </w:r>
            <w:r w:rsidRPr="006A2BF9">
              <w:rPr>
                <w:lang w:val="it-IT"/>
              </w:rPr>
              <w:t>6%</w:t>
            </w:r>
          </w:p>
        </w:tc>
        <w:tc>
          <w:tcPr>
            <w:tcW w:w="1236" w:type="pct"/>
            <w:tcBorders>
              <w:top w:val="single" w:sz="4" w:space="0" w:color="auto"/>
              <w:left w:val="single" w:sz="4" w:space="0" w:color="auto"/>
              <w:bottom w:val="single" w:sz="4" w:space="0" w:color="auto"/>
              <w:right w:val="single" w:sz="4" w:space="0" w:color="auto"/>
            </w:tcBorders>
          </w:tcPr>
          <w:p w14:paraId="46BE59AB" w14:textId="77777777" w:rsidR="008D7C25" w:rsidRPr="006A2BF9" w:rsidRDefault="008D7C25" w:rsidP="009734E3">
            <w:pPr>
              <w:pStyle w:val="TableCellCenter"/>
              <w:keepNext w:val="0"/>
              <w:keepLines w:val="0"/>
              <w:rPr>
                <w:lang w:val="it-IT"/>
              </w:rPr>
            </w:pPr>
            <w:r w:rsidRPr="006A2BF9">
              <w:rPr>
                <w:lang w:val="it-IT"/>
              </w:rPr>
              <w:t>22</w:t>
            </w:r>
            <w:r w:rsidR="00965503" w:rsidRPr="006A2BF9">
              <w:rPr>
                <w:lang w:val="it-IT"/>
              </w:rPr>
              <w:t>,</w:t>
            </w:r>
            <w:r w:rsidRPr="006A2BF9">
              <w:rPr>
                <w:lang w:val="it-IT"/>
              </w:rPr>
              <w:t>2%</w:t>
            </w:r>
          </w:p>
        </w:tc>
      </w:tr>
      <w:tr w:rsidR="008D7C25" w:rsidRPr="006A2BF9" w14:paraId="4129C29C" w14:textId="77777777" w:rsidTr="002C7DCE">
        <w:trPr>
          <w:cantSplit/>
          <w:jc w:val="center"/>
        </w:trPr>
        <w:tc>
          <w:tcPr>
            <w:tcW w:w="2593" w:type="pct"/>
            <w:tcBorders>
              <w:top w:val="single" w:sz="4" w:space="0" w:color="auto"/>
              <w:left w:val="single" w:sz="4" w:space="0" w:color="auto"/>
              <w:bottom w:val="single" w:sz="4" w:space="0" w:color="auto"/>
              <w:right w:val="single" w:sz="4" w:space="0" w:color="auto"/>
            </w:tcBorders>
          </w:tcPr>
          <w:p w14:paraId="2ABD28D9" w14:textId="77777777" w:rsidR="008D7C25" w:rsidRPr="006A2BF9" w:rsidRDefault="008D7C25" w:rsidP="009734E3">
            <w:pPr>
              <w:pStyle w:val="TableCellLeft"/>
              <w:keepNext w:val="0"/>
              <w:keepLines w:val="0"/>
              <w:ind w:left="360"/>
              <w:rPr>
                <w:lang w:val="it-IT"/>
              </w:rPr>
            </w:pPr>
          </w:p>
        </w:tc>
        <w:tc>
          <w:tcPr>
            <w:tcW w:w="2407" w:type="pct"/>
            <w:gridSpan w:val="2"/>
            <w:tcBorders>
              <w:top w:val="single" w:sz="4" w:space="0" w:color="auto"/>
              <w:left w:val="single" w:sz="4" w:space="0" w:color="auto"/>
              <w:bottom w:val="single" w:sz="4" w:space="0" w:color="auto"/>
              <w:right w:val="single" w:sz="4" w:space="0" w:color="auto"/>
            </w:tcBorders>
          </w:tcPr>
          <w:p w14:paraId="35D4D630" w14:textId="77777777" w:rsidR="008D7C25" w:rsidRPr="006A2BF9" w:rsidRDefault="008D7C25" w:rsidP="009734E3">
            <w:pPr>
              <w:pStyle w:val="TableCellCenter"/>
              <w:keepNext w:val="0"/>
              <w:keepLines w:val="0"/>
              <w:rPr>
                <w:lang w:val="it-IT"/>
              </w:rPr>
            </w:pPr>
            <w:r w:rsidRPr="006A2BF9">
              <w:rPr>
                <w:lang w:val="it-IT"/>
              </w:rPr>
              <w:t>(</w:t>
            </w:r>
            <w:r w:rsidR="00965503" w:rsidRPr="006A2BF9">
              <w:rPr>
                <w:lang w:val="it-IT"/>
              </w:rPr>
              <w:t xml:space="preserve">valore di </w:t>
            </w:r>
            <w:r w:rsidRPr="006A2BF9">
              <w:rPr>
                <w:lang w:val="it-IT"/>
              </w:rPr>
              <w:t xml:space="preserve">p </w:t>
            </w:r>
            <w:r w:rsidR="008D1728" w:rsidRPr="006A2BF9">
              <w:rPr>
                <w:rFonts w:ascii="Symbol" w:hAnsi="Symbol"/>
                <w:lang w:val="it-IT"/>
              </w:rPr>
              <w:t></w:t>
            </w:r>
            <w:r w:rsidR="004C45F5">
              <w:rPr>
                <w:lang w:val="it-IT"/>
              </w:rPr>
              <w:t> </w:t>
            </w:r>
            <w:r w:rsidR="008D1728" w:rsidRPr="006A2BF9">
              <w:rPr>
                <w:rFonts w:ascii="Symbol" w:hAnsi="Symbol"/>
                <w:lang w:val="it-IT"/>
              </w:rPr>
              <w:t></w:t>
            </w:r>
            <w:r w:rsidR="008D1728" w:rsidRPr="006A2BF9">
              <w:rPr>
                <w:rFonts w:ascii="Symbol" w:hAnsi="Symbol"/>
                <w:lang w:val="it-IT"/>
              </w:rPr>
              <w:t></w:t>
            </w:r>
            <w:r w:rsidRPr="006A2BF9">
              <w:rPr>
                <w:rFonts w:ascii="Symbol" w:hAnsi="Symbol"/>
                <w:lang w:val="it-IT"/>
              </w:rPr>
              <w:t></w:t>
            </w:r>
            <w:r w:rsidRPr="006A2BF9">
              <w:rPr>
                <w:rFonts w:ascii="Symbol" w:hAnsi="Symbol"/>
                <w:lang w:val="it-IT"/>
              </w:rPr>
              <w:t></w:t>
            </w:r>
            <w:r w:rsidRPr="006A2BF9">
              <w:rPr>
                <w:rFonts w:ascii="Symbol" w:hAnsi="Symbol"/>
                <w:lang w:val="it-IT"/>
              </w:rPr>
              <w:t></w:t>
            </w:r>
            <w:r w:rsidRPr="006A2BF9">
              <w:rPr>
                <w:rFonts w:ascii="Symbol" w:hAnsi="Symbol"/>
                <w:lang w:val="it-IT"/>
              </w:rPr>
              <w:t></w:t>
            </w:r>
            <w:r w:rsidRPr="006A2BF9">
              <w:rPr>
                <w:lang w:val="it-IT"/>
              </w:rPr>
              <w:t>)</w:t>
            </w:r>
          </w:p>
        </w:tc>
      </w:tr>
      <w:tr w:rsidR="008D7C25" w:rsidRPr="006A2BF9" w14:paraId="553ABFF1" w14:textId="77777777" w:rsidTr="002C7DCE">
        <w:trPr>
          <w:cantSplit/>
          <w:jc w:val="center"/>
        </w:trPr>
        <w:tc>
          <w:tcPr>
            <w:tcW w:w="5000" w:type="pct"/>
            <w:gridSpan w:val="3"/>
            <w:tcBorders>
              <w:top w:val="single" w:sz="4" w:space="0" w:color="auto"/>
            </w:tcBorders>
          </w:tcPr>
          <w:p w14:paraId="7A1BA5F9" w14:textId="77777777" w:rsidR="008D7C25" w:rsidRPr="006A2BF9" w:rsidRDefault="008D7C25" w:rsidP="009734E3">
            <w:pPr>
              <w:pStyle w:val="TableFooter"/>
              <w:keepNext w:val="0"/>
              <w:keepLines w:val="0"/>
              <w:tabs>
                <w:tab w:val="left" w:pos="1440"/>
              </w:tabs>
              <w:spacing w:before="40" w:after="40" w:line="240" w:lineRule="auto"/>
              <w:ind w:left="1440" w:hanging="1440"/>
              <w:rPr>
                <w:sz w:val="18"/>
                <w:szCs w:val="18"/>
                <w:lang w:val="it-IT"/>
              </w:rPr>
            </w:pPr>
            <w:r w:rsidRPr="006A2BF9">
              <w:rPr>
                <w:sz w:val="18"/>
                <w:szCs w:val="18"/>
                <w:vertAlign w:val="superscript"/>
                <w:lang w:val="it-IT"/>
              </w:rPr>
              <w:t xml:space="preserve">a </w:t>
            </w:r>
            <w:r w:rsidRPr="006A2BF9">
              <w:rPr>
                <w:sz w:val="18"/>
                <w:szCs w:val="18"/>
                <w:lang w:val="it-IT"/>
              </w:rPr>
              <w:t>10</w:t>
            </w:r>
            <w:r w:rsidR="006E4F94" w:rsidRPr="006A2BF9">
              <w:rPr>
                <w:sz w:val="18"/>
                <w:szCs w:val="18"/>
                <w:lang w:val="it-IT"/>
              </w:rPr>
              <w:t> </w:t>
            </w:r>
            <w:r w:rsidRPr="006A2BF9">
              <w:rPr>
                <w:sz w:val="18"/>
                <w:szCs w:val="18"/>
                <w:lang w:val="it-IT"/>
              </w:rPr>
              <w:t>mg/kg ogni 2</w:t>
            </w:r>
            <w:r w:rsidR="00D37A63" w:rsidRPr="006A2BF9">
              <w:rPr>
                <w:sz w:val="18"/>
                <w:szCs w:val="18"/>
                <w:lang w:val="it-IT"/>
              </w:rPr>
              <w:t> </w:t>
            </w:r>
            <w:r w:rsidRPr="006A2BF9">
              <w:rPr>
                <w:sz w:val="18"/>
                <w:szCs w:val="18"/>
                <w:lang w:val="it-IT"/>
              </w:rPr>
              <w:t>settimane</w:t>
            </w:r>
          </w:p>
          <w:p w14:paraId="11BB305B" w14:textId="77777777" w:rsidR="008D7C25" w:rsidRPr="006A2BF9" w:rsidRDefault="008D7C25" w:rsidP="009734E3">
            <w:pPr>
              <w:pStyle w:val="TableFooter"/>
              <w:keepNext w:val="0"/>
              <w:keepLines w:val="0"/>
              <w:tabs>
                <w:tab w:val="left" w:pos="1440"/>
              </w:tabs>
              <w:spacing w:before="40" w:after="40" w:line="240" w:lineRule="auto"/>
              <w:ind w:left="1440" w:hanging="1440"/>
              <w:rPr>
                <w:lang w:val="it-IT"/>
              </w:rPr>
            </w:pPr>
            <w:r w:rsidRPr="006A2BF9">
              <w:rPr>
                <w:sz w:val="18"/>
                <w:szCs w:val="18"/>
                <w:vertAlign w:val="superscript"/>
                <w:lang w:val="it-IT"/>
              </w:rPr>
              <w:t>b</w:t>
            </w:r>
            <w:r w:rsidRPr="006A2BF9">
              <w:rPr>
                <w:sz w:val="18"/>
                <w:szCs w:val="18"/>
                <w:lang w:val="it-IT"/>
              </w:rPr>
              <w:t xml:space="preserve"> </w:t>
            </w:r>
            <w:r w:rsidR="0025736A" w:rsidRPr="006A2BF9">
              <w:rPr>
                <w:sz w:val="18"/>
                <w:szCs w:val="18"/>
                <w:lang w:val="it-IT"/>
              </w:rPr>
              <w:t>R</w:t>
            </w:r>
            <w:r w:rsidRPr="006A2BF9">
              <w:rPr>
                <w:sz w:val="18"/>
                <w:szCs w:val="18"/>
                <w:lang w:val="it-IT"/>
              </w:rPr>
              <w:t>elativamente al braccio di controllo</w:t>
            </w:r>
          </w:p>
        </w:tc>
      </w:tr>
    </w:tbl>
    <w:p w14:paraId="49E252D2" w14:textId="77777777" w:rsidR="008D7C25" w:rsidRPr="006A2BF9" w:rsidRDefault="008D7C25" w:rsidP="008D7C25">
      <w:pPr>
        <w:rPr>
          <w:lang w:val="it-IT"/>
        </w:rPr>
      </w:pPr>
    </w:p>
    <w:p w14:paraId="0A902D11" w14:textId="77777777" w:rsidR="008D7C25" w:rsidRPr="006A2BF9" w:rsidRDefault="008D7C25" w:rsidP="008D7C25">
      <w:pPr>
        <w:rPr>
          <w:lang w:val="it-IT"/>
        </w:rPr>
      </w:pPr>
      <w:r w:rsidRPr="006A2BF9">
        <w:rPr>
          <w:lang w:val="it-IT"/>
        </w:rPr>
        <w:t xml:space="preserve">Non è stata osservata alcuna differenza significativa nella durata della </w:t>
      </w:r>
      <w:r w:rsidR="004C45F5">
        <w:rPr>
          <w:lang w:val="it-IT"/>
        </w:rPr>
        <w:t>OS</w:t>
      </w:r>
      <w:r w:rsidRPr="006A2BF9">
        <w:rPr>
          <w:lang w:val="it-IT"/>
        </w:rPr>
        <w:t xml:space="preserve"> tra i pazienti che hanno ricevuto </w:t>
      </w:r>
      <w:r w:rsidR="00D37A63" w:rsidRPr="006A2BF9">
        <w:rPr>
          <w:lang w:val="it-IT"/>
        </w:rPr>
        <w:t>bevacizumab</w:t>
      </w:r>
      <w:r w:rsidR="00D37A63" w:rsidRPr="006A2BF9" w:rsidDel="00FD6236">
        <w:rPr>
          <w:lang w:val="it-IT"/>
        </w:rPr>
        <w:t xml:space="preserve"> </w:t>
      </w:r>
      <w:r w:rsidRPr="006A2BF9">
        <w:rPr>
          <w:lang w:val="it-IT"/>
        </w:rPr>
        <w:t xml:space="preserve">in monoterapia e i pazienti trattati con FOLFOX-4. La </w:t>
      </w:r>
      <w:r w:rsidR="004C45F5">
        <w:rPr>
          <w:lang w:val="it-IT"/>
        </w:rPr>
        <w:t>PFS</w:t>
      </w:r>
      <w:r w:rsidRPr="006A2BF9">
        <w:rPr>
          <w:lang w:val="it-IT"/>
        </w:rPr>
        <w:t xml:space="preserve"> e il tasso di rispost</w:t>
      </w:r>
      <w:r w:rsidR="006E4F94" w:rsidRPr="006A2BF9">
        <w:rPr>
          <w:lang w:val="it-IT"/>
        </w:rPr>
        <w:t>a</w:t>
      </w:r>
      <w:r w:rsidRPr="006A2BF9">
        <w:rPr>
          <w:lang w:val="it-IT"/>
        </w:rPr>
        <w:t xml:space="preserve"> obiettiv</w:t>
      </w:r>
      <w:r w:rsidR="006E4F94" w:rsidRPr="006A2BF9">
        <w:rPr>
          <w:lang w:val="it-IT"/>
        </w:rPr>
        <w:t>a</w:t>
      </w:r>
      <w:r w:rsidRPr="006A2BF9">
        <w:rPr>
          <w:lang w:val="it-IT"/>
        </w:rPr>
        <w:t xml:space="preserve"> erano inferiori nel braccio con </w:t>
      </w:r>
      <w:r w:rsidR="00D37A63" w:rsidRPr="006A2BF9">
        <w:rPr>
          <w:lang w:val="it-IT"/>
        </w:rPr>
        <w:t>bevacizumab</w:t>
      </w:r>
      <w:r w:rsidR="00D37A63" w:rsidRPr="006A2BF9" w:rsidDel="00FD6236">
        <w:rPr>
          <w:lang w:val="it-IT"/>
        </w:rPr>
        <w:t xml:space="preserve"> </w:t>
      </w:r>
      <w:r w:rsidRPr="006A2BF9">
        <w:rPr>
          <w:lang w:val="it-IT"/>
        </w:rPr>
        <w:t>in monoterapia rispetto al braccio con FOLFOX-4</w:t>
      </w:r>
      <w:r w:rsidR="008D1728" w:rsidRPr="006A2BF9">
        <w:rPr>
          <w:lang w:val="it-IT"/>
        </w:rPr>
        <w:t>.</w:t>
      </w:r>
    </w:p>
    <w:p w14:paraId="581D926E" w14:textId="77777777" w:rsidR="008D7C25" w:rsidRPr="006A2BF9" w:rsidRDefault="008D7C25" w:rsidP="008D7C25">
      <w:pPr>
        <w:rPr>
          <w:lang w:val="it-IT"/>
        </w:rPr>
      </w:pPr>
    </w:p>
    <w:p w14:paraId="01877B14" w14:textId="77777777" w:rsidR="00ED4F9E" w:rsidRPr="006A2BF9" w:rsidRDefault="00ED4F9E" w:rsidP="00ED4F9E">
      <w:pPr>
        <w:rPr>
          <w:i/>
          <w:lang w:val="it-IT"/>
        </w:rPr>
      </w:pPr>
      <w:r w:rsidRPr="006A2BF9">
        <w:rPr>
          <w:i/>
          <w:lang w:val="it-IT"/>
        </w:rPr>
        <w:t>ML18147</w:t>
      </w:r>
    </w:p>
    <w:p w14:paraId="45895E12" w14:textId="77777777" w:rsidR="00ED4F9E" w:rsidRPr="006A2BF9" w:rsidRDefault="00ED4F9E" w:rsidP="00C91E39">
      <w:pPr>
        <w:rPr>
          <w:szCs w:val="22"/>
          <w:lang w:val="it-IT"/>
        </w:rPr>
      </w:pPr>
      <w:r w:rsidRPr="006A2BF9">
        <w:rPr>
          <w:szCs w:val="22"/>
          <w:lang w:val="it-IT"/>
        </w:rPr>
        <w:t>Questo studio clinico di fase</w:t>
      </w:r>
      <w:r w:rsidR="00D37A63" w:rsidRPr="006A2BF9">
        <w:rPr>
          <w:szCs w:val="22"/>
          <w:lang w:val="it-IT"/>
        </w:rPr>
        <w:t> </w:t>
      </w:r>
      <w:r w:rsidRPr="006A2BF9">
        <w:rPr>
          <w:szCs w:val="22"/>
          <w:lang w:val="it-IT"/>
        </w:rPr>
        <w:t xml:space="preserve">III, randomizzato, controllato, in aperto, ha valutato l’impiego di </w:t>
      </w:r>
      <w:r w:rsidR="00D37A63" w:rsidRPr="006A2BF9">
        <w:rPr>
          <w:lang w:val="it-IT"/>
        </w:rPr>
        <w:t>bevacizumab</w:t>
      </w:r>
      <w:r w:rsidR="00D37A63" w:rsidRPr="006A2BF9" w:rsidDel="00FD6236">
        <w:rPr>
          <w:lang w:val="it-IT"/>
        </w:rPr>
        <w:t xml:space="preserve"> </w:t>
      </w:r>
      <w:r w:rsidRPr="006A2BF9">
        <w:rPr>
          <w:szCs w:val="22"/>
          <w:lang w:val="it-IT"/>
        </w:rPr>
        <w:t>5,0</w:t>
      </w:r>
      <w:r w:rsidR="00D37A63" w:rsidRPr="006A2BF9">
        <w:rPr>
          <w:szCs w:val="22"/>
          <w:lang w:val="it-IT"/>
        </w:rPr>
        <w:t> </w:t>
      </w:r>
      <w:r w:rsidRPr="006A2BF9">
        <w:rPr>
          <w:szCs w:val="22"/>
          <w:lang w:val="it-IT"/>
        </w:rPr>
        <w:t>mg/kg ogni 2</w:t>
      </w:r>
      <w:r w:rsidR="00D37A63" w:rsidRPr="006A2BF9">
        <w:rPr>
          <w:szCs w:val="22"/>
          <w:lang w:val="it-IT"/>
        </w:rPr>
        <w:t> </w:t>
      </w:r>
      <w:r w:rsidRPr="006A2BF9">
        <w:rPr>
          <w:szCs w:val="22"/>
          <w:lang w:val="it-IT"/>
        </w:rPr>
        <w:t>settimane o 7,5</w:t>
      </w:r>
      <w:r w:rsidR="00D37A63" w:rsidRPr="006A2BF9">
        <w:rPr>
          <w:szCs w:val="22"/>
          <w:lang w:val="it-IT"/>
        </w:rPr>
        <w:t> </w:t>
      </w:r>
      <w:r w:rsidRPr="006A2BF9">
        <w:rPr>
          <w:szCs w:val="22"/>
          <w:lang w:val="it-IT"/>
        </w:rPr>
        <w:t>mg/kg ogni 3</w:t>
      </w:r>
      <w:r w:rsidR="00D37A63" w:rsidRPr="006A2BF9">
        <w:rPr>
          <w:szCs w:val="22"/>
          <w:lang w:val="it-IT"/>
        </w:rPr>
        <w:t> </w:t>
      </w:r>
      <w:r w:rsidRPr="006A2BF9">
        <w:rPr>
          <w:szCs w:val="22"/>
          <w:lang w:val="it-IT"/>
        </w:rPr>
        <w:t>settimane in associazione a chemioterapia a base di fluoropirimidine vs chemioterapia con fluoropirimidine in monoterapia in pazienti con mCRC che sono andati incontro a progressione dopo un trattamento di prima linea contenente bevacizumab.</w:t>
      </w:r>
    </w:p>
    <w:p w14:paraId="41EAAE09" w14:textId="77777777" w:rsidR="00ED4F9E" w:rsidRPr="006A2BF9" w:rsidRDefault="00ED4F9E" w:rsidP="00C91E39">
      <w:pPr>
        <w:rPr>
          <w:szCs w:val="22"/>
          <w:lang w:val="it-IT"/>
        </w:rPr>
      </w:pPr>
    </w:p>
    <w:p w14:paraId="632357E0" w14:textId="77777777" w:rsidR="00ED4F9E" w:rsidRPr="006A2BF9" w:rsidRDefault="00ED4F9E" w:rsidP="00C91E39">
      <w:pPr>
        <w:rPr>
          <w:rFonts w:cs="Arial"/>
          <w:lang w:val="it-IT"/>
        </w:rPr>
      </w:pPr>
      <w:r w:rsidRPr="006A2BF9">
        <w:rPr>
          <w:rFonts w:cs="Arial"/>
          <w:lang w:val="it-IT"/>
        </w:rPr>
        <w:t xml:space="preserve">I pazienti con </w:t>
      </w:r>
      <w:r w:rsidRPr="006A2BF9">
        <w:rPr>
          <w:lang w:val="it-IT"/>
        </w:rPr>
        <w:t xml:space="preserve">mCRC confermato istologicamente </w:t>
      </w:r>
      <w:r w:rsidR="009847F8" w:rsidRPr="006A2BF9">
        <w:rPr>
          <w:lang w:val="it-IT"/>
        </w:rPr>
        <w:t xml:space="preserve">e progressione della malattia </w:t>
      </w:r>
      <w:r w:rsidRPr="006A2BF9">
        <w:rPr>
          <w:rFonts w:cs="Arial"/>
          <w:lang w:val="it-IT"/>
        </w:rPr>
        <w:t>sono stati randomizzati in rapporto</w:t>
      </w:r>
      <w:r w:rsidR="00D37A63" w:rsidRPr="006A2BF9">
        <w:rPr>
          <w:rFonts w:cs="Arial"/>
          <w:lang w:val="it-IT"/>
        </w:rPr>
        <w:t> </w:t>
      </w:r>
      <w:r w:rsidRPr="006A2BF9">
        <w:rPr>
          <w:rFonts w:cs="Arial"/>
          <w:lang w:val="it-IT"/>
        </w:rPr>
        <w:t>1:1 entro 3</w:t>
      </w:r>
      <w:r w:rsidR="00D37A63" w:rsidRPr="006A2BF9">
        <w:rPr>
          <w:rFonts w:cs="Arial"/>
          <w:lang w:val="it-IT"/>
        </w:rPr>
        <w:t> </w:t>
      </w:r>
      <w:r w:rsidRPr="006A2BF9">
        <w:rPr>
          <w:rFonts w:cs="Arial"/>
          <w:lang w:val="it-IT"/>
        </w:rPr>
        <w:t xml:space="preserve">mesi </w:t>
      </w:r>
      <w:r w:rsidRPr="006A2BF9">
        <w:rPr>
          <w:lang w:val="it-IT"/>
        </w:rPr>
        <w:t>dopo l’interruzione della terapia di prima linea con bevacizumab a ricevere una chemioterapia a base di fluoropirimidine/oxaliplatino o di fluoropirimidine/irinotecan (chemioterapia cambiata in base alla chemioterapia ricevuta in prima linea) con o senza bevacizumab. Il trattamento è stato proseguito fino alla progressione della malattia o allo svilup</w:t>
      </w:r>
      <w:r w:rsidR="00F42378" w:rsidRPr="006A2BF9">
        <w:rPr>
          <w:lang w:val="it-IT"/>
        </w:rPr>
        <w:t>po di tossicità inaccettabile</w:t>
      </w:r>
      <w:r w:rsidRPr="006A2BF9">
        <w:rPr>
          <w:lang w:val="it-IT"/>
        </w:rPr>
        <w:t>. L’</w:t>
      </w:r>
      <w:r w:rsidR="00F42378" w:rsidRPr="006A2BF9">
        <w:rPr>
          <w:lang w:val="it-IT"/>
        </w:rPr>
        <w:t xml:space="preserve">endpoint primario dello studio </w:t>
      </w:r>
      <w:r w:rsidRPr="006A2BF9">
        <w:rPr>
          <w:lang w:val="it-IT"/>
        </w:rPr>
        <w:t xml:space="preserve">era la </w:t>
      </w:r>
      <w:r w:rsidR="004C45F5">
        <w:rPr>
          <w:lang w:val="it-IT"/>
        </w:rPr>
        <w:t>OS</w:t>
      </w:r>
      <w:r w:rsidRPr="006A2BF9">
        <w:rPr>
          <w:lang w:val="it-IT"/>
        </w:rPr>
        <w:t xml:space="preserve"> definita come il tempo intercorso dalla randomizzazione al decesso per qualsiasi causa.</w:t>
      </w:r>
    </w:p>
    <w:p w14:paraId="5DEF0696" w14:textId="77777777" w:rsidR="00ED4F9E" w:rsidRPr="006A2BF9" w:rsidRDefault="00ED4F9E" w:rsidP="00C91E39">
      <w:pPr>
        <w:rPr>
          <w:rFonts w:cs="Arial"/>
          <w:lang w:val="it-IT"/>
        </w:rPr>
      </w:pPr>
    </w:p>
    <w:p w14:paraId="35DC9D02" w14:textId="77777777" w:rsidR="00ED4F9E" w:rsidRPr="006A2BF9" w:rsidRDefault="00ED4F9E" w:rsidP="00C91E39">
      <w:pPr>
        <w:rPr>
          <w:szCs w:val="22"/>
          <w:lang w:val="it-IT"/>
        </w:rPr>
      </w:pPr>
      <w:r w:rsidRPr="006A2BF9">
        <w:rPr>
          <w:lang w:val="it-IT"/>
        </w:rPr>
        <w:t>Sono stati randomizzati 820</w:t>
      </w:r>
      <w:r w:rsidR="00D37A63" w:rsidRPr="006A2BF9">
        <w:rPr>
          <w:lang w:val="it-IT"/>
        </w:rPr>
        <w:t> </w:t>
      </w:r>
      <w:r w:rsidRPr="006A2BF9">
        <w:rPr>
          <w:lang w:val="it-IT"/>
        </w:rPr>
        <w:t>pazienti</w:t>
      </w:r>
      <w:r w:rsidR="00450DEE" w:rsidRPr="006A2BF9">
        <w:rPr>
          <w:lang w:val="it-IT"/>
        </w:rPr>
        <w:t xml:space="preserve"> in totale</w:t>
      </w:r>
      <w:r w:rsidRPr="006A2BF9">
        <w:rPr>
          <w:lang w:val="it-IT"/>
        </w:rPr>
        <w:t xml:space="preserve">. L’aggiunta di bevacizumab alla chemioterapia a base di fluoropirimidine ha determinato un prolungamento statisticamente significativo della sopravvivenza dei pazienti con mCRC </w:t>
      </w:r>
      <w:r w:rsidRPr="006A2BF9">
        <w:rPr>
          <w:szCs w:val="22"/>
          <w:lang w:val="it-IT"/>
        </w:rPr>
        <w:t xml:space="preserve">che sono andati incontro a progressione dopo un trattamento di prima linea contenente bevacizumab </w:t>
      </w:r>
      <w:r w:rsidRPr="006A2BF9">
        <w:rPr>
          <w:lang w:val="it-IT"/>
        </w:rPr>
        <w:t>(ITT</w:t>
      </w:r>
      <w:r w:rsidR="00850C9F" w:rsidRPr="006A2BF9">
        <w:rPr>
          <w:lang w:val="it-IT"/>
        </w:rPr>
        <w:t> </w:t>
      </w:r>
      <w:r w:rsidRPr="006A2BF9">
        <w:rPr>
          <w:lang w:val="it-IT"/>
        </w:rPr>
        <w:t>=</w:t>
      </w:r>
      <w:r w:rsidR="00850C9F" w:rsidRPr="006A2BF9">
        <w:rPr>
          <w:lang w:val="it-IT"/>
        </w:rPr>
        <w:t> </w:t>
      </w:r>
      <w:r w:rsidRPr="006A2BF9">
        <w:rPr>
          <w:lang w:val="it-IT"/>
        </w:rPr>
        <w:t>819) (vedere Tabella</w:t>
      </w:r>
      <w:r w:rsidR="00D37A63" w:rsidRPr="006A2BF9">
        <w:rPr>
          <w:lang w:val="it-IT"/>
        </w:rPr>
        <w:t> </w:t>
      </w:r>
      <w:r w:rsidR="00D966E3" w:rsidRPr="006A2BF9">
        <w:rPr>
          <w:lang w:val="it-IT"/>
        </w:rPr>
        <w:t>9</w:t>
      </w:r>
      <w:r w:rsidRPr="006A2BF9">
        <w:rPr>
          <w:lang w:val="it-IT"/>
        </w:rPr>
        <w:t>).</w:t>
      </w:r>
    </w:p>
    <w:p w14:paraId="6B801A82" w14:textId="77777777" w:rsidR="00ED4F9E" w:rsidRPr="006A2BF9" w:rsidRDefault="00ED4F9E" w:rsidP="00ED4F9E">
      <w:pPr>
        <w:rPr>
          <w:lang w:val="it-IT"/>
        </w:rPr>
      </w:pPr>
    </w:p>
    <w:p w14:paraId="2C85E3B1" w14:textId="77777777" w:rsidR="00ED4F9E" w:rsidRPr="006A2BF9" w:rsidRDefault="00ED4F9E" w:rsidP="00A43201">
      <w:pPr>
        <w:keepNext/>
        <w:keepLines/>
        <w:ind w:left="1418" w:hanging="1418"/>
        <w:rPr>
          <w:b/>
          <w:lang w:val="it-IT"/>
        </w:rPr>
      </w:pPr>
      <w:r w:rsidRPr="006A2BF9">
        <w:rPr>
          <w:b/>
          <w:lang w:val="it-IT"/>
        </w:rPr>
        <w:lastRenderedPageBreak/>
        <w:t xml:space="preserve">Tabella </w:t>
      </w:r>
      <w:r w:rsidR="00D966E3" w:rsidRPr="006A2BF9">
        <w:rPr>
          <w:b/>
          <w:lang w:val="it-IT"/>
        </w:rPr>
        <w:t>9</w:t>
      </w:r>
      <w:r w:rsidRPr="006A2BF9">
        <w:rPr>
          <w:b/>
          <w:lang w:val="it-IT"/>
        </w:rPr>
        <w:tab/>
        <w:t>Risultati di efficacia per lo studio ML18147 (popolazione ITT)</w:t>
      </w: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2955"/>
        <w:gridCol w:w="2955"/>
      </w:tblGrid>
      <w:tr w:rsidR="00ED4F9E" w:rsidRPr="006A2BF9" w14:paraId="71787E47" w14:textId="77777777" w:rsidTr="002C7DCE">
        <w:tc>
          <w:tcPr>
            <w:tcW w:w="1818" w:type="pct"/>
            <w:tcBorders>
              <w:top w:val="single" w:sz="4" w:space="0" w:color="auto"/>
            </w:tcBorders>
            <w:shd w:val="clear" w:color="auto" w:fill="auto"/>
            <w:vAlign w:val="center"/>
          </w:tcPr>
          <w:p w14:paraId="277CB786" w14:textId="77777777" w:rsidR="00ED4F9E" w:rsidRPr="006A2BF9" w:rsidRDefault="00ED4F9E" w:rsidP="00C04E00">
            <w:pPr>
              <w:pStyle w:val="TextTi12"/>
              <w:keepNext/>
              <w:keepLines/>
              <w:spacing w:after="0"/>
              <w:jc w:val="center"/>
              <w:rPr>
                <w:b/>
                <w:sz w:val="22"/>
                <w:szCs w:val="22"/>
                <w:lang w:val="it-IT"/>
              </w:rPr>
            </w:pPr>
          </w:p>
        </w:tc>
        <w:tc>
          <w:tcPr>
            <w:tcW w:w="3182" w:type="pct"/>
            <w:gridSpan w:val="2"/>
            <w:tcBorders>
              <w:top w:val="single" w:sz="4" w:space="0" w:color="auto"/>
            </w:tcBorders>
            <w:shd w:val="clear" w:color="auto" w:fill="auto"/>
            <w:vAlign w:val="center"/>
          </w:tcPr>
          <w:p w14:paraId="76994853" w14:textId="77777777" w:rsidR="00ED4F9E" w:rsidRPr="006A2BF9" w:rsidRDefault="00ED4F9E" w:rsidP="00C04E00">
            <w:pPr>
              <w:pStyle w:val="TextTi12"/>
              <w:keepNext/>
              <w:keepLines/>
              <w:spacing w:after="0"/>
              <w:jc w:val="center"/>
              <w:rPr>
                <w:b/>
                <w:sz w:val="22"/>
                <w:szCs w:val="22"/>
                <w:lang w:val="it-IT"/>
              </w:rPr>
            </w:pPr>
            <w:r w:rsidRPr="006A2BF9">
              <w:rPr>
                <w:b/>
                <w:sz w:val="22"/>
                <w:szCs w:val="22"/>
                <w:lang w:val="it-IT"/>
              </w:rPr>
              <w:t>ML18147</w:t>
            </w:r>
          </w:p>
        </w:tc>
      </w:tr>
      <w:tr w:rsidR="00ED4F9E" w:rsidRPr="006A2BF9" w14:paraId="3308BEA9" w14:textId="77777777" w:rsidTr="002C7DCE">
        <w:tc>
          <w:tcPr>
            <w:tcW w:w="1818" w:type="pct"/>
            <w:tcBorders>
              <w:top w:val="single" w:sz="4" w:space="0" w:color="auto"/>
            </w:tcBorders>
            <w:shd w:val="clear" w:color="auto" w:fill="auto"/>
            <w:vAlign w:val="center"/>
          </w:tcPr>
          <w:p w14:paraId="369159D0" w14:textId="77777777" w:rsidR="00ED4F9E" w:rsidRPr="006A2BF9" w:rsidRDefault="00ED4F9E" w:rsidP="00C04E00">
            <w:pPr>
              <w:pStyle w:val="TextTi12"/>
              <w:keepNext/>
              <w:keepLines/>
              <w:spacing w:after="0"/>
              <w:jc w:val="center"/>
              <w:rPr>
                <w:b/>
                <w:sz w:val="22"/>
                <w:szCs w:val="22"/>
                <w:lang w:val="it-IT"/>
              </w:rPr>
            </w:pPr>
          </w:p>
        </w:tc>
        <w:tc>
          <w:tcPr>
            <w:tcW w:w="1591" w:type="pct"/>
            <w:tcBorders>
              <w:top w:val="single" w:sz="4" w:space="0" w:color="auto"/>
            </w:tcBorders>
            <w:shd w:val="clear" w:color="auto" w:fill="auto"/>
            <w:vAlign w:val="center"/>
          </w:tcPr>
          <w:p w14:paraId="012F4952" w14:textId="77777777" w:rsidR="00ED4F9E" w:rsidRPr="006A2BF9" w:rsidRDefault="00ED4F9E" w:rsidP="00C04E00">
            <w:pPr>
              <w:keepNext/>
              <w:keepLines/>
              <w:autoSpaceDE w:val="0"/>
              <w:autoSpaceDN w:val="0"/>
              <w:adjustRightInd w:val="0"/>
              <w:jc w:val="center"/>
              <w:rPr>
                <w:rFonts w:eastAsia="MS Mincho"/>
                <w:b/>
                <w:szCs w:val="22"/>
                <w:lang w:val="it-IT" w:eastAsia="en-US"/>
              </w:rPr>
            </w:pPr>
            <w:r w:rsidRPr="006A2BF9">
              <w:rPr>
                <w:rFonts w:eastAsia="MS Mincho"/>
                <w:b/>
                <w:szCs w:val="22"/>
                <w:lang w:val="it-IT" w:eastAsia="en-US"/>
              </w:rPr>
              <w:t>Chemioterapia con</w:t>
            </w:r>
          </w:p>
          <w:p w14:paraId="0E1C9094" w14:textId="77777777" w:rsidR="00D37A63" w:rsidRPr="006A2BF9" w:rsidRDefault="00ED4F9E" w:rsidP="00C04E00">
            <w:pPr>
              <w:keepNext/>
              <w:keepLines/>
              <w:autoSpaceDE w:val="0"/>
              <w:autoSpaceDN w:val="0"/>
              <w:adjustRightInd w:val="0"/>
              <w:jc w:val="center"/>
              <w:rPr>
                <w:rFonts w:eastAsia="MS Mincho"/>
                <w:b/>
                <w:szCs w:val="22"/>
                <w:lang w:val="it-IT" w:eastAsia="en-US"/>
              </w:rPr>
            </w:pPr>
            <w:r w:rsidRPr="006A2BF9">
              <w:rPr>
                <w:rFonts w:eastAsia="MS Mincho"/>
                <w:b/>
                <w:szCs w:val="22"/>
                <w:lang w:val="it-IT" w:eastAsia="en-US"/>
              </w:rPr>
              <w:t xml:space="preserve">fluoropirimidine/irinotecan </w:t>
            </w:r>
          </w:p>
          <w:p w14:paraId="78E343AC" w14:textId="77777777" w:rsidR="00ED4F9E" w:rsidRPr="006A2BF9" w:rsidRDefault="00ED4F9E" w:rsidP="00C04E00">
            <w:pPr>
              <w:keepNext/>
              <w:keepLines/>
              <w:autoSpaceDE w:val="0"/>
              <w:autoSpaceDN w:val="0"/>
              <w:adjustRightInd w:val="0"/>
              <w:jc w:val="center"/>
              <w:rPr>
                <w:rFonts w:eastAsia="MS Mincho"/>
                <w:b/>
                <w:szCs w:val="22"/>
                <w:lang w:val="it-IT" w:eastAsia="en-US"/>
              </w:rPr>
            </w:pPr>
            <w:r w:rsidRPr="006A2BF9">
              <w:rPr>
                <w:rFonts w:eastAsia="MS Mincho"/>
                <w:b/>
                <w:szCs w:val="22"/>
                <w:lang w:val="it-IT" w:eastAsia="en-US"/>
              </w:rPr>
              <w:t>o</w:t>
            </w:r>
          </w:p>
          <w:p w14:paraId="41A814E2" w14:textId="77777777" w:rsidR="00ED4F9E" w:rsidRPr="006A2BF9" w:rsidRDefault="00ED4F9E" w:rsidP="00C04E00">
            <w:pPr>
              <w:keepNext/>
              <w:keepLines/>
              <w:autoSpaceDE w:val="0"/>
              <w:autoSpaceDN w:val="0"/>
              <w:adjustRightInd w:val="0"/>
              <w:jc w:val="center"/>
              <w:rPr>
                <w:rFonts w:eastAsia="MS Mincho"/>
                <w:b/>
                <w:szCs w:val="22"/>
                <w:lang w:val="it-IT" w:eastAsia="en-US"/>
              </w:rPr>
            </w:pPr>
            <w:r w:rsidRPr="006A2BF9">
              <w:rPr>
                <w:rFonts w:eastAsia="MS Mincho"/>
                <w:b/>
                <w:szCs w:val="22"/>
                <w:lang w:val="it-IT" w:eastAsia="en-US"/>
              </w:rPr>
              <w:t>fluoropirimidine/oxaliplatino</w:t>
            </w:r>
          </w:p>
          <w:p w14:paraId="6835F9D7" w14:textId="77777777" w:rsidR="00ED4F9E" w:rsidRPr="006A2BF9" w:rsidRDefault="00ED4F9E" w:rsidP="00C04E00">
            <w:pPr>
              <w:pStyle w:val="TextTi12"/>
              <w:keepNext/>
              <w:keepLines/>
              <w:spacing w:after="0"/>
              <w:jc w:val="center"/>
              <w:rPr>
                <w:b/>
                <w:sz w:val="22"/>
                <w:szCs w:val="22"/>
                <w:lang w:val="it-IT"/>
              </w:rPr>
            </w:pPr>
          </w:p>
        </w:tc>
        <w:tc>
          <w:tcPr>
            <w:tcW w:w="1591" w:type="pct"/>
            <w:tcBorders>
              <w:top w:val="single" w:sz="4" w:space="0" w:color="auto"/>
            </w:tcBorders>
            <w:shd w:val="clear" w:color="auto" w:fill="auto"/>
            <w:vAlign w:val="center"/>
          </w:tcPr>
          <w:p w14:paraId="79BEA1D7" w14:textId="77777777" w:rsidR="00ED4F9E" w:rsidRPr="006A2BF9" w:rsidRDefault="00ED4F9E" w:rsidP="00C04E00">
            <w:pPr>
              <w:keepNext/>
              <w:keepLines/>
              <w:autoSpaceDE w:val="0"/>
              <w:autoSpaceDN w:val="0"/>
              <w:adjustRightInd w:val="0"/>
              <w:jc w:val="center"/>
              <w:rPr>
                <w:rFonts w:eastAsia="MS Mincho"/>
                <w:b/>
                <w:szCs w:val="22"/>
                <w:lang w:val="it-IT" w:eastAsia="en-US"/>
              </w:rPr>
            </w:pPr>
            <w:r w:rsidRPr="006A2BF9">
              <w:rPr>
                <w:rFonts w:eastAsia="MS Mincho"/>
                <w:b/>
                <w:szCs w:val="22"/>
                <w:lang w:val="it-IT" w:eastAsia="en-US"/>
              </w:rPr>
              <w:t>Chemioterapia con</w:t>
            </w:r>
          </w:p>
          <w:p w14:paraId="2153B529" w14:textId="77777777" w:rsidR="00D37A63" w:rsidRPr="006A2BF9" w:rsidRDefault="00ED4F9E" w:rsidP="00C04E00">
            <w:pPr>
              <w:keepNext/>
              <w:keepLines/>
              <w:autoSpaceDE w:val="0"/>
              <w:autoSpaceDN w:val="0"/>
              <w:adjustRightInd w:val="0"/>
              <w:jc w:val="center"/>
              <w:rPr>
                <w:rFonts w:eastAsia="MS Mincho"/>
                <w:b/>
                <w:szCs w:val="22"/>
                <w:lang w:val="it-IT" w:eastAsia="en-US"/>
              </w:rPr>
            </w:pPr>
            <w:r w:rsidRPr="006A2BF9">
              <w:rPr>
                <w:rFonts w:eastAsia="MS Mincho"/>
                <w:b/>
                <w:szCs w:val="22"/>
                <w:lang w:val="it-IT" w:eastAsia="en-US"/>
              </w:rPr>
              <w:t xml:space="preserve">fluoropirimidine/irinotecan </w:t>
            </w:r>
          </w:p>
          <w:p w14:paraId="2359A9B5" w14:textId="77777777" w:rsidR="00ED4F9E" w:rsidRPr="006A2BF9" w:rsidRDefault="00ED4F9E" w:rsidP="00C04E00">
            <w:pPr>
              <w:keepNext/>
              <w:keepLines/>
              <w:autoSpaceDE w:val="0"/>
              <w:autoSpaceDN w:val="0"/>
              <w:adjustRightInd w:val="0"/>
              <w:jc w:val="center"/>
              <w:rPr>
                <w:rFonts w:eastAsia="MS Mincho"/>
                <w:b/>
                <w:szCs w:val="22"/>
                <w:lang w:val="it-IT" w:eastAsia="en-US"/>
              </w:rPr>
            </w:pPr>
            <w:r w:rsidRPr="006A2BF9">
              <w:rPr>
                <w:rFonts w:eastAsia="MS Mincho"/>
                <w:b/>
                <w:szCs w:val="22"/>
                <w:lang w:val="it-IT" w:eastAsia="en-US"/>
              </w:rPr>
              <w:t>o</w:t>
            </w:r>
          </w:p>
          <w:p w14:paraId="41D046FE" w14:textId="77777777" w:rsidR="00ED4F9E" w:rsidRPr="006A2BF9" w:rsidRDefault="00ED4F9E" w:rsidP="00C04E00">
            <w:pPr>
              <w:keepNext/>
              <w:keepLines/>
              <w:autoSpaceDE w:val="0"/>
              <w:autoSpaceDN w:val="0"/>
              <w:adjustRightInd w:val="0"/>
              <w:jc w:val="center"/>
              <w:rPr>
                <w:rFonts w:eastAsia="MS Mincho"/>
                <w:b/>
                <w:szCs w:val="22"/>
                <w:lang w:val="it-IT" w:eastAsia="en-US"/>
              </w:rPr>
            </w:pPr>
            <w:r w:rsidRPr="006A2BF9">
              <w:rPr>
                <w:rFonts w:eastAsia="MS Mincho"/>
                <w:b/>
                <w:szCs w:val="22"/>
                <w:lang w:val="it-IT" w:eastAsia="en-US"/>
              </w:rPr>
              <w:t>fluoropirimidine/oxaliplatino</w:t>
            </w:r>
          </w:p>
          <w:p w14:paraId="6E4047A0" w14:textId="77777777" w:rsidR="00ED4F9E" w:rsidRPr="006A2BF9" w:rsidRDefault="00ED4F9E" w:rsidP="00D37A63">
            <w:pPr>
              <w:pStyle w:val="TextTi12"/>
              <w:keepNext/>
              <w:keepLines/>
              <w:spacing w:after="0"/>
              <w:jc w:val="center"/>
              <w:rPr>
                <w:b/>
                <w:sz w:val="22"/>
                <w:szCs w:val="22"/>
                <w:vertAlign w:val="superscript"/>
                <w:lang w:val="it-IT"/>
              </w:rPr>
            </w:pPr>
            <w:r w:rsidRPr="006A2BF9">
              <w:rPr>
                <w:b/>
                <w:sz w:val="22"/>
                <w:szCs w:val="22"/>
                <w:lang w:val="it-IT"/>
              </w:rPr>
              <w:t>+</w:t>
            </w:r>
            <w:r w:rsidR="00850C9F" w:rsidRPr="006A2BF9">
              <w:rPr>
                <w:b/>
                <w:sz w:val="22"/>
                <w:szCs w:val="22"/>
                <w:lang w:val="it-IT"/>
              </w:rPr>
              <w:t> </w:t>
            </w:r>
            <w:r w:rsidR="00D37A63" w:rsidRPr="006A2BF9">
              <w:rPr>
                <w:b/>
                <w:sz w:val="22"/>
                <w:szCs w:val="22"/>
                <w:lang w:val="it-IT"/>
              </w:rPr>
              <w:t>bevacizumab</w:t>
            </w:r>
            <w:r w:rsidRPr="006A2BF9">
              <w:rPr>
                <w:b/>
                <w:sz w:val="22"/>
                <w:szCs w:val="22"/>
                <w:vertAlign w:val="superscript"/>
                <w:lang w:val="it-IT"/>
              </w:rPr>
              <w:t>a</w:t>
            </w:r>
          </w:p>
        </w:tc>
      </w:tr>
      <w:tr w:rsidR="00ED4F9E" w:rsidRPr="006A2BF9" w14:paraId="3F15B495" w14:textId="77777777" w:rsidTr="002C7DCE">
        <w:tc>
          <w:tcPr>
            <w:tcW w:w="1818" w:type="pct"/>
            <w:tcBorders>
              <w:top w:val="single" w:sz="4" w:space="0" w:color="auto"/>
            </w:tcBorders>
            <w:shd w:val="clear" w:color="auto" w:fill="auto"/>
            <w:vAlign w:val="center"/>
          </w:tcPr>
          <w:p w14:paraId="718724D8" w14:textId="77777777" w:rsidR="00ED4F9E" w:rsidRPr="006A2BF9" w:rsidRDefault="00ED4F9E" w:rsidP="00C04E00">
            <w:pPr>
              <w:pStyle w:val="TextTi12"/>
              <w:keepNext/>
              <w:keepLines/>
              <w:spacing w:after="0"/>
              <w:jc w:val="left"/>
              <w:rPr>
                <w:sz w:val="22"/>
                <w:szCs w:val="22"/>
                <w:lang w:val="it-IT"/>
              </w:rPr>
            </w:pPr>
            <w:r w:rsidRPr="006A2BF9">
              <w:rPr>
                <w:sz w:val="22"/>
                <w:szCs w:val="22"/>
                <w:lang w:val="it-IT"/>
              </w:rPr>
              <w:t>Numero di pazienti</w:t>
            </w:r>
          </w:p>
        </w:tc>
        <w:tc>
          <w:tcPr>
            <w:tcW w:w="1591" w:type="pct"/>
            <w:tcBorders>
              <w:top w:val="single" w:sz="4" w:space="0" w:color="auto"/>
            </w:tcBorders>
            <w:shd w:val="clear" w:color="auto" w:fill="auto"/>
            <w:vAlign w:val="center"/>
          </w:tcPr>
          <w:p w14:paraId="689D6F4C" w14:textId="77777777" w:rsidR="00ED4F9E" w:rsidRPr="006A2BF9" w:rsidRDefault="00ED4F9E" w:rsidP="00C04E00">
            <w:pPr>
              <w:pStyle w:val="TextTi12"/>
              <w:keepNext/>
              <w:keepLines/>
              <w:spacing w:after="0"/>
              <w:jc w:val="center"/>
              <w:rPr>
                <w:sz w:val="22"/>
                <w:szCs w:val="22"/>
                <w:lang w:val="it-IT"/>
              </w:rPr>
            </w:pPr>
            <w:r w:rsidRPr="006A2BF9">
              <w:rPr>
                <w:sz w:val="22"/>
                <w:szCs w:val="22"/>
                <w:lang w:val="it-IT"/>
              </w:rPr>
              <w:t>410</w:t>
            </w:r>
          </w:p>
        </w:tc>
        <w:tc>
          <w:tcPr>
            <w:tcW w:w="1591" w:type="pct"/>
            <w:tcBorders>
              <w:top w:val="single" w:sz="4" w:space="0" w:color="auto"/>
            </w:tcBorders>
            <w:shd w:val="clear" w:color="auto" w:fill="auto"/>
            <w:vAlign w:val="center"/>
          </w:tcPr>
          <w:p w14:paraId="7AC3A81F" w14:textId="77777777" w:rsidR="00ED4F9E" w:rsidRPr="006A2BF9" w:rsidRDefault="00ED4F9E" w:rsidP="00C04E00">
            <w:pPr>
              <w:pStyle w:val="TextTi12"/>
              <w:keepNext/>
              <w:keepLines/>
              <w:spacing w:after="0"/>
              <w:jc w:val="center"/>
              <w:rPr>
                <w:sz w:val="22"/>
                <w:szCs w:val="22"/>
                <w:lang w:val="it-IT"/>
              </w:rPr>
            </w:pPr>
            <w:r w:rsidRPr="006A2BF9">
              <w:rPr>
                <w:sz w:val="22"/>
                <w:szCs w:val="22"/>
                <w:lang w:val="it-IT"/>
              </w:rPr>
              <w:t>409</w:t>
            </w:r>
          </w:p>
        </w:tc>
      </w:tr>
      <w:tr w:rsidR="00ED4F9E" w:rsidRPr="006A2BF9" w14:paraId="24122DF8" w14:textId="77777777" w:rsidTr="002C7DCE">
        <w:tc>
          <w:tcPr>
            <w:tcW w:w="1818" w:type="pct"/>
            <w:tcBorders>
              <w:top w:val="single" w:sz="4" w:space="0" w:color="auto"/>
            </w:tcBorders>
            <w:shd w:val="clear" w:color="auto" w:fill="auto"/>
            <w:vAlign w:val="center"/>
          </w:tcPr>
          <w:p w14:paraId="3EBD93C4" w14:textId="77777777" w:rsidR="00ED4F9E" w:rsidRPr="00330A40" w:rsidRDefault="00ED4F9E" w:rsidP="00C04E00">
            <w:pPr>
              <w:pStyle w:val="TextTi12"/>
              <w:keepNext/>
              <w:keepLines/>
              <w:spacing w:after="0"/>
              <w:jc w:val="left"/>
              <w:rPr>
                <w:sz w:val="22"/>
                <w:szCs w:val="22"/>
                <w:lang w:val="it-IT"/>
              </w:rPr>
            </w:pPr>
            <w:r w:rsidRPr="000F0246">
              <w:rPr>
                <w:b/>
                <w:sz w:val="22"/>
                <w:szCs w:val="22"/>
                <w:u w:val="single"/>
                <w:lang w:val="it-IT"/>
              </w:rPr>
              <w:t>Sopravvivenza globale</w:t>
            </w:r>
          </w:p>
        </w:tc>
        <w:tc>
          <w:tcPr>
            <w:tcW w:w="3182" w:type="pct"/>
            <w:gridSpan w:val="2"/>
            <w:tcBorders>
              <w:top w:val="single" w:sz="4" w:space="0" w:color="auto"/>
            </w:tcBorders>
            <w:shd w:val="clear" w:color="auto" w:fill="auto"/>
            <w:vAlign w:val="center"/>
          </w:tcPr>
          <w:p w14:paraId="09DAA5AA" w14:textId="77777777" w:rsidR="00ED4F9E" w:rsidRPr="00330A40" w:rsidRDefault="00ED4F9E" w:rsidP="00C04E00">
            <w:pPr>
              <w:pStyle w:val="TextTi12"/>
              <w:keepNext/>
              <w:keepLines/>
              <w:spacing w:after="0"/>
              <w:jc w:val="center"/>
              <w:rPr>
                <w:sz w:val="22"/>
                <w:szCs w:val="22"/>
                <w:lang w:val="it-IT"/>
              </w:rPr>
            </w:pPr>
          </w:p>
        </w:tc>
      </w:tr>
      <w:tr w:rsidR="00ED4F9E" w:rsidRPr="006A2BF9" w14:paraId="52B9CD2C" w14:textId="77777777" w:rsidTr="002C7DCE">
        <w:tc>
          <w:tcPr>
            <w:tcW w:w="1818" w:type="pct"/>
            <w:tcBorders>
              <w:top w:val="single" w:sz="4" w:space="0" w:color="auto"/>
            </w:tcBorders>
            <w:shd w:val="clear" w:color="auto" w:fill="auto"/>
            <w:vAlign w:val="center"/>
          </w:tcPr>
          <w:p w14:paraId="687A5A4F" w14:textId="77777777" w:rsidR="00ED4F9E" w:rsidRPr="006A2BF9" w:rsidRDefault="00ED4F9E" w:rsidP="00C04E00">
            <w:pPr>
              <w:pStyle w:val="TextTi12"/>
              <w:keepNext/>
              <w:keepLines/>
              <w:spacing w:after="0"/>
              <w:ind w:left="720"/>
              <w:jc w:val="left"/>
              <w:rPr>
                <w:sz w:val="22"/>
                <w:szCs w:val="22"/>
                <w:lang w:val="it-IT"/>
              </w:rPr>
            </w:pPr>
            <w:r w:rsidRPr="006A2BF9">
              <w:rPr>
                <w:sz w:val="22"/>
                <w:szCs w:val="22"/>
                <w:lang w:val="it-IT"/>
              </w:rPr>
              <w:t>Mediana (mesi)</w:t>
            </w:r>
          </w:p>
        </w:tc>
        <w:tc>
          <w:tcPr>
            <w:tcW w:w="1591" w:type="pct"/>
            <w:tcBorders>
              <w:top w:val="single" w:sz="4" w:space="0" w:color="auto"/>
            </w:tcBorders>
            <w:shd w:val="clear" w:color="auto" w:fill="auto"/>
            <w:vAlign w:val="center"/>
          </w:tcPr>
          <w:p w14:paraId="38E77306" w14:textId="77777777" w:rsidR="00ED4F9E" w:rsidRPr="006A2BF9" w:rsidRDefault="00ED4F9E" w:rsidP="00C04E00">
            <w:pPr>
              <w:pStyle w:val="TextTi12"/>
              <w:keepNext/>
              <w:keepLines/>
              <w:spacing w:after="0"/>
              <w:jc w:val="center"/>
              <w:rPr>
                <w:sz w:val="22"/>
                <w:szCs w:val="22"/>
                <w:lang w:val="it-IT"/>
              </w:rPr>
            </w:pPr>
            <w:r w:rsidRPr="006A2BF9">
              <w:rPr>
                <w:sz w:val="22"/>
                <w:szCs w:val="22"/>
                <w:lang w:val="it-IT"/>
              </w:rPr>
              <w:t>9,8</w:t>
            </w:r>
          </w:p>
        </w:tc>
        <w:tc>
          <w:tcPr>
            <w:tcW w:w="1591" w:type="pct"/>
            <w:tcBorders>
              <w:top w:val="single" w:sz="4" w:space="0" w:color="auto"/>
            </w:tcBorders>
            <w:shd w:val="clear" w:color="auto" w:fill="auto"/>
            <w:vAlign w:val="center"/>
          </w:tcPr>
          <w:p w14:paraId="22347D5B" w14:textId="77777777" w:rsidR="00ED4F9E" w:rsidRPr="006A2BF9" w:rsidRDefault="00ED4F9E" w:rsidP="00C04E00">
            <w:pPr>
              <w:pStyle w:val="TextTi12"/>
              <w:keepNext/>
              <w:keepLines/>
              <w:spacing w:after="0"/>
              <w:jc w:val="center"/>
              <w:rPr>
                <w:sz w:val="22"/>
                <w:szCs w:val="22"/>
                <w:lang w:val="it-IT"/>
              </w:rPr>
            </w:pPr>
            <w:r w:rsidRPr="006A2BF9">
              <w:rPr>
                <w:sz w:val="22"/>
                <w:szCs w:val="22"/>
                <w:lang w:val="it-IT"/>
              </w:rPr>
              <w:t>11,2</w:t>
            </w:r>
          </w:p>
        </w:tc>
      </w:tr>
      <w:tr w:rsidR="00ED4F9E" w:rsidRPr="006A2BF9" w14:paraId="4CCC73CF" w14:textId="77777777" w:rsidTr="002C7DCE">
        <w:tc>
          <w:tcPr>
            <w:tcW w:w="1818" w:type="pct"/>
            <w:tcBorders>
              <w:top w:val="single" w:sz="4" w:space="0" w:color="auto"/>
            </w:tcBorders>
            <w:shd w:val="clear" w:color="auto" w:fill="auto"/>
            <w:vAlign w:val="center"/>
          </w:tcPr>
          <w:p w14:paraId="3D00E4E8" w14:textId="77777777" w:rsidR="00ED4F9E" w:rsidRPr="00330A40" w:rsidRDefault="00ED4F9E" w:rsidP="00A837A5">
            <w:pPr>
              <w:pStyle w:val="TextTi12"/>
              <w:spacing w:after="0"/>
              <w:ind w:left="720"/>
              <w:jc w:val="left"/>
              <w:rPr>
                <w:rFonts w:cs="Arial"/>
                <w:sz w:val="22"/>
                <w:szCs w:val="22"/>
                <w:lang w:val="it-IT"/>
              </w:rPr>
            </w:pPr>
            <w:r w:rsidRPr="000F0246">
              <w:rPr>
                <w:rFonts w:cs="Arial"/>
                <w:i/>
                <w:sz w:val="22"/>
                <w:szCs w:val="22"/>
                <w:lang w:val="it-IT"/>
              </w:rPr>
              <w:t>Hazard ratio</w:t>
            </w:r>
            <w:r w:rsidR="00C05192" w:rsidRPr="00330A40">
              <w:rPr>
                <w:rFonts w:cs="Arial"/>
                <w:sz w:val="22"/>
                <w:szCs w:val="22"/>
                <w:lang w:val="it-IT"/>
              </w:rPr>
              <w:t xml:space="preserve"> (HR)</w:t>
            </w:r>
          </w:p>
          <w:p w14:paraId="665A5C8A" w14:textId="77777777" w:rsidR="00ED4F9E" w:rsidRPr="00330A40" w:rsidRDefault="00ED4F9E" w:rsidP="00A837A5">
            <w:pPr>
              <w:pStyle w:val="TextTi12"/>
              <w:spacing w:after="0"/>
              <w:ind w:left="720"/>
              <w:jc w:val="left"/>
              <w:rPr>
                <w:rFonts w:cs="Arial"/>
                <w:sz w:val="22"/>
                <w:szCs w:val="22"/>
                <w:vertAlign w:val="superscript"/>
                <w:lang w:val="it-IT"/>
              </w:rPr>
            </w:pPr>
            <w:r w:rsidRPr="00330A40">
              <w:rPr>
                <w:rFonts w:cs="Arial"/>
                <w:sz w:val="22"/>
                <w:szCs w:val="22"/>
                <w:lang w:val="it-IT"/>
              </w:rPr>
              <w:t xml:space="preserve">(intervallo di confidenza </w:t>
            </w:r>
            <w:r w:rsidR="007933D2">
              <w:rPr>
                <w:rFonts w:cs="Arial"/>
                <w:sz w:val="22"/>
                <w:szCs w:val="22"/>
                <w:lang w:val="it-IT"/>
              </w:rPr>
              <w:t xml:space="preserve">al </w:t>
            </w:r>
            <w:r w:rsidRPr="00330A40">
              <w:rPr>
                <w:rFonts w:cs="Arial"/>
                <w:sz w:val="22"/>
                <w:szCs w:val="22"/>
                <w:lang w:val="it-IT"/>
              </w:rPr>
              <w:t>95%)</w:t>
            </w:r>
          </w:p>
        </w:tc>
        <w:tc>
          <w:tcPr>
            <w:tcW w:w="3182" w:type="pct"/>
            <w:gridSpan w:val="2"/>
            <w:tcBorders>
              <w:top w:val="single" w:sz="4" w:space="0" w:color="auto"/>
            </w:tcBorders>
            <w:shd w:val="clear" w:color="auto" w:fill="auto"/>
            <w:vAlign w:val="center"/>
          </w:tcPr>
          <w:p w14:paraId="339D062E" w14:textId="77777777" w:rsidR="00ED4F9E" w:rsidRPr="00330A40" w:rsidRDefault="00ED4F9E" w:rsidP="00A837A5">
            <w:pPr>
              <w:pStyle w:val="TextTi12"/>
              <w:spacing w:after="0"/>
              <w:jc w:val="center"/>
              <w:rPr>
                <w:rFonts w:cs="Arial"/>
                <w:sz w:val="22"/>
                <w:szCs w:val="22"/>
                <w:lang w:val="it-IT"/>
              </w:rPr>
            </w:pPr>
            <w:r w:rsidRPr="00330A40">
              <w:rPr>
                <w:rFonts w:cs="Arial"/>
                <w:sz w:val="22"/>
                <w:szCs w:val="22"/>
                <w:lang w:val="it-IT"/>
              </w:rPr>
              <w:t>0,81 (0,69</w:t>
            </w:r>
            <w:r w:rsidR="0002120B" w:rsidRPr="00330A40">
              <w:rPr>
                <w:rFonts w:cs="Arial"/>
                <w:sz w:val="22"/>
                <w:szCs w:val="22"/>
                <w:lang w:val="it-IT"/>
              </w:rPr>
              <w:t>;</w:t>
            </w:r>
            <w:r w:rsidRPr="00330A40">
              <w:rPr>
                <w:rFonts w:cs="Arial"/>
                <w:sz w:val="22"/>
                <w:szCs w:val="22"/>
                <w:lang w:val="it-IT"/>
              </w:rPr>
              <w:t xml:space="preserve"> 0,94)</w:t>
            </w:r>
          </w:p>
          <w:p w14:paraId="2A02E9B4" w14:textId="77777777" w:rsidR="00ED4F9E" w:rsidRPr="00330A40" w:rsidRDefault="00ED4F9E" w:rsidP="008B4653">
            <w:pPr>
              <w:pStyle w:val="TextTi12"/>
              <w:spacing w:after="0"/>
              <w:jc w:val="center"/>
              <w:rPr>
                <w:rFonts w:cs="Arial"/>
                <w:sz w:val="22"/>
                <w:szCs w:val="22"/>
                <w:lang w:val="it-IT"/>
              </w:rPr>
            </w:pPr>
            <w:r w:rsidRPr="00330A40">
              <w:rPr>
                <w:rFonts w:cs="Arial"/>
                <w:sz w:val="22"/>
                <w:szCs w:val="22"/>
                <w:lang w:val="it-IT"/>
              </w:rPr>
              <w:t>(</w:t>
            </w:r>
            <w:r w:rsidR="0025736A" w:rsidRPr="00330A40">
              <w:rPr>
                <w:rFonts w:cs="Arial"/>
                <w:sz w:val="22"/>
                <w:szCs w:val="22"/>
                <w:lang w:val="it-IT"/>
              </w:rPr>
              <w:t xml:space="preserve">valore di </w:t>
            </w:r>
            <w:r w:rsidRPr="00330A40">
              <w:rPr>
                <w:rFonts w:cs="Arial"/>
                <w:sz w:val="22"/>
                <w:szCs w:val="22"/>
                <w:lang w:val="it-IT"/>
              </w:rPr>
              <w:t>p</w:t>
            </w:r>
            <w:r w:rsidR="00850C9F" w:rsidRPr="00330A40">
              <w:rPr>
                <w:rFonts w:cs="Arial"/>
                <w:sz w:val="22"/>
                <w:szCs w:val="22"/>
                <w:lang w:val="it-IT"/>
              </w:rPr>
              <w:t> </w:t>
            </w:r>
            <w:r w:rsidRPr="00330A40">
              <w:rPr>
                <w:rFonts w:cs="Arial"/>
                <w:sz w:val="22"/>
                <w:szCs w:val="22"/>
                <w:lang w:val="it-IT"/>
              </w:rPr>
              <w:t>=</w:t>
            </w:r>
            <w:r w:rsidR="00850C9F" w:rsidRPr="00330A40">
              <w:rPr>
                <w:rFonts w:cs="Arial"/>
                <w:sz w:val="22"/>
                <w:szCs w:val="22"/>
                <w:lang w:val="it-IT"/>
              </w:rPr>
              <w:t> </w:t>
            </w:r>
            <w:r w:rsidRPr="00330A40">
              <w:rPr>
                <w:rFonts w:cs="Arial"/>
                <w:sz w:val="22"/>
                <w:szCs w:val="22"/>
                <w:lang w:val="it-IT"/>
              </w:rPr>
              <w:t>0,0062)</w:t>
            </w:r>
          </w:p>
        </w:tc>
      </w:tr>
      <w:tr w:rsidR="00ED4F9E" w:rsidRPr="006A2BF9" w14:paraId="2E2430CA" w14:textId="77777777" w:rsidTr="002C7DCE">
        <w:tc>
          <w:tcPr>
            <w:tcW w:w="1818" w:type="pct"/>
            <w:tcBorders>
              <w:top w:val="single" w:sz="4" w:space="0" w:color="auto"/>
            </w:tcBorders>
            <w:shd w:val="clear" w:color="auto" w:fill="auto"/>
            <w:vAlign w:val="center"/>
          </w:tcPr>
          <w:p w14:paraId="5A83A8BC" w14:textId="77777777" w:rsidR="00ED4F9E" w:rsidRPr="000F0246" w:rsidRDefault="00ED4F9E" w:rsidP="00A837A5">
            <w:pPr>
              <w:pStyle w:val="TextTi12"/>
              <w:spacing w:after="0"/>
              <w:jc w:val="left"/>
              <w:rPr>
                <w:rFonts w:cs="Arial"/>
                <w:b/>
                <w:sz w:val="22"/>
                <w:szCs w:val="22"/>
                <w:u w:val="single"/>
                <w:lang w:val="it-IT"/>
              </w:rPr>
            </w:pPr>
            <w:r w:rsidRPr="000F0246">
              <w:rPr>
                <w:rFonts w:cs="Arial"/>
                <w:b/>
                <w:sz w:val="22"/>
                <w:szCs w:val="22"/>
                <w:u w:val="single"/>
                <w:lang w:val="it-IT"/>
              </w:rPr>
              <w:t>Sopravvivenza libera da progressione</w:t>
            </w:r>
          </w:p>
        </w:tc>
        <w:tc>
          <w:tcPr>
            <w:tcW w:w="3182" w:type="pct"/>
            <w:gridSpan w:val="2"/>
            <w:tcBorders>
              <w:top w:val="single" w:sz="4" w:space="0" w:color="auto"/>
            </w:tcBorders>
            <w:shd w:val="clear" w:color="auto" w:fill="auto"/>
            <w:vAlign w:val="center"/>
          </w:tcPr>
          <w:p w14:paraId="07ED1AA7" w14:textId="77777777" w:rsidR="00ED4F9E" w:rsidRPr="00330A40" w:rsidRDefault="00ED4F9E" w:rsidP="00A837A5">
            <w:pPr>
              <w:pStyle w:val="TextTi12"/>
              <w:spacing w:after="0"/>
              <w:jc w:val="center"/>
              <w:rPr>
                <w:rFonts w:cs="Arial"/>
                <w:sz w:val="22"/>
                <w:szCs w:val="22"/>
                <w:lang w:val="it-IT"/>
              </w:rPr>
            </w:pPr>
          </w:p>
        </w:tc>
      </w:tr>
      <w:tr w:rsidR="00ED4F9E" w:rsidRPr="006A2BF9" w14:paraId="03B364C9" w14:textId="77777777" w:rsidTr="002C7DCE">
        <w:tc>
          <w:tcPr>
            <w:tcW w:w="1818" w:type="pct"/>
            <w:tcBorders>
              <w:top w:val="single" w:sz="4" w:space="0" w:color="auto"/>
            </w:tcBorders>
            <w:shd w:val="clear" w:color="auto" w:fill="auto"/>
            <w:vAlign w:val="center"/>
          </w:tcPr>
          <w:p w14:paraId="3D709118" w14:textId="77777777" w:rsidR="00ED4F9E" w:rsidRPr="006A2BF9" w:rsidRDefault="00ED4F9E" w:rsidP="00A837A5">
            <w:pPr>
              <w:pStyle w:val="TextTi12"/>
              <w:spacing w:after="0"/>
              <w:ind w:left="720"/>
              <w:jc w:val="left"/>
              <w:rPr>
                <w:rFonts w:cs="Arial"/>
                <w:sz w:val="22"/>
                <w:szCs w:val="22"/>
                <w:lang w:val="it-IT"/>
              </w:rPr>
            </w:pPr>
            <w:r w:rsidRPr="006A2BF9">
              <w:rPr>
                <w:rFonts w:cs="Arial"/>
                <w:sz w:val="22"/>
                <w:szCs w:val="22"/>
                <w:lang w:val="it-IT"/>
              </w:rPr>
              <w:t>Mediana (mesi)</w:t>
            </w:r>
          </w:p>
        </w:tc>
        <w:tc>
          <w:tcPr>
            <w:tcW w:w="1591" w:type="pct"/>
            <w:tcBorders>
              <w:top w:val="single" w:sz="4" w:space="0" w:color="auto"/>
            </w:tcBorders>
            <w:shd w:val="clear" w:color="auto" w:fill="auto"/>
            <w:vAlign w:val="center"/>
          </w:tcPr>
          <w:p w14:paraId="227B2C26" w14:textId="77777777" w:rsidR="00ED4F9E" w:rsidRPr="006A2BF9" w:rsidRDefault="00ED4F9E" w:rsidP="00A837A5">
            <w:pPr>
              <w:pStyle w:val="TextTi12"/>
              <w:spacing w:after="0"/>
              <w:jc w:val="center"/>
              <w:rPr>
                <w:rFonts w:cs="Arial"/>
                <w:sz w:val="22"/>
                <w:szCs w:val="22"/>
                <w:lang w:val="it-IT"/>
              </w:rPr>
            </w:pPr>
            <w:r w:rsidRPr="006A2BF9">
              <w:rPr>
                <w:rFonts w:cs="Arial"/>
                <w:sz w:val="22"/>
                <w:szCs w:val="22"/>
                <w:lang w:val="it-IT"/>
              </w:rPr>
              <w:t>4,1</w:t>
            </w:r>
          </w:p>
        </w:tc>
        <w:tc>
          <w:tcPr>
            <w:tcW w:w="1591" w:type="pct"/>
            <w:tcBorders>
              <w:top w:val="single" w:sz="4" w:space="0" w:color="auto"/>
            </w:tcBorders>
            <w:shd w:val="clear" w:color="auto" w:fill="auto"/>
            <w:vAlign w:val="center"/>
          </w:tcPr>
          <w:p w14:paraId="6A596CE4" w14:textId="77777777" w:rsidR="00ED4F9E" w:rsidRPr="006A2BF9" w:rsidRDefault="00ED4F9E" w:rsidP="00A837A5">
            <w:pPr>
              <w:pStyle w:val="TextTi12"/>
              <w:spacing w:after="0"/>
              <w:jc w:val="center"/>
              <w:rPr>
                <w:rFonts w:cs="Arial"/>
                <w:sz w:val="22"/>
                <w:szCs w:val="22"/>
                <w:lang w:val="it-IT"/>
              </w:rPr>
            </w:pPr>
            <w:r w:rsidRPr="006A2BF9">
              <w:rPr>
                <w:rFonts w:cs="Arial"/>
                <w:sz w:val="22"/>
                <w:szCs w:val="22"/>
                <w:lang w:val="it-IT"/>
              </w:rPr>
              <w:t>5,7</w:t>
            </w:r>
          </w:p>
        </w:tc>
      </w:tr>
      <w:tr w:rsidR="00ED4F9E" w:rsidRPr="006A2BF9" w14:paraId="1D90604C" w14:textId="77777777" w:rsidTr="002C7DCE">
        <w:tc>
          <w:tcPr>
            <w:tcW w:w="1818" w:type="pct"/>
            <w:tcBorders>
              <w:top w:val="single" w:sz="4" w:space="0" w:color="auto"/>
            </w:tcBorders>
            <w:shd w:val="clear" w:color="auto" w:fill="auto"/>
            <w:vAlign w:val="center"/>
          </w:tcPr>
          <w:p w14:paraId="142E3376" w14:textId="77777777" w:rsidR="00ED4F9E" w:rsidRPr="00330A40" w:rsidRDefault="00ED4F9E" w:rsidP="008B4653">
            <w:pPr>
              <w:pStyle w:val="TextTi12"/>
              <w:spacing w:after="0"/>
              <w:ind w:left="720"/>
              <w:jc w:val="left"/>
              <w:rPr>
                <w:rFonts w:cs="Arial"/>
                <w:sz w:val="22"/>
                <w:szCs w:val="22"/>
                <w:lang w:val="it-IT"/>
              </w:rPr>
            </w:pPr>
            <w:r w:rsidRPr="000F0246">
              <w:rPr>
                <w:rFonts w:cs="Arial"/>
                <w:i/>
                <w:sz w:val="22"/>
                <w:szCs w:val="22"/>
                <w:lang w:val="it-IT"/>
              </w:rPr>
              <w:t>Hazard ratio</w:t>
            </w:r>
            <w:r w:rsidRPr="00330A40">
              <w:rPr>
                <w:rFonts w:cs="Arial"/>
                <w:sz w:val="22"/>
                <w:szCs w:val="22"/>
                <w:lang w:val="it-IT"/>
              </w:rPr>
              <w:t xml:space="preserve"> </w:t>
            </w:r>
            <w:r w:rsidR="00C05192" w:rsidRPr="00330A40">
              <w:rPr>
                <w:rFonts w:cs="Arial"/>
                <w:sz w:val="22"/>
                <w:szCs w:val="22"/>
                <w:lang w:val="it-IT"/>
              </w:rPr>
              <w:t>(HR)</w:t>
            </w:r>
          </w:p>
          <w:p w14:paraId="4B78F16F" w14:textId="77777777" w:rsidR="00ED4F9E" w:rsidRPr="00330A40" w:rsidRDefault="00ED4F9E" w:rsidP="008B4653">
            <w:pPr>
              <w:pStyle w:val="TextTi12"/>
              <w:spacing w:after="0"/>
              <w:ind w:left="720"/>
              <w:jc w:val="left"/>
              <w:rPr>
                <w:rFonts w:cs="Arial"/>
                <w:sz w:val="22"/>
                <w:szCs w:val="22"/>
                <w:lang w:val="it-IT"/>
              </w:rPr>
            </w:pPr>
            <w:r w:rsidRPr="00330A40">
              <w:rPr>
                <w:rFonts w:cs="Arial"/>
                <w:sz w:val="22"/>
                <w:szCs w:val="22"/>
                <w:lang w:val="it-IT"/>
              </w:rPr>
              <w:t xml:space="preserve">(intervallo di confidenza </w:t>
            </w:r>
            <w:r w:rsidR="00831FDE">
              <w:rPr>
                <w:rFonts w:cs="Arial"/>
                <w:sz w:val="22"/>
                <w:szCs w:val="22"/>
                <w:lang w:val="it-IT"/>
              </w:rPr>
              <w:t xml:space="preserve">al </w:t>
            </w:r>
            <w:r w:rsidRPr="00330A40">
              <w:rPr>
                <w:rFonts w:cs="Arial"/>
                <w:sz w:val="22"/>
                <w:szCs w:val="22"/>
                <w:lang w:val="it-IT"/>
              </w:rPr>
              <w:t>95%)</w:t>
            </w:r>
          </w:p>
        </w:tc>
        <w:tc>
          <w:tcPr>
            <w:tcW w:w="3182" w:type="pct"/>
            <w:gridSpan w:val="2"/>
            <w:tcBorders>
              <w:top w:val="single" w:sz="4" w:space="0" w:color="auto"/>
            </w:tcBorders>
            <w:shd w:val="clear" w:color="auto" w:fill="auto"/>
            <w:vAlign w:val="center"/>
          </w:tcPr>
          <w:p w14:paraId="79D318AC" w14:textId="77777777" w:rsidR="00ED4F9E" w:rsidRPr="00330A40" w:rsidRDefault="00ED4F9E" w:rsidP="00A837A5">
            <w:pPr>
              <w:pStyle w:val="TextTi12"/>
              <w:spacing w:after="0"/>
              <w:jc w:val="center"/>
              <w:rPr>
                <w:rFonts w:cs="Arial"/>
                <w:sz w:val="22"/>
                <w:szCs w:val="22"/>
                <w:lang w:val="it-IT"/>
              </w:rPr>
            </w:pPr>
            <w:r w:rsidRPr="00330A40">
              <w:rPr>
                <w:rFonts w:cs="Arial"/>
                <w:sz w:val="22"/>
                <w:szCs w:val="22"/>
                <w:lang w:val="it-IT"/>
              </w:rPr>
              <w:t>0,68 (</w:t>
            </w:r>
            <w:r w:rsidRPr="00330A40">
              <w:rPr>
                <w:sz w:val="22"/>
                <w:szCs w:val="22"/>
                <w:lang w:val="it-IT"/>
              </w:rPr>
              <w:t>0</w:t>
            </w:r>
            <w:r w:rsidR="00570D9F" w:rsidRPr="00330A40">
              <w:rPr>
                <w:sz w:val="22"/>
                <w:szCs w:val="22"/>
                <w:lang w:val="it-IT"/>
              </w:rPr>
              <w:t>,</w:t>
            </w:r>
            <w:r w:rsidRPr="00330A40">
              <w:rPr>
                <w:sz w:val="22"/>
                <w:szCs w:val="22"/>
                <w:lang w:val="it-IT"/>
              </w:rPr>
              <w:t>59</w:t>
            </w:r>
            <w:r w:rsidR="00570D9F" w:rsidRPr="00330A40">
              <w:rPr>
                <w:sz w:val="22"/>
                <w:szCs w:val="22"/>
                <w:lang w:val="it-IT"/>
              </w:rPr>
              <w:t>;</w:t>
            </w:r>
            <w:r w:rsidR="0002120B" w:rsidRPr="00330A40">
              <w:rPr>
                <w:sz w:val="22"/>
                <w:szCs w:val="22"/>
                <w:lang w:val="it-IT"/>
              </w:rPr>
              <w:t xml:space="preserve"> </w:t>
            </w:r>
            <w:r w:rsidRPr="00330A40">
              <w:rPr>
                <w:sz w:val="22"/>
                <w:szCs w:val="22"/>
                <w:lang w:val="it-IT"/>
              </w:rPr>
              <w:t>0</w:t>
            </w:r>
            <w:r w:rsidR="00570D9F" w:rsidRPr="00330A40">
              <w:rPr>
                <w:sz w:val="22"/>
                <w:szCs w:val="22"/>
                <w:lang w:val="it-IT"/>
              </w:rPr>
              <w:t>,</w:t>
            </w:r>
            <w:r w:rsidRPr="00330A40">
              <w:rPr>
                <w:sz w:val="22"/>
                <w:szCs w:val="22"/>
                <w:lang w:val="it-IT"/>
              </w:rPr>
              <w:t>78)</w:t>
            </w:r>
          </w:p>
          <w:p w14:paraId="32666729" w14:textId="77777777" w:rsidR="00ED4F9E" w:rsidRPr="00330A40" w:rsidRDefault="00ED4F9E" w:rsidP="008B4653">
            <w:pPr>
              <w:pStyle w:val="TextTi12"/>
              <w:spacing w:after="0"/>
              <w:jc w:val="center"/>
              <w:rPr>
                <w:rFonts w:cs="Arial"/>
                <w:sz w:val="22"/>
                <w:szCs w:val="22"/>
                <w:lang w:val="it-IT"/>
              </w:rPr>
            </w:pPr>
            <w:r w:rsidRPr="00330A40">
              <w:rPr>
                <w:rFonts w:cs="Arial"/>
                <w:sz w:val="22"/>
                <w:szCs w:val="22"/>
                <w:lang w:val="it-IT"/>
              </w:rPr>
              <w:t>(</w:t>
            </w:r>
            <w:r w:rsidR="0025736A" w:rsidRPr="00330A40">
              <w:rPr>
                <w:rFonts w:cs="Arial"/>
                <w:sz w:val="22"/>
                <w:szCs w:val="22"/>
                <w:lang w:val="it-IT"/>
              </w:rPr>
              <w:t xml:space="preserve">valore di </w:t>
            </w:r>
            <w:r w:rsidRPr="00330A40">
              <w:rPr>
                <w:rFonts w:cs="Arial"/>
                <w:sz w:val="22"/>
                <w:szCs w:val="22"/>
                <w:lang w:val="it-IT"/>
              </w:rPr>
              <w:t>p</w:t>
            </w:r>
            <w:r w:rsidR="00850C9F" w:rsidRPr="00330A40">
              <w:rPr>
                <w:rFonts w:cs="Arial"/>
                <w:sz w:val="22"/>
                <w:szCs w:val="22"/>
                <w:lang w:val="it-IT"/>
              </w:rPr>
              <w:t> </w:t>
            </w:r>
            <w:r w:rsidRPr="00330A40">
              <w:rPr>
                <w:rFonts w:cs="Arial"/>
                <w:sz w:val="22"/>
                <w:szCs w:val="22"/>
                <w:lang w:val="it-IT"/>
              </w:rPr>
              <w:t>&lt;</w:t>
            </w:r>
            <w:r w:rsidR="00850C9F" w:rsidRPr="00330A40">
              <w:rPr>
                <w:rFonts w:cs="Arial"/>
                <w:sz w:val="22"/>
                <w:szCs w:val="22"/>
                <w:lang w:val="it-IT"/>
              </w:rPr>
              <w:t> </w:t>
            </w:r>
            <w:r w:rsidRPr="00330A40">
              <w:rPr>
                <w:rFonts w:cs="Arial"/>
                <w:sz w:val="22"/>
                <w:szCs w:val="22"/>
                <w:lang w:val="it-IT"/>
              </w:rPr>
              <w:t>0,0001)</w:t>
            </w:r>
          </w:p>
        </w:tc>
      </w:tr>
      <w:tr w:rsidR="00ED4F9E" w:rsidRPr="006A2BF9" w14:paraId="12FEB2BA" w14:textId="77777777" w:rsidTr="002C7DCE">
        <w:tc>
          <w:tcPr>
            <w:tcW w:w="1818" w:type="pct"/>
            <w:tcBorders>
              <w:top w:val="single" w:sz="4" w:space="0" w:color="auto"/>
            </w:tcBorders>
            <w:shd w:val="clear" w:color="auto" w:fill="auto"/>
            <w:vAlign w:val="center"/>
          </w:tcPr>
          <w:p w14:paraId="46CAF344" w14:textId="77777777" w:rsidR="00ED4F9E" w:rsidRPr="000F0246" w:rsidRDefault="00ED4F9E" w:rsidP="00A837A5">
            <w:pPr>
              <w:pStyle w:val="TextTi12"/>
              <w:spacing w:after="0"/>
              <w:jc w:val="left"/>
              <w:rPr>
                <w:rFonts w:cs="Arial"/>
                <w:b/>
                <w:sz w:val="22"/>
                <w:szCs w:val="22"/>
                <w:u w:val="single"/>
                <w:lang w:val="it-IT"/>
              </w:rPr>
            </w:pPr>
            <w:r w:rsidRPr="000F0246">
              <w:rPr>
                <w:rFonts w:cs="Arial"/>
                <w:b/>
                <w:sz w:val="22"/>
                <w:szCs w:val="22"/>
                <w:u w:val="single"/>
                <w:lang w:val="it-IT"/>
              </w:rPr>
              <w:t>Tasso di risposta obiettiva (ORR)</w:t>
            </w:r>
          </w:p>
        </w:tc>
        <w:tc>
          <w:tcPr>
            <w:tcW w:w="3182" w:type="pct"/>
            <w:gridSpan w:val="2"/>
            <w:tcBorders>
              <w:top w:val="single" w:sz="4" w:space="0" w:color="auto"/>
            </w:tcBorders>
            <w:shd w:val="clear" w:color="auto" w:fill="auto"/>
            <w:vAlign w:val="center"/>
          </w:tcPr>
          <w:p w14:paraId="72E33F42" w14:textId="77777777" w:rsidR="00ED4F9E" w:rsidRPr="00330A40" w:rsidRDefault="00ED4F9E" w:rsidP="00A837A5">
            <w:pPr>
              <w:pStyle w:val="TextTi12"/>
              <w:spacing w:after="0"/>
              <w:jc w:val="center"/>
              <w:rPr>
                <w:rFonts w:cs="Arial"/>
                <w:sz w:val="22"/>
                <w:szCs w:val="22"/>
                <w:lang w:val="it-IT"/>
              </w:rPr>
            </w:pPr>
          </w:p>
        </w:tc>
      </w:tr>
      <w:tr w:rsidR="00ED4F9E" w:rsidRPr="006A2BF9" w14:paraId="664B61EC" w14:textId="77777777" w:rsidTr="00A837A5">
        <w:tc>
          <w:tcPr>
            <w:tcW w:w="1818" w:type="pct"/>
            <w:tcBorders>
              <w:top w:val="single" w:sz="4" w:space="0" w:color="auto"/>
            </w:tcBorders>
            <w:shd w:val="clear" w:color="auto" w:fill="auto"/>
            <w:vAlign w:val="center"/>
          </w:tcPr>
          <w:p w14:paraId="501B44D7" w14:textId="77777777" w:rsidR="00ED4F9E" w:rsidRPr="006A2BF9" w:rsidRDefault="00ED4F9E" w:rsidP="00A837A5">
            <w:pPr>
              <w:pStyle w:val="TextTi12"/>
              <w:spacing w:after="0"/>
              <w:ind w:left="720"/>
              <w:jc w:val="left"/>
              <w:rPr>
                <w:rFonts w:cs="Arial"/>
                <w:sz w:val="22"/>
                <w:szCs w:val="22"/>
                <w:lang w:val="it-IT"/>
              </w:rPr>
            </w:pPr>
            <w:r w:rsidRPr="006A2BF9">
              <w:rPr>
                <w:rFonts w:cs="Arial"/>
                <w:sz w:val="22"/>
                <w:szCs w:val="22"/>
                <w:lang w:val="it-IT"/>
              </w:rPr>
              <w:t>Pazienti inclusi nell’analisi</w:t>
            </w:r>
          </w:p>
        </w:tc>
        <w:tc>
          <w:tcPr>
            <w:tcW w:w="1591" w:type="pct"/>
            <w:tcBorders>
              <w:top w:val="single" w:sz="4" w:space="0" w:color="auto"/>
            </w:tcBorders>
            <w:shd w:val="clear" w:color="auto" w:fill="auto"/>
            <w:vAlign w:val="center"/>
          </w:tcPr>
          <w:p w14:paraId="412CB995" w14:textId="77777777" w:rsidR="00ED4F9E" w:rsidRPr="006A2BF9" w:rsidRDefault="00ED4F9E" w:rsidP="00A837A5">
            <w:pPr>
              <w:pStyle w:val="TextTi12"/>
              <w:spacing w:after="0"/>
              <w:jc w:val="center"/>
              <w:rPr>
                <w:rFonts w:cs="Arial"/>
                <w:sz w:val="22"/>
                <w:szCs w:val="22"/>
                <w:lang w:val="it-IT"/>
              </w:rPr>
            </w:pPr>
            <w:r w:rsidRPr="006A2BF9">
              <w:rPr>
                <w:rFonts w:cs="Arial"/>
                <w:sz w:val="22"/>
                <w:szCs w:val="22"/>
                <w:lang w:val="it-IT"/>
              </w:rPr>
              <w:t>406</w:t>
            </w:r>
          </w:p>
        </w:tc>
        <w:tc>
          <w:tcPr>
            <w:tcW w:w="1591" w:type="pct"/>
            <w:tcBorders>
              <w:top w:val="single" w:sz="4" w:space="0" w:color="auto"/>
            </w:tcBorders>
            <w:shd w:val="clear" w:color="auto" w:fill="auto"/>
            <w:vAlign w:val="center"/>
          </w:tcPr>
          <w:p w14:paraId="6BD85BEC" w14:textId="77777777" w:rsidR="00ED4F9E" w:rsidRPr="006A2BF9" w:rsidRDefault="00ED4F9E" w:rsidP="00A837A5">
            <w:pPr>
              <w:pStyle w:val="TextTi12"/>
              <w:spacing w:after="0"/>
              <w:jc w:val="center"/>
              <w:rPr>
                <w:rFonts w:cs="Arial"/>
                <w:sz w:val="22"/>
                <w:szCs w:val="22"/>
                <w:lang w:val="it-IT"/>
              </w:rPr>
            </w:pPr>
            <w:r w:rsidRPr="006A2BF9">
              <w:rPr>
                <w:rFonts w:cs="Arial"/>
                <w:sz w:val="22"/>
                <w:szCs w:val="22"/>
                <w:lang w:val="it-IT"/>
              </w:rPr>
              <w:t>404</w:t>
            </w:r>
          </w:p>
        </w:tc>
      </w:tr>
      <w:tr w:rsidR="00ED4F9E" w:rsidRPr="006A2BF9" w14:paraId="4466E336" w14:textId="77777777" w:rsidTr="002C7DCE">
        <w:tc>
          <w:tcPr>
            <w:tcW w:w="1818" w:type="pct"/>
            <w:tcBorders>
              <w:top w:val="single" w:sz="4" w:space="0" w:color="auto"/>
            </w:tcBorders>
            <w:shd w:val="clear" w:color="auto" w:fill="auto"/>
            <w:vAlign w:val="center"/>
          </w:tcPr>
          <w:p w14:paraId="74F877DE" w14:textId="77777777" w:rsidR="00ED4F9E" w:rsidRPr="006A2BF9" w:rsidRDefault="00ED4F9E" w:rsidP="00A837A5">
            <w:pPr>
              <w:pStyle w:val="TextTi12"/>
              <w:spacing w:after="0"/>
              <w:ind w:left="720"/>
              <w:jc w:val="left"/>
              <w:rPr>
                <w:rFonts w:cs="Arial"/>
                <w:sz w:val="22"/>
                <w:szCs w:val="22"/>
                <w:lang w:val="it-IT"/>
              </w:rPr>
            </w:pPr>
            <w:r w:rsidRPr="006A2BF9">
              <w:rPr>
                <w:rFonts w:cs="Arial"/>
                <w:sz w:val="22"/>
                <w:szCs w:val="22"/>
                <w:lang w:val="it-IT"/>
              </w:rPr>
              <w:t>Tasso</w:t>
            </w:r>
          </w:p>
        </w:tc>
        <w:tc>
          <w:tcPr>
            <w:tcW w:w="1591" w:type="pct"/>
            <w:tcBorders>
              <w:top w:val="single" w:sz="4" w:space="0" w:color="auto"/>
            </w:tcBorders>
            <w:shd w:val="clear" w:color="auto" w:fill="auto"/>
            <w:vAlign w:val="center"/>
          </w:tcPr>
          <w:p w14:paraId="7B1B7761" w14:textId="77777777" w:rsidR="00ED4F9E" w:rsidRPr="006A2BF9" w:rsidRDefault="00ED4F9E" w:rsidP="00A837A5">
            <w:pPr>
              <w:pStyle w:val="TextTi12"/>
              <w:spacing w:after="0"/>
              <w:jc w:val="center"/>
              <w:rPr>
                <w:rFonts w:cs="Arial"/>
                <w:sz w:val="22"/>
                <w:szCs w:val="22"/>
                <w:lang w:val="it-IT"/>
              </w:rPr>
            </w:pPr>
            <w:r w:rsidRPr="006A2BF9">
              <w:rPr>
                <w:rFonts w:cs="Arial"/>
                <w:sz w:val="22"/>
                <w:szCs w:val="22"/>
                <w:lang w:val="it-IT"/>
              </w:rPr>
              <w:t>3,9%</w:t>
            </w:r>
          </w:p>
        </w:tc>
        <w:tc>
          <w:tcPr>
            <w:tcW w:w="1591" w:type="pct"/>
            <w:tcBorders>
              <w:top w:val="single" w:sz="4" w:space="0" w:color="auto"/>
            </w:tcBorders>
            <w:shd w:val="clear" w:color="auto" w:fill="auto"/>
            <w:vAlign w:val="center"/>
          </w:tcPr>
          <w:p w14:paraId="67BFCEA1" w14:textId="77777777" w:rsidR="00ED4F9E" w:rsidRPr="006A2BF9" w:rsidRDefault="00ED4F9E" w:rsidP="00A837A5">
            <w:pPr>
              <w:pStyle w:val="TextTi12"/>
              <w:spacing w:after="0"/>
              <w:jc w:val="center"/>
              <w:rPr>
                <w:rFonts w:cs="Arial"/>
                <w:sz w:val="22"/>
                <w:szCs w:val="22"/>
                <w:lang w:val="it-IT"/>
              </w:rPr>
            </w:pPr>
            <w:r w:rsidRPr="006A2BF9">
              <w:rPr>
                <w:rFonts w:cs="Arial"/>
                <w:sz w:val="22"/>
                <w:szCs w:val="22"/>
                <w:lang w:val="it-IT"/>
              </w:rPr>
              <w:t>5,4%</w:t>
            </w:r>
          </w:p>
        </w:tc>
      </w:tr>
      <w:tr w:rsidR="00ED4F9E" w:rsidRPr="006A2BF9" w14:paraId="634BE056" w14:textId="77777777" w:rsidTr="002C7DCE">
        <w:tc>
          <w:tcPr>
            <w:tcW w:w="1818" w:type="pct"/>
            <w:tcBorders>
              <w:top w:val="single" w:sz="4" w:space="0" w:color="auto"/>
            </w:tcBorders>
            <w:shd w:val="clear" w:color="auto" w:fill="auto"/>
            <w:vAlign w:val="center"/>
          </w:tcPr>
          <w:p w14:paraId="3A275799" w14:textId="77777777" w:rsidR="00ED4F9E" w:rsidRPr="006A2BF9" w:rsidRDefault="00ED4F9E" w:rsidP="00A837A5">
            <w:pPr>
              <w:pStyle w:val="TextTi12"/>
              <w:spacing w:after="0"/>
              <w:ind w:left="720"/>
              <w:jc w:val="center"/>
              <w:rPr>
                <w:rFonts w:cs="Arial"/>
                <w:sz w:val="22"/>
                <w:szCs w:val="22"/>
                <w:lang w:val="it-IT"/>
              </w:rPr>
            </w:pPr>
          </w:p>
        </w:tc>
        <w:tc>
          <w:tcPr>
            <w:tcW w:w="3182" w:type="pct"/>
            <w:gridSpan w:val="2"/>
            <w:tcBorders>
              <w:top w:val="single" w:sz="4" w:space="0" w:color="auto"/>
            </w:tcBorders>
            <w:shd w:val="clear" w:color="auto" w:fill="auto"/>
            <w:vAlign w:val="center"/>
          </w:tcPr>
          <w:p w14:paraId="12585F47" w14:textId="77777777" w:rsidR="00ED4F9E" w:rsidRPr="006A2BF9" w:rsidRDefault="00ED4F9E" w:rsidP="008B4653">
            <w:pPr>
              <w:pStyle w:val="TextTi12"/>
              <w:spacing w:after="0"/>
              <w:jc w:val="center"/>
              <w:rPr>
                <w:rFonts w:cs="Arial"/>
                <w:sz w:val="22"/>
                <w:szCs w:val="22"/>
                <w:lang w:val="it-IT"/>
              </w:rPr>
            </w:pPr>
            <w:r w:rsidRPr="006A2BF9">
              <w:rPr>
                <w:rFonts w:cs="Arial"/>
                <w:sz w:val="22"/>
                <w:szCs w:val="22"/>
                <w:lang w:val="it-IT"/>
              </w:rPr>
              <w:t>(</w:t>
            </w:r>
            <w:r w:rsidR="0025736A" w:rsidRPr="006A2BF9">
              <w:rPr>
                <w:rFonts w:cs="Arial"/>
                <w:sz w:val="22"/>
                <w:szCs w:val="22"/>
                <w:lang w:val="it-IT"/>
              </w:rPr>
              <w:t xml:space="preserve">valore di </w:t>
            </w:r>
            <w:r w:rsidRPr="006A2BF9">
              <w:rPr>
                <w:rFonts w:cs="Arial"/>
                <w:sz w:val="22"/>
                <w:szCs w:val="22"/>
                <w:lang w:val="it-IT"/>
              </w:rPr>
              <w:t>p</w:t>
            </w:r>
            <w:r w:rsidR="00850C9F" w:rsidRPr="006A2BF9">
              <w:rPr>
                <w:rFonts w:cs="Arial"/>
                <w:sz w:val="22"/>
                <w:szCs w:val="22"/>
                <w:lang w:val="it-IT"/>
              </w:rPr>
              <w:t> </w:t>
            </w:r>
            <w:r w:rsidRPr="006A2BF9">
              <w:rPr>
                <w:rFonts w:cs="Arial"/>
                <w:sz w:val="22"/>
                <w:szCs w:val="22"/>
                <w:lang w:val="it-IT"/>
              </w:rPr>
              <w:t>=</w:t>
            </w:r>
            <w:r w:rsidR="00850C9F" w:rsidRPr="006A2BF9">
              <w:rPr>
                <w:rFonts w:cs="Arial"/>
                <w:sz w:val="22"/>
                <w:szCs w:val="22"/>
                <w:lang w:val="it-IT"/>
              </w:rPr>
              <w:t> </w:t>
            </w:r>
            <w:r w:rsidRPr="006A2BF9">
              <w:rPr>
                <w:rFonts w:cs="Arial"/>
                <w:sz w:val="22"/>
                <w:szCs w:val="22"/>
                <w:lang w:val="it-IT"/>
              </w:rPr>
              <w:t>0,3113)</w:t>
            </w:r>
          </w:p>
        </w:tc>
      </w:tr>
    </w:tbl>
    <w:p w14:paraId="70EA3043" w14:textId="77777777" w:rsidR="00ED4F9E" w:rsidRPr="006A2BF9" w:rsidRDefault="00ED4F9E" w:rsidP="00467280">
      <w:pPr>
        <w:rPr>
          <w:sz w:val="20"/>
          <w:lang w:val="it-IT"/>
        </w:rPr>
      </w:pPr>
      <w:r w:rsidRPr="006A2BF9">
        <w:rPr>
          <w:sz w:val="20"/>
          <w:vertAlign w:val="superscript"/>
          <w:lang w:val="it-IT"/>
        </w:rPr>
        <w:t>a</w:t>
      </w:r>
      <w:r w:rsidRPr="006A2BF9">
        <w:rPr>
          <w:sz w:val="20"/>
          <w:lang w:val="it-IT"/>
        </w:rPr>
        <w:t xml:space="preserve"> 5,0</w:t>
      </w:r>
      <w:r w:rsidR="00D37A63" w:rsidRPr="006A2BF9">
        <w:rPr>
          <w:sz w:val="20"/>
          <w:lang w:val="it-IT"/>
        </w:rPr>
        <w:t> </w:t>
      </w:r>
      <w:r w:rsidRPr="006A2BF9">
        <w:rPr>
          <w:sz w:val="20"/>
          <w:lang w:val="it-IT"/>
        </w:rPr>
        <w:t>mg/kg ogni 2</w:t>
      </w:r>
      <w:r w:rsidR="00D37A63" w:rsidRPr="006A2BF9">
        <w:rPr>
          <w:sz w:val="20"/>
          <w:lang w:val="it-IT"/>
        </w:rPr>
        <w:t> </w:t>
      </w:r>
      <w:r w:rsidRPr="006A2BF9">
        <w:rPr>
          <w:sz w:val="20"/>
          <w:lang w:val="it-IT"/>
        </w:rPr>
        <w:t>settimane o 7,5</w:t>
      </w:r>
      <w:r w:rsidR="00D37A63" w:rsidRPr="006A2BF9">
        <w:rPr>
          <w:sz w:val="20"/>
          <w:lang w:val="it-IT"/>
        </w:rPr>
        <w:t> </w:t>
      </w:r>
      <w:r w:rsidRPr="006A2BF9">
        <w:rPr>
          <w:sz w:val="20"/>
          <w:lang w:val="it-IT"/>
        </w:rPr>
        <w:t>mg/kg ogni 3</w:t>
      </w:r>
      <w:r w:rsidR="00D37A63" w:rsidRPr="006A2BF9">
        <w:rPr>
          <w:sz w:val="20"/>
          <w:lang w:val="it-IT"/>
        </w:rPr>
        <w:t> </w:t>
      </w:r>
      <w:r w:rsidRPr="006A2BF9">
        <w:rPr>
          <w:sz w:val="20"/>
          <w:lang w:val="it-IT"/>
        </w:rPr>
        <w:t>settimane</w:t>
      </w:r>
    </w:p>
    <w:p w14:paraId="634A5F31" w14:textId="77777777" w:rsidR="00ED4F9E" w:rsidRPr="006A2BF9" w:rsidRDefault="00ED4F9E" w:rsidP="006E6354">
      <w:pPr>
        <w:rPr>
          <w:lang w:val="it-IT"/>
        </w:rPr>
      </w:pPr>
    </w:p>
    <w:p w14:paraId="3732C786" w14:textId="77777777" w:rsidR="00ED4F9E" w:rsidRPr="002B5A62" w:rsidRDefault="00ED4F9E" w:rsidP="00ED4F9E">
      <w:pPr>
        <w:rPr>
          <w:lang w:val="it-IT"/>
        </w:rPr>
      </w:pPr>
      <w:r w:rsidRPr="006A2BF9">
        <w:rPr>
          <w:lang w:val="it-IT"/>
        </w:rPr>
        <w:t xml:space="preserve">Sono stati osservati miglioramenti statisticamente significativi anche nella </w:t>
      </w:r>
      <w:r w:rsidR="004C45F5">
        <w:rPr>
          <w:lang w:val="it-IT"/>
        </w:rPr>
        <w:t>PFS</w:t>
      </w:r>
      <w:r w:rsidRPr="006A2BF9">
        <w:rPr>
          <w:lang w:val="it-IT"/>
        </w:rPr>
        <w:t xml:space="preserve">. Il tasso di risposta obiettiva è risultato basso in entrambi i bracci di trattamento e la </w:t>
      </w:r>
      <w:r w:rsidRPr="002B5A62">
        <w:rPr>
          <w:lang w:val="it-IT"/>
        </w:rPr>
        <w:t>differenza non significativa.</w:t>
      </w:r>
    </w:p>
    <w:p w14:paraId="321D28A9" w14:textId="77777777" w:rsidR="00ED4F9E" w:rsidRPr="002B5A62" w:rsidRDefault="00ED4F9E" w:rsidP="00ED4F9E">
      <w:pPr>
        <w:rPr>
          <w:lang w:val="it-IT"/>
        </w:rPr>
      </w:pPr>
    </w:p>
    <w:p w14:paraId="23ADB217" w14:textId="77777777" w:rsidR="00ED4F9E" w:rsidRPr="006A2BF9" w:rsidRDefault="00ED4F9E" w:rsidP="00ED4F9E">
      <w:pPr>
        <w:rPr>
          <w:lang w:val="it-IT"/>
        </w:rPr>
      </w:pPr>
      <w:r w:rsidRPr="002B5A62">
        <w:rPr>
          <w:lang w:val="it-IT"/>
        </w:rPr>
        <w:t>Lo studio E3200 ha usato una dose di bevacizumab di 5</w:t>
      </w:r>
      <w:r w:rsidR="00D37A63" w:rsidRPr="002B5A62">
        <w:rPr>
          <w:lang w:val="it-IT"/>
        </w:rPr>
        <w:t> </w:t>
      </w:r>
      <w:r w:rsidRPr="002B5A62">
        <w:rPr>
          <w:lang w:val="it-IT"/>
        </w:rPr>
        <w:t>mg/kg/settimana in pazienti non precedentemente trattati con bevacizumab, mentre lo studio ML18147 ha utilizzato una dose di bevacizumab di 2,5</w:t>
      </w:r>
      <w:r w:rsidR="00D37A63" w:rsidRPr="006A2BF9">
        <w:rPr>
          <w:lang w:val="it-IT"/>
        </w:rPr>
        <w:t> </w:t>
      </w:r>
      <w:r w:rsidRPr="006A2BF9">
        <w:rPr>
          <w:lang w:val="it-IT"/>
        </w:rPr>
        <w:t>mg/kg/settimana in pazienti pre</w:t>
      </w:r>
      <w:r w:rsidR="003E4249">
        <w:rPr>
          <w:lang w:val="it-IT"/>
        </w:rPr>
        <w:noBreakHyphen/>
      </w:r>
      <w:r w:rsidRPr="006A2BF9">
        <w:rPr>
          <w:lang w:val="it-IT"/>
        </w:rPr>
        <w:t xml:space="preserve">trattati con bevacizumab. Un confronto tra studi in termini di efficacia e sicurezza è limitato dalle differenze fra gli studi stessi, soprattutto in termini di popolazione di pazienti, precedente </w:t>
      </w:r>
      <w:r w:rsidR="00450DEE" w:rsidRPr="006A2BF9">
        <w:rPr>
          <w:lang w:val="it-IT"/>
        </w:rPr>
        <w:t xml:space="preserve">trattamento </w:t>
      </w:r>
      <w:r w:rsidRPr="006A2BF9">
        <w:rPr>
          <w:lang w:val="it-IT"/>
        </w:rPr>
        <w:t>con bevacizumab e regimi chemioterapici. Sia la dose di bevacizumab di 5</w:t>
      </w:r>
      <w:r w:rsidR="00D37A63" w:rsidRPr="006A2BF9">
        <w:rPr>
          <w:lang w:val="it-IT"/>
        </w:rPr>
        <w:t> </w:t>
      </w:r>
      <w:r w:rsidRPr="006A2BF9">
        <w:rPr>
          <w:lang w:val="it-IT"/>
        </w:rPr>
        <w:t>mg/kg/settimana sia quella di 2,5</w:t>
      </w:r>
      <w:r w:rsidR="00D37A63" w:rsidRPr="006A2BF9">
        <w:rPr>
          <w:lang w:val="it-IT"/>
        </w:rPr>
        <w:t> </w:t>
      </w:r>
      <w:r w:rsidRPr="006A2BF9">
        <w:rPr>
          <w:lang w:val="it-IT"/>
        </w:rPr>
        <w:t>mg/kg/settimana hanno fornito un beneficio statisticamente significativo per quanto riguarda la OS (HR</w:t>
      </w:r>
      <w:r w:rsidR="00D41733" w:rsidRPr="006A2BF9">
        <w:rPr>
          <w:lang w:val="it-IT"/>
        </w:rPr>
        <w:t> </w:t>
      </w:r>
      <w:r w:rsidRPr="006A2BF9">
        <w:rPr>
          <w:lang w:val="it-IT"/>
        </w:rPr>
        <w:t>0,751 nello studio E3200; HR</w:t>
      </w:r>
      <w:r w:rsidR="00D41733" w:rsidRPr="006A2BF9">
        <w:rPr>
          <w:lang w:val="it-IT"/>
        </w:rPr>
        <w:t> </w:t>
      </w:r>
      <w:r w:rsidRPr="006A2BF9">
        <w:rPr>
          <w:lang w:val="it-IT"/>
        </w:rPr>
        <w:t>0,81 nello studio ML18147) e la PFS (HR</w:t>
      </w:r>
      <w:r w:rsidR="00D41733" w:rsidRPr="006A2BF9">
        <w:rPr>
          <w:lang w:val="it-IT"/>
        </w:rPr>
        <w:t> </w:t>
      </w:r>
      <w:r w:rsidRPr="006A2BF9">
        <w:rPr>
          <w:lang w:val="it-IT"/>
        </w:rPr>
        <w:t>0,518 nello studio E3200</w:t>
      </w:r>
      <w:r w:rsidRPr="00330A40">
        <w:rPr>
          <w:lang w:val="it-IT"/>
        </w:rPr>
        <w:t>; HR</w:t>
      </w:r>
      <w:r w:rsidR="00D41733" w:rsidRPr="00330A40">
        <w:rPr>
          <w:lang w:val="it-IT"/>
        </w:rPr>
        <w:t> </w:t>
      </w:r>
      <w:r w:rsidRPr="00330A40">
        <w:rPr>
          <w:lang w:val="it-IT"/>
        </w:rPr>
        <w:t>0</w:t>
      </w:r>
      <w:r w:rsidR="00570D9F" w:rsidRPr="00330A40">
        <w:rPr>
          <w:lang w:val="it-IT"/>
        </w:rPr>
        <w:t>,</w:t>
      </w:r>
      <w:r w:rsidRPr="00330A40">
        <w:rPr>
          <w:lang w:val="it-IT"/>
        </w:rPr>
        <w:t xml:space="preserve">68 nello studio ML18147). In </w:t>
      </w:r>
      <w:r w:rsidRPr="002B5A62">
        <w:rPr>
          <w:lang w:val="it-IT"/>
        </w:rPr>
        <w:t>termini di sicurezza, è stata</w:t>
      </w:r>
      <w:r w:rsidR="00450DEE" w:rsidRPr="002B5A62">
        <w:rPr>
          <w:lang w:val="it-IT"/>
        </w:rPr>
        <w:t xml:space="preserve"> registrata</w:t>
      </w:r>
      <w:r w:rsidRPr="002B5A62">
        <w:rPr>
          <w:lang w:val="it-IT"/>
        </w:rPr>
        <w:t xml:space="preserve"> una più alta incidenza globale di EA di </w:t>
      </w:r>
      <w:r w:rsidR="00527A30" w:rsidRPr="002B5A62">
        <w:rPr>
          <w:lang w:val="it-IT"/>
        </w:rPr>
        <w:t>G</w:t>
      </w:r>
      <w:r w:rsidRPr="006A2BF9">
        <w:rPr>
          <w:lang w:val="it-IT"/>
        </w:rPr>
        <w:t>rado</w:t>
      </w:r>
      <w:r w:rsidR="00D37A63" w:rsidRPr="006A2BF9">
        <w:rPr>
          <w:lang w:val="it-IT"/>
        </w:rPr>
        <w:t> </w:t>
      </w:r>
      <w:r w:rsidRPr="006A2BF9">
        <w:rPr>
          <w:lang w:val="it-IT"/>
        </w:rPr>
        <w:t>3</w:t>
      </w:r>
      <w:r w:rsidR="00D41733" w:rsidRPr="006A2BF9">
        <w:rPr>
          <w:lang w:val="it-IT"/>
        </w:rPr>
        <w:noBreakHyphen/>
      </w:r>
      <w:r w:rsidRPr="006A2BF9">
        <w:rPr>
          <w:lang w:val="it-IT"/>
        </w:rPr>
        <w:t>5 nello studio E3200 rispetto allo studio ML18147.</w:t>
      </w:r>
    </w:p>
    <w:p w14:paraId="5995D5E6" w14:textId="77777777" w:rsidR="008D7C25" w:rsidRPr="006A2BF9" w:rsidRDefault="008D7C25" w:rsidP="008D7C25">
      <w:pPr>
        <w:rPr>
          <w:lang w:val="it-IT"/>
        </w:rPr>
      </w:pPr>
    </w:p>
    <w:p w14:paraId="643BC593" w14:textId="77777777" w:rsidR="009C0666" w:rsidRPr="006A2BF9" w:rsidRDefault="00EB182B" w:rsidP="009C0666">
      <w:pPr>
        <w:rPr>
          <w:i/>
          <w:u w:val="single"/>
          <w:lang w:val="it-IT"/>
        </w:rPr>
      </w:pPr>
      <w:r w:rsidRPr="006A2BF9">
        <w:rPr>
          <w:i/>
          <w:u w:val="single"/>
          <w:lang w:val="it-IT"/>
        </w:rPr>
        <w:t>Cancro della mammella</w:t>
      </w:r>
      <w:r w:rsidR="009C0666" w:rsidRPr="006A2BF9">
        <w:rPr>
          <w:i/>
          <w:u w:val="single"/>
          <w:lang w:val="it-IT"/>
        </w:rPr>
        <w:t xml:space="preserve"> metastatico (</w:t>
      </w:r>
      <w:r w:rsidR="004A057D" w:rsidRPr="006A2BF9">
        <w:rPr>
          <w:i/>
          <w:u w:val="single"/>
          <w:lang w:val="it-IT"/>
        </w:rPr>
        <w:t>mBC</w:t>
      </w:r>
      <w:r w:rsidR="009C0666" w:rsidRPr="006A2BF9">
        <w:rPr>
          <w:i/>
          <w:u w:val="single"/>
          <w:lang w:val="it-IT"/>
        </w:rPr>
        <w:t>)</w:t>
      </w:r>
    </w:p>
    <w:p w14:paraId="64177D41" w14:textId="77777777" w:rsidR="004A057D" w:rsidRPr="006A2BF9" w:rsidRDefault="004A057D" w:rsidP="009C0666">
      <w:pPr>
        <w:rPr>
          <w:i/>
          <w:u w:val="single"/>
          <w:lang w:val="it-IT"/>
        </w:rPr>
      </w:pPr>
    </w:p>
    <w:p w14:paraId="742D132E" w14:textId="77777777" w:rsidR="004A057D" w:rsidRPr="006A2BF9" w:rsidRDefault="004A057D" w:rsidP="004A057D">
      <w:pPr>
        <w:rPr>
          <w:color w:val="000000"/>
          <w:szCs w:val="22"/>
          <w:lang w:val="it-IT"/>
        </w:rPr>
      </w:pPr>
      <w:r w:rsidRPr="006A2BF9">
        <w:rPr>
          <w:color w:val="000000"/>
          <w:szCs w:val="22"/>
          <w:lang w:val="it-IT"/>
        </w:rPr>
        <w:t>Sono stati condotti due</w:t>
      </w:r>
      <w:r w:rsidR="003C0E58" w:rsidRPr="006A2BF9">
        <w:rPr>
          <w:color w:val="000000"/>
          <w:szCs w:val="22"/>
          <w:lang w:val="it-IT"/>
        </w:rPr>
        <w:t xml:space="preserve"> </w:t>
      </w:r>
      <w:r w:rsidR="00E27928" w:rsidRPr="006A2BF9">
        <w:rPr>
          <w:color w:val="000000"/>
          <w:szCs w:val="22"/>
          <w:lang w:val="it-IT"/>
        </w:rPr>
        <w:t xml:space="preserve">vasti </w:t>
      </w:r>
      <w:r w:rsidRPr="006A2BF9">
        <w:rPr>
          <w:color w:val="000000"/>
          <w:szCs w:val="22"/>
          <w:lang w:val="it-IT"/>
        </w:rPr>
        <w:t>studi di fase</w:t>
      </w:r>
      <w:r w:rsidR="00D37A63" w:rsidRPr="006A2BF9">
        <w:rPr>
          <w:color w:val="000000"/>
          <w:szCs w:val="22"/>
          <w:lang w:val="it-IT"/>
        </w:rPr>
        <w:t> </w:t>
      </w:r>
      <w:r w:rsidRPr="006A2BF9">
        <w:rPr>
          <w:color w:val="000000"/>
          <w:szCs w:val="22"/>
          <w:lang w:val="it-IT"/>
        </w:rPr>
        <w:t xml:space="preserve">III, allo scopo di </w:t>
      </w:r>
      <w:r w:rsidR="003C0E58" w:rsidRPr="006A2BF9">
        <w:rPr>
          <w:color w:val="000000"/>
          <w:szCs w:val="22"/>
          <w:lang w:val="it-IT"/>
        </w:rPr>
        <w:t>valutare</w:t>
      </w:r>
      <w:r w:rsidRPr="006A2BF9">
        <w:rPr>
          <w:color w:val="000000"/>
          <w:szCs w:val="22"/>
          <w:lang w:val="it-IT"/>
        </w:rPr>
        <w:t xml:space="preserve"> </w:t>
      </w:r>
      <w:r w:rsidR="003C0E58" w:rsidRPr="006A2BF9">
        <w:rPr>
          <w:color w:val="000000"/>
          <w:szCs w:val="22"/>
          <w:lang w:val="it-IT"/>
        </w:rPr>
        <w:t xml:space="preserve">in termini di PFS quale obiettivo primario, </w:t>
      </w:r>
      <w:r w:rsidRPr="006A2BF9">
        <w:rPr>
          <w:color w:val="000000"/>
          <w:szCs w:val="22"/>
          <w:lang w:val="it-IT"/>
        </w:rPr>
        <w:t xml:space="preserve">l’effetto del trattamento con </w:t>
      </w:r>
      <w:r w:rsidR="00D37A63" w:rsidRPr="006A2BF9">
        <w:rPr>
          <w:lang w:val="it-IT"/>
        </w:rPr>
        <w:t>bevacizumab</w:t>
      </w:r>
      <w:r w:rsidR="00D37A63" w:rsidRPr="006A2BF9" w:rsidDel="00FD6236">
        <w:rPr>
          <w:lang w:val="it-IT"/>
        </w:rPr>
        <w:t xml:space="preserve"> </w:t>
      </w:r>
      <w:r w:rsidRPr="006A2BF9">
        <w:rPr>
          <w:color w:val="000000"/>
          <w:szCs w:val="22"/>
          <w:lang w:val="it-IT"/>
        </w:rPr>
        <w:t xml:space="preserve">in </w:t>
      </w:r>
      <w:r w:rsidR="003A32A4" w:rsidRPr="006A2BF9">
        <w:rPr>
          <w:color w:val="000000"/>
          <w:szCs w:val="22"/>
          <w:lang w:val="it-IT"/>
        </w:rPr>
        <w:t xml:space="preserve">associazione </w:t>
      </w:r>
      <w:r w:rsidR="00C35913">
        <w:rPr>
          <w:color w:val="000000"/>
          <w:szCs w:val="22"/>
          <w:lang w:val="it-IT"/>
        </w:rPr>
        <w:t>a</w:t>
      </w:r>
      <w:r w:rsidR="00C35913" w:rsidRPr="006A2BF9">
        <w:rPr>
          <w:color w:val="000000"/>
          <w:szCs w:val="22"/>
          <w:lang w:val="it-IT"/>
        </w:rPr>
        <w:t xml:space="preserve"> </w:t>
      </w:r>
      <w:r w:rsidRPr="006A2BF9">
        <w:rPr>
          <w:color w:val="000000"/>
          <w:szCs w:val="22"/>
          <w:lang w:val="it-IT"/>
        </w:rPr>
        <w:t xml:space="preserve">due regimi chemioterapici differenti. In entrambi gli studi si è osservato un </w:t>
      </w:r>
      <w:r w:rsidR="003C0E58" w:rsidRPr="006A2BF9">
        <w:rPr>
          <w:color w:val="000000"/>
          <w:szCs w:val="22"/>
          <w:lang w:val="it-IT"/>
        </w:rPr>
        <w:t xml:space="preserve">incremento della </w:t>
      </w:r>
      <w:r w:rsidRPr="006A2BF9">
        <w:rPr>
          <w:color w:val="000000"/>
          <w:szCs w:val="22"/>
          <w:lang w:val="it-IT"/>
        </w:rPr>
        <w:t>PFS, significativo sia dal punto di vista clinico che statistico.</w:t>
      </w:r>
    </w:p>
    <w:p w14:paraId="0045D37C" w14:textId="77777777" w:rsidR="004A057D" w:rsidRPr="006A2BF9" w:rsidRDefault="004A057D" w:rsidP="004A057D">
      <w:pPr>
        <w:rPr>
          <w:color w:val="000000"/>
          <w:szCs w:val="22"/>
          <w:lang w:val="it-IT"/>
        </w:rPr>
      </w:pPr>
    </w:p>
    <w:p w14:paraId="11CEF49F" w14:textId="77777777" w:rsidR="004A057D" w:rsidRPr="006A2BF9" w:rsidRDefault="003C0E58" w:rsidP="004A057D">
      <w:pPr>
        <w:rPr>
          <w:color w:val="000000"/>
          <w:szCs w:val="22"/>
          <w:lang w:val="it-IT"/>
        </w:rPr>
      </w:pPr>
      <w:r w:rsidRPr="006A2BF9">
        <w:rPr>
          <w:color w:val="000000"/>
          <w:szCs w:val="22"/>
          <w:lang w:val="it-IT"/>
        </w:rPr>
        <w:t>Sono riassunti di seguito i</w:t>
      </w:r>
      <w:r w:rsidR="004A057D" w:rsidRPr="006A2BF9">
        <w:rPr>
          <w:color w:val="000000"/>
          <w:szCs w:val="22"/>
          <w:lang w:val="it-IT"/>
        </w:rPr>
        <w:t xml:space="preserve"> risultati</w:t>
      </w:r>
      <w:r w:rsidRPr="006A2BF9">
        <w:rPr>
          <w:color w:val="000000"/>
          <w:szCs w:val="22"/>
          <w:lang w:val="it-IT"/>
        </w:rPr>
        <w:t xml:space="preserve"> della</w:t>
      </w:r>
      <w:r w:rsidR="004A057D" w:rsidRPr="006A2BF9">
        <w:rPr>
          <w:color w:val="000000"/>
          <w:szCs w:val="22"/>
          <w:lang w:val="it-IT"/>
        </w:rPr>
        <w:t xml:space="preserve"> PFS </w:t>
      </w:r>
      <w:r w:rsidRPr="006A2BF9">
        <w:rPr>
          <w:color w:val="000000"/>
          <w:szCs w:val="22"/>
          <w:lang w:val="it-IT"/>
        </w:rPr>
        <w:t xml:space="preserve">relativi ai </w:t>
      </w:r>
      <w:r w:rsidR="004A057D" w:rsidRPr="006A2BF9">
        <w:rPr>
          <w:color w:val="000000"/>
          <w:szCs w:val="22"/>
          <w:lang w:val="it-IT"/>
        </w:rPr>
        <w:t xml:space="preserve">singoli agenti chemioterapici </w:t>
      </w:r>
      <w:r w:rsidRPr="006A2BF9">
        <w:rPr>
          <w:color w:val="000000"/>
          <w:szCs w:val="22"/>
          <w:lang w:val="it-IT"/>
        </w:rPr>
        <w:t xml:space="preserve">inclusi </w:t>
      </w:r>
      <w:r w:rsidR="004A057D" w:rsidRPr="006A2BF9">
        <w:rPr>
          <w:color w:val="000000"/>
          <w:szCs w:val="22"/>
          <w:lang w:val="it-IT"/>
        </w:rPr>
        <w:t>nell’indicazione:</w:t>
      </w:r>
    </w:p>
    <w:p w14:paraId="4B8B308F" w14:textId="77777777" w:rsidR="004A057D" w:rsidRPr="006A2BF9" w:rsidRDefault="004A057D" w:rsidP="004A057D">
      <w:pPr>
        <w:rPr>
          <w:lang w:val="it-IT"/>
        </w:rPr>
      </w:pPr>
    </w:p>
    <w:p w14:paraId="35D2BA05" w14:textId="77777777" w:rsidR="004A057D" w:rsidRPr="002B5A62" w:rsidRDefault="004A057D" w:rsidP="00C65E97">
      <w:pPr>
        <w:ind w:left="567" w:hanging="567"/>
        <w:rPr>
          <w:color w:val="000000"/>
          <w:szCs w:val="22"/>
          <w:lang w:val="it-IT"/>
        </w:rPr>
      </w:pPr>
      <w:r w:rsidRPr="002B5A62">
        <w:rPr>
          <w:color w:val="000000"/>
          <w:szCs w:val="22"/>
          <w:lang w:val="it-IT"/>
        </w:rPr>
        <w:sym w:font="Symbol" w:char="F0B7"/>
      </w:r>
      <w:r w:rsidRPr="002B5A62">
        <w:rPr>
          <w:color w:val="000000"/>
          <w:szCs w:val="22"/>
          <w:lang w:val="it-IT"/>
        </w:rPr>
        <w:tab/>
        <w:t>Studio E2100 (paclitaxel)</w:t>
      </w:r>
    </w:p>
    <w:p w14:paraId="70371639" w14:textId="77777777" w:rsidR="004A057D" w:rsidRPr="00330A40" w:rsidRDefault="004A057D" w:rsidP="00C65E97">
      <w:pPr>
        <w:ind w:left="567" w:hanging="567"/>
        <w:rPr>
          <w:color w:val="000000"/>
          <w:szCs w:val="22"/>
          <w:lang w:val="it-IT"/>
        </w:rPr>
      </w:pPr>
      <w:r w:rsidRPr="002B5A62">
        <w:rPr>
          <w:color w:val="000000"/>
          <w:szCs w:val="22"/>
          <w:lang w:val="it-IT"/>
        </w:rPr>
        <w:sym w:font="Symbol" w:char="F0B7"/>
      </w:r>
      <w:r w:rsidRPr="002B5A62">
        <w:rPr>
          <w:color w:val="000000"/>
          <w:szCs w:val="22"/>
          <w:lang w:val="it-IT"/>
        </w:rPr>
        <w:tab/>
      </w:r>
      <w:r w:rsidR="002F1BB2" w:rsidRPr="002B5A62">
        <w:rPr>
          <w:color w:val="000000"/>
          <w:szCs w:val="22"/>
          <w:lang w:val="it-IT"/>
        </w:rPr>
        <w:t>incremento di 5,6</w:t>
      </w:r>
      <w:r w:rsidR="00D37A63" w:rsidRPr="002B5A62">
        <w:rPr>
          <w:color w:val="000000"/>
          <w:szCs w:val="22"/>
          <w:lang w:val="it-IT"/>
        </w:rPr>
        <w:t> </w:t>
      </w:r>
      <w:r w:rsidR="002F1BB2" w:rsidRPr="002B5A62">
        <w:rPr>
          <w:color w:val="000000"/>
          <w:szCs w:val="22"/>
          <w:lang w:val="it-IT"/>
        </w:rPr>
        <w:t xml:space="preserve">mesi della </w:t>
      </w:r>
      <w:r w:rsidRPr="006A2BF9">
        <w:rPr>
          <w:color w:val="000000"/>
          <w:szCs w:val="22"/>
          <w:lang w:val="it-IT"/>
        </w:rPr>
        <w:t>PFS</w:t>
      </w:r>
      <w:r w:rsidRPr="00330A40">
        <w:rPr>
          <w:color w:val="000000"/>
          <w:szCs w:val="22"/>
          <w:lang w:val="it-IT"/>
        </w:rPr>
        <w:t xml:space="preserve"> mediana, HR</w:t>
      </w:r>
      <w:r w:rsidR="00D41733" w:rsidRPr="00330A40">
        <w:rPr>
          <w:color w:val="000000"/>
          <w:szCs w:val="22"/>
          <w:lang w:val="it-IT"/>
        </w:rPr>
        <w:t> </w:t>
      </w:r>
      <w:r w:rsidRPr="00330A40">
        <w:rPr>
          <w:color w:val="000000"/>
          <w:szCs w:val="22"/>
          <w:lang w:val="it-IT"/>
        </w:rPr>
        <w:t>0,421 (p</w:t>
      </w:r>
      <w:r w:rsidR="00D41733" w:rsidRPr="00330A40">
        <w:rPr>
          <w:color w:val="000000"/>
          <w:szCs w:val="22"/>
          <w:lang w:val="it-IT"/>
        </w:rPr>
        <w:t> </w:t>
      </w:r>
      <w:r w:rsidRPr="00330A40">
        <w:rPr>
          <w:color w:val="000000"/>
          <w:szCs w:val="22"/>
          <w:lang w:val="it-IT"/>
        </w:rPr>
        <w:t>&lt;</w:t>
      </w:r>
      <w:r w:rsidR="00D41733" w:rsidRPr="00330A40">
        <w:rPr>
          <w:color w:val="000000"/>
          <w:szCs w:val="22"/>
          <w:lang w:val="it-IT"/>
        </w:rPr>
        <w:t> </w:t>
      </w:r>
      <w:r w:rsidRPr="00330A40">
        <w:rPr>
          <w:color w:val="000000"/>
          <w:szCs w:val="22"/>
          <w:lang w:val="it-IT"/>
        </w:rPr>
        <w:t>0,0001, IC</w:t>
      </w:r>
      <w:r w:rsidR="00831FDE">
        <w:rPr>
          <w:color w:val="000000"/>
          <w:szCs w:val="22"/>
          <w:lang w:val="it-IT"/>
        </w:rPr>
        <w:t xml:space="preserve"> al</w:t>
      </w:r>
      <w:r w:rsidRPr="00330A40">
        <w:rPr>
          <w:color w:val="000000"/>
          <w:szCs w:val="22"/>
          <w:lang w:val="it-IT"/>
        </w:rPr>
        <w:t xml:space="preserve"> 95% 0,343; 0,516)</w:t>
      </w:r>
    </w:p>
    <w:p w14:paraId="0C5C82B2" w14:textId="77777777" w:rsidR="004A057D" w:rsidRPr="00330A40" w:rsidRDefault="004A057D" w:rsidP="00C65E97">
      <w:pPr>
        <w:ind w:left="567" w:hanging="567"/>
        <w:rPr>
          <w:color w:val="000000"/>
          <w:szCs w:val="22"/>
          <w:lang w:val="it-IT"/>
        </w:rPr>
      </w:pPr>
      <w:r w:rsidRPr="00330A40">
        <w:rPr>
          <w:color w:val="000000"/>
          <w:szCs w:val="22"/>
          <w:lang w:val="it-IT"/>
        </w:rPr>
        <w:sym w:font="Symbol" w:char="F0B7"/>
      </w:r>
      <w:r w:rsidRPr="00330A40">
        <w:rPr>
          <w:color w:val="000000"/>
          <w:szCs w:val="22"/>
          <w:lang w:val="it-IT"/>
        </w:rPr>
        <w:tab/>
        <w:t>Studio AVF3694g (capecitabina)</w:t>
      </w:r>
    </w:p>
    <w:p w14:paraId="540E8F0D" w14:textId="77777777" w:rsidR="004A057D" w:rsidRPr="00330A40" w:rsidRDefault="004A057D" w:rsidP="00C65E97">
      <w:pPr>
        <w:ind w:left="567" w:hanging="567"/>
        <w:rPr>
          <w:color w:val="000000"/>
          <w:szCs w:val="22"/>
          <w:lang w:val="it-IT"/>
        </w:rPr>
      </w:pPr>
      <w:r w:rsidRPr="00330A40">
        <w:rPr>
          <w:color w:val="000000"/>
          <w:szCs w:val="22"/>
          <w:lang w:val="it-IT"/>
        </w:rPr>
        <w:lastRenderedPageBreak/>
        <w:sym w:font="Symbol" w:char="F0B7"/>
      </w:r>
      <w:r w:rsidRPr="00330A40">
        <w:rPr>
          <w:color w:val="000000"/>
          <w:szCs w:val="22"/>
          <w:lang w:val="it-IT"/>
        </w:rPr>
        <w:tab/>
      </w:r>
      <w:r w:rsidR="002F1BB2" w:rsidRPr="00330A40">
        <w:rPr>
          <w:color w:val="000000"/>
          <w:szCs w:val="22"/>
          <w:lang w:val="it-IT"/>
        </w:rPr>
        <w:t>incremento di 2,9</w:t>
      </w:r>
      <w:r w:rsidR="00D37A63" w:rsidRPr="00330A40">
        <w:rPr>
          <w:color w:val="000000"/>
          <w:szCs w:val="22"/>
          <w:lang w:val="it-IT"/>
        </w:rPr>
        <w:t> </w:t>
      </w:r>
      <w:r w:rsidR="002F1BB2" w:rsidRPr="00330A40">
        <w:rPr>
          <w:color w:val="000000"/>
          <w:szCs w:val="22"/>
          <w:lang w:val="it-IT"/>
        </w:rPr>
        <w:t xml:space="preserve">mesi della </w:t>
      </w:r>
      <w:r w:rsidRPr="00330A40">
        <w:rPr>
          <w:color w:val="000000"/>
          <w:szCs w:val="22"/>
          <w:lang w:val="it-IT"/>
        </w:rPr>
        <w:t>PFS mediana, HR</w:t>
      </w:r>
      <w:r w:rsidR="00D41733" w:rsidRPr="00330A40">
        <w:rPr>
          <w:color w:val="000000"/>
          <w:szCs w:val="22"/>
          <w:lang w:val="it-IT"/>
        </w:rPr>
        <w:t> </w:t>
      </w:r>
      <w:r w:rsidRPr="00330A40">
        <w:rPr>
          <w:color w:val="000000"/>
          <w:szCs w:val="22"/>
          <w:lang w:val="it-IT"/>
        </w:rPr>
        <w:t>0,69 (p</w:t>
      </w:r>
      <w:r w:rsidR="00D41733" w:rsidRPr="00330A40">
        <w:rPr>
          <w:color w:val="000000"/>
          <w:szCs w:val="22"/>
          <w:lang w:val="it-IT"/>
        </w:rPr>
        <w:t> </w:t>
      </w:r>
      <w:r w:rsidRPr="00330A40">
        <w:rPr>
          <w:color w:val="000000"/>
          <w:szCs w:val="22"/>
          <w:lang w:val="it-IT"/>
        </w:rPr>
        <w:t>=</w:t>
      </w:r>
      <w:r w:rsidR="00D41733" w:rsidRPr="00330A40">
        <w:rPr>
          <w:color w:val="000000"/>
          <w:szCs w:val="22"/>
          <w:lang w:val="it-IT"/>
        </w:rPr>
        <w:t> </w:t>
      </w:r>
      <w:r w:rsidRPr="00330A40">
        <w:rPr>
          <w:color w:val="000000"/>
          <w:szCs w:val="22"/>
          <w:lang w:val="it-IT"/>
        </w:rPr>
        <w:t>0,0002, IC</w:t>
      </w:r>
      <w:r w:rsidR="00831FDE">
        <w:rPr>
          <w:color w:val="000000"/>
          <w:szCs w:val="22"/>
          <w:lang w:val="it-IT"/>
        </w:rPr>
        <w:t xml:space="preserve"> al</w:t>
      </w:r>
      <w:r w:rsidRPr="00330A40">
        <w:rPr>
          <w:color w:val="000000"/>
          <w:szCs w:val="22"/>
          <w:lang w:val="it-IT"/>
        </w:rPr>
        <w:t xml:space="preserve"> 95% 0,56; 0,84)</w:t>
      </w:r>
    </w:p>
    <w:p w14:paraId="4D92BBE4" w14:textId="77777777" w:rsidR="004A057D" w:rsidRPr="00330A40" w:rsidRDefault="004A057D" w:rsidP="004A057D">
      <w:pPr>
        <w:rPr>
          <w:color w:val="000000"/>
          <w:szCs w:val="22"/>
          <w:lang w:val="it-IT"/>
        </w:rPr>
      </w:pPr>
    </w:p>
    <w:p w14:paraId="113EEF53" w14:textId="77777777" w:rsidR="004A057D" w:rsidRPr="00330A40" w:rsidDel="005806E2" w:rsidRDefault="004A057D" w:rsidP="008B3BC8">
      <w:pPr>
        <w:keepNext/>
        <w:keepLines/>
        <w:rPr>
          <w:color w:val="000000"/>
          <w:szCs w:val="22"/>
          <w:lang w:val="it-IT"/>
        </w:rPr>
      </w:pPr>
      <w:r w:rsidRPr="00330A40">
        <w:rPr>
          <w:color w:val="000000"/>
          <w:szCs w:val="22"/>
          <w:lang w:val="it-IT"/>
        </w:rPr>
        <w:t>Ulteriori dettagli relativi a ciascuno studio sono riportati</w:t>
      </w:r>
      <w:r w:rsidR="0025736A" w:rsidRPr="00330A40">
        <w:rPr>
          <w:color w:val="000000"/>
          <w:szCs w:val="22"/>
          <w:lang w:val="it-IT"/>
        </w:rPr>
        <w:t xml:space="preserve"> di seguito</w:t>
      </w:r>
      <w:r w:rsidRPr="00330A40">
        <w:rPr>
          <w:color w:val="000000"/>
          <w:szCs w:val="22"/>
          <w:lang w:val="it-IT"/>
        </w:rPr>
        <w:t>.</w:t>
      </w:r>
    </w:p>
    <w:p w14:paraId="3670004B" w14:textId="77777777" w:rsidR="009C0666" w:rsidRPr="00330A40" w:rsidRDefault="009C0666" w:rsidP="008B3BC8">
      <w:pPr>
        <w:keepNext/>
        <w:keepLines/>
        <w:rPr>
          <w:lang w:val="it-IT"/>
        </w:rPr>
      </w:pPr>
    </w:p>
    <w:p w14:paraId="01C81F7B" w14:textId="77777777" w:rsidR="007732E9" w:rsidRPr="00330A40" w:rsidRDefault="007732E9" w:rsidP="008B3BC8">
      <w:pPr>
        <w:keepNext/>
        <w:keepLines/>
        <w:rPr>
          <w:lang w:val="it-IT"/>
        </w:rPr>
      </w:pPr>
      <w:r w:rsidRPr="00330A40">
        <w:rPr>
          <w:i/>
          <w:lang w:val="it-IT"/>
        </w:rPr>
        <w:t>ECOG E2100</w:t>
      </w:r>
    </w:p>
    <w:p w14:paraId="756C6A2D" w14:textId="77777777" w:rsidR="009C0666" w:rsidRPr="006A2BF9" w:rsidRDefault="009C0666" w:rsidP="008B3BC8">
      <w:pPr>
        <w:keepNext/>
        <w:keepLines/>
        <w:rPr>
          <w:lang w:val="it-IT"/>
        </w:rPr>
      </w:pPr>
      <w:r w:rsidRPr="00330A40">
        <w:rPr>
          <w:lang w:val="it-IT"/>
        </w:rPr>
        <w:t xml:space="preserve">Lo studio E2100 è uno studio clinico multicentro, a disegno aperto, randomizzato, con controllo attivo, che ha valutato </w:t>
      </w:r>
      <w:r w:rsidR="00D37A63" w:rsidRPr="00330A40">
        <w:rPr>
          <w:lang w:val="it-IT"/>
        </w:rPr>
        <w:t>bev</w:t>
      </w:r>
      <w:r w:rsidR="00D37A63" w:rsidRPr="006A2BF9">
        <w:rPr>
          <w:lang w:val="it-IT"/>
        </w:rPr>
        <w:t>acizumab</w:t>
      </w:r>
      <w:r w:rsidR="00D37A63" w:rsidRPr="006A2BF9" w:rsidDel="00FD6236">
        <w:rPr>
          <w:lang w:val="it-IT"/>
        </w:rPr>
        <w:t xml:space="preserve"> </w:t>
      </w:r>
      <w:r w:rsidRPr="006A2BF9">
        <w:rPr>
          <w:lang w:val="it-IT"/>
        </w:rPr>
        <w:t xml:space="preserve">in </w:t>
      </w:r>
      <w:r w:rsidR="003A32A4" w:rsidRPr="006A2BF9">
        <w:rPr>
          <w:lang w:val="it-IT"/>
        </w:rPr>
        <w:t xml:space="preserve">associazione </w:t>
      </w:r>
      <w:r w:rsidR="0042050C" w:rsidRPr="006A2BF9">
        <w:rPr>
          <w:lang w:val="it-IT"/>
        </w:rPr>
        <w:t xml:space="preserve">a </w:t>
      </w:r>
      <w:r w:rsidRPr="006A2BF9">
        <w:rPr>
          <w:lang w:val="it-IT"/>
        </w:rPr>
        <w:t xml:space="preserve">paclitaxel per il </w:t>
      </w:r>
      <w:r w:rsidR="00EB182B">
        <w:rPr>
          <w:lang w:val="it-IT"/>
        </w:rPr>
        <w:t>cancro della mammella</w:t>
      </w:r>
      <w:r w:rsidRPr="00330A40">
        <w:rPr>
          <w:lang w:val="it-IT"/>
        </w:rPr>
        <w:t xml:space="preserve"> metastatico o </w:t>
      </w:r>
      <w:r w:rsidR="00065729" w:rsidRPr="00330A40">
        <w:rPr>
          <w:lang w:val="it-IT"/>
        </w:rPr>
        <w:t>localmente ricorrente</w:t>
      </w:r>
      <w:r w:rsidRPr="00330A40">
        <w:rPr>
          <w:lang w:val="it-IT"/>
        </w:rPr>
        <w:t xml:space="preserve"> su pazienti che non sono stati precedentemente trattati con chemioterapia per la malattia metastatica e </w:t>
      </w:r>
      <w:r w:rsidR="00570D9F" w:rsidRPr="00330A40">
        <w:rPr>
          <w:lang w:val="it-IT"/>
        </w:rPr>
        <w:t xml:space="preserve">localmente </w:t>
      </w:r>
      <w:r w:rsidR="00065729" w:rsidRPr="00330A40">
        <w:rPr>
          <w:lang w:val="it-IT"/>
        </w:rPr>
        <w:t>ricorrente</w:t>
      </w:r>
      <w:r w:rsidRPr="00330A40">
        <w:rPr>
          <w:lang w:val="it-IT"/>
        </w:rPr>
        <w:t>. I pazienti sono stati randomizzati a paclitaxel da solo (90 mg/m</w:t>
      </w:r>
      <w:r w:rsidRPr="00330A40">
        <w:rPr>
          <w:vertAlign w:val="superscript"/>
          <w:lang w:val="it-IT"/>
        </w:rPr>
        <w:t>2</w:t>
      </w:r>
      <w:r w:rsidRPr="00330A40">
        <w:rPr>
          <w:lang w:val="it-IT"/>
        </w:rPr>
        <w:t xml:space="preserve"> in infusione </w:t>
      </w:r>
      <w:r w:rsidR="004C45F5">
        <w:rPr>
          <w:lang w:val="it-IT"/>
        </w:rPr>
        <w:t>endovenosa</w:t>
      </w:r>
      <w:r w:rsidRPr="00330A40">
        <w:rPr>
          <w:lang w:val="it-IT"/>
        </w:rPr>
        <w:t xml:space="preserve"> di 1</w:t>
      </w:r>
      <w:r w:rsidR="004C45F5">
        <w:rPr>
          <w:lang w:val="it-IT"/>
        </w:rPr>
        <w:t> </w:t>
      </w:r>
      <w:r w:rsidRPr="00330A40">
        <w:rPr>
          <w:lang w:val="it-IT"/>
        </w:rPr>
        <w:t xml:space="preserve">ora una volta alla settimana per tre settimane ogni quattro) o in </w:t>
      </w:r>
      <w:r w:rsidR="003A32A4" w:rsidRPr="00330A40">
        <w:rPr>
          <w:lang w:val="it-IT"/>
        </w:rPr>
        <w:t xml:space="preserve">associazione </w:t>
      </w:r>
      <w:r w:rsidR="0042050C" w:rsidRPr="00330A40">
        <w:rPr>
          <w:lang w:val="it-IT"/>
        </w:rPr>
        <w:t xml:space="preserve">a </w:t>
      </w:r>
      <w:r w:rsidR="00DE39C9" w:rsidRPr="00330A40">
        <w:rPr>
          <w:lang w:val="it-IT"/>
        </w:rPr>
        <w:t>bevacizumab</w:t>
      </w:r>
      <w:r w:rsidR="00DE39C9" w:rsidRPr="00330A40" w:rsidDel="00FD6236">
        <w:rPr>
          <w:lang w:val="it-IT"/>
        </w:rPr>
        <w:t xml:space="preserve"> </w:t>
      </w:r>
      <w:r w:rsidRPr="00330A40">
        <w:rPr>
          <w:lang w:val="it-IT"/>
        </w:rPr>
        <w:t xml:space="preserve">(10 mg/kg in infusione </w:t>
      </w:r>
      <w:r w:rsidR="004C45F5">
        <w:rPr>
          <w:lang w:val="it-IT"/>
        </w:rPr>
        <w:t>endovenosa</w:t>
      </w:r>
      <w:r w:rsidRPr="00330A40">
        <w:rPr>
          <w:lang w:val="it-IT"/>
        </w:rPr>
        <w:t xml:space="preserve"> ogni due settimane). Si è consentita una precedente terapia ormonale per il trattamento della malattia metastatica. La terapia adiuvante con un ta</w:t>
      </w:r>
      <w:r w:rsidR="007732E9" w:rsidRPr="006A2BF9">
        <w:rPr>
          <w:lang w:val="it-IT"/>
        </w:rPr>
        <w:t>x</w:t>
      </w:r>
      <w:r w:rsidRPr="006A2BF9">
        <w:rPr>
          <w:lang w:val="it-IT"/>
        </w:rPr>
        <w:t>ano è stata permessa solo se completata almeno 12</w:t>
      </w:r>
      <w:r w:rsidR="00DE39C9" w:rsidRPr="006A2BF9">
        <w:rPr>
          <w:lang w:val="it-IT"/>
        </w:rPr>
        <w:t> </w:t>
      </w:r>
      <w:r w:rsidRPr="006A2BF9">
        <w:rPr>
          <w:lang w:val="it-IT"/>
        </w:rPr>
        <w:t>mesi prima dell’inclusione nello studio. Tra i 722</w:t>
      </w:r>
      <w:r w:rsidR="00DE39C9" w:rsidRPr="006A2BF9">
        <w:rPr>
          <w:lang w:val="it-IT"/>
        </w:rPr>
        <w:t> </w:t>
      </w:r>
      <w:r w:rsidRPr="006A2BF9">
        <w:rPr>
          <w:lang w:val="it-IT"/>
        </w:rPr>
        <w:t>pazienti dello studio, la maggioranza dei pazienti presentava malattia HER2</w:t>
      </w:r>
      <w:r w:rsidR="00DC4C6E" w:rsidRPr="006A2BF9">
        <w:rPr>
          <w:lang w:val="it-IT"/>
        </w:rPr>
        <w:noBreakHyphen/>
      </w:r>
      <w:r w:rsidRPr="006A2BF9">
        <w:rPr>
          <w:lang w:val="it-IT"/>
        </w:rPr>
        <w:t xml:space="preserve">negativa (90%), con un piccolo numero di pazienti che aveva uno stato HER2 sconosciuto (8%) o confermato positivo (2%) precedentemente trattati </w:t>
      </w:r>
      <w:r w:rsidR="0025736A" w:rsidRPr="006A2BF9">
        <w:rPr>
          <w:lang w:val="it-IT"/>
        </w:rPr>
        <w:t xml:space="preserve">con trastuzumab </w:t>
      </w:r>
      <w:r w:rsidRPr="006A2BF9">
        <w:rPr>
          <w:lang w:val="it-IT"/>
        </w:rPr>
        <w:t xml:space="preserve">o </w:t>
      </w:r>
      <w:r w:rsidR="0025736A" w:rsidRPr="006A2BF9">
        <w:rPr>
          <w:lang w:val="it-IT"/>
        </w:rPr>
        <w:t>ritenuti</w:t>
      </w:r>
      <w:r w:rsidRPr="006A2BF9">
        <w:rPr>
          <w:lang w:val="it-IT"/>
        </w:rPr>
        <w:t xml:space="preserve"> non candidabili alla terapia con trastuzumab. Inoltre, il 65% dei pazienti aveva ricevuto una precedente chemioterapia adiuvante, a base di ta</w:t>
      </w:r>
      <w:r w:rsidR="007732E9" w:rsidRPr="006A2BF9">
        <w:rPr>
          <w:lang w:val="it-IT"/>
        </w:rPr>
        <w:t>x</w:t>
      </w:r>
      <w:r w:rsidRPr="006A2BF9">
        <w:rPr>
          <w:lang w:val="it-IT"/>
        </w:rPr>
        <w:t>an</w:t>
      </w:r>
      <w:r w:rsidR="0025736A" w:rsidRPr="006A2BF9">
        <w:rPr>
          <w:lang w:val="it-IT"/>
        </w:rPr>
        <w:t>i</w:t>
      </w:r>
      <w:r w:rsidRPr="006A2BF9">
        <w:rPr>
          <w:lang w:val="it-IT"/>
        </w:rPr>
        <w:t xml:space="preserve"> nel 19% dei casi e antracicline nel 49% dei casi. Sono stati esclusi i pazienti con metastasi al sistema nervoso centrale, comprese le lesioni al cervello precedentemente trattate o resecate.</w:t>
      </w:r>
    </w:p>
    <w:p w14:paraId="5B323EE7" w14:textId="77777777" w:rsidR="009C0666" w:rsidRPr="006A2BF9" w:rsidRDefault="009C0666" w:rsidP="008B3BC8">
      <w:pPr>
        <w:keepNext/>
        <w:keepLines/>
        <w:rPr>
          <w:lang w:val="it-IT"/>
        </w:rPr>
      </w:pPr>
    </w:p>
    <w:p w14:paraId="31A40CBE" w14:textId="77777777" w:rsidR="009C0666" w:rsidRPr="006A2BF9" w:rsidRDefault="009C0666" w:rsidP="008B3BC8">
      <w:pPr>
        <w:keepNext/>
        <w:keepLines/>
        <w:rPr>
          <w:lang w:val="it-IT"/>
        </w:rPr>
      </w:pPr>
      <w:r w:rsidRPr="006A2BF9">
        <w:rPr>
          <w:lang w:val="it-IT"/>
        </w:rPr>
        <w:t xml:space="preserve">Nello studio E2100, i pazienti sono stati trattati fino a progressione della malattia. Nei casi che richiedevano una precoce interruzione della chemioterapia, il trattamento con </w:t>
      </w:r>
      <w:r w:rsidR="00DE39C9" w:rsidRPr="006A2BF9">
        <w:rPr>
          <w:lang w:val="it-IT"/>
        </w:rPr>
        <w:t>bevacizumab</w:t>
      </w:r>
      <w:r w:rsidR="00DE39C9" w:rsidRPr="006A2BF9" w:rsidDel="00FD6236">
        <w:rPr>
          <w:lang w:val="it-IT"/>
        </w:rPr>
        <w:t xml:space="preserve"> </w:t>
      </w:r>
      <w:r w:rsidRPr="006A2BF9">
        <w:rPr>
          <w:lang w:val="it-IT"/>
        </w:rPr>
        <w:t>in monoterapia è proseguito fino a progressione d</w:t>
      </w:r>
      <w:r w:rsidR="0025736A" w:rsidRPr="006A2BF9">
        <w:rPr>
          <w:lang w:val="it-IT"/>
        </w:rPr>
        <w:t>ella</w:t>
      </w:r>
      <w:r w:rsidRPr="006A2BF9">
        <w:rPr>
          <w:lang w:val="it-IT"/>
        </w:rPr>
        <w:t xml:space="preserve"> malattia. Le caratteristiche dei pazienti sono risultate simili tra i due bracci dello studio. L’obiettivo primario dello studio è stato la </w:t>
      </w:r>
      <w:r w:rsidR="007732E9" w:rsidRPr="006A2BF9">
        <w:rPr>
          <w:lang w:val="it-IT"/>
        </w:rPr>
        <w:t>PFS</w:t>
      </w:r>
      <w:r w:rsidRPr="006A2BF9">
        <w:rPr>
          <w:lang w:val="it-IT"/>
        </w:rPr>
        <w:t xml:space="preserve">, in base alla valutazione della progressione della malattia da parte degli sperimentatori dello studio. </w:t>
      </w:r>
      <w:r w:rsidR="001B3578" w:rsidRPr="006A2BF9">
        <w:rPr>
          <w:lang w:val="it-IT"/>
        </w:rPr>
        <w:t xml:space="preserve">In aggiunta, è stata condotta anche una valutazione indipendente dell’obiettivo primario. </w:t>
      </w:r>
      <w:r w:rsidRPr="006A2BF9">
        <w:rPr>
          <w:lang w:val="it-IT"/>
        </w:rPr>
        <w:t>I risultati di questo studio sono riportatati nella tabella</w:t>
      </w:r>
      <w:r w:rsidR="00EB145F" w:rsidRPr="006A2BF9">
        <w:rPr>
          <w:lang w:val="it-IT"/>
        </w:rPr>
        <w:t> </w:t>
      </w:r>
      <w:r w:rsidR="00D966E3" w:rsidRPr="006A2BF9">
        <w:rPr>
          <w:lang w:val="it-IT"/>
        </w:rPr>
        <w:t>10</w:t>
      </w:r>
      <w:r w:rsidRPr="006A2BF9">
        <w:rPr>
          <w:lang w:val="it-IT"/>
        </w:rPr>
        <w:t>.</w:t>
      </w:r>
    </w:p>
    <w:p w14:paraId="7D89B348" w14:textId="77777777" w:rsidR="009C0666" w:rsidRPr="006A2BF9" w:rsidRDefault="009C0666" w:rsidP="008B3BC8">
      <w:pPr>
        <w:keepNext/>
        <w:keepLines/>
        <w:rPr>
          <w:lang w:val="it-IT"/>
        </w:rPr>
      </w:pPr>
    </w:p>
    <w:p w14:paraId="26AFBE54" w14:textId="77777777" w:rsidR="009C0666" w:rsidRPr="006A2BF9" w:rsidRDefault="009C0666" w:rsidP="008B3BC8">
      <w:pPr>
        <w:keepNext/>
        <w:keepLines/>
        <w:ind w:left="1418" w:hanging="1418"/>
        <w:rPr>
          <w:lang w:val="it-IT"/>
        </w:rPr>
      </w:pPr>
      <w:r w:rsidRPr="006A2BF9">
        <w:rPr>
          <w:b/>
          <w:bCs/>
          <w:lang w:val="it-IT"/>
        </w:rPr>
        <w:t>Tabella</w:t>
      </w:r>
      <w:r w:rsidR="00262019" w:rsidRPr="006A2BF9">
        <w:rPr>
          <w:b/>
          <w:bCs/>
          <w:lang w:val="it-IT"/>
        </w:rPr>
        <w:t> </w:t>
      </w:r>
      <w:r w:rsidR="00D966E3" w:rsidRPr="006A2BF9">
        <w:rPr>
          <w:b/>
          <w:bCs/>
          <w:lang w:val="it-IT"/>
        </w:rPr>
        <w:t>10</w:t>
      </w:r>
      <w:r w:rsidRPr="006A2BF9">
        <w:rPr>
          <w:b/>
          <w:bCs/>
          <w:lang w:val="it-IT"/>
        </w:rPr>
        <w:tab/>
        <w:t>Risultati di efficacia dello studio E2100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1428"/>
        <w:gridCol w:w="1802"/>
        <w:gridCol w:w="1429"/>
        <w:gridCol w:w="2116"/>
      </w:tblGrid>
      <w:tr w:rsidR="00A84203" w:rsidRPr="006A2BF9" w14:paraId="7A8F08C8" w14:textId="77777777" w:rsidTr="00E93D3C">
        <w:trPr>
          <w:trHeight w:val="340"/>
        </w:trPr>
        <w:tc>
          <w:tcPr>
            <w:tcW w:w="5000" w:type="pct"/>
            <w:gridSpan w:val="5"/>
            <w:shd w:val="clear" w:color="auto" w:fill="auto"/>
          </w:tcPr>
          <w:p w14:paraId="3F256905" w14:textId="77777777" w:rsidR="00A84203" w:rsidRPr="006A2BF9" w:rsidRDefault="00A84203" w:rsidP="008B3BC8">
            <w:pPr>
              <w:keepNext/>
              <w:keepLines/>
              <w:rPr>
                <w:sz w:val="20"/>
                <w:lang w:val="it-IT"/>
              </w:rPr>
            </w:pPr>
            <w:r w:rsidRPr="006A2BF9">
              <w:rPr>
                <w:sz w:val="20"/>
                <w:lang w:val="it-IT"/>
              </w:rPr>
              <w:t>Sopravvivenza libera da progressione</w:t>
            </w:r>
          </w:p>
          <w:p w14:paraId="193AA9C1" w14:textId="77777777" w:rsidR="00A84203" w:rsidRPr="006A2BF9" w:rsidRDefault="00A84203" w:rsidP="008B3BC8">
            <w:pPr>
              <w:keepNext/>
              <w:keepLines/>
              <w:jc w:val="center"/>
              <w:rPr>
                <w:sz w:val="20"/>
                <w:lang w:val="it-IT"/>
              </w:rPr>
            </w:pPr>
          </w:p>
        </w:tc>
      </w:tr>
      <w:tr w:rsidR="00A84203" w:rsidRPr="006A2BF9" w14:paraId="100BBF6C" w14:textId="77777777" w:rsidTr="00E93D3C">
        <w:tc>
          <w:tcPr>
            <w:tcW w:w="1296" w:type="pct"/>
            <w:shd w:val="clear" w:color="auto" w:fill="auto"/>
          </w:tcPr>
          <w:p w14:paraId="5C50DF49" w14:textId="77777777" w:rsidR="00A84203" w:rsidRPr="006A2BF9" w:rsidRDefault="00A84203" w:rsidP="008B3BC8">
            <w:pPr>
              <w:keepNext/>
              <w:keepLines/>
              <w:jc w:val="center"/>
              <w:rPr>
                <w:sz w:val="20"/>
                <w:lang w:val="it-IT"/>
              </w:rPr>
            </w:pPr>
          </w:p>
        </w:tc>
        <w:tc>
          <w:tcPr>
            <w:tcW w:w="1852" w:type="pct"/>
            <w:gridSpan w:val="2"/>
            <w:shd w:val="clear" w:color="auto" w:fill="auto"/>
          </w:tcPr>
          <w:p w14:paraId="2592CC76" w14:textId="77777777" w:rsidR="00A84203" w:rsidRPr="006A2BF9" w:rsidRDefault="00D2320A" w:rsidP="008B3BC8">
            <w:pPr>
              <w:keepNext/>
              <w:keepLines/>
              <w:jc w:val="center"/>
              <w:rPr>
                <w:sz w:val="20"/>
                <w:lang w:val="it-IT"/>
              </w:rPr>
            </w:pPr>
            <w:r w:rsidRPr="006A2BF9">
              <w:rPr>
                <w:sz w:val="20"/>
                <w:lang w:val="it-IT"/>
              </w:rPr>
              <w:t>Valutazione dello sperimentatore</w:t>
            </w:r>
            <w:r w:rsidR="00A84203" w:rsidRPr="006A2BF9">
              <w:rPr>
                <w:sz w:val="20"/>
                <w:lang w:val="it-IT"/>
              </w:rPr>
              <w:t xml:space="preserve">* </w:t>
            </w:r>
          </w:p>
        </w:tc>
        <w:tc>
          <w:tcPr>
            <w:tcW w:w="1852" w:type="pct"/>
            <w:gridSpan w:val="2"/>
            <w:shd w:val="clear" w:color="auto" w:fill="auto"/>
          </w:tcPr>
          <w:p w14:paraId="0BBA95A6" w14:textId="77777777" w:rsidR="00A84203" w:rsidRPr="006A2BF9" w:rsidRDefault="00B5717A" w:rsidP="008B3BC8">
            <w:pPr>
              <w:keepNext/>
              <w:keepLines/>
              <w:jc w:val="center"/>
              <w:rPr>
                <w:sz w:val="20"/>
                <w:lang w:val="it-IT"/>
              </w:rPr>
            </w:pPr>
            <w:r w:rsidRPr="006A2BF9">
              <w:rPr>
                <w:sz w:val="20"/>
                <w:lang w:val="it-IT"/>
              </w:rPr>
              <w:t xml:space="preserve">Valutazione </w:t>
            </w:r>
            <w:r w:rsidR="00A84203" w:rsidRPr="006A2BF9">
              <w:rPr>
                <w:sz w:val="20"/>
                <w:lang w:val="it-IT"/>
              </w:rPr>
              <w:t>IRF</w:t>
            </w:r>
          </w:p>
        </w:tc>
      </w:tr>
      <w:tr w:rsidR="00A84203" w:rsidRPr="006A2BF9" w14:paraId="11665F33" w14:textId="77777777" w:rsidTr="00E93D3C">
        <w:tc>
          <w:tcPr>
            <w:tcW w:w="1296" w:type="pct"/>
            <w:shd w:val="clear" w:color="auto" w:fill="auto"/>
          </w:tcPr>
          <w:p w14:paraId="2DBB5BF7" w14:textId="77777777" w:rsidR="00A84203" w:rsidRPr="006A2BF9" w:rsidRDefault="00A84203" w:rsidP="008B3BC8">
            <w:pPr>
              <w:keepNext/>
              <w:keepLines/>
              <w:jc w:val="center"/>
              <w:rPr>
                <w:sz w:val="20"/>
                <w:lang w:val="it-IT"/>
              </w:rPr>
            </w:pPr>
          </w:p>
        </w:tc>
        <w:tc>
          <w:tcPr>
            <w:tcW w:w="823" w:type="pct"/>
            <w:shd w:val="clear" w:color="auto" w:fill="auto"/>
          </w:tcPr>
          <w:p w14:paraId="07C3E262" w14:textId="77777777" w:rsidR="00A84203" w:rsidRPr="006A2BF9" w:rsidRDefault="00A84203" w:rsidP="008B3BC8">
            <w:pPr>
              <w:keepNext/>
              <w:keepLines/>
              <w:jc w:val="center"/>
              <w:rPr>
                <w:sz w:val="20"/>
                <w:lang w:val="it-IT"/>
              </w:rPr>
            </w:pPr>
            <w:r w:rsidRPr="006A2BF9">
              <w:rPr>
                <w:sz w:val="20"/>
                <w:lang w:val="it-IT"/>
              </w:rPr>
              <w:t>Paclitaxel</w:t>
            </w:r>
          </w:p>
          <w:p w14:paraId="00D0804E" w14:textId="77777777" w:rsidR="00A84203" w:rsidRPr="006A2BF9" w:rsidRDefault="00A84203" w:rsidP="008B3BC8">
            <w:pPr>
              <w:keepNext/>
              <w:keepLines/>
              <w:jc w:val="center"/>
              <w:rPr>
                <w:sz w:val="20"/>
                <w:lang w:val="it-IT"/>
              </w:rPr>
            </w:pPr>
            <w:r w:rsidRPr="006A2BF9">
              <w:rPr>
                <w:sz w:val="20"/>
                <w:lang w:val="it-IT"/>
              </w:rPr>
              <w:t>(n</w:t>
            </w:r>
            <w:r w:rsidR="00D41733" w:rsidRPr="006A2BF9">
              <w:rPr>
                <w:sz w:val="20"/>
                <w:lang w:val="it-IT"/>
              </w:rPr>
              <w:t> </w:t>
            </w:r>
            <w:r w:rsidRPr="006A2BF9">
              <w:rPr>
                <w:sz w:val="20"/>
                <w:lang w:val="it-IT"/>
              </w:rPr>
              <w:t>=</w:t>
            </w:r>
            <w:r w:rsidR="00D41733" w:rsidRPr="006A2BF9">
              <w:rPr>
                <w:sz w:val="20"/>
                <w:lang w:val="it-IT"/>
              </w:rPr>
              <w:t> </w:t>
            </w:r>
            <w:r w:rsidRPr="006A2BF9">
              <w:rPr>
                <w:sz w:val="20"/>
                <w:lang w:val="it-IT"/>
              </w:rPr>
              <w:t>354)</w:t>
            </w:r>
          </w:p>
        </w:tc>
        <w:tc>
          <w:tcPr>
            <w:tcW w:w="1029" w:type="pct"/>
            <w:shd w:val="clear" w:color="auto" w:fill="auto"/>
          </w:tcPr>
          <w:p w14:paraId="59D6D460" w14:textId="77777777" w:rsidR="00A84203" w:rsidRPr="006A2BF9" w:rsidRDefault="00A84203" w:rsidP="008B3BC8">
            <w:pPr>
              <w:keepNext/>
              <w:keepLines/>
              <w:jc w:val="center"/>
              <w:rPr>
                <w:sz w:val="20"/>
                <w:lang w:val="it-IT"/>
              </w:rPr>
            </w:pPr>
            <w:r w:rsidRPr="006A2BF9">
              <w:rPr>
                <w:sz w:val="20"/>
                <w:lang w:val="it-IT"/>
              </w:rPr>
              <w:t>Paclitaxel/</w:t>
            </w:r>
            <w:r w:rsidR="00DE39C9" w:rsidRPr="006A2BF9">
              <w:rPr>
                <w:lang w:val="it-IT"/>
              </w:rPr>
              <w:t xml:space="preserve"> </w:t>
            </w:r>
            <w:r w:rsidR="00DE39C9" w:rsidRPr="006A2BF9">
              <w:rPr>
                <w:sz w:val="20"/>
                <w:lang w:val="it-IT"/>
              </w:rPr>
              <w:t>bevacizumab</w:t>
            </w:r>
          </w:p>
          <w:p w14:paraId="219E4EE1" w14:textId="77777777" w:rsidR="00A84203" w:rsidRPr="006A2BF9" w:rsidRDefault="00A84203" w:rsidP="008B3BC8">
            <w:pPr>
              <w:keepNext/>
              <w:keepLines/>
              <w:jc w:val="center"/>
              <w:rPr>
                <w:sz w:val="20"/>
                <w:lang w:val="it-IT"/>
              </w:rPr>
            </w:pPr>
            <w:r w:rsidRPr="006A2BF9">
              <w:rPr>
                <w:sz w:val="20"/>
                <w:lang w:val="it-IT"/>
              </w:rPr>
              <w:t>(n</w:t>
            </w:r>
            <w:r w:rsidR="00D41733" w:rsidRPr="006A2BF9">
              <w:rPr>
                <w:sz w:val="20"/>
                <w:lang w:val="it-IT"/>
              </w:rPr>
              <w:t> </w:t>
            </w:r>
            <w:r w:rsidRPr="006A2BF9">
              <w:rPr>
                <w:sz w:val="20"/>
                <w:lang w:val="it-IT"/>
              </w:rPr>
              <w:t>=</w:t>
            </w:r>
            <w:r w:rsidR="00D41733" w:rsidRPr="006A2BF9">
              <w:rPr>
                <w:sz w:val="20"/>
                <w:lang w:val="it-IT"/>
              </w:rPr>
              <w:t> </w:t>
            </w:r>
            <w:r w:rsidRPr="006A2BF9">
              <w:rPr>
                <w:sz w:val="20"/>
                <w:lang w:val="it-IT"/>
              </w:rPr>
              <w:t>368)</w:t>
            </w:r>
          </w:p>
        </w:tc>
        <w:tc>
          <w:tcPr>
            <w:tcW w:w="823" w:type="pct"/>
            <w:shd w:val="clear" w:color="auto" w:fill="auto"/>
          </w:tcPr>
          <w:p w14:paraId="5144D12C" w14:textId="77777777" w:rsidR="00A84203" w:rsidRPr="006A2BF9" w:rsidRDefault="00A84203" w:rsidP="008B3BC8">
            <w:pPr>
              <w:keepNext/>
              <w:keepLines/>
              <w:jc w:val="center"/>
              <w:rPr>
                <w:sz w:val="20"/>
                <w:lang w:val="it-IT"/>
              </w:rPr>
            </w:pPr>
            <w:r w:rsidRPr="006A2BF9">
              <w:rPr>
                <w:sz w:val="20"/>
                <w:lang w:val="it-IT"/>
              </w:rPr>
              <w:t>Paclitaxel</w:t>
            </w:r>
          </w:p>
          <w:p w14:paraId="5819711B" w14:textId="77777777" w:rsidR="00A84203" w:rsidRPr="006A2BF9" w:rsidRDefault="00A84203" w:rsidP="008B3BC8">
            <w:pPr>
              <w:keepNext/>
              <w:keepLines/>
              <w:jc w:val="center"/>
              <w:rPr>
                <w:sz w:val="20"/>
                <w:lang w:val="it-IT"/>
              </w:rPr>
            </w:pPr>
            <w:r w:rsidRPr="006A2BF9">
              <w:rPr>
                <w:sz w:val="20"/>
                <w:lang w:val="it-IT"/>
              </w:rPr>
              <w:t>(n</w:t>
            </w:r>
            <w:r w:rsidR="00D41733" w:rsidRPr="006A2BF9">
              <w:rPr>
                <w:sz w:val="20"/>
                <w:lang w:val="it-IT"/>
              </w:rPr>
              <w:t> </w:t>
            </w:r>
            <w:r w:rsidRPr="006A2BF9">
              <w:rPr>
                <w:sz w:val="20"/>
                <w:lang w:val="it-IT"/>
              </w:rPr>
              <w:t>=</w:t>
            </w:r>
            <w:r w:rsidR="00D41733" w:rsidRPr="006A2BF9">
              <w:rPr>
                <w:sz w:val="20"/>
                <w:lang w:val="it-IT"/>
              </w:rPr>
              <w:t> </w:t>
            </w:r>
            <w:r w:rsidRPr="006A2BF9">
              <w:rPr>
                <w:sz w:val="20"/>
                <w:lang w:val="it-IT"/>
              </w:rPr>
              <w:t>354)</w:t>
            </w:r>
          </w:p>
        </w:tc>
        <w:tc>
          <w:tcPr>
            <w:tcW w:w="1029" w:type="pct"/>
            <w:shd w:val="clear" w:color="auto" w:fill="auto"/>
          </w:tcPr>
          <w:p w14:paraId="6314F6C4" w14:textId="77777777" w:rsidR="00A84203" w:rsidRPr="006A2BF9" w:rsidRDefault="00A84203" w:rsidP="008B3BC8">
            <w:pPr>
              <w:keepNext/>
              <w:keepLines/>
              <w:jc w:val="center"/>
              <w:rPr>
                <w:sz w:val="20"/>
                <w:lang w:val="it-IT"/>
              </w:rPr>
            </w:pPr>
            <w:r w:rsidRPr="006A2BF9">
              <w:rPr>
                <w:sz w:val="20"/>
                <w:lang w:val="it-IT"/>
              </w:rPr>
              <w:t>Paclitaxel/</w:t>
            </w:r>
            <w:r w:rsidR="00DE39C9" w:rsidRPr="006A2BF9">
              <w:rPr>
                <w:lang w:val="it-IT"/>
              </w:rPr>
              <w:t xml:space="preserve"> </w:t>
            </w:r>
            <w:r w:rsidR="00DE39C9" w:rsidRPr="006A2BF9">
              <w:rPr>
                <w:sz w:val="20"/>
                <w:lang w:val="it-IT"/>
              </w:rPr>
              <w:t>bevacizumab</w:t>
            </w:r>
          </w:p>
          <w:p w14:paraId="364BB4DD" w14:textId="77777777" w:rsidR="00A84203" w:rsidRPr="006A2BF9" w:rsidRDefault="00A84203" w:rsidP="008B3BC8">
            <w:pPr>
              <w:keepNext/>
              <w:keepLines/>
              <w:jc w:val="center"/>
              <w:rPr>
                <w:sz w:val="20"/>
                <w:lang w:val="it-IT"/>
              </w:rPr>
            </w:pPr>
            <w:r w:rsidRPr="006A2BF9">
              <w:rPr>
                <w:sz w:val="20"/>
                <w:lang w:val="it-IT"/>
              </w:rPr>
              <w:t>(n</w:t>
            </w:r>
            <w:r w:rsidR="00D41733" w:rsidRPr="006A2BF9">
              <w:rPr>
                <w:sz w:val="20"/>
                <w:lang w:val="it-IT"/>
              </w:rPr>
              <w:t> </w:t>
            </w:r>
            <w:r w:rsidRPr="006A2BF9">
              <w:rPr>
                <w:sz w:val="20"/>
                <w:lang w:val="it-IT"/>
              </w:rPr>
              <w:t>=</w:t>
            </w:r>
            <w:r w:rsidR="00D41733" w:rsidRPr="006A2BF9">
              <w:rPr>
                <w:sz w:val="20"/>
                <w:lang w:val="it-IT"/>
              </w:rPr>
              <w:t> </w:t>
            </w:r>
            <w:r w:rsidRPr="006A2BF9">
              <w:rPr>
                <w:sz w:val="20"/>
                <w:lang w:val="it-IT"/>
              </w:rPr>
              <w:t>368)</w:t>
            </w:r>
          </w:p>
        </w:tc>
      </w:tr>
      <w:tr w:rsidR="00A84203" w:rsidRPr="006A2BF9" w14:paraId="1C9ECDB5" w14:textId="77777777" w:rsidTr="00E93D3C">
        <w:tc>
          <w:tcPr>
            <w:tcW w:w="1296" w:type="pct"/>
            <w:shd w:val="clear" w:color="auto" w:fill="auto"/>
          </w:tcPr>
          <w:p w14:paraId="1F5EE3FF" w14:textId="77777777" w:rsidR="00A84203" w:rsidRPr="006A2BF9" w:rsidRDefault="0025736A" w:rsidP="0025736A">
            <w:pPr>
              <w:keepNext/>
              <w:keepLines/>
              <w:jc w:val="center"/>
              <w:rPr>
                <w:sz w:val="20"/>
                <w:lang w:val="it-IT"/>
              </w:rPr>
            </w:pPr>
            <w:r w:rsidRPr="006A2BF9">
              <w:rPr>
                <w:sz w:val="20"/>
                <w:lang w:val="it-IT"/>
              </w:rPr>
              <w:t>PFS m</w:t>
            </w:r>
            <w:r w:rsidR="00A84203" w:rsidRPr="006A2BF9">
              <w:rPr>
                <w:sz w:val="20"/>
                <w:lang w:val="it-IT"/>
              </w:rPr>
              <w:t>edian</w:t>
            </w:r>
            <w:r w:rsidR="00D2320A" w:rsidRPr="006A2BF9">
              <w:rPr>
                <w:sz w:val="20"/>
                <w:lang w:val="it-IT"/>
              </w:rPr>
              <w:t>a</w:t>
            </w:r>
            <w:r w:rsidR="00A84203" w:rsidRPr="006A2BF9">
              <w:rPr>
                <w:sz w:val="20"/>
                <w:lang w:val="it-IT"/>
              </w:rPr>
              <w:t xml:space="preserve"> (m</w:t>
            </w:r>
            <w:r w:rsidR="00D2320A" w:rsidRPr="006A2BF9">
              <w:rPr>
                <w:sz w:val="20"/>
                <w:lang w:val="it-IT"/>
              </w:rPr>
              <w:t>e</w:t>
            </w:r>
            <w:r w:rsidR="00A84203" w:rsidRPr="006A2BF9">
              <w:rPr>
                <w:sz w:val="20"/>
                <w:lang w:val="it-IT"/>
              </w:rPr>
              <w:t>s</w:t>
            </w:r>
            <w:r w:rsidR="00D2320A" w:rsidRPr="006A2BF9">
              <w:rPr>
                <w:sz w:val="20"/>
                <w:lang w:val="it-IT"/>
              </w:rPr>
              <w:t>i</w:t>
            </w:r>
            <w:r w:rsidR="00A84203" w:rsidRPr="006A2BF9">
              <w:rPr>
                <w:sz w:val="20"/>
                <w:lang w:val="it-IT"/>
              </w:rPr>
              <w:t>)</w:t>
            </w:r>
          </w:p>
        </w:tc>
        <w:tc>
          <w:tcPr>
            <w:tcW w:w="823" w:type="pct"/>
            <w:shd w:val="clear" w:color="auto" w:fill="auto"/>
          </w:tcPr>
          <w:p w14:paraId="165D7785" w14:textId="77777777" w:rsidR="00A84203" w:rsidRPr="006A2BF9" w:rsidRDefault="00A84203" w:rsidP="008B3BC8">
            <w:pPr>
              <w:keepNext/>
              <w:keepLines/>
              <w:jc w:val="center"/>
              <w:rPr>
                <w:sz w:val="20"/>
                <w:lang w:val="it-IT"/>
              </w:rPr>
            </w:pPr>
            <w:r w:rsidRPr="006A2BF9">
              <w:rPr>
                <w:sz w:val="20"/>
                <w:lang w:val="it-IT"/>
              </w:rPr>
              <w:t>5</w:t>
            </w:r>
            <w:r w:rsidR="00AD2665" w:rsidRPr="006A2BF9">
              <w:rPr>
                <w:sz w:val="20"/>
                <w:lang w:val="it-IT"/>
              </w:rPr>
              <w:t>,</w:t>
            </w:r>
            <w:r w:rsidRPr="006A2BF9">
              <w:rPr>
                <w:sz w:val="20"/>
                <w:lang w:val="it-IT"/>
              </w:rPr>
              <w:t>8</w:t>
            </w:r>
          </w:p>
        </w:tc>
        <w:tc>
          <w:tcPr>
            <w:tcW w:w="1029" w:type="pct"/>
            <w:shd w:val="clear" w:color="auto" w:fill="auto"/>
          </w:tcPr>
          <w:p w14:paraId="1ABEE08B" w14:textId="77777777" w:rsidR="00A84203" w:rsidRPr="006A2BF9" w:rsidRDefault="00A84203" w:rsidP="008B3BC8">
            <w:pPr>
              <w:keepNext/>
              <w:keepLines/>
              <w:jc w:val="center"/>
              <w:rPr>
                <w:sz w:val="20"/>
                <w:lang w:val="it-IT"/>
              </w:rPr>
            </w:pPr>
            <w:r w:rsidRPr="006A2BF9">
              <w:rPr>
                <w:sz w:val="20"/>
                <w:lang w:val="it-IT"/>
              </w:rPr>
              <w:t>11</w:t>
            </w:r>
            <w:r w:rsidR="00AD2665" w:rsidRPr="006A2BF9">
              <w:rPr>
                <w:sz w:val="20"/>
                <w:lang w:val="it-IT"/>
              </w:rPr>
              <w:t>,</w:t>
            </w:r>
            <w:r w:rsidRPr="006A2BF9">
              <w:rPr>
                <w:sz w:val="20"/>
                <w:lang w:val="it-IT"/>
              </w:rPr>
              <w:t>4</w:t>
            </w:r>
          </w:p>
        </w:tc>
        <w:tc>
          <w:tcPr>
            <w:tcW w:w="823" w:type="pct"/>
            <w:shd w:val="clear" w:color="auto" w:fill="auto"/>
          </w:tcPr>
          <w:p w14:paraId="27B8E2F4" w14:textId="77777777" w:rsidR="00A84203" w:rsidRPr="006A2BF9" w:rsidRDefault="00A84203" w:rsidP="008B3BC8">
            <w:pPr>
              <w:keepNext/>
              <w:keepLines/>
              <w:jc w:val="center"/>
              <w:rPr>
                <w:sz w:val="20"/>
                <w:lang w:val="it-IT"/>
              </w:rPr>
            </w:pPr>
            <w:r w:rsidRPr="006A2BF9">
              <w:rPr>
                <w:sz w:val="20"/>
                <w:lang w:val="it-IT"/>
              </w:rPr>
              <w:t>5</w:t>
            </w:r>
            <w:r w:rsidR="00AD2665" w:rsidRPr="006A2BF9">
              <w:rPr>
                <w:sz w:val="20"/>
                <w:lang w:val="it-IT"/>
              </w:rPr>
              <w:t>,</w:t>
            </w:r>
            <w:r w:rsidRPr="006A2BF9">
              <w:rPr>
                <w:sz w:val="20"/>
                <w:lang w:val="it-IT"/>
              </w:rPr>
              <w:t>8</w:t>
            </w:r>
          </w:p>
        </w:tc>
        <w:tc>
          <w:tcPr>
            <w:tcW w:w="1029" w:type="pct"/>
            <w:shd w:val="clear" w:color="auto" w:fill="auto"/>
          </w:tcPr>
          <w:p w14:paraId="7AE775CA" w14:textId="77777777" w:rsidR="00A84203" w:rsidRPr="006A2BF9" w:rsidRDefault="00A84203" w:rsidP="008B3BC8">
            <w:pPr>
              <w:keepNext/>
              <w:keepLines/>
              <w:jc w:val="center"/>
              <w:rPr>
                <w:sz w:val="20"/>
                <w:lang w:val="it-IT"/>
              </w:rPr>
            </w:pPr>
            <w:r w:rsidRPr="006A2BF9">
              <w:rPr>
                <w:sz w:val="20"/>
                <w:lang w:val="it-IT"/>
              </w:rPr>
              <w:t>11</w:t>
            </w:r>
            <w:r w:rsidR="00AD2665" w:rsidRPr="006A2BF9">
              <w:rPr>
                <w:sz w:val="20"/>
                <w:lang w:val="it-IT"/>
              </w:rPr>
              <w:t>,</w:t>
            </w:r>
            <w:r w:rsidRPr="006A2BF9">
              <w:rPr>
                <w:sz w:val="20"/>
                <w:lang w:val="it-IT"/>
              </w:rPr>
              <w:t>3</w:t>
            </w:r>
          </w:p>
        </w:tc>
      </w:tr>
      <w:tr w:rsidR="00A84203" w:rsidRPr="006A2BF9" w14:paraId="54396DDD" w14:textId="77777777" w:rsidTr="00E93D3C">
        <w:tc>
          <w:tcPr>
            <w:tcW w:w="1296" w:type="pct"/>
            <w:shd w:val="clear" w:color="auto" w:fill="auto"/>
          </w:tcPr>
          <w:p w14:paraId="13464E08" w14:textId="77777777" w:rsidR="00A84203" w:rsidRPr="000F0246" w:rsidRDefault="004C45F5" w:rsidP="008B3BC8">
            <w:pPr>
              <w:keepNext/>
              <w:keepLines/>
              <w:jc w:val="center"/>
              <w:rPr>
                <w:i/>
                <w:sz w:val="20"/>
                <w:lang w:val="it-IT"/>
              </w:rPr>
            </w:pPr>
            <w:r>
              <w:rPr>
                <w:i/>
                <w:sz w:val="20"/>
                <w:lang w:val="it-IT"/>
              </w:rPr>
              <w:t>HR</w:t>
            </w:r>
          </w:p>
          <w:p w14:paraId="0B2C4201" w14:textId="77777777" w:rsidR="00A84203" w:rsidRPr="00330A40" w:rsidRDefault="00A84203" w:rsidP="008B3BC8">
            <w:pPr>
              <w:keepNext/>
              <w:keepLines/>
              <w:jc w:val="center"/>
              <w:rPr>
                <w:sz w:val="20"/>
                <w:lang w:val="it-IT"/>
              </w:rPr>
            </w:pPr>
            <w:r w:rsidRPr="00330A40">
              <w:rPr>
                <w:sz w:val="20"/>
                <w:lang w:val="it-IT"/>
              </w:rPr>
              <w:t>(</w:t>
            </w:r>
            <w:r w:rsidR="00D2320A" w:rsidRPr="00330A40">
              <w:rPr>
                <w:sz w:val="20"/>
                <w:lang w:val="it-IT"/>
              </w:rPr>
              <w:t>IC</w:t>
            </w:r>
            <w:r w:rsidR="00831FDE">
              <w:rPr>
                <w:sz w:val="20"/>
                <w:lang w:val="it-IT"/>
              </w:rPr>
              <w:t xml:space="preserve"> al</w:t>
            </w:r>
            <w:r w:rsidR="00D2320A" w:rsidRPr="00330A40">
              <w:rPr>
                <w:sz w:val="20"/>
                <w:lang w:val="it-IT"/>
              </w:rPr>
              <w:t xml:space="preserve"> </w:t>
            </w:r>
            <w:r w:rsidRPr="00330A40">
              <w:rPr>
                <w:sz w:val="20"/>
                <w:lang w:val="it-IT"/>
              </w:rPr>
              <w:t>95%)</w:t>
            </w:r>
          </w:p>
        </w:tc>
        <w:tc>
          <w:tcPr>
            <w:tcW w:w="1852" w:type="pct"/>
            <w:gridSpan w:val="2"/>
            <w:shd w:val="clear" w:color="auto" w:fill="auto"/>
          </w:tcPr>
          <w:p w14:paraId="3BECE393" w14:textId="77777777" w:rsidR="00A84203" w:rsidRPr="00330A40" w:rsidRDefault="00A84203" w:rsidP="008B3BC8">
            <w:pPr>
              <w:keepNext/>
              <w:keepLines/>
              <w:jc w:val="center"/>
              <w:rPr>
                <w:sz w:val="20"/>
                <w:lang w:val="it-IT"/>
              </w:rPr>
            </w:pPr>
            <w:r w:rsidRPr="00330A40">
              <w:rPr>
                <w:sz w:val="20"/>
                <w:lang w:val="it-IT"/>
              </w:rPr>
              <w:t>0</w:t>
            </w:r>
            <w:r w:rsidR="00AD2665" w:rsidRPr="00330A40">
              <w:rPr>
                <w:sz w:val="20"/>
                <w:lang w:val="it-IT"/>
              </w:rPr>
              <w:t>,</w:t>
            </w:r>
            <w:r w:rsidRPr="00330A40">
              <w:rPr>
                <w:sz w:val="20"/>
                <w:lang w:val="it-IT"/>
              </w:rPr>
              <w:t xml:space="preserve">421 </w:t>
            </w:r>
          </w:p>
          <w:p w14:paraId="09E3559F" w14:textId="77777777" w:rsidR="00A84203" w:rsidRPr="00330A40" w:rsidRDefault="00A84203" w:rsidP="008B3BC8">
            <w:pPr>
              <w:keepNext/>
              <w:keepLines/>
              <w:jc w:val="center"/>
              <w:rPr>
                <w:sz w:val="20"/>
                <w:lang w:val="it-IT"/>
              </w:rPr>
            </w:pPr>
            <w:r w:rsidRPr="00330A40">
              <w:rPr>
                <w:sz w:val="20"/>
                <w:lang w:val="it-IT"/>
              </w:rPr>
              <w:t>(0</w:t>
            </w:r>
            <w:r w:rsidR="00AD2665" w:rsidRPr="00330A40">
              <w:rPr>
                <w:sz w:val="20"/>
                <w:lang w:val="it-IT"/>
              </w:rPr>
              <w:t>,</w:t>
            </w:r>
            <w:r w:rsidRPr="00330A40">
              <w:rPr>
                <w:sz w:val="20"/>
                <w:lang w:val="it-IT"/>
              </w:rPr>
              <w:t>343; 0</w:t>
            </w:r>
            <w:r w:rsidR="00AD2665" w:rsidRPr="00330A40">
              <w:rPr>
                <w:sz w:val="20"/>
                <w:lang w:val="it-IT"/>
              </w:rPr>
              <w:t>,</w:t>
            </w:r>
            <w:r w:rsidRPr="00330A40">
              <w:rPr>
                <w:sz w:val="20"/>
                <w:lang w:val="it-IT"/>
              </w:rPr>
              <w:t>516)</w:t>
            </w:r>
          </w:p>
        </w:tc>
        <w:tc>
          <w:tcPr>
            <w:tcW w:w="1852" w:type="pct"/>
            <w:gridSpan w:val="2"/>
            <w:shd w:val="clear" w:color="auto" w:fill="auto"/>
          </w:tcPr>
          <w:p w14:paraId="715878B8" w14:textId="77777777" w:rsidR="00A84203" w:rsidRPr="00330A40" w:rsidRDefault="00A84203" w:rsidP="008B3BC8">
            <w:pPr>
              <w:keepNext/>
              <w:keepLines/>
              <w:jc w:val="center"/>
              <w:rPr>
                <w:sz w:val="20"/>
                <w:lang w:val="it-IT"/>
              </w:rPr>
            </w:pPr>
            <w:r w:rsidRPr="00330A40">
              <w:rPr>
                <w:sz w:val="20"/>
                <w:lang w:val="it-IT"/>
              </w:rPr>
              <w:t>0</w:t>
            </w:r>
            <w:r w:rsidR="00AD2665" w:rsidRPr="00330A40">
              <w:rPr>
                <w:sz w:val="20"/>
                <w:lang w:val="it-IT"/>
              </w:rPr>
              <w:t>,</w:t>
            </w:r>
            <w:r w:rsidRPr="00330A40">
              <w:rPr>
                <w:sz w:val="20"/>
                <w:lang w:val="it-IT"/>
              </w:rPr>
              <w:t xml:space="preserve">483 </w:t>
            </w:r>
          </w:p>
          <w:p w14:paraId="6A1C2161" w14:textId="77777777" w:rsidR="00A84203" w:rsidRPr="00330A40" w:rsidRDefault="00A84203" w:rsidP="008B3BC8">
            <w:pPr>
              <w:keepNext/>
              <w:keepLines/>
              <w:jc w:val="center"/>
              <w:rPr>
                <w:sz w:val="20"/>
                <w:lang w:val="it-IT"/>
              </w:rPr>
            </w:pPr>
            <w:r w:rsidRPr="00330A40">
              <w:rPr>
                <w:sz w:val="20"/>
                <w:lang w:val="it-IT"/>
              </w:rPr>
              <w:t>(0</w:t>
            </w:r>
            <w:r w:rsidR="00AD2665" w:rsidRPr="00330A40">
              <w:rPr>
                <w:sz w:val="20"/>
                <w:lang w:val="it-IT"/>
              </w:rPr>
              <w:t>,</w:t>
            </w:r>
            <w:r w:rsidRPr="00330A40">
              <w:rPr>
                <w:sz w:val="20"/>
                <w:lang w:val="it-IT"/>
              </w:rPr>
              <w:t>385; 0</w:t>
            </w:r>
            <w:r w:rsidR="00AD2665" w:rsidRPr="00330A40">
              <w:rPr>
                <w:sz w:val="20"/>
                <w:lang w:val="it-IT"/>
              </w:rPr>
              <w:t>,</w:t>
            </w:r>
            <w:r w:rsidRPr="00330A40">
              <w:rPr>
                <w:sz w:val="20"/>
                <w:lang w:val="it-IT"/>
              </w:rPr>
              <w:t>607)</w:t>
            </w:r>
          </w:p>
        </w:tc>
      </w:tr>
      <w:tr w:rsidR="00A84203" w:rsidRPr="006A2BF9" w14:paraId="28EE96EC" w14:textId="77777777" w:rsidTr="00E93D3C">
        <w:tc>
          <w:tcPr>
            <w:tcW w:w="1296" w:type="pct"/>
            <w:shd w:val="clear" w:color="auto" w:fill="auto"/>
          </w:tcPr>
          <w:p w14:paraId="3A389924" w14:textId="77777777" w:rsidR="00A84203" w:rsidRPr="006A2BF9" w:rsidRDefault="00D2320A" w:rsidP="008B3BC8">
            <w:pPr>
              <w:keepNext/>
              <w:keepLines/>
              <w:jc w:val="center"/>
              <w:rPr>
                <w:sz w:val="20"/>
                <w:lang w:val="it-IT"/>
              </w:rPr>
            </w:pPr>
            <w:r w:rsidRPr="006A2BF9">
              <w:rPr>
                <w:sz w:val="20"/>
                <w:lang w:val="it-IT"/>
              </w:rPr>
              <w:t>valore di p</w:t>
            </w:r>
          </w:p>
        </w:tc>
        <w:tc>
          <w:tcPr>
            <w:tcW w:w="1852" w:type="pct"/>
            <w:gridSpan w:val="2"/>
            <w:shd w:val="clear" w:color="auto" w:fill="auto"/>
          </w:tcPr>
          <w:p w14:paraId="2857DC76" w14:textId="77777777" w:rsidR="00A84203" w:rsidRPr="006A2BF9" w:rsidRDefault="00A84203" w:rsidP="008B3BC8">
            <w:pPr>
              <w:keepNext/>
              <w:keepLines/>
              <w:jc w:val="center"/>
              <w:rPr>
                <w:sz w:val="20"/>
                <w:lang w:val="it-IT"/>
              </w:rPr>
            </w:pPr>
            <w:r w:rsidRPr="006A2BF9">
              <w:rPr>
                <w:sz w:val="20"/>
                <w:lang w:val="it-IT"/>
              </w:rPr>
              <w:t>&lt;</w:t>
            </w:r>
            <w:r w:rsidR="00D41733" w:rsidRPr="006A2BF9">
              <w:rPr>
                <w:sz w:val="20"/>
                <w:lang w:val="it-IT"/>
              </w:rPr>
              <w:t> </w:t>
            </w:r>
            <w:r w:rsidRPr="006A2BF9">
              <w:rPr>
                <w:sz w:val="20"/>
                <w:lang w:val="it-IT"/>
              </w:rPr>
              <w:t>0</w:t>
            </w:r>
            <w:r w:rsidR="00AD2665" w:rsidRPr="006A2BF9">
              <w:rPr>
                <w:sz w:val="20"/>
                <w:lang w:val="it-IT"/>
              </w:rPr>
              <w:t>,</w:t>
            </w:r>
            <w:r w:rsidRPr="006A2BF9">
              <w:rPr>
                <w:sz w:val="20"/>
                <w:lang w:val="it-IT"/>
              </w:rPr>
              <w:t>0001</w:t>
            </w:r>
          </w:p>
        </w:tc>
        <w:tc>
          <w:tcPr>
            <w:tcW w:w="1852" w:type="pct"/>
            <w:gridSpan w:val="2"/>
            <w:shd w:val="clear" w:color="auto" w:fill="auto"/>
          </w:tcPr>
          <w:p w14:paraId="4DB1614D" w14:textId="77777777" w:rsidR="00A84203" w:rsidRPr="006A2BF9" w:rsidRDefault="00A84203" w:rsidP="008B3BC8">
            <w:pPr>
              <w:keepNext/>
              <w:keepLines/>
              <w:jc w:val="center"/>
              <w:rPr>
                <w:sz w:val="20"/>
                <w:lang w:val="it-IT"/>
              </w:rPr>
            </w:pPr>
            <w:r w:rsidRPr="006A2BF9">
              <w:rPr>
                <w:sz w:val="20"/>
                <w:lang w:val="it-IT"/>
              </w:rPr>
              <w:t>&lt;</w:t>
            </w:r>
            <w:r w:rsidR="00D41733" w:rsidRPr="006A2BF9">
              <w:rPr>
                <w:sz w:val="20"/>
                <w:lang w:val="it-IT"/>
              </w:rPr>
              <w:t> </w:t>
            </w:r>
            <w:r w:rsidRPr="006A2BF9">
              <w:rPr>
                <w:sz w:val="20"/>
                <w:lang w:val="it-IT"/>
              </w:rPr>
              <w:t>0</w:t>
            </w:r>
            <w:r w:rsidR="00AD2665" w:rsidRPr="006A2BF9">
              <w:rPr>
                <w:sz w:val="20"/>
                <w:lang w:val="it-IT"/>
              </w:rPr>
              <w:t>,</w:t>
            </w:r>
            <w:r w:rsidRPr="006A2BF9">
              <w:rPr>
                <w:sz w:val="20"/>
                <w:lang w:val="it-IT"/>
              </w:rPr>
              <w:t>0001</w:t>
            </w:r>
          </w:p>
        </w:tc>
      </w:tr>
      <w:tr w:rsidR="00A84203" w:rsidRPr="006A2BF9" w14:paraId="54CBC69E" w14:textId="77777777" w:rsidTr="00E93D3C">
        <w:tc>
          <w:tcPr>
            <w:tcW w:w="5000" w:type="pct"/>
            <w:gridSpan w:val="5"/>
            <w:shd w:val="clear" w:color="auto" w:fill="auto"/>
          </w:tcPr>
          <w:p w14:paraId="6420AE4E" w14:textId="77777777" w:rsidR="00A84203" w:rsidRPr="006A2BF9" w:rsidRDefault="00D2320A" w:rsidP="008B3BC8">
            <w:pPr>
              <w:keepNext/>
              <w:keepLines/>
              <w:spacing w:before="120" w:after="120"/>
              <w:rPr>
                <w:sz w:val="20"/>
                <w:lang w:val="it-IT"/>
              </w:rPr>
            </w:pPr>
            <w:r w:rsidRPr="006A2BF9">
              <w:rPr>
                <w:sz w:val="20"/>
                <w:lang w:val="it-IT"/>
              </w:rPr>
              <w:t xml:space="preserve">Tasso di risposta </w:t>
            </w:r>
            <w:r w:rsidR="00A84203" w:rsidRPr="006A2BF9">
              <w:rPr>
                <w:sz w:val="20"/>
                <w:lang w:val="it-IT"/>
              </w:rPr>
              <w:t>(</w:t>
            </w:r>
            <w:r w:rsidRPr="006A2BF9">
              <w:rPr>
                <w:sz w:val="20"/>
                <w:lang w:val="it-IT"/>
              </w:rPr>
              <w:t>per pazienti con malattia misurabile</w:t>
            </w:r>
            <w:r w:rsidR="00A84203" w:rsidRPr="006A2BF9">
              <w:rPr>
                <w:sz w:val="20"/>
                <w:lang w:val="it-IT"/>
              </w:rPr>
              <w:t>)</w:t>
            </w:r>
          </w:p>
        </w:tc>
      </w:tr>
      <w:tr w:rsidR="00A84203" w:rsidRPr="006A2BF9" w14:paraId="6326A82B" w14:textId="77777777" w:rsidTr="00E93D3C">
        <w:tc>
          <w:tcPr>
            <w:tcW w:w="1296" w:type="pct"/>
            <w:shd w:val="clear" w:color="auto" w:fill="auto"/>
          </w:tcPr>
          <w:p w14:paraId="288F84E6" w14:textId="77777777" w:rsidR="00A84203" w:rsidRPr="006A2BF9" w:rsidRDefault="00A84203" w:rsidP="008B3BC8">
            <w:pPr>
              <w:keepNext/>
              <w:keepLines/>
              <w:jc w:val="center"/>
              <w:rPr>
                <w:sz w:val="20"/>
                <w:lang w:val="it-IT"/>
              </w:rPr>
            </w:pPr>
          </w:p>
        </w:tc>
        <w:tc>
          <w:tcPr>
            <w:tcW w:w="1852" w:type="pct"/>
            <w:gridSpan w:val="2"/>
            <w:shd w:val="clear" w:color="auto" w:fill="auto"/>
          </w:tcPr>
          <w:p w14:paraId="24EA3BCE" w14:textId="77777777" w:rsidR="00A84203" w:rsidRPr="006A2BF9" w:rsidRDefault="00A84203" w:rsidP="008B3BC8">
            <w:pPr>
              <w:keepNext/>
              <w:keepLines/>
              <w:jc w:val="center"/>
              <w:rPr>
                <w:sz w:val="20"/>
                <w:lang w:val="it-IT"/>
              </w:rPr>
            </w:pPr>
            <w:r w:rsidRPr="006A2BF9">
              <w:rPr>
                <w:sz w:val="20"/>
                <w:lang w:val="it-IT"/>
              </w:rPr>
              <w:t>Valutazione dello sperimentatore</w:t>
            </w:r>
          </w:p>
        </w:tc>
        <w:tc>
          <w:tcPr>
            <w:tcW w:w="1852" w:type="pct"/>
            <w:gridSpan w:val="2"/>
            <w:shd w:val="clear" w:color="auto" w:fill="auto"/>
          </w:tcPr>
          <w:p w14:paraId="490515EB" w14:textId="77777777" w:rsidR="00A84203" w:rsidRPr="006A2BF9" w:rsidRDefault="00B5717A" w:rsidP="008B3BC8">
            <w:pPr>
              <w:keepNext/>
              <w:keepLines/>
              <w:jc w:val="center"/>
              <w:rPr>
                <w:sz w:val="20"/>
                <w:lang w:val="it-IT"/>
              </w:rPr>
            </w:pPr>
            <w:r w:rsidRPr="006A2BF9">
              <w:rPr>
                <w:sz w:val="20"/>
                <w:lang w:val="it-IT"/>
              </w:rPr>
              <w:t xml:space="preserve">Valutazione </w:t>
            </w:r>
            <w:r w:rsidR="00A84203" w:rsidRPr="006A2BF9">
              <w:rPr>
                <w:sz w:val="20"/>
                <w:lang w:val="it-IT"/>
              </w:rPr>
              <w:t>IRF</w:t>
            </w:r>
          </w:p>
        </w:tc>
      </w:tr>
      <w:tr w:rsidR="00A84203" w:rsidRPr="006A2BF9" w14:paraId="0467E1F3" w14:textId="77777777" w:rsidTr="00E93D3C">
        <w:tc>
          <w:tcPr>
            <w:tcW w:w="1296" w:type="pct"/>
            <w:shd w:val="clear" w:color="auto" w:fill="auto"/>
          </w:tcPr>
          <w:p w14:paraId="5D0E649E" w14:textId="77777777" w:rsidR="00A84203" w:rsidRPr="006A2BF9" w:rsidRDefault="00A84203" w:rsidP="008B3BC8">
            <w:pPr>
              <w:keepNext/>
              <w:keepLines/>
              <w:jc w:val="center"/>
              <w:rPr>
                <w:sz w:val="20"/>
                <w:lang w:val="it-IT"/>
              </w:rPr>
            </w:pPr>
          </w:p>
        </w:tc>
        <w:tc>
          <w:tcPr>
            <w:tcW w:w="823" w:type="pct"/>
            <w:shd w:val="clear" w:color="auto" w:fill="auto"/>
          </w:tcPr>
          <w:p w14:paraId="0C36E9ED" w14:textId="77777777" w:rsidR="00A84203" w:rsidRPr="006A2BF9" w:rsidRDefault="00A84203" w:rsidP="008B3BC8">
            <w:pPr>
              <w:keepNext/>
              <w:keepLines/>
              <w:jc w:val="center"/>
              <w:rPr>
                <w:sz w:val="20"/>
                <w:lang w:val="it-IT"/>
              </w:rPr>
            </w:pPr>
            <w:r w:rsidRPr="006A2BF9">
              <w:rPr>
                <w:sz w:val="20"/>
                <w:lang w:val="it-IT"/>
              </w:rPr>
              <w:t>Paclitaxel</w:t>
            </w:r>
          </w:p>
          <w:p w14:paraId="31B8EB7C" w14:textId="77777777" w:rsidR="00A84203" w:rsidRPr="006A2BF9" w:rsidRDefault="00A84203" w:rsidP="008B3BC8">
            <w:pPr>
              <w:keepNext/>
              <w:keepLines/>
              <w:jc w:val="center"/>
              <w:rPr>
                <w:sz w:val="20"/>
                <w:lang w:val="it-IT"/>
              </w:rPr>
            </w:pPr>
            <w:r w:rsidRPr="006A2BF9">
              <w:rPr>
                <w:sz w:val="20"/>
                <w:lang w:val="it-IT"/>
              </w:rPr>
              <w:t>(n</w:t>
            </w:r>
            <w:r w:rsidR="00D41733" w:rsidRPr="006A2BF9">
              <w:rPr>
                <w:sz w:val="20"/>
                <w:lang w:val="it-IT"/>
              </w:rPr>
              <w:t> </w:t>
            </w:r>
            <w:r w:rsidRPr="006A2BF9">
              <w:rPr>
                <w:sz w:val="20"/>
                <w:lang w:val="it-IT"/>
              </w:rPr>
              <w:t>=</w:t>
            </w:r>
            <w:r w:rsidR="00D41733" w:rsidRPr="006A2BF9">
              <w:rPr>
                <w:sz w:val="20"/>
                <w:lang w:val="it-IT"/>
              </w:rPr>
              <w:t> </w:t>
            </w:r>
            <w:r w:rsidRPr="006A2BF9">
              <w:rPr>
                <w:sz w:val="20"/>
                <w:lang w:val="it-IT"/>
              </w:rPr>
              <w:t>2</w:t>
            </w:r>
            <w:r w:rsidR="007732E9" w:rsidRPr="006A2BF9">
              <w:rPr>
                <w:sz w:val="20"/>
                <w:lang w:val="it-IT"/>
              </w:rPr>
              <w:t>7</w:t>
            </w:r>
            <w:r w:rsidRPr="006A2BF9">
              <w:rPr>
                <w:sz w:val="20"/>
                <w:lang w:val="it-IT"/>
              </w:rPr>
              <w:t>3)</w:t>
            </w:r>
          </w:p>
        </w:tc>
        <w:tc>
          <w:tcPr>
            <w:tcW w:w="1029" w:type="pct"/>
            <w:shd w:val="clear" w:color="auto" w:fill="auto"/>
          </w:tcPr>
          <w:p w14:paraId="1E2ECB57" w14:textId="77777777" w:rsidR="00A84203" w:rsidRPr="006A2BF9" w:rsidRDefault="00A84203" w:rsidP="008B3BC8">
            <w:pPr>
              <w:keepNext/>
              <w:keepLines/>
              <w:jc w:val="center"/>
              <w:rPr>
                <w:sz w:val="20"/>
                <w:lang w:val="it-IT"/>
              </w:rPr>
            </w:pPr>
            <w:r w:rsidRPr="006A2BF9">
              <w:rPr>
                <w:sz w:val="20"/>
                <w:lang w:val="it-IT"/>
              </w:rPr>
              <w:t>Paclitaxel/</w:t>
            </w:r>
            <w:r w:rsidR="00DE39C9" w:rsidRPr="006A2BF9">
              <w:rPr>
                <w:lang w:val="it-IT"/>
              </w:rPr>
              <w:t xml:space="preserve"> </w:t>
            </w:r>
            <w:r w:rsidR="00DE39C9" w:rsidRPr="006A2BF9">
              <w:rPr>
                <w:sz w:val="20"/>
                <w:lang w:val="it-IT"/>
              </w:rPr>
              <w:t>bevacizumab</w:t>
            </w:r>
          </w:p>
          <w:p w14:paraId="043B938A" w14:textId="77777777" w:rsidR="00A84203" w:rsidRPr="006A2BF9" w:rsidRDefault="00A84203" w:rsidP="008B3BC8">
            <w:pPr>
              <w:keepNext/>
              <w:keepLines/>
              <w:jc w:val="center"/>
              <w:rPr>
                <w:sz w:val="20"/>
                <w:lang w:val="it-IT"/>
              </w:rPr>
            </w:pPr>
            <w:r w:rsidRPr="006A2BF9">
              <w:rPr>
                <w:sz w:val="20"/>
                <w:lang w:val="it-IT"/>
              </w:rPr>
              <w:t>(n</w:t>
            </w:r>
            <w:r w:rsidR="00D41733" w:rsidRPr="006A2BF9">
              <w:rPr>
                <w:sz w:val="20"/>
                <w:lang w:val="it-IT"/>
              </w:rPr>
              <w:t> </w:t>
            </w:r>
            <w:r w:rsidRPr="006A2BF9">
              <w:rPr>
                <w:sz w:val="20"/>
                <w:lang w:val="it-IT"/>
              </w:rPr>
              <w:t>=</w:t>
            </w:r>
            <w:r w:rsidR="00D41733" w:rsidRPr="006A2BF9">
              <w:rPr>
                <w:sz w:val="20"/>
                <w:lang w:val="it-IT"/>
              </w:rPr>
              <w:t> </w:t>
            </w:r>
            <w:r w:rsidRPr="006A2BF9">
              <w:rPr>
                <w:sz w:val="20"/>
                <w:lang w:val="it-IT"/>
              </w:rPr>
              <w:t>2</w:t>
            </w:r>
            <w:r w:rsidR="007732E9" w:rsidRPr="006A2BF9">
              <w:rPr>
                <w:sz w:val="20"/>
                <w:lang w:val="it-IT"/>
              </w:rPr>
              <w:t>52</w:t>
            </w:r>
            <w:r w:rsidRPr="006A2BF9">
              <w:rPr>
                <w:sz w:val="20"/>
                <w:lang w:val="it-IT"/>
              </w:rPr>
              <w:t>)</w:t>
            </w:r>
          </w:p>
        </w:tc>
        <w:tc>
          <w:tcPr>
            <w:tcW w:w="823" w:type="pct"/>
            <w:shd w:val="clear" w:color="auto" w:fill="auto"/>
          </w:tcPr>
          <w:p w14:paraId="7C97BAD2" w14:textId="77777777" w:rsidR="00A84203" w:rsidRPr="006A2BF9" w:rsidRDefault="00A84203" w:rsidP="008B3BC8">
            <w:pPr>
              <w:keepNext/>
              <w:keepLines/>
              <w:jc w:val="center"/>
              <w:rPr>
                <w:sz w:val="20"/>
                <w:lang w:val="it-IT"/>
              </w:rPr>
            </w:pPr>
            <w:r w:rsidRPr="006A2BF9">
              <w:rPr>
                <w:sz w:val="20"/>
                <w:lang w:val="it-IT"/>
              </w:rPr>
              <w:t>Paclitaxel</w:t>
            </w:r>
          </w:p>
          <w:p w14:paraId="63E6F223" w14:textId="77777777" w:rsidR="00A84203" w:rsidRPr="006A2BF9" w:rsidRDefault="00A84203" w:rsidP="008B3BC8">
            <w:pPr>
              <w:keepNext/>
              <w:keepLines/>
              <w:jc w:val="center"/>
              <w:rPr>
                <w:sz w:val="20"/>
                <w:lang w:val="it-IT"/>
              </w:rPr>
            </w:pPr>
            <w:r w:rsidRPr="006A2BF9">
              <w:rPr>
                <w:sz w:val="20"/>
                <w:lang w:val="it-IT"/>
              </w:rPr>
              <w:t>(n</w:t>
            </w:r>
            <w:r w:rsidR="00D41733" w:rsidRPr="006A2BF9">
              <w:rPr>
                <w:sz w:val="20"/>
                <w:lang w:val="it-IT"/>
              </w:rPr>
              <w:t> </w:t>
            </w:r>
            <w:r w:rsidRPr="006A2BF9">
              <w:rPr>
                <w:sz w:val="20"/>
                <w:lang w:val="it-IT"/>
              </w:rPr>
              <w:t>=</w:t>
            </w:r>
            <w:r w:rsidR="00D41733" w:rsidRPr="006A2BF9">
              <w:rPr>
                <w:sz w:val="20"/>
                <w:lang w:val="it-IT"/>
              </w:rPr>
              <w:t> </w:t>
            </w:r>
            <w:r w:rsidRPr="006A2BF9">
              <w:rPr>
                <w:sz w:val="20"/>
                <w:lang w:val="it-IT"/>
              </w:rPr>
              <w:t>243)</w:t>
            </w:r>
          </w:p>
        </w:tc>
        <w:tc>
          <w:tcPr>
            <w:tcW w:w="1029" w:type="pct"/>
            <w:shd w:val="clear" w:color="auto" w:fill="auto"/>
          </w:tcPr>
          <w:p w14:paraId="2DE41FA1" w14:textId="77777777" w:rsidR="00A84203" w:rsidRPr="006A2BF9" w:rsidRDefault="00A84203" w:rsidP="008B3BC8">
            <w:pPr>
              <w:keepNext/>
              <w:keepLines/>
              <w:jc w:val="center"/>
              <w:rPr>
                <w:sz w:val="20"/>
                <w:lang w:val="it-IT"/>
              </w:rPr>
            </w:pPr>
            <w:r w:rsidRPr="006A2BF9">
              <w:rPr>
                <w:sz w:val="20"/>
                <w:lang w:val="it-IT"/>
              </w:rPr>
              <w:t>Paclitaxel/</w:t>
            </w:r>
            <w:r w:rsidR="00DE39C9" w:rsidRPr="006A2BF9">
              <w:rPr>
                <w:sz w:val="20"/>
                <w:lang w:val="it-IT"/>
              </w:rPr>
              <w:t>bevacizumab</w:t>
            </w:r>
          </w:p>
          <w:p w14:paraId="239E2115" w14:textId="77777777" w:rsidR="00A84203" w:rsidRPr="006A2BF9" w:rsidRDefault="00A84203" w:rsidP="008B3BC8">
            <w:pPr>
              <w:keepNext/>
              <w:keepLines/>
              <w:jc w:val="center"/>
              <w:rPr>
                <w:sz w:val="20"/>
                <w:lang w:val="it-IT"/>
              </w:rPr>
            </w:pPr>
            <w:r w:rsidRPr="006A2BF9">
              <w:rPr>
                <w:sz w:val="20"/>
                <w:lang w:val="it-IT"/>
              </w:rPr>
              <w:t>(n</w:t>
            </w:r>
            <w:r w:rsidR="00D41733" w:rsidRPr="006A2BF9">
              <w:rPr>
                <w:sz w:val="20"/>
                <w:lang w:val="it-IT"/>
              </w:rPr>
              <w:t> </w:t>
            </w:r>
            <w:r w:rsidRPr="006A2BF9">
              <w:rPr>
                <w:sz w:val="20"/>
                <w:lang w:val="it-IT"/>
              </w:rPr>
              <w:t>=</w:t>
            </w:r>
            <w:r w:rsidR="00D41733" w:rsidRPr="006A2BF9">
              <w:rPr>
                <w:sz w:val="20"/>
                <w:lang w:val="it-IT"/>
              </w:rPr>
              <w:t> </w:t>
            </w:r>
            <w:r w:rsidRPr="006A2BF9">
              <w:rPr>
                <w:sz w:val="20"/>
                <w:lang w:val="it-IT"/>
              </w:rPr>
              <w:t>229)</w:t>
            </w:r>
          </w:p>
        </w:tc>
      </w:tr>
      <w:tr w:rsidR="00A84203" w:rsidRPr="006A2BF9" w14:paraId="2EC2794A" w14:textId="77777777" w:rsidTr="00E93D3C">
        <w:tc>
          <w:tcPr>
            <w:tcW w:w="1296" w:type="pct"/>
            <w:shd w:val="clear" w:color="auto" w:fill="auto"/>
          </w:tcPr>
          <w:p w14:paraId="2053C70D" w14:textId="77777777" w:rsidR="00A84203" w:rsidRPr="006A2BF9" w:rsidRDefault="00A84203" w:rsidP="008B3BC8">
            <w:pPr>
              <w:keepNext/>
              <w:keepLines/>
              <w:jc w:val="center"/>
              <w:rPr>
                <w:sz w:val="20"/>
                <w:lang w:val="it-IT"/>
              </w:rPr>
            </w:pPr>
            <w:r w:rsidRPr="006A2BF9">
              <w:rPr>
                <w:sz w:val="20"/>
                <w:lang w:val="it-IT"/>
              </w:rPr>
              <w:t>%</w:t>
            </w:r>
            <w:r w:rsidR="00D2320A" w:rsidRPr="006A2BF9">
              <w:rPr>
                <w:sz w:val="20"/>
                <w:lang w:val="it-IT"/>
              </w:rPr>
              <w:t xml:space="preserve"> pazienti con risposta obiettiva</w:t>
            </w:r>
          </w:p>
        </w:tc>
        <w:tc>
          <w:tcPr>
            <w:tcW w:w="823" w:type="pct"/>
            <w:shd w:val="clear" w:color="auto" w:fill="auto"/>
          </w:tcPr>
          <w:p w14:paraId="4907F1CC" w14:textId="77777777" w:rsidR="00A84203" w:rsidRPr="006A2BF9" w:rsidRDefault="00A84203" w:rsidP="008B3BC8">
            <w:pPr>
              <w:keepNext/>
              <w:keepLines/>
              <w:jc w:val="center"/>
              <w:rPr>
                <w:sz w:val="20"/>
                <w:lang w:val="it-IT"/>
              </w:rPr>
            </w:pPr>
            <w:r w:rsidRPr="006A2BF9">
              <w:rPr>
                <w:sz w:val="20"/>
                <w:lang w:val="it-IT"/>
              </w:rPr>
              <w:t>23</w:t>
            </w:r>
            <w:r w:rsidR="00AD2665" w:rsidRPr="006A2BF9">
              <w:rPr>
                <w:sz w:val="20"/>
                <w:lang w:val="it-IT"/>
              </w:rPr>
              <w:t>,</w:t>
            </w:r>
            <w:r w:rsidRPr="006A2BF9">
              <w:rPr>
                <w:sz w:val="20"/>
                <w:lang w:val="it-IT"/>
              </w:rPr>
              <w:t>4</w:t>
            </w:r>
          </w:p>
        </w:tc>
        <w:tc>
          <w:tcPr>
            <w:tcW w:w="1029" w:type="pct"/>
            <w:shd w:val="clear" w:color="auto" w:fill="auto"/>
          </w:tcPr>
          <w:p w14:paraId="50D4022A" w14:textId="77777777" w:rsidR="00A84203" w:rsidRPr="006A2BF9" w:rsidRDefault="00A84203" w:rsidP="008B3BC8">
            <w:pPr>
              <w:keepNext/>
              <w:keepLines/>
              <w:jc w:val="center"/>
              <w:rPr>
                <w:sz w:val="20"/>
                <w:lang w:val="it-IT"/>
              </w:rPr>
            </w:pPr>
            <w:r w:rsidRPr="006A2BF9">
              <w:rPr>
                <w:sz w:val="20"/>
                <w:lang w:val="it-IT"/>
              </w:rPr>
              <w:t>48</w:t>
            </w:r>
            <w:r w:rsidR="00AD2665" w:rsidRPr="006A2BF9">
              <w:rPr>
                <w:sz w:val="20"/>
                <w:lang w:val="it-IT"/>
              </w:rPr>
              <w:t>,</w:t>
            </w:r>
            <w:r w:rsidRPr="006A2BF9">
              <w:rPr>
                <w:sz w:val="20"/>
                <w:lang w:val="it-IT"/>
              </w:rPr>
              <w:t>0</w:t>
            </w:r>
          </w:p>
        </w:tc>
        <w:tc>
          <w:tcPr>
            <w:tcW w:w="823" w:type="pct"/>
            <w:shd w:val="clear" w:color="auto" w:fill="auto"/>
          </w:tcPr>
          <w:p w14:paraId="7063E40A" w14:textId="77777777" w:rsidR="00A84203" w:rsidRPr="006A2BF9" w:rsidRDefault="00A84203" w:rsidP="008B3BC8">
            <w:pPr>
              <w:keepNext/>
              <w:keepLines/>
              <w:jc w:val="center"/>
              <w:rPr>
                <w:sz w:val="20"/>
                <w:lang w:val="it-IT"/>
              </w:rPr>
            </w:pPr>
            <w:r w:rsidRPr="006A2BF9">
              <w:rPr>
                <w:sz w:val="20"/>
                <w:lang w:val="it-IT"/>
              </w:rPr>
              <w:t>22</w:t>
            </w:r>
            <w:r w:rsidR="00AD2665" w:rsidRPr="006A2BF9">
              <w:rPr>
                <w:sz w:val="20"/>
                <w:lang w:val="it-IT"/>
              </w:rPr>
              <w:t>,</w:t>
            </w:r>
            <w:r w:rsidRPr="006A2BF9">
              <w:rPr>
                <w:sz w:val="20"/>
                <w:lang w:val="it-IT"/>
              </w:rPr>
              <w:t>2</w:t>
            </w:r>
          </w:p>
        </w:tc>
        <w:tc>
          <w:tcPr>
            <w:tcW w:w="1029" w:type="pct"/>
            <w:shd w:val="clear" w:color="auto" w:fill="auto"/>
          </w:tcPr>
          <w:p w14:paraId="43304B38" w14:textId="77777777" w:rsidR="00A84203" w:rsidRPr="006A2BF9" w:rsidRDefault="00A84203" w:rsidP="008B3BC8">
            <w:pPr>
              <w:keepNext/>
              <w:keepLines/>
              <w:jc w:val="center"/>
              <w:rPr>
                <w:sz w:val="20"/>
                <w:lang w:val="it-IT"/>
              </w:rPr>
            </w:pPr>
            <w:r w:rsidRPr="006A2BF9">
              <w:rPr>
                <w:sz w:val="20"/>
                <w:lang w:val="it-IT"/>
              </w:rPr>
              <w:t>49</w:t>
            </w:r>
            <w:r w:rsidR="00AD2665" w:rsidRPr="006A2BF9">
              <w:rPr>
                <w:sz w:val="20"/>
                <w:lang w:val="it-IT"/>
              </w:rPr>
              <w:t>,</w:t>
            </w:r>
            <w:r w:rsidRPr="006A2BF9">
              <w:rPr>
                <w:sz w:val="20"/>
                <w:lang w:val="it-IT"/>
              </w:rPr>
              <w:t>8</w:t>
            </w:r>
          </w:p>
        </w:tc>
      </w:tr>
      <w:tr w:rsidR="00A84203" w:rsidRPr="006A2BF9" w14:paraId="5A318BC0" w14:textId="77777777" w:rsidTr="00E93D3C">
        <w:tc>
          <w:tcPr>
            <w:tcW w:w="1296" w:type="pct"/>
            <w:shd w:val="clear" w:color="auto" w:fill="auto"/>
          </w:tcPr>
          <w:p w14:paraId="75B3CC78" w14:textId="77777777" w:rsidR="00A84203" w:rsidRPr="006A2BF9" w:rsidRDefault="00A84203" w:rsidP="008B3BC8">
            <w:pPr>
              <w:keepNext/>
              <w:keepLines/>
              <w:jc w:val="center"/>
              <w:rPr>
                <w:sz w:val="20"/>
                <w:lang w:val="it-IT"/>
              </w:rPr>
            </w:pPr>
            <w:r w:rsidRPr="006A2BF9">
              <w:rPr>
                <w:sz w:val="20"/>
                <w:lang w:val="it-IT"/>
              </w:rPr>
              <w:t>valore di p</w:t>
            </w:r>
          </w:p>
        </w:tc>
        <w:tc>
          <w:tcPr>
            <w:tcW w:w="1852" w:type="pct"/>
            <w:gridSpan w:val="2"/>
            <w:shd w:val="clear" w:color="auto" w:fill="auto"/>
          </w:tcPr>
          <w:p w14:paraId="0DB80777" w14:textId="77777777" w:rsidR="00A84203" w:rsidRPr="006A2BF9" w:rsidRDefault="00A84203" w:rsidP="008B3BC8">
            <w:pPr>
              <w:keepNext/>
              <w:keepLines/>
              <w:jc w:val="center"/>
              <w:rPr>
                <w:sz w:val="20"/>
                <w:lang w:val="it-IT"/>
              </w:rPr>
            </w:pPr>
            <w:r w:rsidRPr="006A2BF9">
              <w:rPr>
                <w:sz w:val="20"/>
                <w:lang w:val="it-IT"/>
              </w:rPr>
              <w:t>&lt;</w:t>
            </w:r>
            <w:r w:rsidR="00D41733" w:rsidRPr="006A2BF9">
              <w:rPr>
                <w:sz w:val="20"/>
                <w:lang w:val="it-IT"/>
              </w:rPr>
              <w:t> </w:t>
            </w:r>
            <w:r w:rsidRPr="006A2BF9">
              <w:rPr>
                <w:sz w:val="20"/>
                <w:lang w:val="it-IT"/>
              </w:rPr>
              <w:t>0</w:t>
            </w:r>
            <w:r w:rsidR="00AD2665" w:rsidRPr="006A2BF9">
              <w:rPr>
                <w:sz w:val="20"/>
                <w:lang w:val="it-IT"/>
              </w:rPr>
              <w:t>,</w:t>
            </w:r>
            <w:r w:rsidRPr="006A2BF9">
              <w:rPr>
                <w:sz w:val="20"/>
                <w:lang w:val="it-IT"/>
              </w:rPr>
              <w:t>0001</w:t>
            </w:r>
          </w:p>
        </w:tc>
        <w:tc>
          <w:tcPr>
            <w:tcW w:w="1852" w:type="pct"/>
            <w:gridSpan w:val="2"/>
            <w:shd w:val="clear" w:color="auto" w:fill="auto"/>
          </w:tcPr>
          <w:p w14:paraId="68031B0C" w14:textId="77777777" w:rsidR="00A84203" w:rsidRPr="006A2BF9" w:rsidRDefault="00A84203" w:rsidP="008B3BC8">
            <w:pPr>
              <w:keepNext/>
              <w:keepLines/>
              <w:jc w:val="center"/>
              <w:rPr>
                <w:sz w:val="20"/>
                <w:lang w:val="it-IT"/>
              </w:rPr>
            </w:pPr>
            <w:r w:rsidRPr="006A2BF9">
              <w:rPr>
                <w:sz w:val="20"/>
                <w:lang w:val="it-IT"/>
              </w:rPr>
              <w:t>&lt;</w:t>
            </w:r>
            <w:r w:rsidR="00D41733" w:rsidRPr="006A2BF9">
              <w:rPr>
                <w:sz w:val="20"/>
                <w:lang w:val="it-IT"/>
              </w:rPr>
              <w:t> </w:t>
            </w:r>
            <w:r w:rsidRPr="006A2BF9">
              <w:rPr>
                <w:sz w:val="20"/>
                <w:lang w:val="it-IT"/>
              </w:rPr>
              <w:t>0</w:t>
            </w:r>
            <w:r w:rsidR="00AD2665" w:rsidRPr="006A2BF9">
              <w:rPr>
                <w:sz w:val="20"/>
                <w:lang w:val="it-IT"/>
              </w:rPr>
              <w:t>,</w:t>
            </w:r>
            <w:r w:rsidRPr="006A2BF9">
              <w:rPr>
                <w:sz w:val="20"/>
                <w:lang w:val="it-IT"/>
              </w:rPr>
              <w:t>0001</w:t>
            </w:r>
          </w:p>
        </w:tc>
      </w:tr>
      <w:tr w:rsidR="00A84203" w:rsidRPr="006A2BF9" w14:paraId="7BD9BC66" w14:textId="77777777" w:rsidTr="00E93D3C">
        <w:tc>
          <w:tcPr>
            <w:tcW w:w="1296" w:type="pct"/>
            <w:shd w:val="clear" w:color="auto" w:fill="auto"/>
          </w:tcPr>
          <w:p w14:paraId="39CB3046" w14:textId="77777777" w:rsidR="00A84203" w:rsidRPr="006A2BF9" w:rsidRDefault="00A84203" w:rsidP="008B3BC8">
            <w:pPr>
              <w:keepNext/>
              <w:keepLines/>
              <w:jc w:val="center"/>
              <w:rPr>
                <w:sz w:val="20"/>
                <w:lang w:val="it-IT"/>
              </w:rPr>
            </w:pPr>
          </w:p>
        </w:tc>
        <w:tc>
          <w:tcPr>
            <w:tcW w:w="1852" w:type="pct"/>
            <w:gridSpan w:val="2"/>
            <w:shd w:val="clear" w:color="auto" w:fill="auto"/>
          </w:tcPr>
          <w:p w14:paraId="4307BA02" w14:textId="77777777" w:rsidR="00A84203" w:rsidRPr="006A2BF9" w:rsidRDefault="00A84203" w:rsidP="008B3BC8">
            <w:pPr>
              <w:keepNext/>
              <w:keepLines/>
              <w:jc w:val="center"/>
              <w:rPr>
                <w:sz w:val="20"/>
                <w:lang w:val="it-IT"/>
              </w:rPr>
            </w:pPr>
          </w:p>
        </w:tc>
        <w:tc>
          <w:tcPr>
            <w:tcW w:w="1852" w:type="pct"/>
            <w:gridSpan w:val="2"/>
            <w:shd w:val="clear" w:color="auto" w:fill="auto"/>
          </w:tcPr>
          <w:p w14:paraId="1A77AAA2" w14:textId="77777777" w:rsidR="00A84203" w:rsidRPr="006A2BF9" w:rsidRDefault="00A84203" w:rsidP="008B3BC8">
            <w:pPr>
              <w:keepNext/>
              <w:keepLines/>
              <w:jc w:val="center"/>
              <w:rPr>
                <w:sz w:val="20"/>
                <w:lang w:val="it-IT"/>
              </w:rPr>
            </w:pPr>
          </w:p>
        </w:tc>
      </w:tr>
    </w:tbl>
    <w:p w14:paraId="6B1D940E" w14:textId="77777777" w:rsidR="00A84203" w:rsidRPr="006A2BF9" w:rsidRDefault="00A84203" w:rsidP="008B3BC8">
      <w:pPr>
        <w:keepNext/>
        <w:keepLines/>
        <w:rPr>
          <w:sz w:val="20"/>
          <w:lang w:val="it-IT"/>
        </w:rPr>
      </w:pPr>
      <w:r w:rsidRPr="006A2BF9">
        <w:rPr>
          <w:sz w:val="20"/>
          <w:lang w:val="it-IT"/>
        </w:rPr>
        <w:t>* analisi primaria</w:t>
      </w:r>
    </w:p>
    <w:p w14:paraId="68C5D8CA" w14:textId="77777777" w:rsidR="00A84203" w:rsidRPr="006A2BF9" w:rsidRDefault="00A84203" w:rsidP="008B3BC8">
      <w:pPr>
        <w:keepNext/>
        <w:keepLines/>
        <w:rPr>
          <w:sz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3356"/>
        <w:gridCol w:w="3356"/>
      </w:tblGrid>
      <w:tr w:rsidR="00A84203" w:rsidRPr="006A2BF9" w14:paraId="6146FC68" w14:textId="77777777" w:rsidTr="00E93D3C">
        <w:tc>
          <w:tcPr>
            <w:tcW w:w="5000" w:type="pct"/>
            <w:gridSpan w:val="3"/>
            <w:shd w:val="clear" w:color="auto" w:fill="auto"/>
          </w:tcPr>
          <w:p w14:paraId="091AB965" w14:textId="77777777" w:rsidR="00A84203" w:rsidRPr="006A2BF9" w:rsidRDefault="00A84203" w:rsidP="008B3BC8">
            <w:pPr>
              <w:keepNext/>
              <w:keepLines/>
              <w:rPr>
                <w:sz w:val="20"/>
                <w:lang w:val="it-IT"/>
              </w:rPr>
            </w:pPr>
            <w:r w:rsidRPr="006A2BF9">
              <w:rPr>
                <w:sz w:val="20"/>
                <w:lang w:val="it-IT"/>
              </w:rPr>
              <w:t>Sopravvivenza globale</w:t>
            </w:r>
          </w:p>
        </w:tc>
      </w:tr>
      <w:tr w:rsidR="00A84203" w:rsidRPr="006A2BF9" w14:paraId="2D7E7AC8" w14:textId="77777777" w:rsidTr="00E93D3C">
        <w:tc>
          <w:tcPr>
            <w:tcW w:w="1296" w:type="pct"/>
            <w:shd w:val="clear" w:color="auto" w:fill="auto"/>
          </w:tcPr>
          <w:p w14:paraId="7B4DFBC4" w14:textId="77777777" w:rsidR="00A84203" w:rsidRPr="006A2BF9" w:rsidRDefault="00A84203" w:rsidP="008B3BC8">
            <w:pPr>
              <w:keepNext/>
              <w:keepLines/>
              <w:rPr>
                <w:sz w:val="20"/>
                <w:lang w:val="it-IT"/>
              </w:rPr>
            </w:pPr>
          </w:p>
        </w:tc>
        <w:tc>
          <w:tcPr>
            <w:tcW w:w="1852" w:type="pct"/>
            <w:shd w:val="clear" w:color="auto" w:fill="auto"/>
          </w:tcPr>
          <w:p w14:paraId="79C0942C" w14:textId="77777777" w:rsidR="00A84203" w:rsidRPr="006A2BF9" w:rsidRDefault="00A84203" w:rsidP="008B3BC8">
            <w:pPr>
              <w:keepNext/>
              <w:keepLines/>
              <w:jc w:val="center"/>
              <w:rPr>
                <w:sz w:val="20"/>
                <w:lang w:val="it-IT"/>
              </w:rPr>
            </w:pPr>
            <w:r w:rsidRPr="006A2BF9">
              <w:rPr>
                <w:sz w:val="20"/>
                <w:lang w:val="it-IT"/>
              </w:rPr>
              <w:t>Paclitaxel</w:t>
            </w:r>
          </w:p>
          <w:p w14:paraId="6C01537E" w14:textId="77777777" w:rsidR="00A84203" w:rsidRPr="006A2BF9" w:rsidRDefault="00A84203" w:rsidP="008B3BC8">
            <w:pPr>
              <w:keepNext/>
              <w:keepLines/>
              <w:jc w:val="center"/>
              <w:rPr>
                <w:sz w:val="20"/>
                <w:lang w:val="it-IT"/>
              </w:rPr>
            </w:pPr>
            <w:r w:rsidRPr="006A2BF9">
              <w:rPr>
                <w:sz w:val="20"/>
                <w:lang w:val="it-IT"/>
              </w:rPr>
              <w:t>(n</w:t>
            </w:r>
            <w:r w:rsidR="00D41733" w:rsidRPr="006A2BF9">
              <w:rPr>
                <w:sz w:val="20"/>
                <w:lang w:val="it-IT"/>
              </w:rPr>
              <w:t> </w:t>
            </w:r>
            <w:r w:rsidRPr="006A2BF9">
              <w:rPr>
                <w:sz w:val="20"/>
                <w:lang w:val="it-IT"/>
              </w:rPr>
              <w:t>=</w:t>
            </w:r>
            <w:r w:rsidR="00D41733" w:rsidRPr="006A2BF9">
              <w:rPr>
                <w:sz w:val="20"/>
                <w:lang w:val="it-IT"/>
              </w:rPr>
              <w:t> </w:t>
            </w:r>
            <w:r w:rsidRPr="006A2BF9">
              <w:rPr>
                <w:sz w:val="20"/>
                <w:lang w:val="it-IT"/>
              </w:rPr>
              <w:t>354)</w:t>
            </w:r>
          </w:p>
        </w:tc>
        <w:tc>
          <w:tcPr>
            <w:tcW w:w="1852" w:type="pct"/>
            <w:shd w:val="clear" w:color="auto" w:fill="auto"/>
          </w:tcPr>
          <w:p w14:paraId="09ECFE31" w14:textId="77777777" w:rsidR="00A84203" w:rsidRPr="006A2BF9" w:rsidRDefault="00A84203" w:rsidP="008B3BC8">
            <w:pPr>
              <w:keepNext/>
              <w:keepLines/>
              <w:jc w:val="center"/>
              <w:rPr>
                <w:sz w:val="20"/>
                <w:lang w:val="it-IT"/>
              </w:rPr>
            </w:pPr>
            <w:r w:rsidRPr="006A2BF9">
              <w:rPr>
                <w:sz w:val="20"/>
                <w:lang w:val="it-IT"/>
              </w:rPr>
              <w:t>Paclitaxel/</w:t>
            </w:r>
            <w:r w:rsidR="00DE39C9" w:rsidRPr="006A2BF9">
              <w:rPr>
                <w:sz w:val="20"/>
                <w:lang w:val="it-IT"/>
              </w:rPr>
              <w:t>bevacizumab</w:t>
            </w:r>
          </w:p>
          <w:p w14:paraId="63E04330" w14:textId="77777777" w:rsidR="00A84203" w:rsidRPr="006A2BF9" w:rsidRDefault="00A84203" w:rsidP="008B3BC8">
            <w:pPr>
              <w:keepNext/>
              <w:keepLines/>
              <w:jc w:val="center"/>
              <w:rPr>
                <w:sz w:val="20"/>
                <w:lang w:val="it-IT"/>
              </w:rPr>
            </w:pPr>
            <w:r w:rsidRPr="006A2BF9">
              <w:rPr>
                <w:sz w:val="20"/>
                <w:lang w:val="it-IT"/>
              </w:rPr>
              <w:t>(n</w:t>
            </w:r>
            <w:r w:rsidR="00D41733" w:rsidRPr="006A2BF9">
              <w:rPr>
                <w:sz w:val="20"/>
                <w:lang w:val="it-IT"/>
              </w:rPr>
              <w:t> </w:t>
            </w:r>
            <w:r w:rsidRPr="006A2BF9">
              <w:rPr>
                <w:sz w:val="20"/>
                <w:lang w:val="it-IT"/>
              </w:rPr>
              <w:t>=</w:t>
            </w:r>
            <w:r w:rsidR="00D41733" w:rsidRPr="006A2BF9">
              <w:rPr>
                <w:sz w:val="20"/>
                <w:lang w:val="it-IT"/>
              </w:rPr>
              <w:t> </w:t>
            </w:r>
            <w:r w:rsidRPr="006A2BF9">
              <w:rPr>
                <w:sz w:val="20"/>
                <w:lang w:val="it-IT"/>
              </w:rPr>
              <w:t>368)</w:t>
            </w:r>
          </w:p>
        </w:tc>
      </w:tr>
      <w:tr w:rsidR="00A84203" w:rsidRPr="006A2BF9" w14:paraId="29E03567" w14:textId="77777777" w:rsidTr="00E93D3C">
        <w:tc>
          <w:tcPr>
            <w:tcW w:w="1296" w:type="pct"/>
            <w:shd w:val="clear" w:color="auto" w:fill="auto"/>
          </w:tcPr>
          <w:p w14:paraId="6839052C" w14:textId="77777777" w:rsidR="00A84203" w:rsidRPr="006A2BF9" w:rsidRDefault="0025736A" w:rsidP="0025736A">
            <w:pPr>
              <w:jc w:val="center"/>
              <w:rPr>
                <w:sz w:val="20"/>
                <w:lang w:val="it-IT"/>
              </w:rPr>
            </w:pPr>
            <w:r w:rsidRPr="006A2BF9">
              <w:rPr>
                <w:sz w:val="20"/>
                <w:lang w:val="it-IT"/>
              </w:rPr>
              <w:t>OS m</w:t>
            </w:r>
            <w:r w:rsidR="00A84203" w:rsidRPr="006A2BF9">
              <w:rPr>
                <w:sz w:val="20"/>
                <w:lang w:val="it-IT"/>
              </w:rPr>
              <w:t>ediana (mesi)</w:t>
            </w:r>
          </w:p>
        </w:tc>
        <w:tc>
          <w:tcPr>
            <w:tcW w:w="1852" w:type="pct"/>
            <w:shd w:val="clear" w:color="auto" w:fill="auto"/>
          </w:tcPr>
          <w:p w14:paraId="6E8863DD" w14:textId="77777777" w:rsidR="00A84203" w:rsidRPr="006A2BF9" w:rsidRDefault="00A84203" w:rsidP="00E93D3C">
            <w:pPr>
              <w:jc w:val="center"/>
              <w:rPr>
                <w:sz w:val="20"/>
                <w:lang w:val="it-IT"/>
              </w:rPr>
            </w:pPr>
            <w:r w:rsidRPr="006A2BF9">
              <w:rPr>
                <w:sz w:val="20"/>
                <w:lang w:val="it-IT"/>
              </w:rPr>
              <w:t>24</w:t>
            </w:r>
            <w:r w:rsidR="00AD2665" w:rsidRPr="006A2BF9">
              <w:rPr>
                <w:sz w:val="20"/>
                <w:lang w:val="it-IT"/>
              </w:rPr>
              <w:t>,</w:t>
            </w:r>
            <w:r w:rsidRPr="006A2BF9">
              <w:rPr>
                <w:sz w:val="20"/>
                <w:lang w:val="it-IT"/>
              </w:rPr>
              <w:t>8</w:t>
            </w:r>
          </w:p>
        </w:tc>
        <w:tc>
          <w:tcPr>
            <w:tcW w:w="1852" w:type="pct"/>
            <w:shd w:val="clear" w:color="auto" w:fill="auto"/>
          </w:tcPr>
          <w:p w14:paraId="016C114C" w14:textId="77777777" w:rsidR="00A84203" w:rsidRPr="006A2BF9" w:rsidRDefault="00A84203" w:rsidP="00E93D3C">
            <w:pPr>
              <w:jc w:val="center"/>
              <w:rPr>
                <w:sz w:val="20"/>
                <w:lang w:val="it-IT"/>
              </w:rPr>
            </w:pPr>
            <w:r w:rsidRPr="006A2BF9">
              <w:rPr>
                <w:sz w:val="20"/>
                <w:lang w:val="it-IT"/>
              </w:rPr>
              <w:t>26</w:t>
            </w:r>
            <w:r w:rsidR="00AD2665" w:rsidRPr="006A2BF9">
              <w:rPr>
                <w:sz w:val="20"/>
                <w:lang w:val="it-IT"/>
              </w:rPr>
              <w:t>,</w:t>
            </w:r>
            <w:r w:rsidRPr="006A2BF9">
              <w:rPr>
                <w:sz w:val="20"/>
                <w:lang w:val="it-IT"/>
              </w:rPr>
              <w:t>5</w:t>
            </w:r>
          </w:p>
        </w:tc>
      </w:tr>
      <w:tr w:rsidR="00A84203" w:rsidRPr="006A2BF9" w14:paraId="7CE602F1" w14:textId="77777777" w:rsidTr="00E93D3C">
        <w:tc>
          <w:tcPr>
            <w:tcW w:w="1296" w:type="pct"/>
            <w:shd w:val="clear" w:color="auto" w:fill="auto"/>
          </w:tcPr>
          <w:p w14:paraId="196D6B04" w14:textId="77777777" w:rsidR="00A84203" w:rsidRPr="000F0246" w:rsidRDefault="004C45F5" w:rsidP="00E93D3C">
            <w:pPr>
              <w:jc w:val="center"/>
              <w:rPr>
                <w:i/>
                <w:sz w:val="20"/>
                <w:lang w:val="it-IT"/>
              </w:rPr>
            </w:pPr>
            <w:r>
              <w:rPr>
                <w:i/>
                <w:sz w:val="20"/>
                <w:lang w:val="it-IT"/>
              </w:rPr>
              <w:t>HR</w:t>
            </w:r>
          </w:p>
          <w:p w14:paraId="15AF3915" w14:textId="77777777" w:rsidR="00A84203" w:rsidRPr="00330A40" w:rsidRDefault="00A84203" w:rsidP="00E93D3C">
            <w:pPr>
              <w:jc w:val="center"/>
              <w:rPr>
                <w:sz w:val="20"/>
                <w:lang w:val="it-IT"/>
              </w:rPr>
            </w:pPr>
            <w:r w:rsidRPr="00330A40">
              <w:rPr>
                <w:sz w:val="20"/>
                <w:lang w:val="it-IT"/>
              </w:rPr>
              <w:t xml:space="preserve">(IC </w:t>
            </w:r>
            <w:r w:rsidR="00831FDE">
              <w:rPr>
                <w:sz w:val="20"/>
                <w:lang w:val="it-IT"/>
              </w:rPr>
              <w:t xml:space="preserve">al </w:t>
            </w:r>
            <w:r w:rsidRPr="00330A40">
              <w:rPr>
                <w:sz w:val="20"/>
                <w:lang w:val="it-IT"/>
              </w:rPr>
              <w:t>95%)</w:t>
            </w:r>
          </w:p>
        </w:tc>
        <w:tc>
          <w:tcPr>
            <w:tcW w:w="3704" w:type="pct"/>
            <w:gridSpan w:val="2"/>
            <w:shd w:val="clear" w:color="auto" w:fill="auto"/>
          </w:tcPr>
          <w:p w14:paraId="7E2D946F" w14:textId="77777777" w:rsidR="00A84203" w:rsidRPr="00330A40" w:rsidRDefault="00A84203" w:rsidP="00E93D3C">
            <w:pPr>
              <w:jc w:val="center"/>
              <w:rPr>
                <w:sz w:val="20"/>
                <w:lang w:val="it-IT"/>
              </w:rPr>
            </w:pPr>
            <w:r w:rsidRPr="00330A40">
              <w:rPr>
                <w:sz w:val="20"/>
                <w:lang w:val="it-IT"/>
              </w:rPr>
              <w:t>0</w:t>
            </w:r>
            <w:r w:rsidR="00AD2665" w:rsidRPr="00330A40">
              <w:rPr>
                <w:sz w:val="20"/>
                <w:lang w:val="it-IT"/>
              </w:rPr>
              <w:t>,</w:t>
            </w:r>
            <w:r w:rsidRPr="00330A40">
              <w:rPr>
                <w:sz w:val="20"/>
                <w:lang w:val="it-IT"/>
              </w:rPr>
              <w:t xml:space="preserve">869 </w:t>
            </w:r>
          </w:p>
          <w:p w14:paraId="35A4588E" w14:textId="77777777" w:rsidR="00A84203" w:rsidRPr="00330A40" w:rsidRDefault="00A84203" w:rsidP="00E93D3C">
            <w:pPr>
              <w:jc w:val="center"/>
              <w:rPr>
                <w:sz w:val="20"/>
                <w:lang w:val="it-IT"/>
              </w:rPr>
            </w:pPr>
            <w:r w:rsidRPr="00330A40">
              <w:rPr>
                <w:sz w:val="20"/>
                <w:lang w:val="it-IT"/>
              </w:rPr>
              <w:t>(0</w:t>
            </w:r>
            <w:r w:rsidR="00AD2665" w:rsidRPr="00330A40">
              <w:rPr>
                <w:sz w:val="20"/>
                <w:lang w:val="it-IT"/>
              </w:rPr>
              <w:t>,</w:t>
            </w:r>
            <w:r w:rsidRPr="00330A40">
              <w:rPr>
                <w:sz w:val="20"/>
                <w:lang w:val="it-IT"/>
              </w:rPr>
              <w:t>722; 1</w:t>
            </w:r>
            <w:r w:rsidR="00AD2665" w:rsidRPr="00330A40">
              <w:rPr>
                <w:sz w:val="20"/>
                <w:lang w:val="it-IT"/>
              </w:rPr>
              <w:t>,</w:t>
            </w:r>
            <w:r w:rsidRPr="00330A40">
              <w:rPr>
                <w:sz w:val="20"/>
                <w:lang w:val="it-IT"/>
              </w:rPr>
              <w:t>046)</w:t>
            </w:r>
          </w:p>
        </w:tc>
      </w:tr>
      <w:tr w:rsidR="00A84203" w:rsidRPr="006A2BF9" w14:paraId="3DF7A5A4" w14:textId="77777777" w:rsidTr="00E93D3C">
        <w:tc>
          <w:tcPr>
            <w:tcW w:w="1296" w:type="pct"/>
            <w:shd w:val="clear" w:color="auto" w:fill="auto"/>
          </w:tcPr>
          <w:p w14:paraId="1F0BE312" w14:textId="77777777" w:rsidR="00A84203" w:rsidRPr="006A2BF9" w:rsidRDefault="00A84203" w:rsidP="00E93D3C">
            <w:pPr>
              <w:jc w:val="center"/>
              <w:rPr>
                <w:sz w:val="20"/>
                <w:lang w:val="it-IT"/>
              </w:rPr>
            </w:pPr>
            <w:r w:rsidRPr="006A2BF9">
              <w:rPr>
                <w:sz w:val="20"/>
                <w:lang w:val="it-IT"/>
              </w:rPr>
              <w:t>valore di p</w:t>
            </w:r>
          </w:p>
        </w:tc>
        <w:tc>
          <w:tcPr>
            <w:tcW w:w="3704" w:type="pct"/>
            <w:gridSpan w:val="2"/>
            <w:shd w:val="clear" w:color="auto" w:fill="auto"/>
          </w:tcPr>
          <w:p w14:paraId="2612E569" w14:textId="77777777" w:rsidR="00A84203" w:rsidRPr="006A2BF9" w:rsidRDefault="00A84203" w:rsidP="00E93D3C">
            <w:pPr>
              <w:jc w:val="center"/>
              <w:rPr>
                <w:sz w:val="20"/>
                <w:lang w:val="it-IT"/>
              </w:rPr>
            </w:pPr>
            <w:r w:rsidRPr="006A2BF9">
              <w:rPr>
                <w:sz w:val="20"/>
                <w:lang w:val="it-IT"/>
              </w:rPr>
              <w:t>0</w:t>
            </w:r>
            <w:r w:rsidR="00AD2665" w:rsidRPr="006A2BF9">
              <w:rPr>
                <w:sz w:val="20"/>
                <w:lang w:val="it-IT"/>
              </w:rPr>
              <w:t>,</w:t>
            </w:r>
            <w:r w:rsidRPr="006A2BF9">
              <w:rPr>
                <w:sz w:val="20"/>
                <w:lang w:val="it-IT"/>
              </w:rPr>
              <w:t>1374</w:t>
            </w:r>
          </w:p>
        </w:tc>
      </w:tr>
    </w:tbl>
    <w:p w14:paraId="609A5CC4" w14:textId="77777777" w:rsidR="00A84203" w:rsidRPr="006A2BF9" w:rsidRDefault="00A84203" w:rsidP="00303533">
      <w:pPr>
        <w:rPr>
          <w:sz w:val="20"/>
          <w:lang w:val="it-IT"/>
        </w:rPr>
      </w:pPr>
    </w:p>
    <w:p w14:paraId="1CE5C364" w14:textId="77777777" w:rsidR="007732E9" w:rsidRPr="006A2BF9" w:rsidRDefault="009C0666" w:rsidP="009C0666">
      <w:pPr>
        <w:rPr>
          <w:lang w:val="it-IT"/>
        </w:rPr>
      </w:pPr>
      <w:r w:rsidRPr="006A2BF9">
        <w:rPr>
          <w:lang w:val="it-IT"/>
        </w:rPr>
        <w:lastRenderedPageBreak/>
        <w:t xml:space="preserve">Il beneficio clinico di </w:t>
      </w:r>
      <w:r w:rsidR="00DE39C9" w:rsidRPr="006A2BF9">
        <w:rPr>
          <w:szCs w:val="22"/>
          <w:lang w:val="it-IT"/>
        </w:rPr>
        <w:t>bevacizumab</w:t>
      </w:r>
      <w:r w:rsidR="00DE39C9" w:rsidRPr="006A2BF9">
        <w:rPr>
          <w:sz w:val="20"/>
          <w:lang w:val="it-IT"/>
        </w:rPr>
        <w:t xml:space="preserve"> </w:t>
      </w:r>
      <w:r w:rsidRPr="006A2BF9">
        <w:rPr>
          <w:lang w:val="it-IT"/>
        </w:rPr>
        <w:t xml:space="preserve">valutato in termini di </w:t>
      </w:r>
      <w:r w:rsidR="007732E9" w:rsidRPr="006A2BF9">
        <w:rPr>
          <w:lang w:val="it-IT"/>
        </w:rPr>
        <w:t>PFS</w:t>
      </w:r>
      <w:r w:rsidRPr="006A2BF9">
        <w:rPr>
          <w:lang w:val="it-IT"/>
        </w:rPr>
        <w:t xml:space="preserve"> è stato osservato in tutti i sottogruppi predefiniti analizzati (inclusi l’intervallo libero da malattia, il numero dei siti metastatici, la precedente assunzione di chemioterapia adiuvante e lo stato del recettore per gli estrogeni (RE)).</w:t>
      </w:r>
    </w:p>
    <w:p w14:paraId="3585944B" w14:textId="77777777" w:rsidR="003A1908" w:rsidRPr="006A2BF9" w:rsidRDefault="003A1908" w:rsidP="009C0666">
      <w:pPr>
        <w:rPr>
          <w:lang w:val="it-IT"/>
        </w:rPr>
      </w:pPr>
    </w:p>
    <w:p w14:paraId="6096C73A" w14:textId="77777777" w:rsidR="003A1908" w:rsidRPr="006A2BF9" w:rsidRDefault="003A1908" w:rsidP="003A1908">
      <w:pPr>
        <w:rPr>
          <w:rFonts w:eastAsia="SimSun"/>
          <w:color w:val="000000"/>
          <w:lang w:val="it-IT" w:eastAsia="zh-CN"/>
        </w:rPr>
      </w:pPr>
      <w:r w:rsidRPr="006A2BF9">
        <w:rPr>
          <w:rFonts w:eastAsia="SimSun"/>
          <w:i/>
          <w:color w:val="000000"/>
          <w:lang w:val="it-IT" w:eastAsia="zh-CN"/>
        </w:rPr>
        <w:t>AVF3694g</w:t>
      </w:r>
    </w:p>
    <w:p w14:paraId="1365EEF0" w14:textId="77777777" w:rsidR="003A1908" w:rsidRPr="006A2BF9" w:rsidRDefault="003A1908" w:rsidP="003A1908">
      <w:pPr>
        <w:rPr>
          <w:lang w:val="it-IT"/>
        </w:rPr>
      </w:pPr>
      <w:r w:rsidRPr="006A2BF9">
        <w:rPr>
          <w:lang w:val="it-IT"/>
        </w:rPr>
        <w:t>AVF3694g è uno studio di fase</w:t>
      </w:r>
      <w:r w:rsidR="00DE39C9" w:rsidRPr="006A2BF9">
        <w:rPr>
          <w:lang w:val="it-IT"/>
        </w:rPr>
        <w:t> </w:t>
      </w:r>
      <w:r w:rsidRPr="006A2BF9">
        <w:rPr>
          <w:lang w:val="it-IT"/>
        </w:rPr>
        <w:t>III, multicentrico, randomizzato, controllato contro placebo</w:t>
      </w:r>
      <w:r w:rsidR="0042050C" w:rsidRPr="006A2BF9">
        <w:rPr>
          <w:lang w:val="it-IT"/>
        </w:rPr>
        <w:t>,</w:t>
      </w:r>
      <w:r w:rsidRPr="006A2BF9">
        <w:rPr>
          <w:lang w:val="it-IT"/>
        </w:rPr>
        <w:t xml:space="preserve"> </w:t>
      </w:r>
      <w:r w:rsidR="003C0E58" w:rsidRPr="006A2BF9">
        <w:rPr>
          <w:lang w:val="it-IT"/>
        </w:rPr>
        <w:t xml:space="preserve">disegnato per </w:t>
      </w:r>
      <w:r w:rsidRPr="006A2BF9">
        <w:rPr>
          <w:lang w:val="it-IT"/>
        </w:rPr>
        <w:t xml:space="preserve">valutare l’efficacia e la sicurezza di </w:t>
      </w:r>
      <w:r w:rsidR="00DE39C9" w:rsidRPr="006A2BF9">
        <w:rPr>
          <w:szCs w:val="22"/>
          <w:lang w:val="it-IT"/>
        </w:rPr>
        <w:t>bevacizumab</w:t>
      </w:r>
      <w:r w:rsidR="00DE39C9" w:rsidRPr="006A2BF9" w:rsidDel="00DE39C9">
        <w:rPr>
          <w:lang w:val="it-IT"/>
        </w:rPr>
        <w:t xml:space="preserve"> </w:t>
      </w:r>
      <w:r w:rsidRPr="006A2BF9">
        <w:rPr>
          <w:lang w:val="it-IT"/>
        </w:rPr>
        <w:t xml:space="preserve">in </w:t>
      </w:r>
      <w:r w:rsidR="003A32A4" w:rsidRPr="006A2BF9">
        <w:rPr>
          <w:lang w:val="it-IT"/>
        </w:rPr>
        <w:t xml:space="preserve">associazione </w:t>
      </w:r>
      <w:r w:rsidR="0042050C" w:rsidRPr="006A2BF9">
        <w:rPr>
          <w:lang w:val="it-IT"/>
        </w:rPr>
        <w:t xml:space="preserve">a </w:t>
      </w:r>
      <w:r w:rsidRPr="006A2BF9">
        <w:rPr>
          <w:lang w:val="it-IT"/>
        </w:rPr>
        <w:t xml:space="preserve">chemioterapia rispetto a chemioterapia più placebo nel trattamento </w:t>
      </w:r>
      <w:r w:rsidR="00E27928" w:rsidRPr="006A2BF9">
        <w:rPr>
          <w:lang w:val="it-IT"/>
        </w:rPr>
        <w:t>in</w:t>
      </w:r>
      <w:r w:rsidRPr="006A2BF9">
        <w:rPr>
          <w:lang w:val="it-IT"/>
        </w:rPr>
        <w:t xml:space="preserve"> prima linea di pazienti con </w:t>
      </w:r>
      <w:r w:rsidR="00C35913">
        <w:rPr>
          <w:lang w:val="it-IT"/>
        </w:rPr>
        <w:t>cancro</w:t>
      </w:r>
      <w:r w:rsidR="00C35913" w:rsidRPr="006A2BF9">
        <w:rPr>
          <w:lang w:val="it-IT"/>
        </w:rPr>
        <w:t xml:space="preserve"> </w:t>
      </w:r>
      <w:r w:rsidRPr="006A2BF9">
        <w:rPr>
          <w:lang w:val="it-IT"/>
        </w:rPr>
        <w:t>della mammella HER2 negativo metastatico</w:t>
      </w:r>
      <w:r w:rsidR="00736D6C" w:rsidRPr="006A2BF9">
        <w:rPr>
          <w:lang w:val="it-IT"/>
        </w:rPr>
        <w:t xml:space="preserve"> o localmente ricorrente</w:t>
      </w:r>
      <w:r w:rsidRPr="006A2BF9">
        <w:rPr>
          <w:lang w:val="it-IT"/>
        </w:rPr>
        <w:t>.</w:t>
      </w:r>
    </w:p>
    <w:p w14:paraId="488C321F" w14:textId="77777777" w:rsidR="003A1908" w:rsidRPr="006A2BF9" w:rsidRDefault="003A1908" w:rsidP="003A1908">
      <w:pPr>
        <w:rPr>
          <w:lang w:val="it-IT"/>
        </w:rPr>
      </w:pPr>
    </w:p>
    <w:p w14:paraId="456BAD4C" w14:textId="77777777" w:rsidR="003A1908" w:rsidRPr="006A2BF9" w:rsidRDefault="00736D6C" w:rsidP="003A1908">
      <w:pPr>
        <w:rPr>
          <w:lang w:val="it-IT"/>
        </w:rPr>
      </w:pPr>
      <w:r w:rsidRPr="006A2BF9">
        <w:rPr>
          <w:lang w:val="it-IT"/>
        </w:rPr>
        <w:t>Il regime chemioterapico</w:t>
      </w:r>
      <w:r w:rsidR="00E27928" w:rsidRPr="006A2BF9">
        <w:rPr>
          <w:lang w:val="it-IT"/>
        </w:rPr>
        <w:t xml:space="preserve"> è stato</w:t>
      </w:r>
      <w:r w:rsidRPr="006A2BF9">
        <w:rPr>
          <w:lang w:val="it-IT"/>
        </w:rPr>
        <w:t xml:space="preserve"> scelto a discrezione dello </w:t>
      </w:r>
      <w:r w:rsidR="003A1908" w:rsidRPr="006A2BF9">
        <w:rPr>
          <w:lang w:val="it-IT"/>
        </w:rPr>
        <w:t>sperimentatore prima della randomizzazione, in rapporto</w:t>
      </w:r>
      <w:r w:rsidR="00DE39C9" w:rsidRPr="006A2BF9">
        <w:rPr>
          <w:lang w:val="it-IT"/>
        </w:rPr>
        <w:t> </w:t>
      </w:r>
      <w:r w:rsidR="003A1908" w:rsidRPr="006A2BF9">
        <w:rPr>
          <w:lang w:val="it-IT"/>
        </w:rPr>
        <w:t xml:space="preserve">2:1, a ricevere </w:t>
      </w:r>
      <w:r w:rsidRPr="006A2BF9">
        <w:rPr>
          <w:lang w:val="it-IT"/>
        </w:rPr>
        <w:t xml:space="preserve">chemioterapia </w:t>
      </w:r>
      <w:r w:rsidR="00606EF6" w:rsidRPr="006A2BF9">
        <w:rPr>
          <w:lang w:val="it-IT"/>
        </w:rPr>
        <w:t>più</w:t>
      </w:r>
      <w:r w:rsidRPr="006A2BF9">
        <w:rPr>
          <w:lang w:val="it-IT"/>
        </w:rPr>
        <w:t xml:space="preserve"> </w:t>
      </w:r>
      <w:r w:rsidR="00DE39C9" w:rsidRPr="006A2BF9">
        <w:rPr>
          <w:szCs w:val="22"/>
          <w:lang w:val="it-IT"/>
        </w:rPr>
        <w:t>bevacizumab</w:t>
      </w:r>
      <w:r w:rsidR="00DE39C9" w:rsidRPr="006A2BF9" w:rsidDel="00DE39C9">
        <w:rPr>
          <w:lang w:val="it-IT"/>
        </w:rPr>
        <w:t xml:space="preserve"> </w:t>
      </w:r>
      <w:r w:rsidR="003A1908" w:rsidRPr="006A2BF9">
        <w:rPr>
          <w:lang w:val="it-IT"/>
        </w:rPr>
        <w:t xml:space="preserve">o chemioterapia </w:t>
      </w:r>
      <w:r w:rsidR="00606EF6" w:rsidRPr="006A2BF9">
        <w:rPr>
          <w:lang w:val="it-IT"/>
        </w:rPr>
        <w:t>più</w:t>
      </w:r>
      <w:r w:rsidR="003A1908" w:rsidRPr="006A2BF9">
        <w:rPr>
          <w:lang w:val="it-IT"/>
        </w:rPr>
        <w:t xml:space="preserve"> placebo. </w:t>
      </w:r>
      <w:r w:rsidRPr="006A2BF9">
        <w:rPr>
          <w:lang w:val="it-IT"/>
        </w:rPr>
        <w:t xml:space="preserve">Le opzioni </w:t>
      </w:r>
      <w:r w:rsidR="003A1908" w:rsidRPr="006A2BF9">
        <w:rPr>
          <w:lang w:val="it-IT"/>
        </w:rPr>
        <w:t>chemioterapic</w:t>
      </w:r>
      <w:r w:rsidRPr="006A2BF9">
        <w:rPr>
          <w:lang w:val="it-IT"/>
        </w:rPr>
        <w:t>he</w:t>
      </w:r>
      <w:r w:rsidR="003A1908" w:rsidRPr="006A2BF9">
        <w:rPr>
          <w:lang w:val="it-IT"/>
        </w:rPr>
        <w:t xml:space="preserve"> comprendevano capecitabina, taxani (</w:t>
      </w:r>
      <w:r w:rsidR="003A1908" w:rsidRPr="006A2BF9">
        <w:rPr>
          <w:i/>
          <w:lang w:val="it-IT"/>
        </w:rPr>
        <w:t>protein-bound</w:t>
      </w:r>
      <w:r w:rsidR="003A1908" w:rsidRPr="006A2BF9">
        <w:rPr>
          <w:lang w:val="it-IT"/>
        </w:rPr>
        <w:t xml:space="preserve"> paclitaxel, docetaxel)</w:t>
      </w:r>
      <w:r w:rsidRPr="006A2BF9">
        <w:rPr>
          <w:lang w:val="it-IT"/>
        </w:rPr>
        <w:t xml:space="preserve"> e</w:t>
      </w:r>
      <w:r w:rsidR="003A1908" w:rsidRPr="006A2BF9">
        <w:rPr>
          <w:lang w:val="it-IT"/>
        </w:rPr>
        <w:t xml:space="preserve"> regimi contenenti antracicline (doxorubicina/ ciclofosfamide, epirubicina/ ciclofosfamide, 5</w:t>
      </w:r>
      <w:r w:rsidR="00DE39C9" w:rsidRPr="006A2BF9">
        <w:rPr>
          <w:lang w:val="it-IT"/>
        </w:rPr>
        <w:noBreakHyphen/>
      </w:r>
      <w:r w:rsidR="003A1908" w:rsidRPr="006A2BF9">
        <w:rPr>
          <w:lang w:val="it-IT"/>
        </w:rPr>
        <w:t>fluorouracile/ doxorubicina/ ciclofosfamide, 5-fluorouracile/epirubicina/ciclofosfamide) somministrati ogni 3</w:t>
      </w:r>
      <w:r w:rsidR="00DE39C9" w:rsidRPr="006A2BF9">
        <w:rPr>
          <w:lang w:val="it-IT"/>
        </w:rPr>
        <w:t> </w:t>
      </w:r>
      <w:r w:rsidR="003A1908" w:rsidRPr="006A2BF9">
        <w:rPr>
          <w:lang w:val="it-IT"/>
        </w:rPr>
        <w:t xml:space="preserve">settimane. </w:t>
      </w:r>
      <w:r w:rsidR="00DE39C9" w:rsidRPr="006A2BF9">
        <w:rPr>
          <w:szCs w:val="22"/>
          <w:lang w:val="it-IT"/>
        </w:rPr>
        <w:t>Bevacizumab</w:t>
      </w:r>
      <w:r w:rsidR="00DE39C9" w:rsidRPr="006A2BF9" w:rsidDel="00DE39C9">
        <w:rPr>
          <w:lang w:val="it-IT"/>
        </w:rPr>
        <w:t xml:space="preserve"> </w:t>
      </w:r>
      <w:r w:rsidR="003A1908" w:rsidRPr="006A2BF9">
        <w:rPr>
          <w:lang w:val="it-IT"/>
        </w:rPr>
        <w:t>o placebo sono stati somministrati alla dose di 15 mg/kg ogni tre settimane.</w:t>
      </w:r>
    </w:p>
    <w:p w14:paraId="4EE414E0" w14:textId="77777777" w:rsidR="00D67ACD" w:rsidRPr="006A2BF9" w:rsidRDefault="00D67ACD" w:rsidP="00D67ACD">
      <w:pPr>
        <w:rPr>
          <w:lang w:val="it-IT"/>
        </w:rPr>
      </w:pPr>
    </w:p>
    <w:p w14:paraId="1F01AE2B" w14:textId="77777777" w:rsidR="00736D6C" w:rsidRPr="006A2BF9" w:rsidRDefault="00736D6C" w:rsidP="00736D6C">
      <w:pPr>
        <w:rPr>
          <w:rFonts w:eastAsia="SimSun"/>
          <w:color w:val="000000"/>
          <w:lang w:val="it-IT" w:eastAsia="zh-CN"/>
        </w:rPr>
      </w:pPr>
      <w:r w:rsidRPr="006A2BF9">
        <w:rPr>
          <w:lang w:val="it-IT"/>
        </w:rPr>
        <w:t xml:space="preserve">Questo </w:t>
      </w:r>
      <w:r w:rsidR="00D67ACD" w:rsidRPr="006A2BF9">
        <w:rPr>
          <w:lang w:val="it-IT"/>
        </w:rPr>
        <w:t>studio comprendeva una fase di trattamento</w:t>
      </w:r>
      <w:r w:rsidRPr="006A2BF9">
        <w:rPr>
          <w:lang w:val="it-IT"/>
        </w:rPr>
        <w:t xml:space="preserve"> in cieco, una fase opzionale</w:t>
      </w:r>
      <w:r w:rsidR="00D67ACD" w:rsidRPr="006A2BF9">
        <w:rPr>
          <w:lang w:val="it-IT"/>
        </w:rPr>
        <w:t xml:space="preserve"> i</w:t>
      </w:r>
      <w:r w:rsidRPr="006A2BF9">
        <w:rPr>
          <w:lang w:val="it-IT"/>
        </w:rPr>
        <w:t>n aperto dopo la progressione della</w:t>
      </w:r>
      <w:r w:rsidR="00D67ACD" w:rsidRPr="006A2BF9">
        <w:rPr>
          <w:lang w:val="it-IT"/>
        </w:rPr>
        <w:t xml:space="preserve"> malattia </w:t>
      </w:r>
      <w:r w:rsidRPr="006A2BF9">
        <w:rPr>
          <w:lang w:val="it-IT"/>
        </w:rPr>
        <w:t xml:space="preserve">e </w:t>
      </w:r>
      <w:r w:rsidR="00D67ACD" w:rsidRPr="006A2BF9">
        <w:rPr>
          <w:lang w:val="it-IT"/>
        </w:rPr>
        <w:t xml:space="preserve">una fase di </w:t>
      </w:r>
      <w:r w:rsidR="00D67ACD" w:rsidRPr="006A2BF9">
        <w:rPr>
          <w:i/>
          <w:lang w:val="it-IT"/>
        </w:rPr>
        <w:t>follow-up</w:t>
      </w:r>
      <w:r w:rsidR="00D67ACD" w:rsidRPr="006A2BF9">
        <w:rPr>
          <w:lang w:val="it-IT"/>
        </w:rPr>
        <w:t xml:space="preserve"> per valutare la sopravvivenza. Durante la fase di trattamento in cieco </w:t>
      </w:r>
      <w:r w:rsidRPr="006A2BF9">
        <w:rPr>
          <w:lang w:val="it-IT"/>
        </w:rPr>
        <w:t>le pazienti</w:t>
      </w:r>
      <w:r w:rsidR="00D67ACD" w:rsidRPr="006A2BF9">
        <w:rPr>
          <w:lang w:val="it-IT"/>
        </w:rPr>
        <w:t xml:space="preserve"> </w:t>
      </w:r>
      <w:r w:rsidRPr="006A2BF9">
        <w:rPr>
          <w:lang w:val="it-IT"/>
        </w:rPr>
        <w:t>ricevevano</w:t>
      </w:r>
      <w:r w:rsidR="00D67ACD" w:rsidRPr="006A2BF9">
        <w:rPr>
          <w:lang w:val="it-IT"/>
        </w:rPr>
        <w:t xml:space="preserve"> il trattamento chemioterapico e il </w:t>
      </w:r>
      <w:r w:rsidR="008B19F0" w:rsidRPr="006A2BF9">
        <w:rPr>
          <w:lang w:val="it-IT"/>
        </w:rPr>
        <w:t>medicinale</w:t>
      </w:r>
      <w:r w:rsidR="00CF0780" w:rsidRPr="006A2BF9">
        <w:rPr>
          <w:lang w:val="it-IT"/>
        </w:rPr>
        <w:t xml:space="preserve"> </w:t>
      </w:r>
      <w:r w:rsidR="00D67ACD" w:rsidRPr="006A2BF9">
        <w:rPr>
          <w:lang w:val="it-IT"/>
        </w:rPr>
        <w:t>(</w:t>
      </w:r>
      <w:r w:rsidR="00DE39C9" w:rsidRPr="006A2BF9">
        <w:rPr>
          <w:szCs w:val="22"/>
          <w:lang w:val="it-IT"/>
        </w:rPr>
        <w:t>bevacizumab</w:t>
      </w:r>
      <w:r w:rsidR="00DE39C9" w:rsidRPr="006A2BF9" w:rsidDel="00DE39C9">
        <w:rPr>
          <w:lang w:val="it-IT"/>
        </w:rPr>
        <w:t xml:space="preserve"> </w:t>
      </w:r>
      <w:r w:rsidR="00D67ACD" w:rsidRPr="006A2BF9">
        <w:rPr>
          <w:lang w:val="it-IT"/>
        </w:rPr>
        <w:t>o placebo) ogni 3</w:t>
      </w:r>
      <w:r w:rsidR="00DE39C9" w:rsidRPr="006A2BF9">
        <w:rPr>
          <w:lang w:val="it-IT"/>
        </w:rPr>
        <w:t> </w:t>
      </w:r>
      <w:r w:rsidR="00D67ACD" w:rsidRPr="006A2BF9">
        <w:rPr>
          <w:lang w:val="it-IT"/>
        </w:rPr>
        <w:t>s</w:t>
      </w:r>
      <w:r w:rsidRPr="006A2BF9">
        <w:rPr>
          <w:lang w:val="it-IT"/>
        </w:rPr>
        <w:t xml:space="preserve">ettimane fino a progressione della </w:t>
      </w:r>
      <w:r w:rsidR="00D67ACD" w:rsidRPr="006A2BF9">
        <w:rPr>
          <w:lang w:val="it-IT"/>
        </w:rPr>
        <w:t>malattia, tossicità limitante il trattamento o decesso.</w:t>
      </w:r>
      <w:r w:rsidRPr="006A2BF9">
        <w:rPr>
          <w:rFonts w:eastAsia="SimSun"/>
          <w:color w:val="000000"/>
          <w:lang w:val="it-IT" w:eastAsia="zh-CN"/>
        </w:rPr>
        <w:t xml:space="preserve"> Alla documenta</w:t>
      </w:r>
      <w:r w:rsidR="00E27928" w:rsidRPr="006A2BF9">
        <w:rPr>
          <w:rFonts w:eastAsia="SimSun"/>
          <w:color w:val="000000"/>
          <w:lang w:val="it-IT" w:eastAsia="zh-CN"/>
        </w:rPr>
        <w:t>ta progressione della</w:t>
      </w:r>
      <w:r w:rsidRPr="006A2BF9">
        <w:rPr>
          <w:rFonts w:eastAsia="SimSun"/>
          <w:color w:val="000000"/>
          <w:lang w:val="it-IT" w:eastAsia="zh-CN"/>
        </w:rPr>
        <w:t xml:space="preserve"> malattia, le pazienti inserite nella fase opzionale in aperto potevano ricevere </w:t>
      </w:r>
      <w:r w:rsidR="00DE39C9" w:rsidRPr="006A2BF9">
        <w:rPr>
          <w:szCs w:val="22"/>
          <w:lang w:val="it-IT"/>
        </w:rPr>
        <w:t>bevacizumab</w:t>
      </w:r>
      <w:r w:rsidR="00DE39C9" w:rsidRPr="006A2BF9" w:rsidDel="00DE39C9">
        <w:rPr>
          <w:rFonts w:eastAsia="SimSun"/>
          <w:color w:val="000000"/>
          <w:lang w:val="it-IT" w:eastAsia="zh-CN"/>
        </w:rPr>
        <w:t xml:space="preserve"> </w:t>
      </w:r>
      <w:r w:rsidR="00E27928" w:rsidRPr="006A2BF9">
        <w:rPr>
          <w:rFonts w:eastAsia="SimSun"/>
          <w:color w:val="000000"/>
          <w:lang w:val="it-IT" w:eastAsia="zh-CN"/>
        </w:rPr>
        <w:t xml:space="preserve">in aperto </w:t>
      </w:r>
      <w:r w:rsidRPr="006A2BF9">
        <w:rPr>
          <w:rFonts w:eastAsia="SimSun"/>
          <w:color w:val="000000"/>
          <w:lang w:val="it-IT" w:eastAsia="zh-CN"/>
        </w:rPr>
        <w:t>in associazione ad una ampia varietà di agenti approvati per la seconda linea.</w:t>
      </w:r>
    </w:p>
    <w:p w14:paraId="1E836477" w14:textId="77777777" w:rsidR="00736D6C" w:rsidRPr="006A2BF9" w:rsidRDefault="00736D6C" w:rsidP="00736D6C">
      <w:pPr>
        <w:rPr>
          <w:rFonts w:eastAsia="SimSun"/>
          <w:color w:val="000000"/>
          <w:lang w:val="it-IT" w:eastAsia="zh-CN"/>
        </w:rPr>
      </w:pPr>
    </w:p>
    <w:p w14:paraId="31B1EF97" w14:textId="77777777" w:rsidR="00736D6C" w:rsidRPr="006A2BF9" w:rsidRDefault="00736D6C" w:rsidP="007007E5">
      <w:pPr>
        <w:rPr>
          <w:lang w:val="it-IT"/>
        </w:rPr>
      </w:pPr>
      <w:r w:rsidRPr="006A2BF9">
        <w:rPr>
          <w:lang w:val="it-IT"/>
        </w:rPr>
        <w:t xml:space="preserve">Le analisi statistiche sono state condotte indipendentemente per le due coorti di pazienti: 1) pazienti sottoposte a capecitabina in </w:t>
      </w:r>
      <w:r w:rsidR="003A32A4" w:rsidRPr="006A2BF9">
        <w:rPr>
          <w:lang w:val="it-IT"/>
        </w:rPr>
        <w:t xml:space="preserve">associazione </w:t>
      </w:r>
      <w:r w:rsidR="0042050C" w:rsidRPr="006A2BF9">
        <w:rPr>
          <w:lang w:val="it-IT"/>
        </w:rPr>
        <w:t xml:space="preserve">a </w:t>
      </w:r>
      <w:r w:rsidR="00F4321D" w:rsidRPr="006A2BF9">
        <w:rPr>
          <w:szCs w:val="22"/>
          <w:lang w:val="it-IT"/>
        </w:rPr>
        <w:t>bevacizumab</w:t>
      </w:r>
      <w:r w:rsidR="00F4321D" w:rsidRPr="006A2BF9" w:rsidDel="00F4321D">
        <w:rPr>
          <w:lang w:val="it-IT"/>
        </w:rPr>
        <w:t xml:space="preserve"> </w:t>
      </w:r>
      <w:r w:rsidRPr="006A2BF9">
        <w:rPr>
          <w:lang w:val="it-IT"/>
        </w:rPr>
        <w:t>o p</w:t>
      </w:r>
      <w:r w:rsidR="009847F8" w:rsidRPr="006A2BF9">
        <w:rPr>
          <w:lang w:val="it-IT"/>
        </w:rPr>
        <w:t xml:space="preserve">lacebo; 2) pazienti sottoposte </w:t>
      </w:r>
      <w:r w:rsidRPr="006A2BF9">
        <w:rPr>
          <w:lang w:val="it-IT"/>
        </w:rPr>
        <w:t xml:space="preserve">a regimi a base di taxani o antracicline in </w:t>
      </w:r>
      <w:r w:rsidR="003A32A4" w:rsidRPr="006A2BF9">
        <w:rPr>
          <w:lang w:val="it-IT"/>
        </w:rPr>
        <w:t xml:space="preserve">associazione </w:t>
      </w:r>
      <w:r w:rsidR="0042050C" w:rsidRPr="006A2BF9">
        <w:rPr>
          <w:lang w:val="it-IT"/>
        </w:rPr>
        <w:t xml:space="preserve">a </w:t>
      </w:r>
      <w:r w:rsidR="00F4321D" w:rsidRPr="006A2BF9">
        <w:rPr>
          <w:szCs w:val="22"/>
          <w:lang w:val="it-IT"/>
        </w:rPr>
        <w:t>bevacizumab</w:t>
      </w:r>
      <w:r w:rsidR="00F4321D" w:rsidRPr="006A2BF9" w:rsidDel="00F4321D">
        <w:rPr>
          <w:lang w:val="it-IT"/>
        </w:rPr>
        <w:t xml:space="preserve"> </w:t>
      </w:r>
      <w:r w:rsidRPr="006A2BF9">
        <w:rPr>
          <w:lang w:val="it-IT"/>
        </w:rPr>
        <w:t>o placebo. L’</w:t>
      </w:r>
      <w:r w:rsidRPr="006A2BF9">
        <w:rPr>
          <w:i/>
          <w:lang w:val="it-IT"/>
        </w:rPr>
        <w:t>endpoint</w:t>
      </w:r>
      <w:r w:rsidRPr="006A2BF9">
        <w:rPr>
          <w:lang w:val="it-IT"/>
        </w:rPr>
        <w:t xml:space="preserve"> primario dello studio era la PF</w:t>
      </w:r>
      <w:r w:rsidR="00570D9F" w:rsidRPr="006A2BF9">
        <w:rPr>
          <w:lang w:val="it-IT"/>
        </w:rPr>
        <w:t>S</w:t>
      </w:r>
      <w:r w:rsidRPr="006A2BF9">
        <w:rPr>
          <w:lang w:val="it-IT"/>
        </w:rPr>
        <w:t xml:space="preserve"> secondo la valutazione dello sperimentatore. Inoltre, l’</w:t>
      </w:r>
      <w:r w:rsidRPr="006A2BF9">
        <w:rPr>
          <w:i/>
          <w:lang w:val="it-IT"/>
        </w:rPr>
        <w:t>endpoint</w:t>
      </w:r>
      <w:r w:rsidRPr="006A2BF9">
        <w:rPr>
          <w:lang w:val="it-IT"/>
        </w:rPr>
        <w:t xml:space="preserve"> primario è stato valutato anche da un </w:t>
      </w:r>
      <w:r w:rsidR="0042050C" w:rsidRPr="006A2BF9">
        <w:rPr>
          <w:lang w:val="it-IT"/>
        </w:rPr>
        <w:t xml:space="preserve">comitato </w:t>
      </w:r>
      <w:r w:rsidRPr="006A2BF9">
        <w:rPr>
          <w:lang w:val="it-IT"/>
        </w:rPr>
        <w:t xml:space="preserve">di </w:t>
      </w:r>
      <w:r w:rsidR="0042050C" w:rsidRPr="006A2BF9">
        <w:rPr>
          <w:lang w:val="it-IT"/>
        </w:rPr>
        <w:t xml:space="preserve">revisione indipendente </w:t>
      </w:r>
      <w:r w:rsidR="00E27928" w:rsidRPr="006A2BF9">
        <w:rPr>
          <w:lang w:val="it-IT"/>
        </w:rPr>
        <w:t>(IRC).</w:t>
      </w:r>
    </w:p>
    <w:p w14:paraId="12413CD7" w14:textId="77777777" w:rsidR="00736D6C" w:rsidRPr="006A2BF9" w:rsidRDefault="00736D6C" w:rsidP="00736D6C">
      <w:pPr>
        <w:rPr>
          <w:rFonts w:eastAsia="SimSun"/>
          <w:color w:val="000000"/>
          <w:lang w:val="it-IT" w:eastAsia="zh-CN"/>
        </w:rPr>
      </w:pPr>
    </w:p>
    <w:p w14:paraId="6BC7B46F" w14:textId="77777777" w:rsidR="00D67ACD" w:rsidRPr="006A2BF9" w:rsidRDefault="00736D6C" w:rsidP="00736D6C">
      <w:pPr>
        <w:rPr>
          <w:lang w:val="it-IT"/>
        </w:rPr>
      </w:pPr>
      <w:r w:rsidRPr="006A2BF9">
        <w:rPr>
          <w:color w:val="000000"/>
          <w:lang w:val="it-IT"/>
        </w:rPr>
        <w:t xml:space="preserve">I risultati </w:t>
      </w:r>
      <w:r w:rsidR="006640D6" w:rsidRPr="006A2BF9">
        <w:rPr>
          <w:color w:val="000000"/>
          <w:lang w:val="it-IT"/>
        </w:rPr>
        <w:t>di questo studio</w:t>
      </w:r>
      <w:r w:rsidR="0042050C" w:rsidRPr="006A2BF9">
        <w:rPr>
          <w:color w:val="000000"/>
          <w:lang w:val="it-IT"/>
        </w:rPr>
        <w:t>,</w:t>
      </w:r>
      <w:r w:rsidR="006640D6" w:rsidRPr="006A2BF9">
        <w:rPr>
          <w:color w:val="000000"/>
          <w:lang w:val="it-IT"/>
        </w:rPr>
        <w:t xml:space="preserve"> derivanti </w:t>
      </w:r>
      <w:r w:rsidRPr="006A2BF9">
        <w:rPr>
          <w:color w:val="000000"/>
          <w:lang w:val="it-IT"/>
        </w:rPr>
        <w:t xml:space="preserve">dall’analisi finale definita nel protocollo e condotta nella coorte </w:t>
      </w:r>
      <w:r w:rsidR="00F1246E" w:rsidRPr="006A2BF9">
        <w:rPr>
          <w:color w:val="000000"/>
          <w:lang w:val="it-IT"/>
        </w:rPr>
        <w:t xml:space="preserve">con potenza statisticamente indipendente </w:t>
      </w:r>
      <w:r w:rsidRPr="006A2BF9">
        <w:rPr>
          <w:color w:val="000000"/>
          <w:lang w:val="it-IT"/>
        </w:rPr>
        <w:t xml:space="preserve">di pazienti trattate con capecitabina </w:t>
      </w:r>
      <w:r w:rsidR="006640D6" w:rsidRPr="006A2BF9">
        <w:rPr>
          <w:color w:val="000000"/>
          <w:lang w:val="it-IT"/>
        </w:rPr>
        <w:t xml:space="preserve">dello studio AVF3694g </w:t>
      </w:r>
      <w:r w:rsidRPr="006A2BF9">
        <w:rPr>
          <w:color w:val="000000"/>
          <w:lang w:val="it-IT"/>
        </w:rPr>
        <w:t xml:space="preserve">relativamente alla </w:t>
      </w:r>
      <w:r w:rsidR="004C45F5">
        <w:rPr>
          <w:color w:val="000000"/>
          <w:lang w:val="it-IT"/>
        </w:rPr>
        <w:t>PFS</w:t>
      </w:r>
      <w:r w:rsidRPr="006A2BF9">
        <w:rPr>
          <w:color w:val="000000"/>
          <w:lang w:val="it-IT"/>
        </w:rPr>
        <w:t xml:space="preserve"> e a</w:t>
      </w:r>
      <w:r w:rsidR="00F1246E" w:rsidRPr="006A2BF9">
        <w:rPr>
          <w:color w:val="000000"/>
          <w:lang w:val="it-IT"/>
        </w:rPr>
        <w:t>i tassi di risposta</w:t>
      </w:r>
      <w:r w:rsidRPr="006A2BF9">
        <w:rPr>
          <w:color w:val="000000"/>
          <w:lang w:val="it-IT"/>
        </w:rPr>
        <w:t xml:space="preserve"> sono riportati nella </w:t>
      </w:r>
      <w:r w:rsidR="0025736A" w:rsidRPr="006A2BF9">
        <w:rPr>
          <w:color w:val="000000"/>
          <w:lang w:val="it-IT"/>
        </w:rPr>
        <w:t>t</w:t>
      </w:r>
      <w:r w:rsidRPr="006A2BF9">
        <w:rPr>
          <w:color w:val="000000"/>
          <w:lang w:val="it-IT"/>
        </w:rPr>
        <w:t>abella</w:t>
      </w:r>
      <w:r w:rsidR="00F4321D" w:rsidRPr="006A2BF9">
        <w:rPr>
          <w:color w:val="000000"/>
          <w:lang w:val="it-IT"/>
        </w:rPr>
        <w:t> </w:t>
      </w:r>
      <w:r w:rsidR="008620FC" w:rsidRPr="006A2BF9">
        <w:rPr>
          <w:color w:val="000000"/>
          <w:lang w:val="it-IT"/>
        </w:rPr>
        <w:t>1</w:t>
      </w:r>
      <w:r w:rsidR="00D966E3" w:rsidRPr="006A2BF9">
        <w:rPr>
          <w:color w:val="000000"/>
          <w:lang w:val="it-IT"/>
        </w:rPr>
        <w:t>1</w:t>
      </w:r>
      <w:r w:rsidRPr="006A2BF9">
        <w:rPr>
          <w:color w:val="000000"/>
          <w:lang w:val="it-IT"/>
        </w:rPr>
        <w:t xml:space="preserve">. I risultati provenienti da un’analisi esplorativa sulla </w:t>
      </w:r>
      <w:r w:rsidR="004C45F5">
        <w:rPr>
          <w:color w:val="000000"/>
          <w:lang w:val="it-IT"/>
        </w:rPr>
        <w:t>OS</w:t>
      </w:r>
      <w:r w:rsidRPr="006A2BF9">
        <w:rPr>
          <w:color w:val="000000"/>
          <w:lang w:val="it-IT"/>
        </w:rPr>
        <w:t xml:space="preserve"> che include ulteriori 7</w:t>
      </w:r>
      <w:r w:rsidR="00F4321D" w:rsidRPr="006A2BF9">
        <w:rPr>
          <w:color w:val="000000"/>
          <w:lang w:val="it-IT"/>
        </w:rPr>
        <w:t> </w:t>
      </w:r>
      <w:r w:rsidRPr="006A2BF9">
        <w:rPr>
          <w:color w:val="000000"/>
          <w:lang w:val="it-IT"/>
        </w:rPr>
        <w:t xml:space="preserve">mesi di </w:t>
      </w:r>
      <w:r w:rsidRPr="006A2BF9">
        <w:rPr>
          <w:i/>
          <w:color w:val="000000"/>
          <w:lang w:val="it-IT"/>
        </w:rPr>
        <w:t>follow-up</w:t>
      </w:r>
      <w:r w:rsidRPr="006A2BF9">
        <w:rPr>
          <w:color w:val="000000"/>
          <w:lang w:val="it-IT"/>
        </w:rPr>
        <w:t xml:space="preserve"> </w:t>
      </w:r>
      <w:r w:rsidR="00F1246E" w:rsidRPr="006A2BF9">
        <w:rPr>
          <w:color w:val="000000"/>
          <w:lang w:val="it-IT"/>
        </w:rPr>
        <w:t xml:space="preserve">(circa il 46% </w:t>
      </w:r>
      <w:r w:rsidR="00570D9F" w:rsidRPr="006A2BF9">
        <w:rPr>
          <w:color w:val="000000"/>
          <w:lang w:val="it-IT"/>
        </w:rPr>
        <w:t xml:space="preserve">dei </w:t>
      </w:r>
      <w:r w:rsidR="00F1246E" w:rsidRPr="006A2BF9">
        <w:rPr>
          <w:color w:val="000000"/>
          <w:lang w:val="it-IT"/>
        </w:rPr>
        <w:t xml:space="preserve">pazienti era deceduto) </w:t>
      </w:r>
      <w:r w:rsidRPr="006A2BF9">
        <w:rPr>
          <w:color w:val="000000"/>
          <w:lang w:val="it-IT"/>
        </w:rPr>
        <w:t xml:space="preserve">sono altresì indicati. La percentuale di pazienti che hanno ricevuto </w:t>
      </w:r>
      <w:r w:rsidR="00F4321D" w:rsidRPr="006A2BF9">
        <w:rPr>
          <w:szCs w:val="22"/>
          <w:lang w:val="it-IT"/>
        </w:rPr>
        <w:t>bevacizumab</w:t>
      </w:r>
      <w:r w:rsidR="00F4321D" w:rsidRPr="006A2BF9" w:rsidDel="00F4321D">
        <w:rPr>
          <w:color w:val="000000"/>
          <w:lang w:val="it-IT"/>
        </w:rPr>
        <w:t xml:space="preserve"> </w:t>
      </w:r>
      <w:r w:rsidRPr="006A2BF9">
        <w:rPr>
          <w:color w:val="000000"/>
          <w:lang w:val="it-IT"/>
        </w:rPr>
        <w:t xml:space="preserve">nella fase in aperto è stata del 62,1% </w:t>
      </w:r>
      <w:r w:rsidR="00F1246E" w:rsidRPr="006A2BF9">
        <w:rPr>
          <w:color w:val="000000"/>
          <w:lang w:val="it-IT"/>
        </w:rPr>
        <w:t>nel braccio con capecitabina</w:t>
      </w:r>
      <w:r w:rsidR="00D41733" w:rsidRPr="006A2BF9">
        <w:rPr>
          <w:color w:val="000000"/>
          <w:lang w:val="it-IT"/>
        </w:rPr>
        <w:t> </w:t>
      </w:r>
      <w:r w:rsidR="00F1246E" w:rsidRPr="006A2BF9">
        <w:rPr>
          <w:color w:val="000000"/>
          <w:lang w:val="it-IT"/>
        </w:rPr>
        <w:t>+</w:t>
      </w:r>
      <w:r w:rsidR="00D41733" w:rsidRPr="006A2BF9">
        <w:rPr>
          <w:color w:val="000000"/>
          <w:lang w:val="it-IT"/>
        </w:rPr>
        <w:t> </w:t>
      </w:r>
      <w:r w:rsidRPr="006A2BF9">
        <w:rPr>
          <w:color w:val="000000"/>
          <w:lang w:val="it-IT"/>
        </w:rPr>
        <w:t>placebo e 49,9% n</w:t>
      </w:r>
      <w:r w:rsidR="00F1246E" w:rsidRPr="006A2BF9">
        <w:rPr>
          <w:color w:val="000000"/>
          <w:lang w:val="it-IT"/>
        </w:rPr>
        <w:t>el braccio con capecitabina</w:t>
      </w:r>
      <w:r w:rsidR="00D41733" w:rsidRPr="006A2BF9">
        <w:rPr>
          <w:color w:val="000000"/>
          <w:lang w:val="it-IT"/>
        </w:rPr>
        <w:t> </w:t>
      </w:r>
      <w:r w:rsidR="00F1246E" w:rsidRPr="006A2BF9">
        <w:rPr>
          <w:color w:val="000000"/>
          <w:lang w:val="it-IT"/>
        </w:rPr>
        <w:t>+</w:t>
      </w:r>
      <w:r w:rsidR="00D41733" w:rsidRPr="006A2BF9">
        <w:rPr>
          <w:color w:val="000000"/>
          <w:lang w:val="it-IT"/>
        </w:rPr>
        <w:t> </w:t>
      </w:r>
      <w:r w:rsidR="00F4321D" w:rsidRPr="006A2BF9">
        <w:rPr>
          <w:szCs w:val="22"/>
          <w:lang w:val="it-IT"/>
        </w:rPr>
        <w:t>bevacizumab</w:t>
      </w:r>
      <w:r w:rsidRPr="006A2BF9">
        <w:rPr>
          <w:color w:val="000000"/>
          <w:lang w:val="it-IT"/>
        </w:rPr>
        <w:t>.</w:t>
      </w:r>
    </w:p>
    <w:p w14:paraId="6761E63B" w14:textId="77777777" w:rsidR="003A1908" w:rsidRPr="006A2BF9" w:rsidRDefault="003A1908" w:rsidP="009C0666">
      <w:pPr>
        <w:rPr>
          <w:lang w:val="it-IT"/>
        </w:rPr>
      </w:pPr>
    </w:p>
    <w:p w14:paraId="31CA5275" w14:textId="77777777" w:rsidR="00A85B75" w:rsidRPr="006A2BF9" w:rsidRDefault="00A85B75" w:rsidP="00570B43">
      <w:pPr>
        <w:keepNext/>
        <w:keepLines/>
        <w:ind w:left="1080" w:hanging="1080"/>
        <w:rPr>
          <w:rFonts w:eastAsia="SimSun"/>
          <w:b/>
          <w:color w:val="000000"/>
          <w:lang w:val="it-IT"/>
        </w:rPr>
      </w:pPr>
      <w:r w:rsidRPr="006A2BF9">
        <w:rPr>
          <w:rFonts w:eastAsia="SimSun"/>
          <w:b/>
          <w:color w:val="000000"/>
          <w:lang w:val="it-IT"/>
        </w:rPr>
        <w:lastRenderedPageBreak/>
        <w:t>Tabella </w:t>
      </w:r>
      <w:r w:rsidR="008620FC" w:rsidRPr="006A2BF9">
        <w:rPr>
          <w:rFonts w:eastAsia="SimSun"/>
          <w:b/>
          <w:color w:val="000000"/>
          <w:lang w:val="it-IT"/>
        </w:rPr>
        <w:t>1</w:t>
      </w:r>
      <w:r w:rsidR="00D966E3" w:rsidRPr="006A2BF9">
        <w:rPr>
          <w:rFonts w:eastAsia="SimSun"/>
          <w:b/>
          <w:color w:val="000000"/>
          <w:lang w:val="it-IT"/>
        </w:rPr>
        <w:t>1</w:t>
      </w:r>
      <w:r w:rsidRPr="006A2BF9">
        <w:rPr>
          <w:rFonts w:eastAsia="SimSun"/>
          <w:b/>
          <w:color w:val="000000"/>
          <w:lang w:val="it-IT"/>
        </w:rPr>
        <w:t xml:space="preserve"> </w:t>
      </w:r>
      <w:r w:rsidRPr="006A2BF9">
        <w:rPr>
          <w:rFonts w:eastAsia="SimSun"/>
          <w:b/>
          <w:color w:val="000000"/>
          <w:lang w:val="it-IT"/>
        </w:rPr>
        <w:tab/>
        <w:t>Risultati di efficacia per lo studio AVF3694g: – Capecitabina</w:t>
      </w:r>
      <w:r w:rsidRPr="006A2BF9">
        <w:rPr>
          <w:rFonts w:eastAsia="SimSun"/>
          <w:b/>
          <w:color w:val="000000"/>
          <w:vertAlign w:val="superscript"/>
          <w:lang w:val="it-IT"/>
        </w:rPr>
        <w:t>a</w:t>
      </w:r>
      <w:r w:rsidRPr="006A2BF9">
        <w:rPr>
          <w:rFonts w:eastAsia="SimSun"/>
          <w:b/>
          <w:color w:val="000000"/>
          <w:lang w:val="it-IT"/>
        </w:rPr>
        <w:t xml:space="preserve"> </w:t>
      </w:r>
      <w:r w:rsidR="00736D6C" w:rsidRPr="006A2BF9">
        <w:rPr>
          <w:rFonts w:eastAsia="SimSun"/>
          <w:b/>
          <w:color w:val="000000"/>
          <w:lang w:val="it-IT"/>
        </w:rPr>
        <w:t xml:space="preserve">e </w:t>
      </w:r>
      <w:r w:rsidR="00B94CA8" w:rsidRPr="006A2BF9">
        <w:rPr>
          <w:b/>
          <w:lang w:val="it-IT"/>
        </w:rPr>
        <w:t>bevacizumab</w:t>
      </w:r>
      <w:r w:rsidRPr="006A2BF9">
        <w:rPr>
          <w:rFonts w:eastAsia="SimSun"/>
          <w:b/>
          <w:color w:val="000000"/>
          <w:lang w:val="it-IT"/>
        </w:rPr>
        <w:t>/Placebo (Cap</w:t>
      </w:r>
      <w:r w:rsidR="00236A17" w:rsidRPr="006A2BF9">
        <w:rPr>
          <w:rFonts w:eastAsia="SimSun"/>
          <w:b/>
          <w:color w:val="000000"/>
          <w:lang w:val="it-IT"/>
        </w:rPr>
        <w:t> </w:t>
      </w:r>
      <w:r w:rsidRPr="006A2BF9">
        <w:rPr>
          <w:rFonts w:eastAsia="SimSun"/>
          <w:b/>
          <w:color w:val="000000"/>
          <w:lang w:val="it-IT"/>
        </w:rPr>
        <w:t>+</w:t>
      </w:r>
      <w:r w:rsidR="00236A17" w:rsidRPr="006A2BF9">
        <w:rPr>
          <w:rFonts w:eastAsia="SimSun"/>
          <w:b/>
          <w:color w:val="000000"/>
          <w:lang w:val="it-IT"/>
        </w:rPr>
        <w:t> </w:t>
      </w:r>
      <w:r w:rsidR="00B94CA8" w:rsidRPr="006A2BF9">
        <w:rPr>
          <w:b/>
          <w:lang w:val="it-IT"/>
        </w:rPr>
        <w:t>bevacizumab</w:t>
      </w:r>
      <w:r w:rsidRPr="006A2BF9">
        <w:rPr>
          <w:rFonts w:eastAsia="SimSun"/>
          <w:b/>
          <w:color w:val="000000"/>
          <w:lang w:val="it-IT"/>
        </w:rPr>
        <w:t>/Pl)</w:t>
      </w:r>
    </w:p>
    <w:tbl>
      <w:tblPr>
        <w:tblW w:w="0" w:type="auto"/>
        <w:tblInd w:w="111" w:type="dxa"/>
        <w:tblLayout w:type="fixed"/>
        <w:tblCellMar>
          <w:left w:w="0" w:type="dxa"/>
          <w:right w:w="0" w:type="dxa"/>
        </w:tblCellMar>
        <w:tblLook w:val="0000" w:firstRow="0" w:lastRow="0" w:firstColumn="0" w:lastColumn="0" w:noHBand="0" w:noVBand="0"/>
      </w:tblPr>
      <w:tblGrid>
        <w:gridCol w:w="6"/>
        <w:gridCol w:w="2211"/>
        <w:gridCol w:w="38"/>
        <w:gridCol w:w="1506"/>
        <w:gridCol w:w="1521"/>
        <w:gridCol w:w="1498"/>
        <w:gridCol w:w="1669"/>
      </w:tblGrid>
      <w:tr w:rsidR="00A85B75" w:rsidRPr="006A2BF9" w14:paraId="17FACCD9" w14:textId="77777777" w:rsidTr="00C65E97">
        <w:tc>
          <w:tcPr>
            <w:tcW w:w="8449"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A10FF" w14:textId="77777777" w:rsidR="00A85B75" w:rsidRPr="006A2BF9" w:rsidRDefault="00A85B75" w:rsidP="00F4321D">
            <w:pPr>
              <w:keepNext/>
              <w:keepLines/>
              <w:spacing w:before="60" w:after="170"/>
              <w:jc w:val="both"/>
              <w:rPr>
                <w:rFonts w:eastAsia="SimSun"/>
                <w:iCs/>
                <w:color w:val="000000"/>
                <w:szCs w:val="22"/>
                <w:lang w:val="it-IT" w:eastAsia="zh-CN"/>
              </w:rPr>
            </w:pPr>
            <w:r w:rsidRPr="006A2BF9">
              <w:rPr>
                <w:rFonts w:eastAsia="SimSun"/>
                <w:bCs/>
                <w:iCs/>
                <w:color w:val="000000"/>
                <w:szCs w:val="22"/>
                <w:lang w:val="it-IT" w:eastAsia="zh-CN"/>
              </w:rPr>
              <w:t>Sopravvivenza lib</w:t>
            </w:r>
            <w:r w:rsidR="00736D6C" w:rsidRPr="006A2BF9">
              <w:rPr>
                <w:rFonts w:eastAsia="SimSun"/>
                <w:bCs/>
                <w:iCs/>
                <w:color w:val="000000"/>
                <w:szCs w:val="22"/>
                <w:lang w:val="it-IT" w:eastAsia="zh-CN"/>
              </w:rPr>
              <w:t>era da progressione</w:t>
            </w:r>
            <w:r w:rsidR="00C05192" w:rsidRPr="006A2BF9">
              <w:rPr>
                <w:rFonts w:eastAsia="SimSun"/>
                <w:bCs/>
                <w:iCs/>
                <w:color w:val="000000"/>
                <w:szCs w:val="22"/>
                <w:lang w:val="it-IT" w:eastAsia="zh-CN"/>
              </w:rPr>
              <w:t xml:space="preserve"> (PFS)</w:t>
            </w:r>
            <w:r w:rsidRPr="006A2BF9">
              <w:rPr>
                <w:rFonts w:eastAsia="SimSun"/>
                <w:bCs/>
                <w:iCs/>
                <w:color w:val="000000"/>
                <w:szCs w:val="22"/>
                <w:vertAlign w:val="superscript"/>
                <w:lang w:val="it-IT" w:eastAsia="zh-CN"/>
              </w:rPr>
              <w:t>b</w:t>
            </w:r>
          </w:p>
        </w:tc>
      </w:tr>
      <w:tr w:rsidR="00A85B75" w:rsidRPr="006A2BF9" w14:paraId="181A3DA0" w14:textId="77777777" w:rsidTr="00C65E9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B915BE1" w14:textId="77777777" w:rsidR="00A85B75" w:rsidRPr="006A2BF9" w:rsidRDefault="00A85B75" w:rsidP="00570B43">
            <w:pPr>
              <w:keepNext/>
              <w:keepLines/>
              <w:spacing w:before="60" w:after="170"/>
              <w:jc w:val="both"/>
              <w:rPr>
                <w:rFonts w:eastAsia="SimSun"/>
                <w:bCs/>
                <w:iCs/>
                <w:color w:val="000000"/>
                <w:szCs w:val="22"/>
                <w:lang w:val="it-IT"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627E7F4F" w14:textId="77777777" w:rsidR="00A85B75" w:rsidRPr="006A2BF9" w:rsidRDefault="00A85B75" w:rsidP="00570B43">
            <w:pPr>
              <w:keepNext/>
              <w:keepLines/>
              <w:spacing w:before="60" w:after="170"/>
              <w:rPr>
                <w:rFonts w:eastAsia="SimSun"/>
                <w:bCs/>
                <w:iCs/>
                <w:color w:val="000000"/>
                <w:szCs w:val="22"/>
                <w:lang w:val="it-IT" w:eastAsia="zh-CN"/>
              </w:rPr>
            </w:pPr>
            <w:r w:rsidRPr="006A2BF9">
              <w:rPr>
                <w:rFonts w:eastAsia="SimSun"/>
                <w:bCs/>
                <w:iCs/>
                <w:color w:val="000000"/>
                <w:szCs w:val="22"/>
                <w:lang w:val="it-IT" w:eastAsia="zh-CN"/>
              </w:rPr>
              <w:t>Valutazione de</w:t>
            </w:r>
            <w:r w:rsidR="0025736A" w:rsidRPr="006A2BF9">
              <w:rPr>
                <w:rFonts w:eastAsia="SimSun"/>
                <w:bCs/>
                <w:iCs/>
                <w:color w:val="000000"/>
                <w:szCs w:val="22"/>
                <w:lang w:val="it-IT" w:eastAsia="zh-CN"/>
              </w:rPr>
              <w:t>llo</w:t>
            </w:r>
            <w:r w:rsidRPr="006A2BF9">
              <w:rPr>
                <w:rFonts w:eastAsia="SimSun"/>
                <w:bCs/>
                <w:iCs/>
                <w:color w:val="000000"/>
                <w:szCs w:val="22"/>
                <w:lang w:val="it-IT" w:eastAsia="zh-CN"/>
              </w:rPr>
              <w:t xml:space="preserve"> sperimentator</w:t>
            </w:r>
            <w:r w:rsidR="0025736A" w:rsidRPr="006A2BF9">
              <w:rPr>
                <w:rFonts w:eastAsia="SimSun"/>
                <w:bCs/>
                <w:iCs/>
                <w:color w:val="000000"/>
                <w:szCs w:val="22"/>
                <w:lang w:val="it-IT" w:eastAsia="zh-CN"/>
              </w:rPr>
              <w:t>e</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29E6D8DC" w14:textId="77777777" w:rsidR="00A85B75" w:rsidRPr="006A2BF9" w:rsidRDefault="00A85B75" w:rsidP="00570B43">
            <w:pPr>
              <w:keepNext/>
              <w:keepLines/>
              <w:spacing w:before="60" w:after="170"/>
              <w:jc w:val="both"/>
              <w:rPr>
                <w:rFonts w:eastAsia="SimSun"/>
                <w:bCs/>
                <w:iCs/>
                <w:color w:val="000000"/>
                <w:szCs w:val="22"/>
                <w:lang w:val="it-IT" w:eastAsia="zh-CN"/>
              </w:rPr>
            </w:pPr>
            <w:r w:rsidRPr="006A2BF9">
              <w:rPr>
                <w:rFonts w:eastAsia="SimSun"/>
                <w:bCs/>
                <w:iCs/>
                <w:color w:val="000000"/>
                <w:szCs w:val="22"/>
                <w:lang w:val="it-IT" w:eastAsia="zh-CN"/>
              </w:rPr>
              <w:t xml:space="preserve">Valutazione </w:t>
            </w:r>
            <w:r w:rsidR="00231F71" w:rsidRPr="006A2BF9">
              <w:rPr>
                <w:rFonts w:eastAsia="SimSun"/>
                <w:bCs/>
                <w:iCs/>
                <w:color w:val="000000"/>
                <w:szCs w:val="22"/>
                <w:lang w:val="it-IT" w:eastAsia="zh-CN"/>
              </w:rPr>
              <w:t>dell’IRC</w:t>
            </w:r>
          </w:p>
        </w:tc>
      </w:tr>
      <w:tr w:rsidR="00A85B75" w:rsidRPr="006A2BF9" w14:paraId="15B951D3" w14:textId="77777777" w:rsidTr="00C65E9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1BAE476" w14:textId="77777777" w:rsidR="00A85B75" w:rsidRPr="006A2BF9" w:rsidRDefault="00A85B75" w:rsidP="00C65E97">
            <w:pPr>
              <w:keepNext/>
              <w:keepLines/>
              <w:jc w:val="both"/>
              <w:rPr>
                <w:rFonts w:eastAsia="SimSun"/>
                <w:bCs/>
                <w:iCs/>
                <w:color w:val="000000"/>
                <w:szCs w:val="22"/>
                <w:lang w:val="it-IT" w:eastAsia="zh-C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39DB6BB1" w14:textId="77777777" w:rsidR="00F4321D" w:rsidRPr="006A2BF9" w:rsidRDefault="00A85B75" w:rsidP="00C65E97">
            <w:pPr>
              <w:keepNext/>
              <w:keepLines/>
              <w:jc w:val="center"/>
              <w:rPr>
                <w:rFonts w:eastAsia="SimSun"/>
                <w:bCs/>
                <w:iCs/>
                <w:color w:val="000000"/>
                <w:szCs w:val="22"/>
                <w:lang w:val="it-IT" w:eastAsia="zh-CN"/>
              </w:rPr>
            </w:pPr>
            <w:r w:rsidRPr="006A2BF9">
              <w:rPr>
                <w:rFonts w:eastAsia="SimSun"/>
                <w:bCs/>
                <w:iCs/>
                <w:color w:val="000000"/>
                <w:szCs w:val="22"/>
                <w:lang w:val="it-IT" w:eastAsia="zh-CN"/>
              </w:rPr>
              <w:t>Cap</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Pl</w:t>
            </w:r>
          </w:p>
          <w:p w14:paraId="31BF4390" w14:textId="77777777" w:rsidR="00A85B75" w:rsidRPr="006A2BF9" w:rsidRDefault="00A85B75" w:rsidP="00C65E97">
            <w:pPr>
              <w:keepNext/>
              <w:keepLines/>
              <w:jc w:val="center"/>
              <w:rPr>
                <w:rFonts w:eastAsia="SimSun"/>
                <w:bCs/>
                <w:iCs/>
                <w:color w:val="000000"/>
                <w:szCs w:val="22"/>
                <w:lang w:val="it-IT" w:eastAsia="zh-CN"/>
              </w:rPr>
            </w:pPr>
            <w:r w:rsidRPr="006A2BF9">
              <w:rPr>
                <w:rFonts w:eastAsia="SimSun"/>
                <w:bCs/>
                <w:iCs/>
                <w:color w:val="000000"/>
                <w:szCs w:val="22"/>
                <w:lang w:val="it-IT" w:eastAsia="zh-CN"/>
              </w:rPr>
              <w:t>(n</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118FB21F" w14:textId="77777777" w:rsidR="00F4321D" w:rsidRPr="006A2BF9" w:rsidRDefault="00A85B75" w:rsidP="00C65E97">
            <w:pPr>
              <w:keepNext/>
              <w:keepLines/>
              <w:jc w:val="center"/>
              <w:rPr>
                <w:rFonts w:eastAsia="SimSun"/>
                <w:bCs/>
                <w:iCs/>
                <w:color w:val="000000"/>
                <w:szCs w:val="22"/>
                <w:lang w:val="it-IT" w:eastAsia="zh-CN"/>
              </w:rPr>
            </w:pPr>
            <w:r w:rsidRPr="006A2BF9">
              <w:rPr>
                <w:rFonts w:eastAsia="SimSun"/>
                <w:bCs/>
                <w:iCs/>
                <w:color w:val="000000"/>
                <w:szCs w:val="22"/>
                <w:lang w:val="it-IT" w:eastAsia="zh-CN"/>
              </w:rPr>
              <w:t>Cap</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00F4321D" w:rsidRPr="006A2BF9">
              <w:rPr>
                <w:szCs w:val="22"/>
                <w:lang w:val="it-IT"/>
              </w:rPr>
              <w:t>bevacizumab</w:t>
            </w:r>
          </w:p>
          <w:p w14:paraId="50B11BB0" w14:textId="77777777" w:rsidR="00A85B75" w:rsidRPr="006A2BF9" w:rsidRDefault="00A85B75" w:rsidP="00C65E97">
            <w:pPr>
              <w:keepNext/>
              <w:keepLines/>
              <w:jc w:val="center"/>
              <w:rPr>
                <w:rFonts w:eastAsia="SimSun"/>
                <w:bCs/>
                <w:iCs/>
                <w:color w:val="000000"/>
                <w:szCs w:val="22"/>
                <w:lang w:val="it-IT" w:eastAsia="zh-CN"/>
              </w:rPr>
            </w:pPr>
            <w:r w:rsidRPr="006A2BF9">
              <w:rPr>
                <w:rFonts w:eastAsia="SimSun"/>
                <w:bCs/>
                <w:iCs/>
                <w:color w:val="000000"/>
                <w:szCs w:val="22"/>
                <w:lang w:val="it-IT" w:eastAsia="zh-CN"/>
              </w:rPr>
              <w:t>(n</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35801344" w14:textId="77777777" w:rsidR="00F4321D" w:rsidRPr="006A2BF9" w:rsidRDefault="00A85B75" w:rsidP="00C65E97">
            <w:pPr>
              <w:keepNext/>
              <w:keepLines/>
              <w:jc w:val="center"/>
              <w:rPr>
                <w:rFonts w:eastAsia="SimSun"/>
                <w:bCs/>
                <w:iCs/>
                <w:color w:val="000000"/>
                <w:szCs w:val="22"/>
                <w:lang w:val="it-IT" w:eastAsia="zh-CN"/>
              </w:rPr>
            </w:pPr>
            <w:r w:rsidRPr="006A2BF9">
              <w:rPr>
                <w:rFonts w:eastAsia="SimSun"/>
                <w:bCs/>
                <w:iCs/>
                <w:color w:val="000000"/>
                <w:szCs w:val="22"/>
                <w:lang w:val="it-IT" w:eastAsia="zh-CN"/>
              </w:rPr>
              <w:t>Cap</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Pl</w:t>
            </w:r>
          </w:p>
          <w:p w14:paraId="0D6FF9DD" w14:textId="77777777" w:rsidR="00A85B75" w:rsidRPr="006A2BF9" w:rsidRDefault="00A85B75" w:rsidP="00C65E97">
            <w:pPr>
              <w:keepNext/>
              <w:keepLines/>
              <w:jc w:val="center"/>
              <w:rPr>
                <w:rFonts w:eastAsia="SimSun"/>
                <w:bCs/>
                <w:iCs/>
                <w:color w:val="000000"/>
                <w:szCs w:val="22"/>
                <w:lang w:val="it-IT" w:eastAsia="zh-CN"/>
              </w:rPr>
            </w:pPr>
            <w:r w:rsidRPr="006A2BF9">
              <w:rPr>
                <w:rFonts w:eastAsia="SimSun"/>
                <w:bCs/>
                <w:iCs/>
                <w:color w:val="000000"/>
                <w:szCs w:val="22"/>
                <w:lang w:val="it-IT" w:eastAsia="zh-CN"/>
              </w:rPr>
              <w:t>(n</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206)</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1BD144D1" w14:textId="77777777" w:rsidR="00F4321D" w:rsidRPr="006A2BF9" w:rsidRDefault="00A85B75" w:rsidP="00C65E97">
            <w:pPr>
              <w:keepNext/>
              <w:keepLines/>
              <w:jc w:val="center"/>
              <w:rPr>
                <w:szCs w:val="22"/>
                <w:lang w:val="it-IT"/>
              </w:rPr>
            </w:pPr>
            <w:r w:rsidRPr="006A2BF9">
              <w:rPr>
                <w:rFonts w:eastAsia="SimSun"/>
                <w:bCs/>
                <w:iCs/>
                <w:color w:val="000000"/>
                <w:szCs w:val="22"/>
                <w:lang w:val="it-IT" w:eastAsia="zh-CN"/>
              </w:rPr>
              <w:t>Cap</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00F4321D" w:rsidRPr="006A2BF9">
              <w:rPr>
                <w:szCs w:val="22"/>
                <w:lang w:val="it-IT"/>
              </w:rPr>
              <w:t>bevacizumab</w:t>
            </w:r>
          </w:p>
          <w:p w14:paraId="4649BBE0" w14:textId="77777777" w:rsidR="00A85B75" w:rsidRPr="006A2BF9" w:rsidRDefault="00A85B75" w:rsidP="00C65E97">
            <w:pPr>
              <w:keepNext/>
              <w:keepLines/>
              <w:jc w:val="center"/>
              <w:rPr>
                <w:rFonts w:eastAsia="SimSun"/>
                <w:bCs/>
                <w:iCs/>
                <w:color w:val="000000"/>
                <w:szCs w:val="22"/>
                <w:lang w:val="it-IT" w:eastAsia="zh-CN"/>
              </w:rPr>
            </w:pPr>
            <w:r w:rsidRPr="006A2BF9">
              <w:rPr>
                <w:rFonts w:eastAsia="SimSun"/>
                <w:bCs/>
                <w:iCs/>
                <w:color w:val="000000"/>
                <w:szCs w:val="22"/>
                <w:lang w:val="it-IT" w:eastAsia="zh-CN"/>
              </w:rPr>
              <w:t>(n</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409)</w:t>
            </w:r>
          </w:p>
        </w:tc>
      </w:tr>
      <w:tr w:rsidR="00A85B75" w:rsidRPr="006A2BF9" w14:paraId="25CDBF97" w14:textId="77777777" w:rsidTr="00C65E9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184D024" w14:textId="77777777" w:rsidR="00A85B75" w:rsidRPr="006A2BF9" w:rsidRDefault="00A85B75" w:rsidP="00570B43">
            <w:pPr>
              <w:keepNext/>
              <w:keepLines/>
              <w:spacing w:before="60" w:after="170"/>
              <w:rPr>
                <w:rFonts w:eastAsia="SimSun"/>
                <w:bCs/>
                <w:iCs/>
                <w:color w:val="000000"/>
                <w:szCs w:val="22"/>
                <w:lang w:val="it-IT" w:eastAsia="zh-CN"/>
              </w:rPr>
            </w:pPr>
            <w:r w:rsidRPr="006A2BF9">
              <w:rPr>
                <w:rFonts w:eastAsia="SimSun"/>
                <w:bCs/>
                <w:iCs/>
                <w:color w:val="000000"/>
                <w:szCs w:val="22"/>
                <w:lang w:val="it-IT" w:eastAsia="zh-CN"/>
              </w:rPr>
              <w:t>PFS mediana (mesi)</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5F31A94D"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rFonts w:eastAsia="SimSun"/>
                <w:bCs/>
                <w:iCs/>
                <w:color w:val="000000"/>
                <w:szCs w:val="22"/>
                <w:lang w:val="it-IT" w:eastAsia="zh-CN"/>
              </w:rPr>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0F38DFF8"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rFonts w:eastAsia="SimSun"/>
                <w:bCs/>
                <w:iCs/>
                <w:color w:val="000000"/>
                <w:szCs w:val="22"/>
                <w:lang w:val="it-IT" w:eastAsia="zh-CN"/>
              </w:rPr>
              <w:t>8,6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13F4E8BD"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rFonts w:eastAsia="SimSun"/>
                <w:bCs/>
                <w:iCs/>
                <w:color w:val="000000"/>
                <w:szCs w:val="22"/>
                <w:lang w:val="it-IT" w:eastAsia="zh-CN"/>
              </w:rPr>
              <w:t>6,2</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3591649E"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rFonts w:eastAsia="SimSun"/>
                <w:bCs/>
                <w:iCs/>
                <w:color w:val="000000"/>
                <w:szCs w:val="22"/>
                <w:lang w:val="it-IT" w:eastAsia="zh-CN"/>
              </w:rPr>
              <w:t>9,8</w:t>
            </w:r>
          </w:p>
        </w:tc>
      </w:tr>
      <w:tr w:rsidR="00A85B75" w:rsidRPr="006A2BF9" w14:paraId="2F004801" w14:textId="77777777" w:rsidTr="00C65E9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13BD48D" w14:textId="77777777" w:rsidR="00A85B75" w:rsidRPr="000F0246" w:rsidRDefault="00A85B75" w:rsidP="00570B43">
            <w:pPr>
              <w:keepNext/>
              <w:keepLines/>
              <w:spacing w:before="60"/>
              <w:rPr>
                <w:rFonts w:eastAsia="SimSun"/>
                <w:bCs/>
                <w:iCs/>
                <w:color w:val="000000"/>
                <w:szCs w:val="22"/>
                <w:lang w:val="it-IT" w:eastAsia="zh-CN"/>
              </w:rPr>
            </w:pPr>
            <w:r w:rsidRPr="000F0246">
              <w:rPr>
                <w:rFonts w:eastAsia="SimSun"/>
                <w:bCs/>
                <w:i/>
                <w:iCs/>
                <w:color w:val="000000"/>
                <w:szCs w:val="22"/>
                <w:lang w:val="it-IT" w:eastAsia="zh-CN"/>
              </w:rPr>
              <w:t>Hazard ratio</w:t>
            </w:r>
            <w:r w:rsidRPr="000F0246">
              <w:rPr>
                <w:rFonts w:eastAsia="SimSun"/>
                <w:bCs/>
                <w:iCs/>
                <w:color w:val="000000"/>
                <w:szCs w:val="22"/>
                <w:lang w:val="it-IT" w:eastAsia="zh-CN"/>
              </w:rPr>
              <w:t xml:space="preserve"> vs braccio placebo (IC</w:t>
            </w:r>
            <w:r w:rsidR="00831FDE">
              <w:rPr>
                <w:rFonts w:eastAsia="SimSun"/>
                <w:bCs/>
                <w:iCs/>
                <w:color w:val="000000"/>
                <w:szCs w:val="22"/>
                <w:lang w:val="it-IT" w:eastAsia="zh-CN"/>
              </w:rPr>
              <w:t xml:space="preserve"> al</w:t>
            </w:r>
            <w:r w:rsidRPr="000F0246">
              <w:rPr>
                <w:rFonts w:eastAsia="SimSun"/>
                <w:bCs/>
                <w:iCs/>
                <w:color w:val="000000"/>
                <w:szCs w:val="22"/>
                <w:lang w:val="it-IT" w:eastAsia="zh-CN"/>
              </w:rPr>
              <w:t xml:space="preserve"> 95%)</w:t>
            </w:r>
          </w:p>
          <w:p w14:paraId="4F56171D" w14:textId="77777777" w:rsidR="00A85B75" w:rsidRPr="000F0246" w:rsidRDefault="00A85B75" w:rsidP="00570B43">
            <w:pPr>
              <w:keepNext/>
              <w:keepLines/>
              <w:spacing w:before="60"/>
              <w:jc w:val="both"/>
              <w:rPr>
                <w:rFonts w:eastAsia="SimSun"/>
                <w:bCs/>
                <w:iCs/>
                <w:color w:val="000000"/>
                <w:szCs w:val="22"/>
                <w:lang w:val="it-IT"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34C190F9" w14:textId="77777777" w:rsidR="00A85B75" w:rsidRPr="00330A40" w:rsidRDefault="00A85B75" w:rsidP="00570B43">
            <w:pPr>
              <w:keepNext/>
              <w:keepLines/>
              <w:spacing w:before="60" w:after="170"/>
              <w:jc w:val="center"/>
              <w:rPr>
                <w:rFonts w:eastAsia="SimSun"/>
                <w:bCs/>
                <w:iCs/>
                <w:color w:val="000000"/>
                <w:szCs w:val="22"/>
                <w:lang w:val="it-IT" w:eastAsia="zh-CN"/>
              </w:rPr>
            </w:pPr>
            <w:r w:rsidRPr="00330A40">
              <w:rPr>
                <w:rFonts w:eastAsia="SimSun"/>
                <w:bCs/>
                <w:iCs/>
                <w:color w:val="000000"/>
                <w:szCs w:val="22"/>
                <w:lang w:val="it-IT" w:eastAsia="zh-CN"/>
              </w:rPr>
              <w:t>0,69 (0,56; 0,84)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00E36758" w14:textId="77777777" w:rsidR="00A85B75" w:rsidRPr="00330A40" w:rsidRDefault="00A85B75" w:rsidP="00570B43">
            <w:pPr>
              <w:keepNext/>
              <w:keepLines/>
              <w:spacing w:before="60" w:after="170"/>
              <w:jc w:val="center"/>
              <w:rPr>
                <w:rFonts w:eastAsia="SimSun"/>
                <w:bCs/>
                <w:iCs/>
                <w:color w:val="000000"/>
                <w:szCs w:val="22"/>
                <w:lang w:val="it-IT" w:eastAsia="zh-CN"/>
              </w:rPr>
            </w:pPr>
            <w:r w:rsidRPr="00330A40">
              <w:rPr>
                <w:rFonts w:eastAsia="SimSun"/>
                <w:bCs/>
                <w:iCs/>
                <w:color w:val="000000"/>
                <w:szCs w:val="22"/>
                <w:lang w:val="it-IT" w:eastAsia="zh-CN"/>
              </w:rPr>
              <w:t>0,68 (0,54; 0,86)</w:t>
            </w:r>
          </w:p>
        </w:tc>
      </w:tr>
      <w:tr w:rsidR="00A85B75" w:rsidRPr="006A2BF9" w14:paraId="3B95CC30" w14:textId="77777777" w:rsidTr="00C65E9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D70836" w14:textId="77777777" w:rsidR="00A85B75" w:rsidRPr="006A2BF9" w:rsidRDefault="00A85B75" w:rsidP="00570B43">
            <w:pPr>
              <w:keepNext/>
              <w:keepLines/>
              <w:spacing w:before="60" w:after="170"/>
              <w:jc w:val="both"/>
              <w:rPr>
                <w:rFonts w:eastAsia="SimSun"/>
                <w:bCs/>
                <w:iCs/>
                <w:color w:val="000000"/>
                <w:szCs w:val="22"/>
                <w:lang w:val="it-IT" w:eastAsia="zh-CN"/>
              </w:rPr>
            </w:pPr>
            <w:r w:rsidRPr="006A2BF9">
              <w:rPr>
                <w:rFonts w:eastAsia="SimSun"/>
                <w:bCs/>
                <w:iCs/>
                <w:color w:val="000000"/>
                <w:szCs w:val="22"/>
                <w:lang w:val="it-IT" w:eastAsia="zh-CN"/>
              </w:rPr>
              <w:t>Valore di p</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C62C74A"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rFonts w:eastAsia="SimSun"/>
                <w:bCs/>
                <w:iCs/>
                <w:color w:val="000000"/>
                <w:szCs w:val="22"/>
                <w:lang w:val="it-IT" w:eastAsia="zh-CN"/>
              </w:rPr>
              <w:t>0,0002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64841E93"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rFonts w:eastAsia="SimSun"/>
                <w:bCs/>
                <w:iCs/>
                <w:color w:val="000000"/>
                <w:szCs w:val="22"/>
                <w:lang w:val="it-IT" w:eastAsia="zh-CN"/>
              </w:rPr>
              <w:t>0,0011</w:t>
            </w:r>
          </w:p>
        </w:tc>
      </w:tr>
      <w:tr w:rsidR="00A85B75" w:rsidRPr="006A2BF9" w14:paraId="7DF00F55" w14:textId="77777777" w:rsidTr="00C65E97">
        <w:tc>
          <w:tcPr>
            <w:tcW w:w="844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7CC71EA8" w14:textId="77777777" w:rsidR="00A85B75" w:rsidRPr="006A2BF9" w:rsidRDefault="00231F71" w:rsidP="00570B43">
            <w:pPr>
              <w:keepNext/>
              <w:keepLines/>
              <w:spacing w:before="60" w:after="170"/>
              <w:jc w:val="both"/>
              <w:rPr>
                <w:rFonts w:eastAsia="SimSun"/>
                <w:iCs/>
                <w:color w:val="000000"/>
                <w:szCs w:val="22"/>
                <w:lang w:val="it-IT" w:eastAsia="zh-CN"/>
              </w:rPr>
            </w:pPr>
            <w:r w:rsidRPr="006A2BF9">
              <w:rPr>
                <w:rFonts w:eastAsia="SimSun"/>
                <w:bCs/>
                <w:iCs/>
                <w:color w:val="000000"/>
                <w:szCs w:val="22"/>
                <w:lang w:val="it-IT" w:eastAsia="zh-CN"/>
              </w:rPr>
              <w:t xml:space="preserve">Tasso </w:t>
            </w:r>
            <w:r w:rsidR="00A85B75" w:rsidRPr="006A2BF9">
              <w:rPr>
                <w:rFonts w:eastAsia="SimSun"/>
                <w:bCs/>
                <w:iCs/>
                <w:color w:val="000000"/>
                <w:szCs w:val="22"/>
                <w:lang w:val="it-IT" w:eastAsia="zh-CN"/>
              </w:rPr>
              <w:t>di risposta (per pazienti con malattia misurabile)</w:t>
            </w:r>
            <w:r w:rsidR="003A1908" w:rsidRPr="006A2BF9">
              <w:rPr>
                <w:rFonts w:eastAsia="SimSun"/>
                <w:bCs/>
                <w:iCs/>
                <w:color w:val="000000"/>
                <w:szCs w:val="22"/>
                <w:vertAlign w:val="superscript"/>
                <w:lang w:val="it-IT" w:eastAsia="zh-CN"/>
              </w:rPr>
              <w:t xml:space="preserve"> b</w:t>
            </w:r>
          </w:p>
        </w:tc>
      </w:tr>
      <w:tr w:rsidR="00A85B75" w:rsidRPr="006A2BF9" w14:paraId="477B0175" w14:textId="77777777" w:rsidTr="00C65E9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D893D44" w14:textId="77777777" w:rsidR="00A85B75" w:rsidRPr="006A2BF9" w:rsidRDefault="00A85B75" w:rsidP="00570B43">
            <w:pPr>
              <w:keepNext/>
              <w:keepLines/>
              <w:spacing w:before="60" w:after="170"/>
              <w:rPr>
                <w:rFonts w:eastAsia="SimSun"/>
                <w:bCs/>
                <w:iCs/>
                <w:color w:val="000000"/>
                <w:szCs w:val="22"/>
                <w:lang w:val="it-IT"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1500509E"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rFonts w:eastAsia="SimSun"/>
                <w:bCs/>
                <w:iCs/>
                <w:color w:val="000000"/>
                <w:szCs w:val="22"/>
                <w:lang w:val="it-IT" w:eastAsia="zh-CN"/>
              </w:rPr>
              <w:t>Cap</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Pl (n</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48217B10"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rFonts w:eastAsia="SimSun"/>
                <w:bCs/>
                <w:iCs/>
                <w:color w:val="000000"/>
                <w:szCs w:val="22"/>
                <w:lang w:val="it-IT" w:eastAsia="zh-CN"/>
              </w:rPr>
              <w:t>Cap</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00F4321D" w:rsidRPr="006A2BF9">
              <w:rPr>
                <w:szCs w:val="22"/>
                <w:lang w:val="it-IT"/>
              </w:rPr>
              <w:t>bevacizumab</w:t>
            </w:r>
            <w:r w:rsidR="00F4321D" w:rsidRPr="006A2BF9" w:rsidDel="00F4321D">
              <w:rPr>
                <w:rFonts w:eastAsia="SimSun"/>
                <w:bCs/>
                <w:iCs/>
                <w:color w:val="000000"/>
                <w:szCs w:val="22"/>
                <w:lang w:val="it-IT" w:eastAsia="zh-CN"/>
              </w:rPr>
              <w:t xml:space="preserve"> </w:t>
            </w:r>
            <w:r w:rsidRPr="006A2BF9">
              <w:rPr>
                <w:rFonts w:eastAsia="SimSun"/>
                <w:bCs/>
                <w:iCs/>
                <w:color w:val="000000"/>
                <w:szCs w:val="22"/>
                <w:lang w:val="it-IT" w:eastAsia="zh-CN"/>
              </w:rPr>
              <w:t>(n</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w:t>
            </w:r>
            <w:r w:rsidR="00236A17" w:rsidRPr="006A2BF9">
              <w:rPr>
                <w:rFonts w:eastAsia="SimSun"/>
                <w:bCs/>
                <w:iCs/>
                <w:color w:val="000000"/>
                <w:szCs w:val="22"/>
                <w:lang w:val="it-IT" w:eastAsia="zh-CN"/>
              </w:rPr>
              <w:t> </w:t>
            </w:r>
            <w:r w:rsidRPr="006A2BF9">
              <w:rPr>
                <w:rFonts w:eastAsia="SimSun"/>
                <w:bCs/>
                <w:iCs/>
                <w:color w:val="000000"/>
                <w:szCs w:val="22"/>
                <w:lang w:val="it-IT" w:eastAsia="zh-CN"/>
              </w:rPr>
              <w:t>325)</w:t>
            </w:r>
          </w:p>
        </w:tc>
      </w:tr>
      <w:tr w:rsidR="00A85B75" w:rsidRPr="006A2BF9" w14:paraId="41C97FA8" w14:textId="77777777" w:rsidTr="00C65E97">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F3CDE1" w14:textId="77777777" w:rsidR="00A85B75" w:rsidRPr="006A2BF9" w:rsidRDefault="00A85B75" w:rsidP="00570B43">
            <w:pPr>
              <w:keepNext/>
              <w:keepLines/>
              <w:spacing w:before="60" w:after="170"/>
              <w:rPr>
                <w:rFonts w:eastAsia="SimSun"/>
                <w:bCs/>
                <w:iCs/>
                <w:color w:val="000000"/>
                <w:szCs w:val="22"/>
                <w:lang w:val="it-IT" w:eastAsia="zh-CN"/>
              </w:rPr>
            </w:pPr>
            <w:r w:rsidRPr="006A2BF9">
              <w:rPr>
                <w:rFonts w:eastAsia="SimSun"/>
                <w:bCs/>
                <w:iCs/>
                <w:color w:val="000000"/>
                <w:szCs w:val="22"/>
                <w:lang w:val="it-IT" w:eastAsia="zh-CN"/>
              </w:rPr>
              <w:t>% di pazienti con risposta obiettiva</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82E0B8E"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rFonts w:eastAsia="SimSun"/>
                <w:bCs/>
                <w:iCs/>
                <w:color w:val="000000"/>
                <w:szCs w:val="22"/>
                <w:lang w:val="it-IT" w:eastAsia="zh-CN"/>
              </w:rPr>
              <w:t>23,6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97DFFC3"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rFonts w:eastAsia="SimSun"/>
                <w:bCs/>
                <w:iCs/>
                <w:color w:val="000000"/>
                <w:szCs w:val="22"/>
                <w:lang w:val="it-IT" w:eastAsia="zh-CN"/>
              </w:rPr>
              <w:t>35,4</w:t>
            </w:r>
          </w:p>
        </w:tc>
      </w:tr>
      <w:tr w:rsidR="00A85B75" w:rsidRPr="006A2BF9" w14:paraId="5189D5CE" w14:textId="77777777" w:rsidTr="00C65E97">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332320" w14:textId="77777777" w:rsidR="00A85B75" w:rsidRPr="006A2BF9" w:rsidRDefault="003A1908" w:rsidP="00570B43">
            <w:pPr>
              <w:keepNext/>
              <w:keepLines/>
              <w:spacing w:before="60" w:after="170"/>
              <w:rPr>
                <w:rFonts w:eastAsia="SimSun"/>
                <w:bCs/>
                <w:iCs/>
                <w:color w:val="000000"/>
                <w:szCs w:val="22"/>
                <w:lang w:val="it-IT" w:eastAsia="zh-CN"/>
              </w:rPr>
            </w:pPr>
            <w:r w:rsidRPr="006A2BF9">
              <w:rPr>
                <w:rFonts w:eastAsia="SimSun"/>
                <w:bCs/>
                <w:iCs/>
                <w:color w:val="000000"/>
                <w:szCs w:val="22"/>
                <w:lang w:val="it-IT" w:eastAsia="zh-CN"/>
              </w:rPr>
              <w:t>valore di p</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46D76D53"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rFonts w:eastAsia="SimSun"/>
                <w:bCs/>
                <w:iCs/>
                <w:color w:val="000000"/>
                <w:szCs w:val="22"/>
                <w:lang w:val="it-IT" w:eastAsia="zh-CN"/>
              </w:rPr>
              <w:t>0,0097</w:t>
            </w:r>
          </w:p>
        </w:tc>
      </w:tr>
      <w:tr w:rsidR="00A85B75" w:rsidRPr="006A2BF9" w14:paraId="28C67F8C" w14:textId="77777777" w:rsidTr="00C65E97">
        <w:trPr>
          <w:gridBefore w:val="1"/>
          <w:wBefore w:w="6" w:type="dxa"/>
        </w:trPr>
        <w:tc>
          <w:tcPr>
            <w:tcW w:w="844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C12B5" w14:textId="77777777" w:rsidR="00A85B75" w:rsidRPr="006A2BF9" w:rsidRDefault="00A85B75" w:rsidP="00570B43">
            <w:pPr>
              <w:keepNext/>
              <w:keepLines/>
              <w:spacing w:before="60" w:after="170"/>
              <w:rPr>
                <w:rFonts w:eastAsia="SimSun"/>
                <w:bCs/>
                <w:iCs/>
                <w:color w:val="000000"/>
                <w:szCs w:val="22"/>
                <w:lang w:val="it-IT" w:eastAsia="zh-CN"/>
              </w:rPr>
            </w:pPr>
            <w:r w:rsidRPr="006A2BF9">
              <w:rPr>
                <w:rFonts w:eastAsia="SimSun"/>
                <w:bCs/>
                <w:iCs/>
                <w:color w:val="000000"/>
                <w:szCs w:val="22"/>
                <w:lang w:val="it-IT" w:eastAsia="zh-CN"/>
              </w:rPr>
              <w:t>Sopravvivenza globale</w:t>
            </w:r>
            <w:r w:rsidR="003A1908" w:rsidRPr="006A2BF9">
              <w:rPr>
                <w:rFonts w:eastAsia="SimSun"/>
                <w:bCs/>
                <w:iCs/>
                <w:color w:val="000000"/>
                <w:szCs w:val="22"/>
                <w:vertAlign w:val="superscript"/>
                <w:lang w:val="it-IT" w:eastAsia="zh-CN"/>
              </w:rPr>
              <w:t>b</w:t>
            </w:r>
          </w:p>
        </w:tc>
      </w:tr>
      <w:tr w:rsidR="00A85B75" w:rsidRPr="006A2BF9" w14:paraId="1D0BA29F" w14:textId="77777777" w:rsidTr="00C65E97">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17F6DF" w14:textId="77777777" w:rsidR="00A85B75" w:rsidRPr="00330A40" w:rsidRDefault="003A1908" w:rsidP="00C65E97">
            <w:pPr>
              <w:pStyle w:val="textti120"/>
              <w:keepNext/>
              <w:keepLines/>
              <w:spacing w:after="0"/>
              <w:jc w:val="left"/>
              <w:rPr>
                <w:color w:val="000000"/>
                <w:szCs w:val="22"/>
                <w:lang w:val="it-IT" w:eastAsia="de-DE"/>
              </w:rPr>
            </w:pPr>
            <w:r w:rsidRPr="006A2BF9">
              <w:rPr>
                <w:color w:val="000000"/>
                <w:sz w:val="22"/>
                <w:szCs w:val="22"/>
                <w:lang w:val="it-IT"/>
              </w:rPr>
              <w:t>HR</w:t>
            </w:r>
            <w:r w:rsidR="00F4321D" w:rsidRPr="006A2BF9">
              <w:rPr>
                <w:color w:val="000000"/>
                <w:sz w:val="22"/>
                <w:szCs w:val="22"/>
                <w:lang w:val="it-IT"/>
              </w:rPr>
              <w:t xml:space="preserve"> </w:t>
            </w:r>
            <w:r w:rsidR="00A85B75" w:rsidRPr="006A2BF9">
              <w:rPr>
                <w:color w:val="000000"/>
                <w:szCs w:val="22"/>
                <w:lang w:val="it-IT"/>
              </w:rPr>
              <w:t xml:space="preserve">(IC </w:t>
            </w:r>
            <w:r w:rsidR="00831FDE">
              <w:rPr>
                <w:color w:val="000000"/>
                <w:szCs w:val="22"/>
                <w:lang w:val="it-IT"/>
              </w:rPr>
              <w:t xml:space="preserve">al </w:t>
            </w:r>
            <w:r w:rsidR="00A85B75" w:rsidRPr="00330A40">
              <w:rPr>
                <w:color w:val="000000"/>
                <w:szCs w:val="22"/>
                <w:lang w:val="it-IT"/>
              </w:rPr>
              <w:t>95%)</w:t>
            </w:r>
          </w:p>
        </w:tc>
        <w:tc>
          <w:tcPr>
            <w:tcW w:w="6232"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66C11F" w14:textId="77777777" w:rsidR="00A85B75" w:rsidRPr="00330A40" w:rsidRDefault="00A85B75" w:rsidP="00570B43">
            <w:pPr>
              <w:keepNext/>
              <w:keepLines/>
              <w:spacing w:before="60" w:after="170"/>
              <w:jc w:val="center"/>
              <w:rPr>
                <w:rFonts w:eastAsia="SimSun"/>
                <w:bCs/>
                <w:iCs/>
                <w:color w:val="000000"/>
                <w:szCs w:val="22"/>
                <w:lang w:val="it-IT" w:eastAsia="zh-CN"/>
              </w:rPr>
            </w:pPr>
            <w:r w:rsidRPr="00330A40">
              <w:rPr>
                <w:color w:val="000000"/>
                <w:szCs w:val="22"/>
                <w:lang w:val="it-IT"/>
              </w:rPr>
              <w:t>0,88 (0,69</w:t>
            </w:r>
            <w:r w:rsidR="0094706C" w:rsidRPr="00330A40">
              <w:rPr>
                <w:color w:val="000000"/>
                <w:szCs w:val="22"/>
                <w:lang w:val="it-IT"/>
              </w:rPr>
              <w:t>;</w:t>
            </w:r>
            <w:r w:rsidRPr="00330A40">
              <w:rPr>
                <w:color w:val="000000"/>
                <w:szCs w:val="22"/>
                <w:lang w:val="it-IT"/>
              </w:rPr>
              <w:t xml:space="preserve"> 1,13)</w:t>
            </w:r>
          </w:p>
        </w:tc>
      </w:tr>
      <w:tr w:rsidR="00A85B75" w:rsidRPr="006A2BF9" w14:paraId="79B8D9BF" w14:textId="77777777" w:rsidTr="00C65E97">
        <w:trPr>
          <w:gridBefore w:val="1"/>
          <w:wBefore w:w="6" w:type="dxa"/>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6A77DD" w14:textId="77777777" w:rsidR="00A85B75" w:rsidRPr="006A2BF9" w:rsidRDefault="003A1908" w:rsidP="00570B43">
            <w:pPr>
              <w:keepNext/>
              <w:keepLines/>
              <w:spacing w:before="60" w:after="170"/>
              <w:rPr>
                <w:color w:val="000000"/>
                <w:szCs w:val="22"/>
                <w:lang w:val="it-IT" w:eastAsia="de-DE"/>
              </w:rPr>
            </w:pPr>
            <w:r w:rsidRPr="006A2BF9">
              <w:rPr>
                <w:rFonts w:eastAsia="SimSun"/>
                <w:bCs/>
                <w:iCs/>
                <w:color w:val="000000"/>
                <w:szCs w:val="22"/>
                <w:lang w:val="it-IT" w:eastAsia="zh-CN"/>
              </w:rPr>
              <w:t>v</w:t>
            </w:r>
            <w:r w:rsidR="00A85B75" w:rsidRPr="006A2BF9">
              <w:rPr>
                <w:rFonts w:eastAsia="SimSun"/>
                <w:bCs/>
                <w:iCs/>
                <w:color w:val="000000"/>
                <w:szCs w:val="22"/>
                <w:lang w:val="it-IT" w:eastAsia="zh-CN"/>
              </w:rPr>
              <w:t>alore di p</w:t>
            </w:r>
            <w:r w:rsidR="00A85B75" w:rsidRPr="006A2BF9">
              <w:rPr>
                <w:color w:val="000000"/>
                <w:szCs w:val="22"/>
                <w:lang w:val="it-IT"/>
              </w:rPr>
              <w:t xml:space="preserve"> (esplorativo)</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854BC7" w14:textId="77777777" w:rsidR="00A85B75" w:rsidRPr="006A2BF9" w:rsidRDefault="00A85B75" w:rsidP="00570B43">
            <w:pPr>
              <w:keepNext/>
              <w:keepLines/>
              <w:spacing w:before="60" w:after="170"/>
              <w:jc w:val="center"/>
              <w:rPr>
                <w:rFonts w:eastAsia="SimSun"/>
                <w:bCs/>
                <w:iCs/>
                <w:color w:val="000000"/>
                <w:szCs w:val="22"/>
                <w:lang w:val="it-IT" w:eastAsia="zh-CN"/>
              </w:rPr>
            </w:pPr>
            <w:r w:rsidRPr="006A2BF9">
              <w:rPr>
                <w:color w:val="000000"/>
                <w:szCs w:val="22"/>
                <w:lang w:val="it-IT"/>
              </w:rPr>
              <w:t>0,33</w:t>
            </w:r>
          </w:p>
        </w:tc>
      </w:tr>
    </w:tbl>
    <w:p w14:paraId="43866707" w14:textId="77777777" w:rsidR="003A1908" w:rsidRPr="006A2BF9" w:rsidRDefault="003A1908" w:rsidP="00570B43">
      <w:pPr>
        <w:keepNext/>
        <w:keepLines/>
        <w:spacing w:before="60" w:after="60"/>
        <w:rPr>
          <w:rFonts w:eastAsia="SimSun"/>
          <w:bCs/>
          <w:iCs/>
          <w:color w:val="000000"/>
          <w:sz w:val="20"/>
          <w:vertAlign w:val="superscript"/>
          <w:lang w:val="it-IT" w:eastAsia="zh-CN"/>
        </w:rPr>
      </w:pPr>
      <w:r w:rsidRPr="006A2BF9">
        <w:rPr>
          <w:rFonts w:eastAsia="SimSun"/>
          <w:bCs/>
          <w:iCs/>
          <w:color w:val="000000"/>
          <w:sz w:val="20"/>
          <w:vertAlign w:val="superscript"/>
          <w:lang w:val="it-IT" w:eastAsia="zh-CN"/>
        </w:rPr>
        <w:t>a</w:t>
      </w:r>
      <w:r w:rsidRPr="006A2BF9">
        <w:rPr>
          <w:rFonts w:eastAsia="SimSun"/>
          <w:bCs/>
          <w:iCs/>
          <w:color w:val="000000"/>
          <w:sz w:val="20"/>
          <w:lang w:val="it-IT" w:eastAsia="zh-CN"/>
        </w:rPr>
        <w:t>1000 mg/m</w:t>
      </w:r>
      <w:r w:rsidRPr="006A2BF9">
        <w:rPr>
          <w:rFonts w:eastAsia="SimSun"/>
          <w:bCs/>
          <w:iCs/>
          <w:color w:val="000000"/>
          <w:sz w:val="20"/>
          <w:vertAlign w:val="superscript"/>
          <w:lang w:val="it-IT" w:eastAsia="zh-CN"/>
        </w:rPr>
        <w:t>2</w:t>
      </w:r>
      <w:r w:rsidRPr="006A2BF9">
        <w:rPr>
          <w:rFonts w:eastAsia="SimSun"/>
          <w:bCs/>
          <w:iCs/>
          <w:color w:val="000000"/>
          <w:sz w:val="20"/>
          <w:lang w:val="it-IT" w:eastAsia="zh-CN"/>
        </w:rPr>
        <w:t xml:space="preserve"> per via orale due volte al giorno per 14</w:t>
      </w:r>
      <w:r w:rsidR="00236A17" w:rsidRPr="006A2BF9">
        <w:rPr>
          <w:rFonts w:eastAsia="SimSun"/>
          <w:bCs/>
          <w:iCs/>
          <w:color w:val="000000"/>
          <w:sz w:val="20"/>
          <w:lang w:val="it-IT" w:eastAsia="zh-CN"/>
        </w:rPr>
        <w:t> </w:t>
      </w:r>
      <w:r w:rsidRPr="006A2BF9">
        <w:rPr>
          <w:rFonts w:eastAsia="SimSun"/>
          <w:bCs/>
          <w:iCs/>
          <w:color w:val="000000"/>
          <w:sz w:val="20"/>
          <w:lang w:val="it-IT" w:eastAsia="zh-CN"/>
        </w:rPr>
        <w:t>giorni somministrati ogni 3</w:t>
      </w:r>
      <w:r w:rsidR="004E42B7" w:rsidRPr="006A2BF9">
        <w:rPr>
          <w:rFonts w:eastAsia="SimSun"/>
          <w:bCs/>
          <w:iCs/>
          <w:color w:val="000000"/>
          <w:sz w:val="20"/>
          <w:lang w:val="it-IT" w:eastAsia="zh-CN"/>
        </w:rPr>
        <w:t> </w:t>
      </w:r>
      <w:r w:rsidRPr="006A2BF9">
        <w:rPr>
          <w:rFonts w:eastAsia="SimSun"/>
          <w:bCs/>
          <w:iCs/>
          <w:color w:val="000000"/>
          <w:sz w:val="20"/>
          <w:lang w:val="it-IT" w:eastAsia="zh-CN"/>
        </w:rPr>
        <w:t>settimane</w:t>
      </w:r>
    </w:p>
    <w:p w14:paraId="162B4E17" w14:textId="77777777" w:rsidR="00A85B75" w:rsidRPr="006A2BF9" w:rsidRDefault="003A1908" w:rsidP="008B19F0">
      <w:pPr>
        <w:keepNext/>
        <w:keepLines/>
        <w:spacing w:before="60" w:after="60"/>
        <w:rPr>
          <w:rFonts w:eastAsia="SimSun"/>
          <w:bCs/>
          <w:iCs/>
          <w:color w:val="000000"/>
          <w:sz w:val="20"/>
          <w:lang w:val="it-IT" w:eastAsia="zh-CN"/>
        </w:rPr>
      </w:pPr>
      <w:r w:rsidRPr="006A2BF9">
        <w:rPr>
          <w:rFonts w:eastAsia="SimSun"/>
          <w:bCs/>
          <w:iCs/>
          <w:color w:val="000000"/>
          <w:sz w:val="20"/>
          <w:vertAlign w:val="superscript"/>
          <w:lang w:val="it-IT" w:eastAsia="zh-CN"/>
        </w:rPr>
        <w:t>b</w:t>
      </w:r>
      <w:r w:rsidR="00A85B75" w:rsidRPr="006A2BF9">
        <w:rPr>
          <w:rFonts w:eastAsia="SimSun"/>
          <w:bCs/>
          <w:iCs/>
          <w:color w:val="000000"/>
          <w:sz w:val="20"/>
          <w:lang w:val="it-IT" w:eastAsia="zh-CN"/>
        </w:rPr>
        <w:t>Analisi stratificata</w:t>
      </w:r>
      <w:r w:rsidR="00231F71" w:rsidRPr="006A2BF9">
        <w:rPr>
          <w:rFonts w:eastAsia="SimSun"/>
          <w:bCs/>
          <w:iCs/>
          <w:color w:val="000000"/>
          <w:sz w:val="20"/>
          <w:lang w:val="it-IT" w:eastAsia="zh-CN"/>
        </w:rPr>
        <w:t xml:space="preserve"> comprensiva di tutti </w:t>
      </w:r>
      <w:r w:rsidR="00A85B75" w:rsidRPr="006A2BF9">
        <w:rPr>
          <w:rFonts w:eastAsia="SimSun"/>
          <w:bCs/>
          <w:iCs/>
          <w:color w:val="000000"/>
          <w:sz w:val="20"/>
          <w:lang w:val="it-IT" w:eastAsia="zh-CN"/>
        </w:rPr>
        <w:t xml:space="preserve">gli eventi di progressione e </w:t>
      </w:r>
      <w:r w:rsidR="00231F71" w:rsidRPr="006A2BF9">
        <w:rPr>
          <w:rFonts w:eastAsia="SimSun"/>
          <w:bCs/>
          <w:iCs/>
          <w:color w:val="000000"/>
          <w:sz w:val="20"/>
          <w:lang w:val="it-IT" w:eastAsia="zh-CN"/>
        </w:rPr>
        <w:t xml:space="preserve">morte esclusi </w:t>
      </w:r>
      <w:r w:rsidR="00A85B75" w:rsidRPr="006A2BF9">
        <w:rPr>
          <w:rFonts w:eastAsia="SimSun"/>
          <w:bCs/>
          <w:iCs/>
          <w:color w:val="000000"/>
          <w:sz w:val="20"/>
          <w:lang w:val="it-IT" w:eastAsia="zh-CN"/>
        </w:rPr>
        <w:t>quelli per i quali</w:t>
      </w:r>
      <w:r w:rsidR="00231F71" w:rsidRPr="006A2BF9">
        <w:rPr>
          <w:rFonts w:eastAsia="SimSun"/>
          <w:bCs/>
          <w:iCs/>
          <w:color w:val="000000"/>
          <w:sz w:val="20"/>
          <w:lang w:val="it-IT" w:eastAsia="zh-CN"/>
        </w:rPr>
        <w:t xml:space="preserve"> un trattamento non previsto dal protocollo (NPT)</w:t>
      </w:r>
      <w:r w:rsidR="00A85B75" w:rsidRPr="006A2BF9">
        <w:rPr>
          <w:rFonts w:eastAsia="SimSun"/>
          <w:bCs/>
          <w:iCs/>
          <w:color w:val="000000"/>
          <w:sz w:val="20"/>
          <w:lang w:val="it-IT" w:eastAsia="zh-CN"/>
        </w:rPr>
        <w:t xml:space="preserve"> </w:t>
      </w:r>
      <w:r w:rsidR="00231F71" w:rsidRPr="006A2BF9">
        <w:rPr>
          <w:rFonts w:eastAsia="SimSun"/>
          <w:bCs/>
          <w:iCs/>
          <w:color w:val="000000"/>
          <w:sz w:val="20"/>
          <w:lang w:val="it-IT" w:eastAsia="zh-CN"/>
        </w:rPr>
        <w:t>e</w:t>
      </w:r>
      <w:r w:rsidR="00A85B75" w:rsidRPr="006A2BF9">
        <w:rPr>
          <w:rFonts w:eastAsia="SimSun"/>
          <w:bCs/>
          <w:iCs/>
          <w:color w:val="000000"/>
          <w:sz w:val="20"/>
          <w:lang w:val="it-IT" w:eastAsia="zh-CN"/>
        </w:rPr>
        <w:t xml:space="preserve">ra </w:t>
      </w:r>
      <w:r w:rsidR="00231F71" w:rsidRPr="006A2BF9">
        <w:rPr>
          <w:rFonts w:eastAsia="SimSun"/>
          <w:bCs/>
          <w:iCs/>
          <w:color w:val="000000"/>
          <w:sz w:val="20"/>
          <w:lang w:val="it-IT" w:eastAsia="zh-CN"/>
        </w:rPr>
        <w:t xml:space="preserve">stato </w:t>
      </w:r>
      <w:r w:rsidR="00A85B75" w:rsidRPr="006A2BF9">
        <w:rPr>
          <w:rFonts w:eastAsia="SimSun"/>
          <w:bCs/>
          <w:iCs/>
          <w:color w:val="000000"/>
          <w:sz w:val="20"/>
          <w:lang w:val="it-IT" w:eastAsia="zh-CN"/>
        </w:rPr>
        <w:t>iniziat</w:t>
      </w:r>
      <w:r w:rsidR="00231F71" w:rsidRPr="006A2BF9">
        <w:rPr>
          <w:rFonts w:eastAsia="SimSun"/>
          <w:bCs/>
          <w:iCs/>
          <w:color w:val="000000"/>
          <w:sz w:val="20"/>
          <w:lang w:val="it-IT" w:eastAsia="zh-CN"/>
        </w:rPr>
        <w:t>o</w:t>
      </w:r>
      <w:r w:rsidR="00A85B75" w:rsidRPr="006A2BF9">
        <w:rPr>
          <w:rFonts w:eastAsia="SimSun"/>
          <w:bCs/>
          <w:iCs/>
          <w:color w:val="000000"/>
          <w:sz w:val="20"/>
          <w:lang w:val="it-IT" w:eastAsia="zh-CN"/>
        </w:rPr>
        <w:t xml:space="preserve"> prima </w:t>
      </w:r>
      <w:r w:rsidR="00231F71" w:rsidRPr="006A2BF9">
        <w:rPr>
          <w:rFonts w:eastAsia="SimSun"/>
          <w:bCs/>
          <w:iCs/>
          <w:color w:val="000000"/>
          <w:sz w:val="20"/>
          <w:lang w:val="it-IT" w:eastAsia="zh-CN"/>
        </w:rPr>
        <w:t>della</w:t>
      </w:r>
      <w:r w:rsidR="00A85B75" w:rsidRPr="006A2BF9">
        <w:rPr>
          <w:rFonts w:eastAsia="SimSun"/>
          <w:bCs/>
          <w:iCs/>
          <w:color w:val="000000"/>
          <w:sz w:val="20"/>
          <w:lang w:val="it-IT" w:eastAsia="zh-CN"/>
        </w:rPr>
        <w:t xml:space="preserve"> progressione documentata; </w:t>
      </w:r>
      <w:r w:rsidR="00231F71" w:rsidRPr="006A2BF9">
        <w:rPr>
          <w:rFonts w:eastAsia="SimSun"/>
          <w:bCs/>
          <w:iCs/>
          <w:color w:val="000000"/>
          <w:sz w:val="20"/>
          <w:lang w:val="it-IT" w:eastAsia="zh-CN"/>
        </w:rPr>
        <w:t xml:space="preserve">i dati </w:t>
      </w:r>
      <w:r w:rsidR="00A85B75" w:rsidRPr="006A2BF9">
        <w:rPr>
          <w:rFonts w:eastAsia="SimSun"/>
          <w:bCs/>
          <w:iCs/>
          <w:color w:val="000000"/>
          <w:sz w:val="20"/>
          <w:lang w:val="it-IT" w:eastAsia="zh-CN"/>
        </w:rPr>
        <w:t>di questi pazienti sono stat</w:t>
      </w:r>
      <w:r w:rsidR="00231F71" w:rsidRPr="006A2BF9">
        <w:rPr>
          <w:rFonts w:eastAsia="SimSun"/>
          <w:bCs/>
          <w:iCs/>
          <w:color w:val="000000"/>
          <w:sz w:val="20"/>
          <w:lang w:val="it-IT" w:eastAsia="zh-CN"/>
        </w:rPr>
        <w:t>i</w:t>
      </w:r>
      <w:r w:rsidR="00A85B75" w:rsidRPr="006A2BF9">
        <w:rPr>
          <w:rFonts w:eastAsia="SimSun"/>
          <w:bCs/>
          <w:iCs/>
          <w:color w:val="000000"/>
          <w:sz w:val="20"/>
          <w:lang w:val="it-IT" w:eastAsia="zh-CN"/>
        </w:rPr>
        <w:t xml:space="preserve"> </w:t>
      </w:r>
      <w:r w:rsidR="0025736A" w:rsidRPr="006A2BF9">
        <w:rPr>
          <w:rFonts w:eastAsia="SimSun"/>
          <w:bCs/>
          <w:iCs/>
          <w:color w:val="000000"/>
          <w:sz w:val="20"/>
          <w:lang w:val="it-IT" w:eastAsia="zh-CN"/>
        </w:rPr>
        <w:t xml:space="preserve">censurati </w:t>
      </w:r>
      <w:r w:rsidR="00A85B75" w:rsidRPr="006A2BF9">
        <w:rPr>
          <w:rFonts w:eastAsia="SimSun"/>
          <w:bCs/>
          <w:iCs/>
          <w:color w:val="000000"/>
          <w:sz w:val="20"/>
          <w:lang w:val="it-IT" w:eastAsia="zh-CN"/>
        </w:rPr>
        <w:t>all’ultima valutazione del tumore prima dell’inizio della NPT.</w:t>
      </w:r>
    </w:p>
    <w:p w14:paraId="165F73F7" w14:textId="77777777" w:rsidR="00231F71" w:rsidRPr="006A2BF9" w:rsidRDefault="00231F71" w:rsidP="00A85B75">
      <w:pPr>
        <w:spacing w:before="60" w:after="60"/>
        <w:rPr>
          <w:rFonts w:eastAsia="SimSun"/>
          <w:bCs/>
          <w:iCs/>
          <w:color w:val="000000"/>
          <w:sz w:val="18"/>
          <w:szCs w:val="18"/>
          <w:lang w:val="it-IT" w:eastAsia="zh-CN"/>
        </w:rPr>
      </w:pPr>
    </w:p>
    <w:p w14:paraId="66F099A1" w14:textId="77777777" w:rsidR="00A85B75" w:rsidRPr="006A2BF9" w:rsidRDefault="00231F71" w:rsidP="00A85B75">
      <w:pPr>
        <w:spacing w:before="60" w:after="60"/>
        <w:rPr>
          <w:rFonts w:eastAsia="SimSun"/>
          <w:bCs/>
          <w:iCs/>
          <w:color w:val="000000"/>
          <w:sz w:val="18"/>
          <w:szCs w:val="18"/>
          <w:lang w:val="it-IT" w:eastAsia="zh-CN"/>
        </w:rPr>
      </w:pPr>
      <w:r w:rsidRPr="006A2BF9">
        <w:rPr>
          <w:rFonts w:eastAsia="SimSun"/>
          <w:color w:val="000000"/>
          <w:lang w:val="it-IT" w:eastAsia="zh-CN"/>
        </w:rPr>
        <w:t>U</w:t>
      </w:r>
      <w:r w:rsidR="00A85B75" w:rsidRPr="006A2BF9">
        <w:rPr>
          <w:rFonts w:eastAsia="SimSun"/>
          <w:color w:val="000000"/>
          <w:lang w:val="it-IT" w:eastAsia="zh-CN"/>
        </w:rPr>
        <w:t xml:space="preserve">n’analisi non stratificata della PFS (valutata dagli sperimentatori) </w:t>
      </w:r>
      <w:r w:rsidRPr="006A2BF9">
        <w:rPr>
          <w:rFonts w:eastAsia="SimSun"/>
          <w:color w:val="000000"/>
          <w:lang w:val="it-IT" w:eastAsia="zh-CN"/>
        </w:rPr>
        <w:t xml:space="preserve">è stata condotta </w:t>
      </w:r>
      <w:r w:rsidR="00A85B75" w:rsidRPr="006A2BF9">
        <w:rPr>
          <w:rFonts w:eastAsia="SimSun"/>
          <w:color w:val="000000"/>
          <w:lang w:val="it-IT" w:eastAsia="zh-CN"/>
        </w:rPr>
        <w:t xml:space="preserve">senza </w:t>
      </w:r>
      <w:r w:rsidR="0025736A" w:rsidRPr="006A2BF9">
        <w:rPr>
          <w:rFonts w:eastAsia="SimSun"/>
          <w:color w:val="000000"/>
          <w:lang w:val="it-IT" w:eastAsia="zh-CN"/>
        </w:rPr>
        <w:t xml:space="preserve">censurare </w:t>
      </w:r>
      <w:r w:rsidR="00570D9F" w:rsidRPr="006A2BF9">
        <w:rPr>
          <w:rFonts w:eastAsia="SimSun"/>
          <w:color w:val="000000"/>
          <w:lang w:val="it-IT" w:eastAsia="zh-CN"/>
        </w:rPr>
        <w:t xml:space="preserve">i </w:t>
      </w:r>
      <w:r w:rsidR="00A85B75" w:rsidRPr="006A2BF9">
        <w:rPr>
          <w:rFonts w:eastAsia="SimSun"/>
          <w:color w:val="000000"/>
          <w:lang w:val="it-IT" w:eastAsia="zh-CN"/>
        </w:rPr>
        <w:t xml:space="preserve">pazienti </w:t>
      </w:r>
      <w:r w:rsidRPr="006A2BF9">
        <w:rPr>
          <w:rFonts w:eastAsia="SimSun"/>
          <w:color w:val="000000"/>
          <w:lang w:val="it-IT" w:eastAsia="zh-CN"/>
        </w:rPr>
        <w:t xml:space="preserve">per </w:t>
      </w:r>
      <w:r w:rsidR="0042050C" w:rsidRPr="006A2BF9">
        <w:rPr>
          <w:rFonts w:eastAsia="SimSun"/>
          <w:color w:val="000000"/>
          <w:lang w:val="it-IT" w:eastAsia="zh-CN"/>
        </w:rPr>
        <w:t xml:space="preserve">i </w:t>
      </w:r>
      <w:r w:rsidRPr="006A2BF9">
        <w:rPr>
          <w:rFonts w:eastAsia="SimSun"/>
          <w:color w:val="000000"/>
          <w:lang w:val="it-IT" w:eastAsia="zh-CN"/>
        </w:rPr>
        <w:t>quali si era iniziato</w:t>
      </w:r>
      <w:r w:rsidR="009847F8" w:rsidRPr="006A2BF9">
        <w:rPr>
          <w:rFonts w:eastAsia="SimSun"/>
          <w:color w:val="000000"/>
          <w:lang w:val="it-IT" w:eastAsia="zh-CN"/>
        </w:rPr>
        <w:t xml:space="preserve"> un</w:t>
      </w:r>
      <w:r w:rsidR="00A85B75" w:rsidRPr="006A2BF9">
        <w:rPr>
          <w:rFonts w:eastAsia="SimSun"/>
          <w:color w:val="000000"/>
          <w:lang w:val="it-IT" w:eastAsia="zh-CN"/>
        </w:rPr>
        <w:t xml:space="preserve"> </w:t>
      </w:r>
      <w:r w:rsidRPr="006A2BF9">
        <w:rPr>
          <w:rFonts w:eastAsia="SimSun"/>
          <w:color w:val="000000"/>
          <w:lang w:val="it-IT" w:eastAsia="zh-CN"/>
        </w:rPr>
        <w:t>trattamento</w:t>
      </w:r>
      <w:r w:rsidR="00A85B75" w:rsidRPr="006A2BF9">
        <w:rPr>
          <w:rFonts w:eastAsia="SimSun"/>
          <w:color w:val="000000"/>
          <w:lang w:val="it-IT" w:eastAsia="zh-CN"/>
        </w:rPr>
        <w:t xml:space="preserve"> non previst</w:t>
      </w:r>
      <w:r w:rsidRPr="006A2BF9">
        <w:rPr>
          <w:rFonts w:eastAsia="SimSun"/>
          <w:color w:val="000000"/>
          <w:lang w:val="it-IT" w:eastAsia="zh-CN"/>
        </w:rPr>
        <w:t>o</w:t>
      </w:r>
      <w:r w:rsidR="00A85B75" w:rsidRPr="006A2BF9">
        <w:rPr>
          <w:rFonts w:eastAsia="SimSun"/>
          <w:color w:val="000000"/>
          <w:lang w:val="it-IT" w:eastAsia="zh-CN"/>
        </w:rPr>
        <w:t xml:space="preserve"> dal protocollo (NPT) prima di una </w:t>
      </w:r>
      <w:r w:rsidR="00A85B75" w:rsidRPr="008E1042">
        <w:rPr>
          <w:rFonts w:eastAsia="SimSun"/>
          <w:color w:val="000000"/>
          <w:lang w:val="it-IT" w:eastAsia="zh-CN"/>
        </w:rPr>
        <w:t xml:space="preserve">progressione della malattia. I risultati di </w:t>
      </w:r>
      <w:r w:rsidRPr="008E1042">
        <w:rPr>
          <w:rFonts w:eastAsia="SimSun"/>
          <w:color w:val="000000"/>
          <w:lang w:val="it-IT" w:eastAsia="zh-CN"/>
        </w:rPr>
        <w:t xml:space="preserve">queste </w:t>
      </w:r>
      <w:r w:rsidR="00A85B75" w:rsidRPr="008E1042">
        <w:rPr>
          <w:rFonts w:eastAsia="SimSun"/>
          <w:color w:val="000000"/>
          <w:lang w:val="it-IT" w:eastAsia="zh-CN"/>
        </w:rPr>
        <w:t xml:space="preserve">analisi sono </w:t>
      </w:r>
      <w:r w:rsidRPr="008E1042">
        <w:rPr>
          <w:rFonts w:eastAsia="SimSun"/>
          <w:color w:val="000000"/>
          <w:lang w:val="it-IT" w:eastAsia="zh-CN"/>
        </w:rPr>
        <w:t xml:space="preserve">risultati </w:t>
      </w:r>
      <w:r w:rsidR="00A85B75" w:rsidRPr="008E1042">
        <w:rPr>
          <w:rFonts w:eastAsia="SimSun"/>
          <w:color w:val="000000"/>
          <w:lang w:val="it-IT" w:eastAsia="zh-CN"/>
        </w:rPr>
        <w:t>molto simili ai risultati dell’analisi primaria della PFS.</w:t>
      </w:r>
    </w:p>
    <w:p w14:paraId="37429998" w14:textId="77777777" w:rsidR="007732E9" w:rsidRPr="006A2BF9" w:rsidRDefault="007732E9" w:rsidP="009C0666">
      <w:pPr>
        <w:rPr>
          <w:lang w:val="it-IT"/>
        </w:rPr>
      </w:pPr>
    </w:p>
    <w:p w14:paraId="110B2979" w14:textId="77777777" w:rsidR="009C0666" w:rsidRPr="006A2BF9" w:rsidRDefault="00EB182B" w:rsidP="009C0666">
      <w:pPr>
        <w:rPr>
          <w:bCs/>
          <w:i/>
          <w:u w:val="single"/>
          <w:lang w:val="it-IT"/>
        </w:rPr>
      </w:pPr>
      <w:r w:rsidRPr="006A2BF9">
        <w:rPr>
          <w:bCs/>
          <w:i/>
          <w:u w:val="single"/>
          <w:lang w:val="it-IT"/>
        </w:rPr>
        <w:t>Cancro del polmone</w:t>
      </w:r>
      <w:r w:rsidR="009C0666" w:rsidRPr="006A2BF9">
        <w:rPr>
          <w:bCs/>
          <w:i/>
          <w:u w:val="single"/>
          <w:lang w:val="it-IT"/>
        </w:rPr>
        <w:t xml:space="preserve"> non a piccole cellule (NSCLC)</w:t>
      </w:r>
    </w:p>
    <w:p w14:paraId="7442C4D8" w14:textId="77777777" w:rsidR="00BB195D" w:rsidRPr="006A2BF9" w:rsidRDefault="00BB195D" w:rsidP="009C0666">
      <w:pPr>
        <w:rPr>
          <w:bCs/>
          <w:i/>
          <w:u w:val="single"/>
          <w:lang w:val="it-IT"/>
        </w:rPr>
      </w:pPr>
    </w:p>
    <w:p w14:paraId="40869405" w14:textId="77777777" w:rsidR="00BB195D" w:rsidRPr="006A2BF9" w:rsidRDefault="00BB195D" w:rsidP="00BB195D">
      <w:pPr>
        <w:rPr>
          <w:bCs/>
          <w:i/>
          <w:lang w:val="it-IT"/>
        </w:rPr>
      </w:pPr>
      <w:r w:rsidRPr="006A2BF9">
        <w:rPr>
          <w:bCs/>
          <w:i/>
          <w:lang w:val="it-IT"/>
        </w:rPr>
        <w:t xml:space="preserve">Trattamento in prima linea </w:t>
      </w:r>
      <w:r w:rsidR="00EB41BA" w:rsidRPr="006A2BF9">
        <w:rPr>
          <w:bCs/>
          <w:i/>
          <w:lang w:val="it-IT"/>
        </w:rPr>
        <w:t xml:space="preserve">del </w:t>
      </w:r>
      <w:r w:rsidRPr="006A2BF9">
        <w:rPr>
          <w:bCs/>
          <w:i/>
          <w:lang w:val="it-IT"/>
        </w:rPr>
        <w:t xml:space="preserve">NSCLC non </w:t>
      </w:r>
      <w:r w:rsidR="0042050C" w:rsidRPr="006A2BF9">
        <w:rPr>
          <w:bCs/>
          <w:i/>
          <w:lang w:val="it-IT"/>
        </w:rPr>
        <w:t xml:space="preserve">squamoso </w:t>
      </w:r>
      <w:r w:rsidRPr="006A2BF9">
        <w:rPr>
          <w:bCs/>
          <w:i/>
          <w:lang w:val="it-IT"/>
        </w:rPr>
        <w:t xml:space="preserve">in associazione </w:t>
      </w:r>
      <w:r w:rsidR="00C35913">
        <w:rPr>
          <w:bCs/>
          <w:i/>
          <w:lang w:val="it-IT"/>
        </w:rPr>
        <w:t>a</w:t>
      </w:r>
      <w:r w:rsidR="00C35913" w:rsidRPr="006A2BF9">
        <w:rPr>
          <w:bCs/>
          <w:i/>
          <w:lang w:val="it-IT"/>
        </w:rPr>
        <w:t xml:space="preserve"> </w:t>
      </w:r>
      <w:r w:rsidRPr="006A2BF9">
        <w:rPr>
          <w:bCs/>
          <w:i/>
          <w:lang w:val="it-IT"/>
        </w:rPr>
        <w:t>chemioterapia a base di platino</w:t>
      </w:r>
    </w:p>
    <w:p w14:paraId="05E95FE8" w14:textId="77777777" w:rsidR="009C0666" w:rsidRPr="006A2BF9" w:rsidRDefault="009C0666" w:rsidP="00DE54D6">
      <w:pPr>
        <w:rPr>
          <w:lang w:val="it-IT"/>
        </w:rPr>
      </w:pPr>
      <w:r w:rsidRPr="006A2BF9">
        <w:rPr>
          <w:lang w:val="it-IT"/>
        </w:rPr>
        <w:t xml:space="preserve">La sicurezza e l'efficacia di </w:t>
      </w:r>
      <w:r w:rsidR="00F4321D" w:rsidRPr="006A2BF9">
        <w:rPr>
          <w:szCs w:val="22"/>
          <w:lang w:val="it-IT"/>
        </w:rPr>
        <w:t>bevacizumab</w:t>
      </w:r>
      <w:r w:rsidR="00F4321D" w:rsidRPr="006A2BF9" w:rsidDel="00F4321D">
        <w:rPr>
          <w:lang w:val="it-IT"/>
        </w:rPr>
        <w:t xml:space="preserve"> </w:t>
      </w:r>
      <w:r w:rsidRPr="006A2BF9">
        <w:rPr>
          <w:lang w:val="it-IT"/>
        </w:rPr>
        <w:t xml:space="preserve">in aggiunta a chemioterapia a base di platino nel trattamento in prima linea di pazienti con </w:t>
      </w:r>
      <w:r w:rsidR="00EB182B" w:rsidRPr="006A2BF9">
        <w:rPr>
          <w:lang w:val="it-IT"/>
        </w:rPr>
        <w:t>cancro del polmone</w:t>
      </w:r>
      <w:r w:rsidRPr="006A2BF9">
        <w:rPr>
          <w:lang w:val="it-IT"/>
        </w:rPr>
        <w:t xml:space="preserve"> non a piccole cellule (NSCLC) non squamo</w:t>
      </w:r>
      <w:r w:rsidR="0042050C" w:rsidRPr="006A2BF9">
        <w:rPr>
          <w:lang w:val="it-IT"/>
        </w:rPr>
        <w:t>so</w:t>
      </w:r>
      <w:r w:rsidRPr="00330A40">
        <w:rPr>
          <w:lang w:val="it-IT"/>
        </w:rPr>
        <w:t xml:space="preserve"> sono state esaminate negli studi E4599 e BO17704. Nello studio E4599 è stato dimostrato un beneficio in termini di </w:t>
      </w:r>
      <w:r w:rsidR="004C45F5">
        <w:rPr>
          <w:lang w:val="it-IT"/>
        </w:rPr>
        <w:t>OS</w:t>
      </w:r>
      <w:r w:rsidRPr="00330A40">
        <w:rPr>
          <w:lang w:val="it-IT"/>
        </w:rPr>
        <w:t xml:space="preserve"> con una dose di bevacizumab di 15 mg/</w:t>
      </w:r>
      <w:r w:rsidR="00570D9F" w:rsidRPr="00330A40">
        <w:rPr>
          <w:lang w:val="it-IT"/>
        </w:rPr>
        <w:t>k</w:t>
      </w:r>
      <w:r w:rsidRPr="00330A40">
        <w:rPr>
          <w:lang w:val="it-IT"/>
        </w:rPr>
        <w:t>g una volta ogni 3</w:t>
      </w:r>
      <w:r w:rsidR="00F4321D" w:rsidRPr="00330A40">
        <w:rPr>
          <w:lang w:val="it-IT"/>
        </w:rPr>
        <w:t> </w:t>
      </w:r>
      <w:r w:rsidRPr="00330A40">
        <w:rPr>
          <w:lang w:val="it-IT"/>
        </w:rPr>
        <w:t>settimane. Lo studio BO17704 ha dimostrato che entrambi i dosaggi di bevacizumab di 7,5 mg/kg e di 15 mg/kg una volta ogni 3</w:t>
      </w:r>
      <w:r w:rsidR="00F4321D" w:rsidRPr="006A2BF9">
        <w:rPr>
          <w:lang w:val="it-IT"/>
        </w:rPr>
        <w:t> </w:t>
      </w:r>
      <w:r w:rsidRPr="006A2BF9">
        <w:rPr>
          <w:lang w:val="it-IT"/>
        </w:rPr>
        <w:t xml:space="preserve">settimane aumentano la </w:t>
      </w:r>
      <w:r w:rsidR="004C45F5">
        <w:rPr>
          <w:lang w:val="it-IT"/>
        </w:rPr>
        <w:t>PFS</w:t>
      </w:r>
      <w:r w:rsidRPr="006A2BF9">
        <w:rPr>
          <w:lang w:val="it-IT"/>
        </w:rPr>
        <w:t xml:space="preserve"> e il tasso di risposta.</w:t>
      </w:r>
    </w:p>
    <w:p w14:paraId="651103D2" w14:textId="77777777" w:rsidR="009C0666" w:rsidRPr="006A2BF9" w:rsidRDefault="009C0666" w:rsidP="009C0666">
      <w:pPr>
        <w:rPr>
          <w:lang w:val="it-IT"/>
        </w:rPr>
      </w:pPr>
    </w:p>
    <w:p w14:paraId="58CC8680" w14:textId="77777777" w:rsidR="00E53A1B" w:rsidRPr="006A2BF9" w:rsidRDefault="00E53A1B" w:rsidP="009C0666">
      <w:pPr>
        <w:rPr>
          <w:i/>
          <w:lang w:val="it-IT"/>
        </w:rPr>
      </w:pPr>
      <w:r w:rsidRPr="006A2BF9">
        <w:rPr>
          <w:i/>
          <w:lang w:val="it-IT"/>
        </w:rPr>
        <w:t>E4599</w:t>
      </w:r>
    </w:p>
    <w:p w14:paraId="3950B5F7" w14:textId="77777777" w:rsidR="009C0666" w:rsidRPr="006A2BF9" w:rsidRDefault="009C0666" w:rsidP="009C0666">
      <w:pPr>
        <w:rPr>
          <w:lang w:val="it-IT"/>
        </w:rPr>
      </w:pPr>
      <w:r w:rsidRPr="006A2BF9">
        <w:rPr>
          <w:lang w:val="it-IT"/>
        </w:rPr>
        <w:lastRenderedPageBreak/>
        <w:t xml:space="preserve">Lo studio E4599 era uno studio clinico multicentrico, in aperto, randomizzato, controllato rispetto a un farmaco attivo per la valutazione di </w:t>
      </w:r>
      <w:r w:rsidR="00F4321D" w:rsidRPr="006A2BF9">
        <w:rPr>
          <w:szCs w:val="22"/>
          <w:lang w:val="it-IT"/>
        </w:rPr>
        <w:t>bevacizumab</w:t>
      </w:r>
      <w:r w:rsidR="00F4321D" w:rsidRPr="006A2BF9" w:rsidDel="00F4321D">
        <w:rPr>
          <w:lang w:val="it-IT"/>
        </w:rPr>
        <w:t xml:space="preserve"> </w:t>
      </w:r>
      <w:r w:rsidRPr="006A2BF9">
        <w:rPr>
          <w:lang w:val="it-IT"/>
        </w:rPr>
        <w:t xml:space="preserve">come trattamento in prima linea di pazienti con NSCLC localmente avanzato (stadio IIIb con effusione pleurica maligna) metastatico o </w:t>
      </w:r>
      <w:r w:rsidR="0025736A" w:rsidRPr="006A2BF9">
        <w:rPr>
          <w:lang w:val="it-IT"/>
        </w:rPr>
        <w:t>ricorrente</w:t>
      </w:r>
      <w:r w:rsidRPr="006A2BF9">
        <w:rPr>
          <w:lang w:val="it-IT"/>
        </w:rPr>
        <w:t xml:space="preserve"> con istologia non a cellule squamose predominanti.</w:t>
      </w:r>
    </w:p>
    <w:p w14:paraId="686199EC" w14:textId="77777777" w:rsidR="009C0666" w:rsidRPr="006A2BF9" w:rsidRDefault="009C0666" w:rsidP="009C0666">
      <w:pPr>
        <w:rPr>
          <w:lang w:val="it-IT"/>
        </w:rPr>
      </w:pPr>
    </w:p>
    <w:p w14:paraId="035AE0BC" w14:textId="77777777" w:rsidR="009C0666" w:rsidRPr="006A2BF9" w:rsidRDefault="009C0666" w:rsidP="009C0666">
      <w:pPr>
        <w:rPr>
          <w:lang w:val="it-IT"/>
        </w:rPr>
      </w:pPr>
      <w:r w:rsidRPr="006A2BF9">
        <w:rPr>
          <w:lang w:val="it-IT"/>
        </w:rPr>
        <w:t>I pazienti sono stati randomizzati al trattamento con chemioterapia a base di platino (paclitaxel 200 mg/m</w:t>
      </w:r>
      <w:r w:rsidRPr="006A2BF9">
        <w:rPr>
          <w:vertAlign w:val="superscript"/>
          <w:lang w:val="it-IT"/>
        </w:rPr>
        <w:t>2</w:t>
      </w:r>
      <w:r w:rsidRPr="006A2BF9">
        <w:rPr>
          <w:lang w:val="it-IT"/>
        </w:rPr>
        <w:t xml:space="preserve"> e carboplatino AUC</w:t>
      </w:r>
      <w:r w:rsidR="00236A17" w:rsidRPr="006A2BF9">
        <w:rPr>
          <w:lang w:val="it-IT"/>
        </w:rPr>
        <w:t> </w:t>
      </w:r>
      <w:r w:rsidRPr="006A2BF9">
        <w:rPr>
          <w:lang w:val="it-IT"/>
        </w:rPr>
        <w:t>=</w:t>
      </w:r>
      <w:r w:rsidR="00236A17" w:rsidRPr="006A2BF9">
        <w:rPr>
          <w:lang w:val="it-IT"/>
        </w:rPr>
        <w:t> </w:t>
      </w:r>
      <w:r w:rsidRPr="006A2BF9">
        <w:rPr>
          <w:lang w:val="it-IT"/>
        </w:rPr>
        <w:t>6,0</w:t>
      </w:r>
      <w:r w:rsidR="009315B1" w:rsidRPr="006A2BF9">
        <w:rPr>
          <w:lang w:val="it-IT"/>
        </w:rPr>
        <w:t>,</w:t>
      </w:r>
      <w:r w:rsidRPr="006A2BF9">
        <w:rPr>
          <w:lang w:val="it-IT"/>
        </w:rPr>
        <w:t xml:space="preserve"> entrambi per infusione </w:t>
      </w:r>
      <w:r w:rsidR="004C45F5">
        <w:rPr>
          <w:lang w:val="it-IT"/>
        </w:rPr>
        <w:t>endovenosa</w:t>
      </w:r>
      <w:r w:rsidR="000D4AE9" w:rsidRPr="006A2BF9">
        <w:rPr>
          <w:lang w:val="it-IT"/>
        </w:rPr>
        <w:t>)</w:t>
      </w:r>
      <w:r w:rsidRPr="006A2BF9">
        <w:rPr>
          <w:lang w:val="it-IT"/>
        </w:rPr>
        <w:t xml:space="preserve"> (PC) nel giorno</w:t>
      </w:r>
      <w:r w:rsidR="00F4321D" w:rsidRPr="006A2BF9">
        <w:rPr>
          <w:lang w:val="it-IT"/>
        </w:rPr>
        <w:t> </w:t>
      </w:r>
      <w:r w:rsidRPr="006A2BF9">
        <w:rPr>
          <w:lang w:val="it-IT"/>
        </w:rPr>
        <w:t>1 di ogni ciclo da 3</w:t>
      </w:r>
      <w:r w:rsidR="00F4321D" w:rsidRPr="006A2BF9">
        <w:rPr>
          <w:lang w:val="it-IT"/>
        </w:rPr>
        <w:t> </w:t>
      </w:r>
      <w:r w:rsidRPr="006A2BF9">
        <w:rPr>
          <w:lang w:val="it-IT"/>
        </w:rPr>
        <w:t>settimane fino a 6</w:t>
      </w:r>
      <w:r w:rsidR="00F4321D" w:rsidRPr="006A2BF9">
        <w:rPr>
          <w:lang w:val="it-IT"/>
        </w:rPr>
        <w:t> </w:t>
      </w:r>
      <w:r w:rsidRPr="006A2BF9">
        <w:rPr>
          <w:lang w:val="it-IT"/>
        </w:rPr>
        <w:t xml:space="preserve">cicli oppure PC in associazione </w:t>
      </w:r>
      <w:r w:rsidR="0042050C" w:rsidRPr="006A2BF9">
        <w:rPr>
          <w:lang w:val="it-IT"/>
        </w:rPr>
        <w:t xml:space="preserve">a </w:t>
      </w:r>
      <w:r w:rsidR="00F4321D" w:rsidRPr="006A2BF9">
        <w:rPr>
          <w:szCs w:val="22"/>
          <w:lang w:val="it-IT"/>
        </w:rPr>
        <w:t>bevacizumab</w:t>
      </w:r>
      <w:r w:rsidR="00F4321D" w:rsidRPr="006A2BF9" w:rsidDel="00F4321D">
        <w:rPr>
          <w:lang w:val="it-IT"/>
        </w:rPr>
        <w:t xml:space="preserve"> </w:t>
      </w:r>
      <w:r w:rsidRPr="006A2BF9">
        <w:rPr>
          <w:lang w:val="it-IT"/>
        </w:rPr>
        <w:t>al</w:t>
      </w:r>
      <w:r w:rsidR="00633039" w:rsidRPr="006A2BF9">
        <w:rPr>
          <w:lang w:val="it-IT"/>
        </w:rPr>
        <w:t>la dose</w:t>
      </w:r>
      <w:r w:rsidRPr="006A2BF9">
        <w:rPr>
          <w:lang w:val="it-IT"/>
        </w:rPr>
        <w:t xml:space="preserve"> di 15 mg/kg per infusione </w:t>
      </w:r>
      <w:r w:rsidR="004C45F5">
        <w:rPr>
          <w:lang w:val="it-IT"/>
        </w:rPr>
        <w:t>endovenosa</w:t>
      </w:r>
      <w:r w:rsidRPr="006A2BF9">
        <w:rPr>
          <w:lang w:val="it-IT"/>
        </w:rPr>
        <w:t xml:space="preserve"> al giorno</w:t>
      </w:r>
      <w:r w:rsidR="00F4321D" w:rsidRPr="006A2BF9">
        <w:rPr>
          <w:lang w:val="it-IT"/>
        </w:rPr>
        <w:t> </w:t>
      </w:r>
      <w:r w:rsidRPr="006A2BF9">
        <w:rPr>
          <w:lang w:val="it-IT"/>
        </w:rPr>
        <w:t>1 di infusione di ogni ciclo di 3</w:t>
      </w:r>
      <w:r w:rsidR="00F4321D" w:rsidRPr="006A2BF9">
        <w:rPr>
          <w:lang w:val="it-IT"/>
        </w:rPr>
        <w:t> </w:t>
      </w:r>
      <w:r w:rsidRPr="006A2BF9">
        <w:rPr>
          <w:lang w:val="it-IT"/>
        </w:rPr>
        <w:t>settimane. Al completamento dei 6</w:t>
      </w:r>
      <w:r w:rsidR="00F4321D" w:rsidRPr="006A2BF9">
        <w:rPr>
          <w:lang w:val="it-IT"/>
        </w:rPr>
        <w:t> </w:t>
      </w:r>
      <w:r w:rsidRPr="006A2BF9">
        <w:rPr>
          <w:lang w:val="it-IT"/>
        </w:rPr>
        <w:t xml:space="preserve">cicli di chemioterapia con carboplatino-paclitaxel o alla sospensione precoce della chemioterapia, i pazienti nel braccio </w:t>
      </w:r>
      <w:r w:rsidR="00F4321D" w:rsidRPr="006A2BF9">
        <w:rPr>
          <w:szCs w:val="22"/>
          <w:lang w:val="it-IT"/>
        </w:rPr>
        <w:t>bevacizumab</w:t>
      </w:r>
      <w:r w:rsidR="00236A17" w:rsidRPr="006A2BF9">
        <w:rPr>
          <w:lang w:val="it-IT"/>
        </w:rPr>
        <w:t> </w:t>
      </w:r>
      <w:r w:rsidRPr="006A2BF9">
        <w:rPr>
          <w:lang w:val="it-IT"/>
        </w:rPr>
        <w:t>+</w:t>
      </w:r>
      <w:r w:rsidR="00236A17" w:rsidRPr="006A2BF9">
        <w:rPr>
          <w:lang w:val="it-IT"/>
        </w:rPr>
        <w:t> </w:t>
      </w:r>
      <w:r w:rsidRPr="006A2BF9">
        <w:rPr>
          <w:lang w:val="it-IT"/>
        </w:rPr>
        <w:t xml:space="preserve">carboplatino-paclitaxel hanno continuato a ricevere </w:t>
      </w:r>
      <w:r w:rsidR="00F4321D" w:rsidRPr="006A2BF9">
        <w:rPr>
          <w:szCs w:val="22"/>
          <w:lang w:val="it-IT"/>
        </w:rPr>
        <w:t>bevacizumab</w:t>
      </w:r>
      <w:r w:rsidR="00F4321D" w:rsidRPr="006A2BF9" w:rsidDel="00F4321D">
        <w:rPr>
          <w:lang w:val="it-IT"/>
        </w:rPr>
        <w:t xml:space="preserve"> </w:t>
      </w:r>
      <w:r w:rsidRPr="006A2BF9">
        <w:rPr>
          <w:lang w:val="it-IT"/>
        </w:rPr>
        <w:t>come monoterapia ogni 3</w:t>
      </w:r>
      <w:r w:rsidR="00F4321D" w:rsidRPr="006A2BF9">
        <w:rPr>
          <w:lang w:val="it-IT"/>
        </w:rPr>
        <w:t> </w:t>
      </w:r>
      <w:r w:rsidRPr="006A2BF9">
        <w:rPr>
          <w:lang w:val="it-IT"/>
        </w:rPr>
        <w:t>settimane fino alla progressione della malattia. Sono stati randomizzati 878</w:t>
      </w:r>
      <w:r w:rsidR="00F4321D" w:rsidRPr="006A2BF9">
        <w:rPr>
          <w:lang w:val="it-IT"/>
        </w:rPr>
        <w:t> </w:t>
      </w:r>
      <w:r w:rsidRPr="006A2BF9">
        <w:rPr>
          <w:lang w:val="it-IT"/>
        </w:rPr>
        <w:t>pazienti nei due bracci.</w:t>
      </w:r>
    </w:p>
    <w:p w14:paraId="506C3249" w14:textId="77777777" w:rsidR="009C0666" w:rsidRPr="006A2BF9" w:rsidRDefault="009C0666" w:rsidP="009C0666">
      <w:pPr>
        <w:rPr>
          <w:lang w:val="it-IT"/>
        </w:rPr>
      </w:pPr>
    </w:p>
    <w:p w14:paraId="61D1F7E1" w14:textId="77777777" w:rsidR="009C0666" w:rsidRPr="006A2BF9" w:rsidRDefault="009C0666" w:rsidP="009C0666">
      <w:pPr>
        <w:rPr>
          <w:lang w:val="it-IT"/>
        </w:rPr>
      </w:pPr>
      <w:r w:rsidRPr="006A2BF9">
        <w:rPr>
          <w:lang w:val="it-IT"/>
        </w:rPr>
        <w:t xml:space="preserve">Durante lo studio, dei pazienti che hanno ricevuto il trattamento in studio, il 32,2% (136/422) ha ricevuto 7-12 somministrazioni di </w:t>
      </w:r>
      <w:r w:rsidR="00F4321D" w:rsidRPr="006A2BF9">
        <w:rPr>
          <w:szCs w:val="22"/>
          <w:lang w:val="it-IT"/>
        </w:rPr>
        <w:t>bevacizumab</w:t>
      </w:r>
      <w:r w:rsidR="00F4321D" w:rsidRPr="006A2BF9" w:rsidDel="00F4321D">
        <w:rPr>
          <w:lang w:val="it-IT"/>
        </w:rPr>
        <w:t xml:space="preserve"> </w:t>
      </w:r>
      <w:r w:rsidRPr="006A2BF9">
        <w:rPr>
          <w:lang w:val="it-IT"/>
        </w:rPr>
        <w:t xml:space="preserve">e il 21,1% (89/422) ha ricevuto 13 o più somministrazioni di </w:t>
      </w:r>
      <w:r w:rsidR="00F4321D" w:rsidRPr="006A2BF9">
        <w:rPr>
          <w:szCs w:val="22"/>
          <w:lang w:val="it-IT"/>
        </w:rPr>
        <w:t>bevacizumab</w:t>
      </w:r>
      <w:r w:rsidRPr="006A2BF9">
        <w:rPr>
          <w:lang w:val="it-IT"/>
        </w:rPr>
        <w:t>.</w:t>
      </w:r>
    </w:p>
    <w:p w14:paraId="4F1F5904" w14:textId="77777777" w:rsidR="009C0666" w:rsidRPr="006A2BF9" w:rsidRDefault="009C0666" w:rsidP="009C0666">
      <w:pPr>
        <w:rPr>
          <w:lang w:val="it-IT"/>
        </w:rPr>
      </w:pPr>
    </w:p>
    <w:p w14:paraId="00A6C5F9" w14:textId="77777777" w:rsidR="009C0666" w:rsidRPr="006A2BF9" w:rsidRDefault="009C0666" w:rsidP="009C0666">
      <w:pPr>
        <w:rPr>
          <w:lang w:val="it-IT"/>
        </w:rPr>
      </w:pPr>
      <w:r w:rsidRPr="006A2BF9">
        <w:rPr>
          <w:lang w:val="it-IT"/>
        </w:rPr>
        <w:t>L</w:t>
      </w:r>
      <w:r w:rsidR="00F4321D" w:rsidRPr="006A2BF9">
        <w:rPr>
          <w:lang w:val="it-IT"/>
        </w:rPr>
        <w:t>’</w:t>
      </w:r>
      <w:r w:rsidRPr="006A2BF9">
        <w:rPr>
          <w:lang w:val="it-IT"/>
        </w:rPr>
        <w:t xml:space="preserve">endpoint </w:t>
      </w:r>
      <w:r w:rsidR="00570D9F" w:rsidRPr="006A2BF9">
        <w:rPr>
          <w:lang w:val="it-IT"/>
        </w:rPr>
        <w:t xml:space="preserve">primario </w:t>
      </w:r>
      <w:r w:rsidRPr="006A2BF9">
        <w:rPr>
          <w:lang w:val="it-IT"/>
        </w:rPr>
        <w:t xml:space="preserve">era la durata della sopravvivenza. I risultati sono presentati nella </w:t>
      </w:r>
      <w:r w:rsidR="0025736A" w:rsidRPr="006A2BF9">
        <w:rPr>
          <w:lang w:val="it-IT"/>
        </w:rPr>
        <w:t>t</w:t>
      </w:r>
      <w:r w:rsidRPr="006A2BF9">
        <w:rPr>
          <w:lang w:val="it-IT"/>
        </w:rPr>
        <w:t>abella</w:t>
      </w:r>
      <w:r w:rsidR="005639BE" w:rsidRPr="006A2BF9">
        <w:rPr>
          <w:lang w:val="it-IT"/>
        </w:rPr>
        <w:t> </w:t>
      </w:r>
      <w:r w:rsidR="001B2D83" w:rsidRPr="006A2BF9">
        <w:rPr>
          <w:lang w:val="it-IT"/>
        </w:rPr>
        <w:t>1</w:t>
      </w:r>
      <w:r w:rsidR="00D966E3" w:rsidRPr="006A2BF9">
        <w:rPr>
          <w:lang w:val="it-IT"/>
        </w:rPr>
        <w:t>2</w:t>
      </w:r>
      <w:r w:rsidRPr="006A2BF9">
        <w:rPr>
          <w:lang w:val="it-IT"/>
        </w:rPr>
        <w:t>.</w:t>
      </w:r>
    </w:p>
    <w:p w14:paraId="19059AEE" w14:textId="77777777" w:rsidR="009C0666" w:rsidRPr="006A2BF9" w:rsidRDefault="009C0666" w:rsidP="009C0666">
      <w:pPr>
        <w:rPr>
          <w:lang w:val="it-IT"/>
        </w:rPr>
      </w:pPr>
    </w:p>
    <w:p w14:paraId="07155C28" w14:textId="77777777" w:rsidR="009C0666" w:rsidRPr="006A2BF9" w:rsidRDefault="009C0666" w:rsidP="001B5FB1">
      <w:pPr>
        <w:keepNext/>
        <w:keepLines/>
        <w:ind w:left="1559" w:hanging="1559"/>
        <w:rPr>
          <w:b/>
          <w:lang w:val="it-IT"/>
        </w:rPr>
      </w:pPr>
      <w:r w:rsidRPr="006A2BF9">
        <w:rPr>
          <w:b/>
          <w:lang w:val="it-IT"/>
        </w:rPr>
        <w:t>Tabella</w:t>
      </w:r>
      <w:r w:rsidR="00524DE0" w:rsidRPr="006A2BF9">
        <w:rPr>
          <w:b/>
          <w:lang w:val="it-IT"/>
        </w:rPr>
        <w:t> </w:t>
      </w:r>
      <w:r w:rsidR="001B2D83" w:rsidRPr="006A2BF9">
        <w:rPr>
          <w:b/>
          <w:lang w:val="it-IT"/>
        </w:rPr>
        <w:t>1</w:t>
      </w:r>
      <w:r w:rsidR="00D966E3" w:rsidRPr="006A2BF9">
        <w:rPr>
          <w:b/>
          <w:lang w:val="it-IT"/>
        </w:rPr>
        <w:t>2</w:t>
      </w:r>
      <w:r w:rsidRPr="006A2BF9">
        <w:rPr>
          <w:b/>
          <w:lang w:val="it-IT"/>
        </w:rPr>
        <w:tab/>
        <w:t>Risultati di efficacia dello studio E4599</w:t>
      </w:r>
    </w:p>
    <w:tbl>
      <w:tblPr>
        <w:tblW w:w="0" w:type="auto"/>
        <w:tblLayout w:type="fixed"/>
        <w:tblCellMar>
          <w:left w:w="57" w:type="dxa"/>
          <w:right w:w="57" w:type="dxa"/>
        </w:tblCellMar>
        <w:tblLook w:val="0000" w:firstRow="0" w:lastRow="0" w:firstColumn="0" w:lastColumn="0" w:noHBand="0" w:noVBand="0"/>
      </w:tblPr>
      <w:tblGrid>
        <w:gridCol w:w="4102"/>
        <w:gridCol w:w="2452"/>
        <w:gridCol w:w="2631"/>
      </w:tblGrid>
      <w:tr w:rsidR="009C0666" w:rsidRPr="006A2BF9" w14:paraId="7D359D8B" w14:textId="77777777" w:rsidTr="00C65E97">
        <w:trPr>
          <w:cantSplit/>
        </w:trPr>
        <w:tc>
          <w:tcPr>
            <w:tcW w:w="4102" w:type="dxa"/>
            <w:tcBorders>
              <w:top w:val="single" w:sz="8" w:space="0" w:color="auto"/>
              <w:left w:val="single" w:sz="8" w:space="0" w:color="auto"/>
              <w:bottom w:val="single" w:sz="8" w:space="0" w:color="auto"/>
              <w:right w:val="single" w:sz="8" w:space="0" w:color="auto"/>
            </w:tcBorders>
            <w:vAlign w:val="bottom"/>
          </w:tcPr>
          <w:p w14:paraId="597D1248" w14:textId="77777777" w:rsidR="009C0666" w:rsidRPr="006A2BF9" w:rsidRDefault="009C0666" w:rsidP="009734E3">
            <w:pPr>
              <w:pStyle w:val="TextTi10"/>
              <w:keepNext/>
              <w:keepLines/>
              <w:jc w:val="center"/>
              <w:rPr>
                <w:b/>
                <w:lang w:val="it-IT"/>
              </w:rPr>
            </w:pPr>
          </w:p>
        </w:tc>
        <w:tc>
          <w:tcPr>
            <w:tcW w:w="2452" w:type="dxa"/>
            <w:tcBorders>
              <w:top w:val="single" w:sz="8" w:space="0" w:color="auto"/>
              <w:left w:val="single" w:sz="8" w:space="0" w:color="auto"/>
              <w:bottom w:val="single" w:sz="8" w:space="0" w:color="auto"/>
              <w:right w:val="single" w:sz="8" w:space="0" w:color="auto"/>
            </w:tcBorders>
            <w:vAlign w:val="bottom"/>
          </w:tcPr>
          <w:p w14:paraId="2E3328A4" w14:textId="77777777" w:rsidR="009C0666" w:rsidRPr="006A2BF9" w:rsidRDefault="009C0666" w:rsidP="009734E3">
            <w:pPr>
              <w:pStyle w:val="TextTi10"/>
              <w:keepNext/>
              <w:keepLines/>
              <w:jc w:val="center"/>
              <w:rPr>
                <w:b/>
                <w:lang w:val="it-IT"/>
              </w:rPr>
            </w:pPr>
            <w:r w:rsidRPr="006A2BF9">
              <w:rPr>
                <w:b/>
                <w:lang w:val="it-IT"/>
              </w:rPr>
              <w:t>Braccio</w:t>
            </w:r>
            <w:r w:rsidR="006E4D20" w:rsidRPr="006A2BF9">
              <w:rPr>
                <w:b/>
                <w:lang w:val="it-IT"/>
              </w:rPr>
              <w:t> </w:t>
            </w:r>
            <w:r w:rsidRPr="006A2BF9">
              <w:rPr>
                <w:b/>
                <w:lang w:val="it-IT"/>
              </w:rPr>
              <w:t>1</w:t>
            </w:r>
          </w:p>
          <w:p w14:paraId="7BAADA84" w14:textId="77777777" w:rsidR="009C0666" w:rsidRPr="006A2BF9" w:rsidRDefault="009C0666" w:rsidP="009734E3">
            <w:pPr>
              <w:pStyle w:val="TextTi10"/>
              <w:keepNext/>
              <w:keepLines/>
              <w:jc w:val="center"/>
              <w:rPr>
                <w:b/>
                <w:lang w:val="it-IT"/>
              </w:rPr>
            </w:pPr>
            <w:r w:rsidRPr="006A2BF9">
              <w:rPr>
                <w:b/>
                <w:lang w:val="it-IT"/>
              </w:rPr>
              <w:t>Carboplatino/</w:t>
            </w:r>
          </w:p>
          <w:p w14:paraId="648DE9F8" w14:textId="77777777" w:rsidR="009C0666" w:rsidRPr="006A2BF9" w:rsidRDefault="009C0666" w:rsidP="009734E3">
            <w:pPr>
              <w:pStyle w:val="TextTi10"/>
              <w:keepNext/>
              <w:keepLines/>
              <w:jc w:val="center"/>
              <w:rPr>
                <w:b/>
                <w:lang w:val="it-IT"/>
              </w:rPr>
            </w:pPr>
            <w:r w:rsidRPr="006A2BF9">
              <w:rPr>
                <w:b/>
                <w:lang w:val="it-IT"/>
              </w:rPr>
              <w:t>paclitaxel</w:t>
            </w:r>
          </w:p>
          <w:p w14:paraId="3355BE37" w14:textId="77777777" w:rsidR="009C0666" w:rsidRPr="006A2BF9" w:rsidRDefault="009C0666" w:rsidP="009734E3">
            <w:pPr>
              <w:pStyle w:val="TextTi10"/>
              <w:keepNext/>
              <w:keepLines/>
              <w:jc w:val="center"/>
              <w:rPr>
                <w:b/>
                <w:lang w:val="it-IT"/>
              </w:rPr>
            </w:pPr>
          </w:p>
          <w:p w14:paraId="7B6F05C4" w14:textId="77777777" w:rsidR="009C0666" w:rsidRPr="006A2BF9" w:rsidRDefault="009C0666" w:rsidP="009734E3">
            <w:pPr>
              <w:pStyle w:val="TextTi10"/>
              <w:keepNext/>
              <w:keepLines/>
              <w:jc w:val="center"/>
              <w:rPr>
                <w:b/>
                <w:lang w:val="it-IT"/>
              </w:rPr>
            </w:pPr>
          </w:p>
          <w:p w14:paraId="6D3D1C79" w14:textId="77777777" w:rsidR="009C0666" w:rsidRPr="006A2BF9" w:rsidRDefault="009C0666" w:rsidP="009734E3">
            <w:pPr>
              <w:pStyle w:val="TextTi10"/>
              <w:keepNext/>
              <w:keepLines/>
              <w:jc w:val="center"/>
              <w:rPr>
                <w:b/>
                <w:lang w:val="it-IT"/>
              </w:rPr>
            </w:pPr>
          </w:p>
        </w:tc>
        <w:tc>
          <w:tcPr>
            <w:tcW w:w="2631" w:type="dxa"/>
            <w:tcBorders>
              <w:top w:val="single" w:sz="8" w:space="0" w:color="auto"/>
              <w:left w:val="single" w:sz="8" w:space="0" w:color="auto"/>
              <w:bottom w:val="single" w:sz="8" w:space="0" w:color="auto"/>
              <w:right w:val="single" w:sz="8" w:space="0" w:color="auto"/>
            </w:tcBorders>
          </w:tcPr>
          <w:p w14:paraId="5C7A39ED" w14:textId="77777777" w:rsidR="009C0666" w:rsidRPr="006A2BF9" w:rsidRDefault="009C0666" w:rsidP="00F42378">
            <w:pPr>
              <w:pStyle w:val="TextTi10"/>
              <w:keepNext/>
              <w:keepLines/>
              <w:jc w:val="center"/>
              <w:rPr>
                <w:b/>
                <w:lang w:val="it-IT"/>
              </w:rPr>
            </w:pPr>
            <w:r w:rsidRPr="006A2BF9">
              <w:rPr>
                <w:b/>
                <w:lang w:val="it-IT"/>
              </w:rPr>
              <w:t>Braccio</w:t>
            </w:r>
            <w:r w:rsidR="006E4D20" w:rsidRPr="006A2BF9">
              <w:rPr>
                <w:b/>
                <w:lang w:val="it-IT"/>
              </w:rPr>
              <w:t> </w:t>
            </w:r>
            <w:r w:rsidRPr="006A2BF9">
              <w:rPr>
                <w:b/>
                <w:lang w:val="it-IT"/>
              </w:rPr>
              <w:t>2</w:t>
            </w:r>
          </w:p>
          <w:p w14:paraId="580D2F8F" w14:textId="77777777" w:rsidR="00F4321D" w:rsidRPr="006A2BF9" w:rsidRDefault="009C0666" w:rsidP="00C04E00">
            <w:pPr>
              <w:pStyle w:val="TextTi10"/>
              <w:keepNext/>
              <w:keepLines/>
              <w:jc w:val="center"/>
              <w:rPr>
                <w:b/>
                <w:lang w:val="it-IT"/>
              </w:rPr>
            </w:pPr>
            <w:r w:rsidRPr="006A2BF9">
              <w:rPr>
                <w:b/>
                <w:lang w:val="it-IT"/>
              </w:rPr>
              <w:t>Carboplatino/ paclitaxel</w:t>
            </w:r>
            <w:r w:rsidR="006E4D20" w:rsidRPr="006A2BF9">
              <w:rPr>
                <w:b/>
                <w:lang w:val="it-IT"/>
              </w:rPr>
              <w:t> </w:t>
            </w:r>
            <w:r w:rsidRPr="006A2BF9">
              <w:rPr>
                <w:b/>
                <w:lang w:val="it-IT"/>
              </w:rPr>
              <w:t>+</w:t>
            </w:r>
            <w:r w:rsidR="006E4D20" w:rsidRPr="006A2BF9">
              <w:rPr>
                <w:b/>
                <w:lang w:val="it-IT"/>
              </w:rPr>
              <w:t> </w:t>
            </w:r>
            <w:r w:rsidRPr="006A2BF9">
              <w:rPr>
                <w:b/>
                <w:lang w:val="it-IT"/>
              </w:rPr>
              <w:br/>
            </w:r>
            <w:r w:rsidR="00F4321D" w:rsidRPr="006A2BF9">
              <w:rPr>
                <w:b/>
                <w:lang w:val="it-IT"/>
              </w:rPr>
              <w:t>bevacizumab</w:t>
            </w:r>
          </w:p>
          <w:p w14:paraId="0CE66176" w14:textId="77777777" w:rsidR="009C0666" w:rsidRPr="006A2BF9" w:rsidRDefault="009C0666" w:rsidP="00F4321D">
            <w:pPr>
              <w:pStyle w:val="TextTi10"/>
              <w:keepNext/>
              <w:keepLines/>
              <w:jc w:val="center"/>
              <w:rPr>
                <w:b/>
                <w:lang w:val="it-IT"/>
              </w:rPr>
            </w:pPr>
            <w:r w:rsidRPr="006A2BF9">
              <w:rPr>
                <w:b/>
                <w:lang w:val="it-IT"/>
              </w:rPr>
              <w:t>15 mg/kg ogni 3</w:t>
            </w:r>
            <w:r w:rsidR="00F4321D" w:rsidRPr="006A2BF9">
              <w:rPr>
                <w:b/>
                <w:lang w:val="it-IT"/>
              </w:rPr>
              <w:t> </w:t>
            </w:r>
            <w:r w:rsidRPr="006A2BF9">
              <w:rPr>
                <w:b/>
                <w:lang w:val="it-IT"/>
              </w:rPr>
              <w:t>settimane</w:t>
            </w:r>
          </w:p>
        </w:tc>
      </w:tr>
      <w:tr w:rsidR="009C0666" w:rsidRPr="006A2BF9" w14:paraId="0BDD33DF" w14:textId="77777777" w:rsidTr="00C65E97">
        <w:trPr>
          <w:cantSplit/>
        </w:trPr>
        <w:tc>
          <w:tcPr>
            <w:tcW w:w="4102" w:type="dxa"/>
            <w:tcBorders>
              <w:top w:val="single" w:sz="8" w:space="0" w:color="auto"/>
              <w:left w:val="single" w:sz="8" w:space="0" w:color="auto"/>
              <w:bottom w:val="single" w:sz="4" w:space="0" w:color="auto"/>
              <w:right w:val="single" w:sz="8" w:space="0" w:color="auto"/>
            </w:tcBorders>
          </w:tcPr>
          <w:p w14:paraId="0CE9C7BF" w14:textId="77777777" w:rsidR="009C0666" w:rsidRPr="006A2BF9" w:rsidRDefault="009C0666" w:rsidP="009734E3">
            <w:pPr>
              <w:pStyle w:val="TableCellHead"/>
              <w:spacing w:before="40" w:after="40" w:line="240" w:lineRule="auto"/>
              <w:rPr>
                <w:u w:val="none"/>
                <w:lang w:val="it-IT"/>
              </w:rPr>
            </w:pPr>
            <w:r w:rsidRPr="006A2BF9">
              <w:rPr>
                <w:u w:val="none"/>
                <w:lang w:val="it-IT"/>
              </w:rPr>
              <w:t>Numero di pazienti</w:t>
            </w:r>
          </w:p>
          <w:p w14:paraId="7FA0B3BD" w14:textId="77777777" w:rsidR="009C0666" w:rsidRPr="006A2BF9" w:rsidRDefault="009C0666" w:rsidP="009734E3">
            <w:pPr>
              <w:keepNext/>
              <w:keepLines/>
              <w:rPr>
                <w:sz w:val="20"/>
                <w:lang w:val="it-IT"/>
              </w:rPr>
            </w:pPr>
          </w:p>
        </w:tc>
        <w:tc>
          <w:tcPr>
            <w:tcW w:w="2452" w:type="dxa"/>
            <w:tcBorders>
              <w:top w:val="single" w:sz="8" w:space="0" w:color="auto"/>
              <w:left w:val="single" w:sz="8" w:space="0" w:color="auto"/>
              <w:bottom w:val="single" w:sz="4" w:space="0" w:color="auto"/>
              <w:right w:val="single" w:sz="8" w:space="0" w:color="auto"/>
            </w:tcBorders>
          </w:tcPr>
          <w:p w14:paraId="531C5331" w14:textId="77777777" w:rsidR="009C0666" w:rsidRPr="006A2BF9" w:rsidRDefault="009C0666" w:rsidP="009734E3">
            <w:pPr>
              <w:pStyle w:val="TextTi10"/>
              <w:keepNext/>
              <w:keepLines/>
              <w:ind w:left="240"/>
              <w:jc w:val="center"/>
              <w:rPr>
                <w:lang w:val="it-IT"/>
              </w:rPr>
            </w:pPr>
            <w:r w:rsidRPr="006A2BF9">
              <w:rPr>
                <w:lang w:val="it-IT"/>
              </w:rPr>
              <w:t>444</w:t>
            </w:r>
          </w:p>
        </w:tc>
        <w:tc>
          <w:tcPr>
            <w:tcW w:w="2631" w:type="dxa"/>
            <w:tcBorders>
              <w:top w:val="single" w:sz="8" w:space="0" w:color="auto"/>
              <w:left w:val="single" w:sz="8" w:space="0" w:color="auto"/>
              <w:bottom w:val="single" w:sz="4" w:space="0" w:color="auto"/>
              <w:right w:val="single" w:sz="8" w:space="0" w:color="auto"/>
            </w:tcBorders>
          </w:tcPr>
          <w:p w14:paraId="00B0709F" w14:textId="77777777" w:rsidR="009C0666" w:rsidRPr="006A2BF9" w:rsidRDefault="009C0666" w:rsidP="009734E3">
            <w:pPr>
              <w:pStyle w:val="TextTi10"/>
              <w:keepNext/>
              <w:keepLines/>
              <w:ind w:left="240"/>
              <w:jc w:val="center"/>
              <w:rPr>
                <w:lang w:val="it-IT"/>
              </w:rPr>
            </w:pPr>
            <w:r w:rsidRPr="006A2BF9">
              <w:rPr>
                <w:lang w:val="it-IT"/>
              </w:rPr>
              <w:t>434</w:t>
            </w:r>
          </w:p>
        </w:tc>
      </w:tr>
      <w:tr w:rsidR="00303533" w:rsidRPr="006A2BF9" w14:paraId="7D6F6330" w14:textId="77777777" w:rsidTr="00C65E97">
        <w:trPr>
          <w:cantSplit/>
        </w:trPr>
        <w:tc>
          <w:tcPr>
            <w:tcW w:w="9185" w:type="dxa"/>
            <w:gridSpan w:val="3"/>
            <w:tcBorders>
              <w:top w:val="single" w:sz="4" w:space="0" w:color="auto"/>
              <w:left w:val="single" w:sz="8" w:space="0" w:color="auto"/>
              <w:bottom w:val="single" w:sz="4" w:space="0" w:color="auto"/>
              <w:right w:val="single" w:sz="8" w:space="0" w:color="auto"/>
            </w:tcBorders>
          </w:tcPr>
          <w:p w14:paraId="401B96A7" w14:textId="77777777" w:rsidR="00303533" w:rsidRPr="006A2BF9" w:rsidRDefault="00303533" w:rsidP="009734E3">
            <w:pPr>
              <w:pStyle w:val="TextTi10"/>
              <w:keepNext/>
              <w:keepLines/>
              <w:ind w:left="240"/>
              <w:rPr>
                <w:lang w:val="it-IT"/>
              </w:rPr>
            </w:pPr>
            <w:r w:rsidRPr="006A2BF9">
              <w:rPr>
                <w:lang w:val="it-IT"/>
              </w:rPr>
              <w:t>Sopravvivenza globale</w:t>
            </w:r>
          </w:p>
        </w:tc>
      </w:tr>
      <w:tr w:rsidR="009C0666" w:rsidRPr="006A2BF9" w14:paraId="51B20512" w14:textId="77777777" w:rsidTr="00C65E97">
        <w:trPr>
          <w:cantSplit/>
        </w:trPr>
        <w:tc>
          <w:tcPr>
            <w:tcW w:w="4102" w:type="dxa"/>
            <w:tcBorders>
              <w:top w:val="single" w:sz="4" w:space="0" w:color="auto"/>
              <w:left w:val="single" w:sz="8" w:space="0" w:color="auto"/>
              <w:bottom w:val="single" w:sz="4" w:space="0" w:color="auto"/>
              <w:right w:val="single" w:sz="8" w:space="0" w:color="auto"/>
            </w:tcBorders>
          </w:tcPr>
          <w:p w14:paraId="353D1AC7" w14:textId="77777777" w:rsidR="009C0666" w:rsidRPr="006A2BF9" w:rsidRDefault="009C0666" w:rsidP="009734E3">
            <w:pPr>
              <w:pStyle w:val="TextTi10"/>
              <w:keepNext/>
              <w:keepLines/>
              <w:ind w:left="284"/>
              <w:rPr>
                <w:lang w:val="it-IT"/>
              </w:rPr>
            </w:pPr>
            <w:r w:rsidRPr="006A2BF9">
              <w:rPr>
                <w:lang w:val="it-IT"/>
              </w:rPr>
              <w:t>Mediana (mesi)</w:t>
            </w:r>
          </w:p>
        </w:tc>
        <w:tc>
          <w:tcPr>
            <w:tcW w:w="2452" w:type="dxa"/>
            <w:tcBorders>
              <w:top w:val="single" w:sz="4" w:space="0" w:color="auto"/>
              <w:left w:val="single" w:sz="8" w:space="0" w:color="auto"/>
              <w:bottom w:val="single" w:sz="4" w:space="0" w:color="auto"/>
              <w:right w:val="single" w:sz="8" w:space="0" w:color="auto"/>
            </w:tcBorders>
          </w:tcPr>
          <w:p w14:paraId="04392554" w14:textId="77777777" w:rsidR="009C0666" w:rsidRPr="006A2BF9" w:rsidRDefault="009C0666" w:rsidP="009734E3">
            <w:pPr>
              <w:pStyle w:val="TextTi10"/>
              <w:keepNext/>
              <w:keepLines/>
              <w:ind w:left="240"/>
              <w:jc w:val="center"/>
              <w:rPr>
                <w:lang w:val="it-IT"/>
              </w:rPr>
            </w:pPr>
            <w:r w:rsidRPr="006A2BF9">
              <w:rPr>
                <w:lang w:val="it-IT"/>
              </w:rPr>
              <w:t>10,3</w:t>
            </w:r>
          </w:p>
        </w:tc>
        <w:tc>
          <w:tcPr>
            <w:tcW w:w="2631" w:type="dxa"/>
            <w:tcBorders>
              <w:top w:val="single" w:sz="4" w:space="0" w:color="auto"/>
              <w:left w:val="single" w:sz="8" w:space="0" w:color="auto"/>
              <w:bottom w:val="single" w:sz="4" w:space="0" w:color="auto"/>
              <w:right w:val="single" w:sz="8" w:space="0" w:color="auto"/>
            </w:tcBorders>
          </w:tcPr>
          <w:p w14:paraId="1F59C39C" w14:textId="77777777" w:rsidR="009C0666" w:rsidRPr="006A2BF9" w:rsidRDefault="009C0666" w:rsidP="009734E3">
            <w:pPr>
              <w:pStyle w:val="TextTi10"/>
              <w:keepNext/>
              <w:keepLines/>
              <w:ind w:left="240"/>
              <w:jc w:val="center"/>
              <w:rPr>
                <w:lang w:val="it-IT"/>
              </w:rPr>
            </w:pPr>
            <w:r w:rsidRPr="006A2BF9">
              <w:rPr>
                <w:lang w:val="it-IT"/>
              </w:rPr>
              <w:t>12,3</w:t>
            </w:r>
          </w:p>
        </w:tc>
      </w:tr>
      <w:tr w:rsidR="00303533" w:rsidRPr="006A2BF9" w14:paraId="7BCCFCE2" w14:textId="77777777" w:rsidTr="00C65E97">
        <w:trPr>
          <w:cantSplit/>
        </w:trPr>
        <w:tc>
          <w:tcPr>
            <w:tcW w:w="4102" w:type="dxa"/>
            <w:tcBorders>
              <w:top w:val="single" w:sz="4" w:space="0" w:color="auto"/>
              <w:left w:val="single" w:sz="8" w:space="0" w:color="auto"/>
              <w:bottom w:val="single" w:sz="4" w:space="0" w:color="auto"/>
              <w:right w:val="single" w:sz="8" w:space="0" w:color="auto"/>
            </w:tcBorders>
          </w:tcPr>
          <w:p w14:paraId="357975BB" w14:textId="77777777" w:rsidR="00303533" w:rsidRPr="000F0246" w:rsidRDefault="00303533" w:rsidP="009734E3">
            <w:pPr>
              <w:pStyle w:val="TextTi10"/>
              <w:keepNext/>
              <w:keepLines/>
              <w:ind w:left="284"/>
              <w:rPr>
                <w:i/>
                <w:lang w:val="it-IT"/>
              </w:rPr>
            </w:pPr>
            <w:r w:rsidRPr="000F0246">
              <w:rPr>
                <w:i/>
                <w:lang w:val="it-IT"/>
              </w:rPr>
              <w:t>Hazard ratio</w:t>
            </w:r>
          </w:p>
          <w:p w14:paraId="0FA659E2" w14:textId="77777777" w:rsidR="00303533" w:rsidRPr="00330A40" w:rsidRDefault="00303533" w:rsidP="009734E3">
            <w:pPr>
              <w:pStyle w:val="TextTi10"/>
              <w:keepNext/>
              <w:keepLines/>
              <w:ind w:left="284"/>
              <w:rPr>
                <w:lang w:val="it-IT"/>
              </w:rPr>
            </w:pPr>
          </w:p>
        </w:tc>
        <w:tc>
          <w:tcPr>
            <w:tcW w:w="5083" w:type="dxa"/>
            <w:gridSpan w:val="2"/>
            <w:tcBorders>
              <w:top w:val="single" w:sz="4" w:space="0" w:color="auto"/>
              <w:left w:val="single" w:sz="8" w:space="0" w:color="auto"/>
              <w:bottom w:val="single" w:sz="4" w:space="0" w:color="auto"/>
              <w:right w:val="single" w:sz="8" w:space="0" w:color="auto"/>
            </w:tcBorders>
          </w:tcPr>
          <w:p w14:paraId="7BD2E97F" w14:textId="77777777" w:rsidR="00303533" w:rsidRPr="00330A40" w:rsidRDefault="00303533" w:rsidP="009734E3">
            <w:pPr>
              <w:pStyle w:val="TextTi10"/>
              <w:keepNext/>
              <w:keepLines/>
              <w:ind w:left="240"/>
              <w:jc w:val="center"/>
              <w:rPr>
                <w:lang w:val="it-IT"/>
              </w:rPr>
            </w:pPr>
            <w:r w:rsidRPr="00330A40">
              <w:rPr>
                <w:lang w:val="it-IT"/>
              </w:rPr>
              <w:t>0,80 (p</w:t>
            </w:r>
            <w:r w:rsidR="006E4D20" w:rsidRPr="00330A40">
              <w:rPr>
                <w:lang w:val="it-IT"/>
              </w:rPr>
              <w:t> </w:t>
            </w:r>
            <w:r w:rsidRPr="00330A40">
              <w:rPr>
                <w:lang w:val="it-IT"/>
              </w:rPr>
              <w:t>=</w:t>
            </w:r>
            <w:r w:rsidR="006E4D20" w:rsidRPr="00330A40">
              <w:rPr>
                <w:lang w:val="it-IT"/>
              </w:rPr>
              <w:t> </w:t>
            </w:r>
            <w:r w:rsidRPr="00330A40">
              <w:rPr>
                <w:lang w:val="it-IT"/>
              </w:rPr>
              <w:t>0,003)</w:t>
            </w:r>
          </w:p>
          <w:p w14:paraId="6554A864" w14:textId="77777777" w:rsidR="00303533" w:rsidRPr="00330A40" w:rsidRDefault="00303533" w:rsidP="009734E3">
            <w:pPr>
              <w:pStyle w:val="TextTi10"/>
              <w:keepNext/>
              <w:keepLines/>
              <w:ind w:left="240"/>
              <w:jc w:val="center"/>
              <w:rPr>
                <w:lang w:val="it-IT"/>
              </w:rPr>
            </w:pPr>
            <w:r w:rsidRPr="00330A40">
              <w:rPr>
                <w:lang w:val="it-IT"/>
              </w:rPr>
              <w:t>IC al 95% (0,69</w:t>
            </w:r>
            <w:r w:rsidR="0094706C" w:rsidRPr="00330A40">
              <w:rPr>
                <w:lang w:val="it-IT"/>
              </w:rPr>
              <w:t>;</w:t>
            </w:r>
            <w:r w:rsidRPr="00330A40">
              <w:rPr>
                <w:lang w:val="it-IT"/>
              </w:rPr>
              <w:t xml:space="preserve"> 0,93)</w:t>
            </w:r>
          </w:p>
        </w:tc>
      </w:tr>
      <w:tr w:rsidR="00303533" w:rsidRPr="006A2BF9" w14:paraId="7F8F52CE" w14:textId="77777777" w:rsidTr="00C65E97">
        <w:trPr>
          <w:cantSplit/>
        </w:trPr>
        <w:tc>
          <w:tcPr>
            <w:tcW w:w="9185" w:type="dxa"/>
            <w:gridSpan w:val="3"/>
            <w:tcBorders>
              <w:top w:val="single" w:sz="4" w:space="0" w:color="auto"/>
              <w:left w:val="single" w:sz="8" w:space="0" w:color="auto"/>
              <w:bottom w:val="single" w:sz="4" w:space="0" w:color="auto"/>
              <w:right w:val="single" w:sz="8" w:space="0" w:color="auto"/>
            </w:tcBorders>
          </w:tcPr>
          <w:p w14:paraId="020E7446" w14:textId="77777777" w:rsidR="00303533" w:rsidRPr="006A2BF9" w:rsidRDefault="00303533" w:rsidP="009734E3">
            <w:pPr>
              <w:pStyle w:val="TextTi10"/>
              <w:keepNext/>
              <w:keepLines/>
              <w:ind w:left="240"/>
              <w:rPr>
                <w:lang w:val="it-IT"/>
              </w:rPr>
            </w:pPr>
            <w:r w:rsidRPr="006A2BF9">
              <w:rPr>
                <w:lang w:val="it-IT"/>
              </w:rPr>
              <w:t>Sopravvivenza libera da progressione</w:t>
            </w:r>
          </w:p>
        </w:tc>
      </w:tr>
      <w:tr w:rsidR="009C0666" w:rsidRPr="006A2BF9" w14:paraId="33A1D019" w14:textId="77777777" w:rsidTr="00C65E97">
        <w:trPr>
          <w:cantSplit/>
        </w:trPr>
        <w:tc>
          <w:tcPr>
            <w:tcW w:w="4102" w:type="dxa"/>
            <w:tcBorders>
              <w:top w:val="single" w:sz="4" w:space="0" w:color="auto"/>
              <w:left w:val="single" w:sz="8" w:space="0" w:color="auto"/>
              <w:bottom w:val="single" w:sz="4" w:space="0" w:color="auto"/>
              <w:right w:val="single" w:sz="8" w:space="0" w:color="auto"/>
            </w:tcBorders>
            <w:vAlign w:val="center"/>
          </w:tcPr>
          <w:p w14:paraId="38689D94" w14:textId="77777777" w:rsidR="009C0666" w:rsidRPr="006A2BF9" w:rsidRDefault="009C0666" w:rsidP="009734E3">
            <w:pPr>
              <w:pStyle w:val="TextTi10"/>
              <w:keepNext/>
              <w:keepLines/>
              <w:ind w:left="284"/>
              <w:rPr>
                <w:lang w:val="it-IT"/>
              </w:rPr>
            </w:pPr>
            <w:r w:rsidRPr="006A2BF9">
              <w:rPr>
                <w:lang w:val="it-IT"/>
              </w:rPr>
              <w:t>Mediana (mesi)</w:t>
            </w:r>
          </w:p>
        </w:tc>
        <w:tc>
          <w:tcPr>
            <w:tcW w:w="2452" w:type="dxa"/>
            <w:tcBorders>
              <w:top w:val="single" w:sz="4" w:space="0" w:color="auto"/>
              <w:left w:val="single" w:sz="8" w:space="0" w:color="auto"/>
              <w:bottom w:val="single" w:sz="4" w:space="0" w:color="auto"/>
              <w:right w:val="single" w:sz="8" w:space="0" w:color="auto"/>
            </w:tcBorders>
            <w:vAlign w:val="center"/>
          </w:tcPr>
          <w:p w14:paraId="2072012C" w14:textId="77777777" w:rsidR="009C0666" w:rsidRPr="006A2BF9" w:rsidRDefault="009C0666" w:rsidP="009734E3">
            <w:pPr>
              <w:pStyle w:val="TextTi10"/>
              <w:keepNext/>
              <w:keepLines/>
              <w:ind w:left="240"/>
              <w:jc w:val="center"/>
              <w:rPr>
                <w:lang w:val="it-IT"/>
              </w:rPr>
            </w:pPr>
            <w:r w:rsidRPr="006A2BF9">
              <w:rPr>
                <w:lang w:val="it-IT"/>
              </w:rPr>
              <w:t>4,8</w:t>
            </w:r>
          </w:p>
        </w:tc>
        <w:tc>
          <w:tcPr>
            <w:tcW w:w="2631" w:type="dxa"/>
            <w:tcBorders>
              <w:top w:val="single" w:sz="4" w:space="0" w:color="auto"/>
              <w:left w:val="single" w:sz="8" w:space="0" w:color="auto"/>
              <w:bottom w:val="single" w:sz="4" w:space="0" w:color="auto"/>
              <w:right w:val="single" w:sz="8" w:space="0" w:color="auto"/>
            </w:tcBorders>
            <w:vAlign w:val="center"/>
          </w:tcPr>
          <w:p w14:paraId="50A3B69F" w14:textId="77777777" w:rsidR="009C0666" w:rsidRPr="006A2BF9" w:rsidRDefault="009C0666" w:rsidP="009734E3">
            <w:pPr>
              <w:pStyle w:val="TextTi10"/>
              <w:keepNext/>
              <w:keepLines/>
              <w:ind w:left="240"/>
              <w:jc w:val="center"/>
              <w:rPr>
                <w:lang w:val="it-IT"/>
              </w:rPr>
            </w:pPr>
            <w:r w:rsidRPr="006A2BF9">
              <w:rPr>
                <w:lang w:val="it-IT"/>
              </w:rPr>
              <w:t>6,4</w:t>
            </w:r>
          </w:p>
        </w:tc>
      </w:tr>
      <w:tr w:rsidR="00303533" w:rsidRPr="006A2BF9" w14:paraId="704E38F5" w14:textId="77777777" w:rsidTr="00C65E97">
        <w:trPr>
          <w:cantSplit/>
        </w:trPr>
        <w:tc>
          <w:tcPr>
            <w:tcW w:w="4102" w:type="dxa"/>
            <w:tcBorders>
              <w:top w:val="single" w:sz="4" w:space="0" w:color="auto"/>
              <w:left w:val="single" w:sz="8" w:space="0" w:color="auto"/>
              <w:bottom w:val="single" w:sz="4" w:space="0" w:color="auto"/>
              <w:right w:val="single" w:sz="8" w:space="0" w:color="auto"/>
            </w:tcBorders>
          </w:tcPr>
          <w:p w14:paraId="61B91CDB" w14:textId="77777777" w:rsidR="00303533" w:rsidRPr="000F0246" w:rsidRDefault="00303533" w:rsidP="009734E3">
            <w:pPr>
              <w:pStyle w:val="TextTi10"/>
              <w:keepNext/>
              <w:keepLines/>
              <w:ind w:left="284"/>
              <w:rPr>
                <w:i/>
                <w:lang w:val="it-IT"/>
              </w:rPr>
            </w:pPr>
            <w:r w:rsidRPr="000F0246">
              <w:rPr>
                <w:i/>
                <w:lang w:val="it-IT"/>
              </w:rPr>
              <w:t>Hazard ratio</w:t>
            </w:r>
          </w:p>
          <w:p w14:paraId="1594EC3B" w14:textId="77777777" w:rsidR="00303533" w:rsidRPr="00330A40" w:rsidRDefault="00303533" w:rsidP="009734E3">
            <w:pPr>
              <w:pStyle w:val="TextTi10"/>
              <w:keepNext/>
              <w:keepLines/>
              <w:ind w:left="284"/>
              <w:rPr>
                <w:lang w:val="it-IT"/>
              </w:rPr>
            </w:pPr>
          </w:p>
        </w:tc>
        <w:tc>
          <w:tcPr>
            <w:tcW w:w="5083" w:type="dxa"/>
            <w:gridSpan w:val="2"/>
            <w:tcBorders>
              <w:top w:val="single" w:sz="4" w:space="0" w:color="auto"/>
              <w:left w:val="single" w:sz="8" w:space="0" w:color="auto"/>
              <w:bottom w:val="single" w:sz="4" w:space="0" w:color="auto"/>
              <w:right w:val="single" w:sz="8" w:space="0" w:color="auto"/>
            </w:tcBorders>
          </w:tcPr>
          <w:p w14:paraId="0D3751C7" w14:textId="77777777" w:rsidR="00303533" w:rsidRPr="00330A40" w:rsidRDefault="00303533" w:rsidP="009734E3">
            <w:pPr>
              <w:pStyle w:val="TextTi10"/>
              <w:keepNext/>
              <w:keepLines/>
              <w:ind w:left="240"/>
              <w:jc w:val="center"/>
              <w:rPr>
                <w:lang w:val="it-IT"/>
              </w:rPr>
            </w:pPr>
            <w:r w:rsidRPr="00330A40">
              <w:rPr>
                <w:lang w:val="it-IT"/>
              </w:rPr>
              <w:t>0,65 (p</w:t>
            </w:r>
            <w:r w:rsidR="006E4D20" w:rsidRPr="00330A40">
              <w:rPr>
                <w:lang w:val="it-IT"/>
              </w:rPr>
              <w:t> </w:t>
            </w:r>
            <w:r w:rsidRPr="00330A40">
              <w:rPr>
                <w:lang w:val="it-IT"/>
              </w:rPr>
              <w:t>&lt; 0,0001)</w:t>
            </w:r>
          </w:p>
          <w:p w14:paraId="1E48F791" w14:textId="77777777" w:rsidR="00303533" w:rsidRPr="00330A40" w:rsidRDefault="00303533" w:rsidP="009734E3">
            <w:pPr>
              <w:pStyle w:val="TextTi10"/>
              <w:keepNext/>
              <w:keepLines/>
              <w:ind w:left="240"/>
              <w:jc w:val="center"/>
              <w:rPr>
                <w:lang w:val="it-IT"/>
              </w:rPr>
            </w:pPr>
            <w:r w:rsidRPr="00330A40">
              <w:rPr>
                <w:lang w:val="it-IT"/>
              </w:rPr>
              <w:t>IC al 95% (0,56</w:t>
            </w:r>
            <w:r w:rsidR="0094706C" w:rsidRPr="00330A40">
              <w:rPr>
                <w:lang w:val="it-IT"/>
              </w:rPr>
              <w:t>;</w:t>
            </w:r>
            <w:r w:rsidRPr="00330A40">
              <w:rPr>
                <w:lang w:val="it-IT"/>
              </w:rPr>
              <w:t xml:space="preserve"> 0,76)</w:t>
            </w:r>
          </w:p>
        </w:tc>
      </w:tr>
      <w:tr w:rsidR="00303533" w:rsidRPr="006A2BF9" w14:paraId="12B6EE81" w14:textId="77777777" w:rsidTr="00C65E97">
        <w:trPr>
          <w:cantSplit/>
        </w:trPr>
        <w:tc>
          <w:tcPr>
            <w:tcW w:w="9185" w:type="dxa"/>
            <w:gridSpan w:val="3"/>
            <w:tcBorders>
              <w:top w:val="single" w:sz="4" w:space="0" w:color="auto"/>
              <w:left w:val="single" w:sz="8" w:space="0" w:color="auto"/>
              <w:bottom w:val="single" w:sz="4" w:space="0" w:color="auto"/>
              <w:right w:val="single" w:sz="8" w:space="0" w:color="auto"/>
            </w:tcBorders>
          </w:tcPr>
          <w:p w14:paraId="03EC138E" w14:textId="77777777" w:rsidR="00303533" w:rsidRPr="006A2BF9" w:rsidRDefault="00303533" w:rsidP="009734E3">
            <w:pPr>
              <w:pStyle w:val="TextTi10"/>
              <w:keepNext/>
              <w:keepLines/>
              <w:ind w:left="240"/>
              <w:rPr>
                <w:lang w:val="it-IT"/>
              </w:rPr>
            </w:pPr>
            <w:r w:rsidRPr="006A2BF9">
              <w:rPr>
                <w:lang w:val="it-IT"/>
              </w:rPr>
              <w:t>Tasso di risposta globale</w:t>
            </w:r>
          </w:p>
        </w:tc>
      </w:tr>
      <w:tr w:rsidR="009C0666" w:rsidRPr="006A2BF9" w14:paraId="27DE604A" w14:textId="77777777" w:rsidTr="00C65E97">
        <w:trPr>
          <w:cantSplit/>
        </w:trPr>
        <w:tc>
          <w:tcPr>
            <w:tcW w:w="4102" w:type="dxa"/>
            <w:tcBorders>
              <w:top w:val="single" w:sz="4" w:space="0" w:color="auto"/>
              <w:left w:val="single" w:sz="8" w:space="0" w:color="auto"/>
              <w:bottom w:val="single" w:sz="8" w:space="0" w:color="auto"/>
              <w:right w:val="single" w:sz="8" w:space="0" w:color="auto"/>
            </w:tcBorders>
          </w:tcPr>
          <w:p w14:paraId="0EE87C05" w14:textId="77777777" w:rsidR="009C0666" w:rsidRPr="006A2BF9" w:rsidRDefault="009C0666" w:rsidP="009734E3">
            <w:pPr>
              <w:pStyle w:val="TextTi10"/>
              <w:keepNext/>
              <w:keepLines/>
              <w:ind w:left="284"/>
              <w:rPr>
                <w:lang w:val="it-IT"/>
              </w:rPr>
            </w:pPr>
            <w:r w:rsidRPr="006A2BF9">
              <w:rPr>
                <w:lang w:val="it-IT"/>
              </w:rPr>
              <w:t>Tasso (percentuale)</w:t>
            </w:r>
          </w:p>
          <w:p w14:paraId="07EA854A" w14:textId="77777777" w:rsidR="009C0666" w:rsidRPr="006A2BF9" w:rsidRDefault="009C0666" w:rsidP="009734E3">
            <w:pPr>
              <w:pStyle w:val="TextTi10"/>
              <w:keepNext/>
              <w:keepLines/>
              <w:ind w:left="284"/>
              <w:rPr>
                <w:lang w:val="it-IT"/>
              </w:rPr>
            </w:pPr>
          </w:p>
        </w:tc>
        <w:tc>
          <w:tcPr>
            <w:tcW w:w="2452" w:type="dxa"/>
            <w:tcBorders>
              <w:top w:val="single" w:sz="4" w:space="0" w:color="auto"/>
              <w:left w:val="single" w:sz="8" w:space="0" w:color="auto"/>
              <w:bottom w:val="single" w:sz="8" w:space="0" w:color="auto"/>
              <w:right w:val="single" w:sz="8" w:space="0" w:color="auto"/>
            </w:tcBorders>
          </w:tcPr>
          <w:p w14:paraId="4B082792" w14:textId="77777777" w:rsidR="009C0666" w:rsidRPr="006A2BF9" w:rsidRDefault="009C0666" w:rsidP="009734E3">
            <w:pPr>
              <w:pStyle w:val="TextTi10"/>
              <w:keepNext/>
              <w:keepLines/>
              <w:ind w:left="240"/>
              <w:jc w:val="center"/>
              <w:rPr>
                <w:lang w:val="it-IT"/>
              </w:rPr>
            </w:pPr>
            <w:r w:rsidRPr="006A2BF9">
              <w:rPr>
                <w:lang w:val="it-IT"/>
              </w:rPr>
              <w:t>12,9</w:t>
            </w:r>
          </w:p>
        </w:tc>
        <w:tc>
          <w:tcPr>
            <w:tcW w:w="2631" w:type="dxa"/>
            <w:tcBorders>
              <w:top w:val="single" w:sz="4" w:space="0" w:color="auto"/>
              <w:left w:val="single" w:sz="8" w:space="0" w:color="auto"/>
              <w:bottom w:val="single" w:sz="8" w:space="0" w:color="auto"/>
              <w:right w:val="single" w:sz="8" w:space="0" w:color="auto"/>
            </w:tcBorders>
          </w:tcPr>
          <w:p w14:paraId="12E2F504" w14:textId="77777777" w:rsidR="009C0666" w:rsidRPr="006A2BF9" w:rsidRDefault="009C0666" w:rsidP="009734E3">
            <w:pPr>
              <w:pStyle w:val="TextTi10"/>
              <w:keepNext/>
              <w:keepLines/>
              <w:ind w:left="240"/>
              <w:jc w:val="center"/>
              <w:rPr>
                <w:lang w:val="it-IT"/>
              </w:rPr>
            </w:pPr>
            <w:r w:rsidRPr="006A2BF9">
              <w:rPr>
                <w:lang w:val="it-IT"/>
              </w:rPr>
              <w:t>29,0 (p</w:t>
            </w:r>
            <w:r w:rsidR="006E4D20" w:rsidRPr="006A2BF9">
              <w:rPr>
                <w:lang w:val="it-IT"/>
              </w:rPr>
              <w:t> </w:t>
            </w:r>
            <w:r w:rsidRPr="006A2BF9">
              <w:rPr>
                <w:lang w:val="it-IT"/>
              </w:rPr>
              <w:t>&lt; 0,0001)</w:t>
            </w:r>
          </w:p>
        </w:tc>
      </w:tr>
    </w:tbl>
    <w:p w14:paraId="1920B573" w14:textId="77777777" w:rsidR="009C0666" w:rsidRPr="006A2BF9" w:rsidRDefault="009C0666" w:rsidP="009C0666">
      <w:pPr>
        <w:rPr>
          <w:lang w:val="it-IT"/>
        </w:rPr>
      </w:pPr>
    </w:p>
    <w:p w14:paraId="16DDC9F5" w14:textId="77777777" w:rsidR="009C0666" w:rsidRPr="006A2BF9" w:rsidRDefault="009C0666" w:rsidP="009C0666">
      <w:pPr>
        <w:rPr>
          <w:lang w:val="it-IT"/>
        </w:rPr>
      </w:pPr>
      <w:r w:rsidRPr="006A2BF9">
        <w:rPr>
          <w:lang w:val="it-IT"/>
        </w:rPr>
        <w:t>In un</w:t>
      </w:r>
      <w:r w:rsidR="00C77F92" w:rsidRPr="006A2BF9">
        <w:rPr>
          <w:lang w:val="it-IT"/>
        </w:rPr>
        <w:t>’</w:t>
      </w:r>
      <w:r w:rsidRPr="006A2BF9">
        <w:rPr>
          <w:lang w:val="it-IT"/>
        </w:rPr>
        <w:t xml:space="preserve">analisi esplorativa, il beneficio di </w:t>
      </w:r>
      <w:r w:rsidR="00F4321D" w:rsidRPr="006A2BF9">
        <w:rPr>
          <w:szCs w:val="22"/>
          <w:lang w:val="it-IT"/>
        </w:rPr>
        <w:t>bevacizumab</w:t>
      </w:r>
      <w:r w:rsidR="00F4321D" w:rsidRPr="006A2BF9" w:rsidDel="00F4321D">
        <w:rPr>
          <w:lang w:val="it-IT"/>
        </w:rPr>
        <w:t xml:space="preserve"> </w:t>
      </w:r>
      <w:r w:rsidRPr="006A2BF9">
        <w:rPr>
          <w:lang w:val="it-IT"/>
        </w:rPr>
        <w:t xml:space="preserve">sulla </w:t>
      </w:r>
      <w:r w:rsidR="004C45F5">
        <w:rPr>
          <w:lang w:val="it-IT"/>
        </w:rPr>
        <w:t>OS</w:t>
      </w:r>
      <w:r w:rsidRPr="006A2BF9">
        <w:rPr>
          <w:lang w:val="it-IT"/>
        </w:rPr>
        <w:t xml:space="preserve"> è risultato meno rilevante nel sottogruppo di pazienti che non presentava istologia di adenocarcinoma. </w:t>
      </w:r>
    </w:p>
    <w:p w14:paraId="559972ED" w14:textId="77777777" w:rsidR="009C0666" w:rsidRPr="006A2BF9" w:rsidRDefault="009C0666" w:rsidP="009C0666">
      <w:pPr>
        <w:rPr>
          <w:lang w:val="it-IT"/>
        </w:rPr>
      </w:pPr>
    </w:p>
    <w:p w14:paraId="7ADACD67" w14:textId="77777777" w:rsidR="00660B74" w:rsidRPr="006A2BF9" w:rsidRDefault="00660B74" w:rsidP="009C0666">
      <w:pPr>
        <w:rPr>
          <w:i/>
          <w:lang w:val="it-IT"/>
        </w:rPr>
      </w:pPr>
      <w:r w:rsidRPr="006A2BF9">
        <w:rPr>
          <w:i/>
          <w:lang w:val="it-IT"/>
        </w:rPr>
        <w:t>BO17704</w:t>
      </w:r>
    </w:p>
    <w:p w14:paraId="3706EA6B" w14:textId="77777777" w:rsidR="009C0666" w:rsidRPr="006A2BF9" w:rsidRDefault="009C0666" w:rsidP="009C0666">
      <w:pPr>
        <w:rPr>
          <w:lang w:val="it-IT"/>
        </w:rPr>
      </w:pPr>
      <w:r w:rsidRPr="006A2BF9">
        <w:rPr>
          <w:lang w:val="it-IT"/>
        </w:rPr>
        <w:t>Lo studio BO17704 era uno studio randomizzato, in doppio cieco, di fase</w:t>
      </w:r>
      <w:r w:rsidR="00F4321D" w:rsidRPr="006A2BF9">
        <w:rPr>
          <w:lang w:val="it-IT"/>
        </w:rPr>
        <w:t> </w:t>
      </w:r>
      <w:r w:rsidRPr="006A2BF9">
        <w:rPr>
          <w:lang w:val="it-IT"/>
        </w:rPr>
        <w:t xml:space="preserve">III su </w:t>
      </w:r>
      <w:r w:rsidR="00F4321D" w:rsidRPr="006A2BF9">
        <w:rPr>
          <w:szCs w:val="22"/>
          <w:lang w:val="it-IT"/>
        </w:rPr>
        <w:t>bevacizumab</w:t>
      </w:r>
      <w:r w:rsidR="00F4321D" w:rsidRPr="006A2BF9" w:rsidDel="00F4321D">
        <w:rPr>
          <w:lang w:val="it-IT"/>
        </w:rPr>
        <w:t xml:space="preserve"> </w:t>
      </w:r>
      <w:r w:rsidRPr="006A2BF9">
        <w:rPr>
          <w:lang w:val="it-IT"/>
        </w:rPr>
        <w:t xml:space="preserve">in aggiunta a cisplatino e gemcitabina rispetto a placebo, cisplatino e gemcitabina in pazienti con NSCLC </w:t>
      </w:r>
      <w:r w:rsidR="008122C2" w:rsidRPr="006A2BF9">
        <w:rPr>
          <w:lang w:val="it-IT"/>
        </w:rPr>
        <w:t xml:space="preserve">non </w:t>
      </w:r>
      <w:r w:rsidR="0042050C" w:rsidRPr="006A2BF9">
        <w:rPr>
          <w:lang w:val="it-IT"/>
        </w:rPr>
        <w:t xml:space="preserve">squamoso </w:t>
      </w:r>
      <w:r w:rsidRPr="006A2BF9">
        <w:rPr>
          <w:lang w:val="it-IT"/>
        </w:rPr>
        <w:t>localmente avanzato (stadio</w:t>
      </w:r>
      <w:r w:rsidR="006E4D20" w:rsidRPr="006A2BF9">
        <w:rPr>
          <w:lang w:val="it-IT"/>
        </w:rPr>
        <w:t> </w:t>
      </w:r>
      <w:r w:rsidRPr="006A2BF9">
        <w:rPr>
          <w:lang w:val="it-IT"/>
        </w:rPr>
        <w:t xml:space="preserve">III b con metastasi nei linfonodi sopraclavicolari o effusione maligna pleurica o pericardica), metastatico o </w:t>
      </w:r>
      <w:r w:rsidR="0025736A" w:rsidRPr="006A2BF9">
        <w:rPr>
          <w:lang w:val="it-IT"/>
        </w:rPr>
        <w:t>ricorrente</w:t>
      </w:r>
      <w:r w:rsidRPr="006A2BF9">
        <w:rPr>
          <w:lang w:val="it-IT"/>
        </w:rPr>
        <w:t>, che non avevano ricevuto precedente chemioterapia. L</w:t>
      </w:r>
      <w:r w:rsidR="00F4321D" w:rsidRPr="006A2BF9">
        <w:rPr>
          <w:lang w:val="it-IT"/>
        </w:rPr>
        <w:t>’</w:t>
      </w:r>
      <w:r w:rsidRPr="006A2BF9">
        <w:rPr>
          <w:i/>
          <w:lang w:val="it-IT"/>
        </w:rPr>
        <w:t>endpoint</w:t>
      </w:r>
      <w:r w:rsidRPr="006A2BF9">
        <w:rPr>
          <w:lang w:val="it-IT"/>
        </w:rPr>
        <w:t xml:space="preserve"> </w:t>
      </w:r>
      <w:r w:rsidR="00D966E3" w:rsidRPr="006A2BF9">
        <w:rPr>
          <w:lang w:val="it-IT"/>
        </w:rPr>
        <w:t xml:space="preserve">primario </w:t>
      </w:r>
      <w:r w:rsidRPr="006A2BF9">
        <w:rPr>
          <w:lang w:val="it-IT"/>
        </w:rPr>
        <w:t xml:space="preserve">era la </w:t>
      </w:r>
      <w:r w:rsidR="004C45F5">
        <w:rPr>
          <w:lang w:val="it-IT"/>
        </w:rPr>
        <w:t>PFS</w:t>
      </w:r>
      <w:r w:rsidR="003B6E1C" w:rsidRPr="006A2BF9">
        <w:rPr>
          <w:lang w:val="it-IT"/>
        </w:rPr>
        <w:t xml:space="preserve">; </w:t>
      </w:r>
      <w:r w:rsidR="00660B74" w:rsidRPr="006A2BF9">
        <w:rPr>
          <w:lang w:val="it-IT"/>
        </w:rPr>
        <w:t xml:space="preserve">fra gli </w:t>
      </w:r>
      <w:r w:rsidR="00660B74" w:rsidRPr="006A2BF9">
        <w:rPr>
          <w:i/>
          <w:lang w:val="it-IT"/>
        </w:rPr>
        <w:t>endpoint</w:t>
      </w:r>
      <w:r w:rsidR="00660B74" w:rsidRPr="006A2BF9">
        <w:rPr>
          <w:lang w:val="it-IT"/>
        </w:rPr>
        <w:t xml:space="preserve"> secondari dello studio era inclusa la durata della </w:t>
      </w:r>
      <w:r w:rsidR="004C45F5">
        <w:rPr>
          <w:lang w:val="it-IT"/>
        </w:rPr>
        <w:t>OS</w:t>
      </w:r>
      <w:r w:rsidRPr="006A2BF9">
        <w:rPr>
          <w:lang w:val="it-IT"/>
        </w:rPr>
        <w:t>.</w:t>
      </w:r>
    </w:p>
    <w:p w14:paraId="1F5BEA68" w14:textId="77777777" w:rsidR="009C0666" w:rsidRPr="006A2BF9" w:rsidRDefault="009C0666" w:rsidP="009C0666">
      <w:pPr>
        <w:rPr>
          <w:lang w:val="it-IT"/>
        </w:rPr>
      </w:pPr>
    </w:p>
    <w:p w14:paraId="243C61F6" w14:textId="77777777" w:rsidR="00660B74" w:rsidRPr="006A2BF9" w:rsidRDefault="009C0666" w:rsidP="00660B74">
      <w:pPr>
        <w:rPr>
          <w:lang w:val="it-IT"/>
        </w:rPr>
      </w:pPr>
      <w:r w:rsidRPr="006A2BF9">
        <w:rPr>
          <w:lang w:val="it-IT"/>
        </w:rPr>
        <w:t>I pazienti sono stati randomizzati alla chemioterapia a base di platino, cisplatino 80 mg/m</w:t>
      </w:r>
      <w:r w:rsidRPr="006A2BF9">
        <w:rPr>
          <w:vertAlign w:val="superscript"/>
          <w:lang w:val="it-IT"/>
        </w:rPr>
        <w:t>2</w:t>
      </w:r>
      <w:r w:rsidRPr="006A2BF9">
        <w:rPr>
          <w:lang w:val="it-IT"/>
        </w:rPr>
        <w:t xml:space="preserve"> per infusione</w:t>
      </w:r>
      <w:r w:rsidR="005F7285" w:rsidRPr="006A2BF9">
        <w:rPr>
          <w:lang w:val="it-IT"/>
        </w:rPr>
        <w:t xml:space="preserve"> </w:t>
      </w:r>
      <w:r w:rsidR="005B74F0" w:rsidRPr="006A2BF9">
        <w:rPr>
          <w:lang w:val="it-IT"/>
        </w:rPr>
        <w:t>endovenosa</w:t>
      </w:r>
      <w:r w:rsidRPr="006A2BF9">
        <w:rPr>
          <w:lang w:val="it-IT"/>
        </w:rPr>
        <w:t xml:space="preserve"> al giorno</w:t>
      </w:r>
      <w:r w:rsidR="00F4321D" w:rsidRPr="006A2BF9">
        <w:rPr>
          <w:lang w:val="it-IT"/>
        </w:rPr>
        <w:t> </w:t>
      </w:r>
      <w:r w:rsidRPr="006A2BF9">
        <w:rPr>
          <w:lang w:val="it-IT"/>
        </w:rPr>
        <w:t>1 e gemcitabina 1250 mg/m</w:t>
      </w:r>
      <w:r w:rsidRPr="006A2BF9">
        <w:rPr>
          <w:vertAlign w:val="superscript"/>
          <w:lang w:val="it-IT"/>
        </w:rPr>
        <w:t>2</w:t>
      </w:r>
      <w:r w:rsidRPr="006A2BF9">
        <w:rPr>
          <w:lang w:val="it-IT"/>
        </w:rPr>
        <w:t xml:space="preserve"> per infusione </w:t>
      </w:r>
      <w:r w:rsidR="005B74F0" w:rsidRPr="006A2BF9">
        <w:rPr>
          <w:lang w:val="it-IT"/>
        </w:rPr>
        <w:t>endovenosa</w:t>
      </w:r>
      <w:r w:rsidRPr="006A2BF9">
        <w:rPr>
          <w:lang w:val="it-IT"/>
        </w:rPr>
        <w:t xml:space="preserve"> ai giorni</w:t>
      </w:r>
      <w:r w:rsidR="00F4321D" w:rsidRPr="006A2BF9">
        <w:rPr>
          <w:lang w:val="it-IT"/>
        </w:rPr>
        <w:t> </w:t>
      </w:r>
      <w:r w:rsidRPr="006A2BF9">
        <w:rPr>
          <w:lang w:val="it-IT"/>
        </w:rPr>
        <w:t>1 e</w:t>
      </w:r>
      <w:r w:rsidR="006E4D20" w:rsidRPr="006A2BF9">
        <w:rPr>
          <w:lang w:val="it-IT"/>
        </w:rPr>
        <w:t> </w:t>
      </w:r>
      <w:r w:rsidRPr="006A2BF9">
        <w:rPr>
          <w:lang w:val="it-IT"/>
        </w:rPr>
        <w:t>8 di ogni ciclo di 3</w:t>
      </w:r>
      <w:r w:rsidR="00F4321D" w:rsidRPr="006A2BF9">
        <w:rPr>
          <w:lang w:val="it-IT"/>
        </w:rPr>
        <w:t> </w:t>
      </w:r>
      <w:r w:rsidRPr="006A2BF9">
        <w:rPr>
          <w:lang w:val="it-IT"/>
        </w:rPr>
        <w:t>settimane fino a 6</w:t>
      </w:r>
      <w:r w:rsidR="00F4321D" w:rsidRPr="006A2BF9">
        <w:rPr>
          <w:lang w:val="it-IT"/>
        </w:rPr>
        <w:t> </w:t>
      </w:r>
      <w:r w:rsidRPr="006A2BF9">
        <w:rPr>
          <w:lang w:val="it-IT"/>
        </w:rPr>
        <w:t xml:space="preserve">cicli (CG) con placebo oppure a CG con </w:t>
      </w:r>
      <w:r w:rsidR="00F4321D" w:rsidRPr="006A2BF9">
        <w:rPr>
          <w:szCs w:val="22"/>
          <w:lang w:val="it-IT"/>
        </w:rPr>
        <w:t>bevacizumab</w:t>
      </w:r>
      <w:r w:rsidR="00F4321D" w:rsidRPr="006A2BF9" w:rsidDel="00F4321D">
        <w:rPr>
          <w:lang w:val="it-IT"/>
        </w:rPr>
        <w:t xml:space="preserve"> </w:t>
      </w:r>
      <w:r w:rsidRPr="006A2BF9">
        <w:rPr>
          <w:lang w:val="it-IT"/>
        </w:rPr>
        <w:t xml:space="preserve">alla dose di 7,5 o 15 mg/kg per infusione </w:t>
      </w:r>
      <w:r w:rsidR="004C45F5">
        <w:rPr>
          <w:lang w:val="it-IT"/>
        </w:rPr>
        <w:t>endovenosa</w:t>
      </w:r>
      <w:r w:rsidRPr="006A2BF9">
        <w:rPr>
          <w:lang w:val="it-IT"/>
        </w:rPr>
        <w:t xml:space="preserve"> al giorno</w:t>
      </w:r>
      <w:r w:rsidR="00F4321D" w:rsidRPr="006A2BF9">
        <w:rPr>
          <w:lang w:val="it-IT"/>
        </w:rPr>
        <w:t> </w:t>
      </w:r>
      <w:r w:rsidRPr="006A2BF9">
        <w:rPr>
          <w:lang w:val="it-IT"/>
        </w:rPr>
        <w:t>1 di ogni ciclo di 3</w:t>
      </w:r>
      <w:r w:rsidR="00F4321D" w:rsidRPr="006A2BF9">
        <w:rPr>
          <w:lang w:val="it-IT"/>
        </w:rPr>
        <w:t> </w:t>
      </w:r>
      <w:r w:rsidRPr="006A2BF9">
        <w:rPr>
          <w:lang w:val="it-IT"/>
        </w:rPr>
        <w:t xml:space="preserve">settimane. Nei bracci con </w:t>
      </w:r>
      <w:r w:rsidR="00F4321D" w:rsidRPr="006A2BF9">
        <w:rPr>
          <w:szCs w:val="22"/>
          <w:lang w:val="it-IT"/>
        </w:rPr>
        <w:t>bevacizumab</w:t>
      </w:r>
      <w:r w:rsidRPr="006A2BF9">
        <w:rPr>
          <w:lang w:val="it-IT"/>
        </w:rPr>
        <w:t xml:space="preserve">, i pazienti potevano ricevere </w:t>
      </w:r>
      <w:r w:rsidR="00F4321D" w:rsidRPr="006A2BF9">
        <w:rPr>
          <w:szCs w:val="22"/>
          <w:lang w:val="it-IT"/>
        </w:rPr>
        <w:t>bevacizumab</w:t>
      </w:r>
      <w:r w:rsidR="00F4321D" w:rsidRPr="006A2BF9" w:rsidDel="00F4321D">
        <w:rPr>
          <w:lang w:val="it-IT"/>
        </w:rPr>
        <w:t xml:space="preserve"> </w:t>
      </w:r>
      <w:r w:rsidRPr="006A2BF9">
        <w:rPr>
          <w:lang w:val="it-IT"/>
        </w:rPr>
        <w:t>come monoterapia ogni 3</w:t>
      </w:r>
      <w:r w:rsidR="00F4321D" w:rsidRPr="006A2BF9">
        <w:rPr>
          <w:lang w:val="it-IT"/>
        </w:rPr>
        <w:t> </w:t>
      </w:r>
      <w:r w:rsidRPr="006A2BF9">
        <w:rPr>
          <w:lang w:val="it-IT"/>
        </w:rPr>
        <w:t xml:space="preserve">settimane fino alla progressione della malattia o fino alla comparsa di tossicità intollerabile. I risultati dello studio hanno </w:t>
      </w:r>
      <w:r w:rsidRPr="006A2BF9">
        <w:rPr>
          <w:lang w:val="it-IT"/>
        </w:rPr>
        <w:lastRenderedPageBreak/>
        <w:t>mostrato che il 94% (277/296) dei pazienti eleggibili continuavano a ricevere bevacizumab come monoterapia al ciclo</w:t>
      </w:r>
      <w:r w:rsidR="00F4321D" w:rsidRPr="006A2BF9">
        <w:rPr>
          <w:lang w:val="it-IT"/>
        </w:rPr>
        <w:t> </w:t>
      </w:r>
      <w:r w:rsidRPr="006A2BF9">
        <w:rPr>
          <w:lang w:val="it-IT"/>
        </w:rPr>
        <w:t>7.</w:t>
      </w:r>
      <w:r w:rsidR="00660B74" w:rsidRPr="006A2BF9">
        <w:rPr>
          <w:lang w:val="it-IT"/>
        </w:rPr>
        <w:t xml:space="preserve"> Una elevata percentuale di pazienti (circa il 62%) </w:t>
      </w:r>
      <w:r w:rsidR="00154F54" w:rsidRPr="006A2BF9">
        <w:rPr>
          <w:lang w:val="it-IT"/>
        </w:rPr>
        <w:t xml:space="preserve">è </w:t>
      </w:r>
      <w:r w:rsidR="00660B74" w:rsidRPr="006A2BF9">
        <w:rPr>
          <w:lang w:val="it-IT"/>
        </w:rPr>
        <w:t>stat</w:t>
      </w:r>
      <w:r w:rsidR="00154F54" w:rsidRPr="006A2BF9">
        <w:rPr>
          <w:lang w:val="it-IT"/>
        </w:rPr>
        <w:t>a</w:t>
      </w:r>
      <w:r w:rsidR="00660B74" w:rsidRPr="006A2BF9">
        <w:rPr>
          <w:lang w:val="it-IT"/>
        </w:rPr>
        <w:t xml:space="preserve"> sottopost</w:t>
      </w:r>
      <w:r w:rsidR="00154F54" w:rsidRPr="006A2BF9">
        <w:rPr>
          <w:lang w:val="it-IT"/>
        </w:rPr>
        <w:t>a</w:t>
      </w:r>
      <w:r w:rsidR="00660B74" w:rsidRPr="006A2BF9">
        <w:rPr>
          <w:lang w:val="it-IT"/>
        </w:rPr>
        <w:t xml:space="preserve"> a numerose terapie antitumorali, non specificate da protocollo, che </w:t>
      </w:r>
      <w:r w:rsidR="00A66094" w:rsidRPr="006A2BF9">
        <w:rPr>
          <w:lang w:val="it-IT"/>
        </w:rPr>
        <w:t>po</w:t>
      </w:r>
      <w:r w:rsidR="00A66094">
        <w:rPr>
          <w:lang w:val="it-IT"/>
        </w:rPr>
        <w:t>ssono</w:t>
      </w:r>
      <w:r w:rsidR="00A66094" w:rsidRPr="006A2BF9">
        <w:rPr>
          <w:lang w:val="it-IT"/>
        </w:rPr>
        <w:t xml:space="preserve"> </w:t>
      </w:r>
      <w:r w:rsidR="00660B74" w:rsidRPr="006A2BF9">
        <w:rPr>
          <w:lang w:val="it-IT"/>
        </w:rPr>
        <w:t xml:space="preserve">aver avuto un impatto sull’analisi della </w:t>
      </w:r>
      <w:r w:rsidR="004C45F5">
        <w:rPr>
          <w:lang w:val="it-IT"/>
        </w:rPr>
        <w:t>OS</w:t>
      </w:r>
      <w:r w:rsidR="00660B74" w:rsidRPr="006A2BF9">
        <w:rPr>
          <w:lang w:val="it-IT"/>
        </w:rPr>
        <w:t>.</w:t>
      </w:r>
    </w:p>
    <w:p w14:paraId="3B86ED77" w14:textId="77777777" w:rsidR="009C0666" w:rsidRPr="006A2BF9" w:rsidRDefault="009C0666" w:rsidP="009C0666">
      <w:pPr>
        <w:rPr>
          <w:lang w:val="it-IT"/>
        </w:rPr>
      </w:pPr>
    </w:p>
    <w:p w14:paraId="4250B291" w14:textId="77777777" w:rsidR="009C0666" w:rsidRPr="006A2BF9" w:rsidRDefault="009C0666" w:rsidP="009C0666">
      <w:pPr>
        <w:rPr>
          <w:lang w:val="it-IT"/>
        </w:rPr>
      </w:pPr>
      <w:r w:rsidRPr="006A2BF9">
        <w:rPr>
          <w:lang w:val="it-IT"/>
        </w:rPr>
        <w:t xml:space="preserve">I risultati di efficacia sono presentati nella </w:t>
      </w:r>
      <w:r w:rsidR="0025736A" w:rsidRPr="006A2BF9">
        <w:rPr>
          <w:lang w:val="it-IT"/>
        </w:rPr>
        <w:t>t</w:t>
      </w:r>
      <w:r w:rsidRPr="006A2BF9">
        <w:rPr>
          <w:lang w:val="it-IT"/>
        </w:rPr>
        <w:t>abella</w:t>
      </w:r>
      <w:r w:rsidR="00B52844" w:rsidRPr="006A2BF9">
        <w:rPr>
          <w:lang w:val="it-IT"/>
        </w:rPr>
        <w:t> </w:t>
      </w:r>
      <w:r w:rsidR="001B2D83" w:rsidRPr="006A2BF9">
        <w:rPr>
          <w:lang w:val="it-IT"/>
        </w:rPr>
        <w:t>1</w:t>
      </w:r>
      <w:r w:rsidR="00D966E3" w:rsidRPr="006A2BF9">
        <w:rPr>
          <w:lang w:val="it-IT"/>
        </w:rPr>
        <w:t>3</w:t>
      </w:r>
      <w:r w:rsidRPr="006A2BF9">
        <w:rPr>
          <w:lang w:val="it-IT"/>
        </w:rPr>
        <w:t>.</w:t>
      </w:r>
    </w:p>
    <w:p w14:paraId="2CDF3154" w14:textId="77777777" w:rsidR="009C0666" w:rsidRPr="006A2BF9" w:rsidRDefault="009C0666" w:rsidP="009C0666">
      <w:pPr>
        <w:rPr>
          <w:lang w:val="it-IT"/>
        </w:rPr>
      </w:pPr>
    </w:p>
    <w:p w14:paraId="09743664" w14:textId="77777777" w:rsidR="009C0666" w:rsidRPr="006A2BF9" w:rsidRDefault="009C0666" w:rsidP="001B5FB1">
      <w:pPr>
        <w:keepNext/>
        <w:keepLines/>
        <w:ind w:left="1559" w:hanging="1559"/>
        <w:rPr>
          <w:b/>
          <w:lang w:val="it-IT"/>
        </w:rPr>
      </w:pPr>
      <w:r w:rsidRPr="006A2BF9">
        <w:rPr>
          <w:b/>
          <w:lang w:val="it-IT"/>
        </w:rPr>
        <w:t>Tabella</w:t>
      </w:r>
      <w:r w:rsidR="00B52844" w:rsidRPr="006A2BF9">
        <w:rPr>
          <w:b/>
          <w:lang w:val="it-IT"/>
        </w:rPr>
        <w:t> </w:t>
      </w:r>
      <w:r w:rsidR="00D9509D" w:rsidRPr="006A2BF9">
        <w:rPr>
          <w:b/>
          <w:lang w:val="it-IT"/>
        </w:rPr>
        <w:t>1</w:t>
      </w:r>
      <w:r w:rsidR="00D966E3" w:rsidRPr="006A2BF9">
        <w:rPr>
          <w:b/>
          <w:lang w:val="it-IT"/>
        </w:rPr>
        <w:t>3</w:t>
      </w:r>
      <w:r w:rsidRPr="006A2BF9">
        <w:rPr>
          <w:b/>
          <w:lang w:val="it-IT"/>
        </w:rPr>
        <w:tab/>
        <w:t xml:space="preserve">Risultati di efficacia dello studio BO17704 </w:t>
      </w:r>
    </w:p>
    <w:tbl>
      <w:tblPr>
        <w:tblW w:w="5000" w:type="pct"/>
        <w:jc w:val="center"/>
        <w:tblCellMar>
          <w:left w:w="57" w:type="dxa"/>
          <w:right w:w="57" w:type="dxa"/>
        </w:tblCellMar>
        <w:tblLook w:val="0000" w:firstRow="0" w:lastRow="0" w:firstColumn="0" w:lastColumn="0" w:noHBand="0" w:noVBand="0"/>
      </w:tblPr>
      <w:tblGrid>
        <w:gridCol w:w="2230"/>
        <w:gridCol w:w="2111"/>
        <w:gridCol w:w="2380"/>
        <w:gridCol w:w="2330"/>
      </w:tblGrid>
      <w:tr w:rsidR="009C0666" w:rsidRPr="006A2BF9" w14:paraId="1D6C8C6B" w14:textId="77777777" w:rsidTr="002C7DCE">
        <w:trPr>
          <w:cantSplit/>
          <w:jc w:val="center"/>
        </w:trPr>
        <w:tc>
          <w:tcPr>
            <w:tcW w:w="1232" w:type="pct"/>
            <w:tcBorders>
              <w:top w:val="single" w:sz="8" w:space="0" w:color="auto"/>
              <w:left w:val="single" w:sz="8" w:space="0" w:color="auto"/>
              <w:bottom w:val="single" w:sz="8" w:space="0" w:color="auto"/>
              <w:right w:val="single" w:sz="8" w:space="0" w:color="auto"/>
            </w:tcBorders>
            <w:vAlign w:val="bottom"/>
          </w:tcPr>
          <w:p w14:paraId="4A5749C2" w14:textId="77777777" w:rsidR="009C0666" w:rsidRPr="006A2BF9" w:rsidRDefault="009C0666" w:rsidP="00F4321D">
            <w:pPr>
              <w:pStyle w:val="TableCellCenter"/>
              <w:rPr>
                <w:b/>
                <w:lang w:val="it-IT"/>
              </w:rPr>
            </w:pPr>
          </w:p>
        </w:tc>
        <w:tc>
          <w:tcPr>
            <w:tcW w:w="1166" w:type="pct"/>
            <w:tcBorders>
              <w:top w:val="single" w:sz="8" w:space="0" w:color="auto"/>
              <w:left w:val="single" w:sz="8" w:space="0" w:color="auto"/>
              <w:bottom w:val="single" w:sz="8" w:space="0" w:color="auto"/>
              <w:right w:val="single" w:sz="8" w:space="0" w:color="auto"/>
            </w:tcBorders>
          </w:tcPr>
          <w:p w14:paraId="11B5707F" w14:textId="77777777" w:rsidR="00F4321D" w:rsidRPr="006A2BF9" w:rsidRDefault="009C0666" w:rsidP="00F4321D">
            <w:pPr>
              <w:pStyle w:val="TableCellCenter"/>
              <w:jc w:val="left"/>
              <w:rPr>
                <w:b/>
                <w:bCs/>
                <w:lang w:val="it-IT"/>
              </w:rPr>
            </w:pPr>
            <w:r w:rsidRPr="006A2BF9">
              <w:rPr>
                <w:b/>
                <w:bCs/>
                <w:lang w:val="it-IT"/>
              </w:rPr>
              <w:t>Cisplatino/gemcitabina</w:t>
            </w:r>
          </w:p>
          <w:p w14:paraId="78A96384" w14:textId="77777777" w:rsidR="009C0666" w:rsidRPr="006A2BF9" w:rsidRDefault="009C0666" w:rsidP="00F4321D">
            <w:pPr>
              <w:pStyle w:val="TableCellCenter"/>
              <w:jc w:val="left"/>
              <w:rPr>
                <w:b/>
                <w:bCs/>
                <w:lang w:val="it-IT"/>
              </w:rPr>
            </w:pPr>
            <w:r w:rsidRPr="006A2BF9">
              <w:rPr>
                <w:b/>
                <w:bCs/>
                <w:lang w:val="it-IT"/>
              </w:rPr>
              <w:t>+</w:t>
            </w:r>
            <w:r w:rsidR="00EC7EB8" w:rsidRPr="006A2BF9">
              <w:rPr>
                <w:b/>
                <w:bCs/>
                <w:lang w:val="it-IT"/>
              </w:rPr>
              <w:t> </w:t>
            </w:r>
            <w:r w:rsidRPr="006A2BF9">
              <w:rPr>
                <w:b/>
                <w:bCs/>
                <w:lang w:val="it-IT"/>
              </w:rPr>
              <w:t>placebo</w:t>
            </w:r>
          </w:p>
        </w:tc>
        <w:tc>
          <w:tcPr>
            <w:tcW w:w="1315" w:type="pct"/>
            <w:tcBorders>
              <w:top w:val="single" w:sz="8" w:space="0" w:color="auto"/>
              <w:left w:val="single" w:sz="8" w:space="0" w:color="auto"/>
              <w:bottom w:val="single" w:sz="8" w:space="0" w:color="auto"/>
              <w:right w:val="single" w:sz="8" w:space="0" w:color="auto"/>
            </w:tcBorders>
            <w:vAlign w:val="bottom"/>
          </w:tcPr>
          <w:p w14:paraId="155BC5AD" w14:textId="77777777" w:rsidR="00F4321D" w:rsidRPr="006A2BF9" w:rsidRDefault="009C0666" w:rsidP="00F4321D">
            <w:pPr>
              <w:pStyle w:val="TableCellCenter"/>
              <w:jc w:val="left"/>
              <w:rPr>
                <w:b/>
                <w:bCs/>
                <w:lang w:val="it-IT"/>
              </w:rPr>
            </w:pPr>
            <w:r w:rsidRPr="006A2BF9">
              <w:rPr>
                <w:b/>
                <w:bCs/>
                <w:lang w:val="it-IT"/>
              </w:rPr>
              <w:t>Cisplatino/gemcitabina</w:t>
            </w:r>
          </w:p>
          <w:p w14:paraId="7CBB4819" w14:textId="77777777" w:rsidR="00F4321D" w:rsidRPr="006A2BF9" w:rsidRDefault="009C0666" w:rsidP="00F4321D">
            <w:pPr>
              <w:pStyle w:val="TableCellCenter"/>
              <w:jc w:val="left"/>
              <w:rPr>
                <w:b/>
                <w:bCs/>
                <w:lang w:val="it-IT"/>
              </w:rPr>
            </w:pPr>
            <w:r w:rsidRPr="006A2BF9">
              <w:rPr>
                <w:b/>
                <w:bCs/>
                <w:lang w:val="it-IT"/>
              </w:rPr>
              <w:t>+</w:t>
            </w:r>
            <w:r w:rsidR="006E4D20" w:rsidRPr="006A2BF9">
              <w:rPr>
                <w:b/>
                <w:bCs/>
                <w:lang w:val="it-IT"/>
              </w:rPr>
              <w:t> </w:t>
            </w:r>
            <w:r w:rsidR="00F4321D" w:rsidRPr="006A2BF9">
              <w:rPr>
                <w:b/>
                <w:lang w:val="it-IT"/>
              </w:rPr>
              <w:t>bevacizumab</w:t>
            </w:r>
          </w:p>
          <w:p w14:paraId="37C9E783" w14:textId="77777777" w:rsidR="009C0666" w:rsidRPr="006A2BF9" w:rsidRDefault="009C0666" w:rsidP="00F4321D">
            <w:pPr>
              <w:pStyle w:val="TableCellCenter"/>
              <w:jc w:val="left"/>
              <w:rPr>
                <w:b/>
                <w:bCs/>
                <w:lang w:val="it-IT"/>
              </w:rPr>
            </w:pPr>
            <w:r w:rsidRPr="006A2BF9">
              <w:rPr>
                <w:b/>
                <w:bCs/>
                <w:lang w:val="it-IT"/>
              </w:rPr>
              <w:t>7,5 mg/kg ogni 3</w:t>
            </w:r>
            <w:r w:rsidR="00F4321D" w:rsidRPr="006A2BF9">
              <w:rPr>
                <w:b/>
                <w:bCs/>
                <w:lang w:val="it-IT"/>
              </w:rPr>
              <w:t> </w:t>
            </w:r>
            <w:r w:rsidRPr="006A2BF9">
              <w:rPr>
                <w:b/>
                <w:bCs/>
                <w:lang w:val="it-IT"/>
              </w:rPr>
              <w:t>settimane</w:t>
            </w:r>
          </w:p>
        </w:tc>
        <w:tc>
          <w:tcPr>
            <w:tcW w:w="1287" w:type="pct"/>
            <w:tcBorders>
              <w:top w:val="single" w:sz="8" w:space="0" w:color="auto"/>
              <w:left w:val="single" w:sz="8" w:space="0" w:color="auto"/>
              <w:bottom w:val="single" w:sz="8" w:space="0" w:color="auto"/>
              <w:right w:val="single" w:sz="8" w:space="0" w:color="auto"/>
            </w:tcBorders>
            <w:vAlign w:val="bottom"/>
          </w:tcPr>
          <w:p w14:paraId="57C34CF4" w14:textId="77777777" w:rsidR="00F4321D" w:rsidRPr="006A2BF9" w:rsidRDefault="009C0666" w:rsidP="00772EE7">
            <w:pPr>
              <w:pStyle w:val="TableCellCenter"/>
              <w:jc w:val="left"/>
              <w:rPr>
                <w:b/>
                <w:bCs/>
                <w:lang w:val="it-IT"/>
              </w:rPr>
            </w:pPr>
            <w:r w:rsidRPr="006A2BF9">
              <w:rPr>
                <w:b/>
                <w:bCs/>
                <w:lang w:val="it-IT"/>
              </w:rPr>
              <w:t>Cisplatino/gemcitabina</w:t>
            </w:r>
            <w:r w:rsidRPr="006A2BF9">
              <w:rPr>
                <w:b/>
                <w:bCs/>
                <w:lang w:val="it-IT"/>
              </w:rPr>
              <w:br/>
              <w:t>+</w:t>
            </w:r>
            <w:r w:rsidR="006E4D20" w:rsidRPr="006A2BF9">
              <w:rPr>
                <w:b/>
                <w:bCs/>
                <w:lang w:val="it-IT"/>
              </w:rPr>
              <w:t> </w:t>
            </w:r>
            <w:r w:rsidR="00F4321D" w:rsidRPr="006A2BF9">
              <w:rPr>
                <w:b/>
                <w:lang w:val="it-IT"/>
              </w:rPr>
              <w:t>bevacizumab</w:t>
            </w:r>
          </w:p>
          <w:p w14:paraId="7A6C079A" w14:textId="77777777" w:rsidR="009C0666" w:rsidRPr="006A2BF9" w:rsidRDefault="009C0666" w:rsidP="00772EE7">
            <w:pPr>
              <w:pStyle w:val="TableCellCenter"/>
              <w:jc w:val="left"/>
              <w:rPr>
                <w:b/>
                <w:bCs/>
                <w:lang w:val="it-IT"/>
              </w:rPr>
            </w:pPr>
            <w:r w:rsidRPr="006A2BF9">
              <w:rPr>
                <w:b/>
                <w:bCs/>
                <w:lang w:val="it-IT"/>
              </w:rPr>
              <w:t>15 mg/kg ogni 3</w:t>
            </w:r>
            <w:r w:rsidR="00F4321D" w:rsidRPr="006A2BF9">
              <w:rPr>
                <w:b/>
                <w:bCs/>
                <w:lang w:val="it-IT"/>
              </w:rPr>
              <w:t> </w:t>
            </w:r>
            <w:r w:rsidRPr="006A2BF9">
              <w:rPr>
                <w:b/>
                <w:bCs/>
                <w:lang w:val="it-IT"/>
              </w:rPr>
              <w:t>settimane</w:t>
            </w:r>
          </w:p>
        </w:tc>
      </w:tr>
      <w:tr w:rsidR="009C0666" w:rsidRPr="006A2BF9" w14:paraId="046593E5" w14:textId="77777777" w:rsidTr="002C7DCE">
        <w:trPr>
          <w:cantSplit/>
          <w:jc w:val="center"/>
        </w:trPr>
        <w:tc>
          <w:tcPr>
            <w:tcW w:w="1232" w:type="pct"/>
            <w:tcBorders>
              <w:top w:val="single" w:sz="8" w:space="0" w:color="auto"/>
              <w:left w:val="single" w:sz="8" w:space="0" w:color="auto"/>
              <w:bottom w:val="single" w:sz="4" w:space="0" w:color="auto"/>
              <w:right w:val="single" w:sz="8" w:space="0" w:color="auto"/>
            </w:tcBorders>
          </w:tcPr>
          <w:p w14:paraId="6853A6E1" w14:textId="77777777" w:rsidR="009C0666" w:rsidRPr="006A2BF9" w:rsidRDefault="009C0666" w:rsidP="00F4321D">
            <w:pPr>
              <w:pStyle w:val="TableCellLeft"/>
              <w:spacing w:after="120"/>
              <w:rPr>
                <w:lang w:val="it-IT"/>
              </w:rPr>
            </w:pPr>
            <w:r w:rsidRPr="006A2BF9">
              <w:rPr>
                <w:lang w:val="it-IT"/>
              </w:rPr>
              <w:t>Numero di pazienti</w:t>
            </w:r>
          </w:p>
        </w:tc>
        <w:tc>
          <w:tcPr>
            <w:tcW w:w="1166" w:type="pct"/>
            <w:tcBorders>
              <w:top w:val="single" w:sz="8" w:space="0" w:color="auto"/>
              <w:left w:val="single" w:sz="8" w:space="0" w:color="auto"/>
              <w:bottom w:val="single" w:sz="4" w:space="0" w:color="auto"/>
              <w:right w:val="single" w:sz="8" w:space="0" w:color="auto"/>
            </w:tcBorders>
          </w:tcPr>
          <w:p w14:paraId="6C3606EA" w14:textId="77777777" w:rsidR="009C0666" w:rsidRPr="006A2BF9" w:rsidRDefault="009C0666" w:rsidP="00772EE7">
            <w:pPr>
              <w:pStyle w:val="TableCellHead"/>
              <w:jc w:val="center"/>
              <w:rPr>
                <w:u w:val="none"/>
                <w:lang w:val="it-IT"/>
              </w:rPr>
            </w:pPr>
            <w:r w:rsidRPr="006A2BF9">
              <w:rPr>
                <w:u w:val="none"/>
                <w:lang w:val="it-IT"/>
              </w:rPr>
              <w:t>347</w:t>
            </w:r>
          </w:p>
        </w:tc>
        <w:tc>
          <w:tcPr>
            <w:tcW w:w="1315" w:type="pct"/>
            <w:tcBorders>
              <w:top w:val="single" w:sz="8" w:space="0" w:color="auto"/>
              <w:left w:val="single" w:sz="8" w:space="0" w:color="auto"/>
              <w:bottom w:val="single" w:sz="4" w:space="0" w:color="auto"/>
              <w:right w:val="single" w:sz="8" w:space="0" w:color="auto"/>
            </w:tcBorders>
          </w:tcPr>
          <w:p w14:paraId="6FB41E8A" w14:textId="77777777" w:rsidR="009C0666" w:rsidRPr="006A2BF9" w:rsidRDefault="009C0666" w:rsidP="00DE5F21">
            <w:pPr>
              <w:pStyle w:val="TableCellHead"/>
              <w:jc w:val="center"/>
              <w:rPr>
                <w:u w:val="none"/>
                <w:lang w:val="it-IT"/>
              </w:rPr>
            </w:pPr>
            <w:r w:rsidRPr="006A2BF9">
              <w:rPr>
                <w:u w:val="none"/>
                <w:lang w:val="it-IT"/>
              </w:rPr>
              <w:t>345</w:t>
            </w:r>
          </w:p>
        </w:tc>
        <w:tc>
          <w:tcPr>
            <w:tcW w:w="1287" w:type="pct"/>
            <w:tcBorders>
              <w:top w:val="single" w:sz="8" w:space="0" w:color="auto"/>
              <w:left w:val="single" w:sz="8" w:space="0" w:color="auto"/>
              <w:bottom w:val="single" w:sz="4" w:space="0" w:color="auto"/>
              <w:right w:val="single" w:sz="8" w:space="0" w:color="auto"/>
            </w:tcBorders>
          </w:tcPr>
          <w:p w14:paraId="6C0484BF" w14:textId="77777777" w:rsidR="009C0666" w:rsidRPr="006A2BF9" w:rsidRDefault="009C0666" w:rsidP="00BF62E6">
            <w:pPr>
              <w:pStyle w:val="TableCellHead"/>
              <w:jc w:val="center"/>
              <w:rPr>
                <w:u w:val="none"/>
                <w:lang w:val="it-IT"/>
              </w:rPr>
            </w:pPr>
            <w:r w:rsidRPr="006A2BF9">
              <w:rPr>
                <w:u w:val="none"/>
                <w:lang w:val="it-IT"/>
              </w:rPr>
              <w:t>351</w:t>
            </w:r>
          </w:p>
        </w:tc>
      </w:tr>
      <w:tr w:rsidR="009C0666" w:rsidRPr="006A2BF9" w14:paraId="57A45ECB" w14:textId="77777777" w:rsidTr="002C7DCE">
        <w:trPr>
          <w:cantSplit/>
          <w:jc w:val="center"/>
        </w:trPr>
        <w:tc>
          <w:tcPr>
            <w:tcW w:w="1232" w:type="pct"/>
            <w:tcBorders>
              <w:top w:val="single" w:sz="4" w:space="0" w:color="auto"/>
              <w:left w:val="single" w:sz="8" w:space="0" w:color="auto"/>
              <w:right w:val="single" w:sz="8" w:space="0" w:color="auto"/>
            </w:tcBorders>
          </w:tcPr>
          <w:p w14:paraId="47E75916" w14:textId="77777777" w:rsidR="009C0666" w:rsidRPr="006A2BF9" w:rsidRDefault="009C0666" w:rsidP="00F4321D">
            <w:pPr>
              <w:pStyle w:val="TableCellHead"/>
              <w:rPr>
                <w:u w:val="none"/>
                <w:lang w:val="it-IT"/>
              </w:rPr>
            </w:pPr>
            <w:r w:rsidRPr="006A2BF9">
              <w:rPr>
                <w:u w:val="none"/>
                <w:lang w:val="it-IT"/>
              </w:rPr>
              <w:t>Sopravvivenza libera da progressione</w:t>
            </w:r>
          </w:p>
        </w:tc>
        <w:tc>
          <w:tcPr>
            <w:tcW w:w="1166" w:type="pct"/>
            <w:tcBorders>
              <w:top w:val="single" w:sz="4" w:space="0" w:color="auto"/>
              <w:left w:val="single" w:sz="8" w:space="0" w:color="auto"/>
              <w:right w:val="single" w:sz="8" w:space="0" w:color="auto"/>
            </w:tcBorders>
          </w:tcPr>
          <w:p w14:paraId="115170DE" w14:textId="77777777" w:rsidR="009C0666" w:rsidRPr="006A2BF9" w:rsidRDefault="009C0666" w:rsidP="00772EE7">
            <w:pPr>
              <w:pStyle w:val="TableCellHead"/>
              <w:jc w:val="center"/>
              <w:rPr>
                <w:lang w:val="it-IT"/>
              </w:rPr>
            </w:pPr>
          </w:p>
        </w:tc>
        <w:tc>
          <w:tcPr>
            <w:tcW w:w="1315" w:type="pct"/>
            <w:tcBorders>
              <w:top w:val="single" w:sz="4" w:space="0" w:color="auto"/>
              <w:left w:val="single" w:sz="8" w:space="0" w:color="auto"/>
              <w:right w:val="single" w:sz="8" w:space="0" w:color="auto"/>
            </w:tcBorders>
          </w:tcPr>
          <w:p w14:paraId="7C63C03F" w14:textId="77777777" w:rsidR="009C0666" w:rsidRPr="006A2BF9" w:rsidRDefault="009C0666" w:rsidP="00DE5F21">
            <w:pPr>
              <w:pStyle w:val="TableCellHead"/>
              <w:jc w:val="center"/>
              <w:rPr>
                <w:lang w:val="it-IT"/>
              </w:rPr>
            </w:pPr>
          </w:p>
        </w:tc>
        <w:tc>
          <w:tcPr>
            <w:tcW w:w="1287" w:type="pct"/>
            <w:tcBorders>
              <w:top w:val="single" w:sz="4" w:space="0" w:color="auto"/>
              <w:left w:val="single" w:sz="8" w:space="0" w:color="auto"/>
              <w:right w:val="single" w:sz="8" w:space="0" w:color="auto"/>
            </w:tcBorders>
          </w:tcPr>
          <w:p w14:paraId="19D33BA8" w14:textId="77777777" w:rsidR="009C0666" w:rsidRPr="006A2BF9" w:rsidRDefault="009C0666" w:rsidP="00BF62E6">
            <w:pPr>
              <w:pStyle w:val="TableCellHead"/>
              <w:jc w:val="center"/>
              <w:rPr>
                <w:lang w:val="it-IT"/>
              </w:rPr>
            </w:pPr>
          </w:p>
        </w:tc>
      </w:tr>
      <w:tr w:rsidR="009C0666" w:rsidRPr="006A2BF9" w14:paraId="68B65945" w14:textId="77777777" w:rsidTr="002C7DCE">
        <w:trPr>
          <w:cantSplit/>
          <w:jc w:val="center"/>
        </w:trPr>
        <w:tc>
          <w:tcPr>
            <w:tcW w:w="1232" w:type="pct"/>
            <w:tcBorders>
              <w:left w:val="single" w:sz="8" w:space="0" w:color="auto"/>
              <w:right w:val="single" w:sz="8" w:space="0" w:color="auto"/>
            </w:tcBorders>
            <w:vAlign w:val="center"/>
          </w:tcPr>
          <w:p w14:paraId="57D56584" w14:textId="77777777" w:rsidR="009C0666" w:rsidRPr="006A2BF9" w:rsidRDefault="009C0666" w:rsidP="00F4321D">
            <w:pPr>
              <w:pStyle w:val="TableCellLeft"/>
              <w:jc w:val="center"/>
              <w:rPr>
                <w:lang w:val="it-IT"/>
              </w:rPr>
            </w:pPr>
            <w:r w:rsidRPr="006A2BF9">
              <w:rPr>
                <w:lang w:val="it-IT"/>
              </w:rPr>
              <w:t>Mediana (mesi)</w:t>
            </w:r>
          </w:p>
        </w:tc>
        <w:tc>
          <w:tcPr>
            <w:tcW w:w="1166" w:type="pct"/>
            <w:tcBorders>
              <w:left w:val="single" w:sz="8" w:space="0" w:color="auto"/>
              <w:right w:val="single" w:sz="8" w:space="0" w:color="auto"/>
            </w:tcBorders>
          </w:tcPr>
          <w:p w14:paraId="30A455A4" w14:textId="77777777" w:rsidR="009C0666" w:rsidRPr="006A2BF9" w:rsidRDefault="009C0666" w:rsidP="00772EE7">
            <w:pPr>
              <w:pStyle w:val="TableCellHead"/>
              <w:jc w:val="center"/>
              <w:rPr>
                <w:u w:val="none"/>
                <w:lang w:val="it-IT"/>
              </w:rPr>
            </w:pPr>
            <w:r w:rsidRPr="006A2BF9">
              <w:rPr>
                <w:u w:val="none"/>
                <w:lang w:val="it-IT"/>
              </w:rPr>
              <w:t>6,1</w:t>
            </w:r>
          </w:p>
        </w:tc>
        <w:tc>
          <w:tcPr>
            <w:tcW w:w="1315" w:type="pct"/>
            <w:tcBorders>
              <w:left w:val="single" w:sz="8" w:space="0" w:color="auto"/>
              <w:right w:val="single" w:sz="8" w:space="0" w:color="auto"/>
            </w:tcBorders>
          </w:tcPr>
          <w:p w14:paraId="2B764281" w14:textId="77777777" w:rsidR="009C0666" w:rsidRPr="006A2BF9" w:rsidRDefault="009C0666" w:rsidP="00DE5F21">
            <w:pPr>
              <w:pStyle w:val="TableCellHead"/>
              <w:jc w:val="center"/>
              <w:rPr>
                <w:u w:val="none"/>
                <w:lang w:val="it-IT"/>
              </w:rPr>
            </w:pPr>
            <w:r w:rsidRPr="006A2BF9">
              <w:rPr>
                <w:u w:val="none"/>
                <w:lang w:val="it-IT"/>
              </w:rPr>
              <w:t>6,7</w:t>
            </w:r>
            <w:r w:rsidRPr="006A2BF9">
              <w:rPr>
                <w:u w:val="none"/>
                <w:lang w:val="it-IT"/>
              </w:rPr>
              <w:br/>
              <w:t>(p</w:t>
            </w:r>
            <w:r w:rsidR="006E4D20" w:rsidRPr="006A2BF9">
              <w:rPr>
                <w:u w:val="none"/>
                <w:lang w:val="it-IT"/>
              </w:rPr>
              <w:t> </w:t>
            </w:r>
            <w:r w:rsidRPr="006A2BF9">
              <w:rPr>
                <w:u w:val="none"/>
                <w:lang w:val="it-IT"/>
              </w:rPr>
              <w:t>=</w:t>
            </w:r>
            <w:r w:rsidR="006E4D20" w:rsidRPr="006A2BF9">
              <w:rPr>
                <w:u w:val="none"/>
                <w:lang w:val="it-IT"/>
              </w:rPr>
              <w:t> </w:t>
            </w:r>
            <w:r w:rsidRPr="006A2BF9">
              <w:rPr>
                <w:u w:val="none"/>
                <w:lang w:val="it-IT"/>
              </w:rPr>
              <w:t>0,0026)</w:t>
            </w:r>
          </w:p>
        </w:tc>
        <w:tc>
          <w:tcPr>
            <w:tcW w:w="1287" w:type="pct"/>
            <w:tcBorders>
              <w:left w:val="single" w:sz="8" w:space="0" w:color="auto"/>
              <w:right w:val="single" w:sz="8" w:space="0" w:color="auto"/>
            </w:tcBorders>
          </w:tcPr>
          <w:p w14:paraId="72E2251A" w14:textId="77777777" w:rsidR="009C0666" w:rsidRPr="006A2BF9" w:rsidRDefault="009C0666" w:rsidP="00BF62E6">
            <w:pPr>
              <w:pStyle w:val="TableCellHead"/>
              <w:jc w:val="center"/>
              <w:rPr>
                <w:u w:val="none"/>
                <w:lang w:val="it-IT"/>
              </w:rPr>
            </w:pPr>
            <w:r w:rsidRPr="006A2BF9">
              <w:rPr>
                <w:u w:val="none"/>
                <w:lang w:val="it-IT"/>
              </w:rPr>
              <w:t>6,5</w:t>
            </w:r>
            <w:r w:rsidRPr="006A2BF9">
              <w:rPr>
                <w:u w:val="none"/>
                <w:lang w:val="it-IT"/>
              </w:rPr>
              <w:br/>
              <w:t>(p</w:t>
            </w:r>
            <w:r w:rsidR="006E4D20" w:rsidRPr="006A2BF9">
              <w:rPr>
                <w:u w:val="none"/>
                <w:lang w:val="it-IT"/>
              </w:rPr>
              <w:t> </w:t>
            </w:r>
            <w:r w:rsidRPr="006A2BF9">
              <w:rPr>
                <w:u w:val="none"/>
                <w:lang w:val="it-IT"/>
              </w:rPr>
              <w:t>=</w:t>
            </w:r>
            <w:r w:rsidR="006E4D20" w:rsidRPr="006A2BF9">
              <w:rPr>
                <w:u w:val="none"/>
                <w:lang w:val="it-IT"/>
              </w:rPr>
              <w:t> </w:t>
            </w:r>
            <w:r w:rsidRPr="006A2BF9">
              <w:rPr>
                <w:u w:val="none"/>
                <w:lang w:val="it-IT"/>
              </w:rPr>
              <w:t>0,0301)</w:t>
            </w:r>
          </w:p>
        </w:tc>
      </w:tr>
      <w:tr w:rsidR="009C0666" w:rsidRPr="006A2BF9" w14:paraId="33DCE926" w14:textId="77777777" w:rsidTr="002C7DCE">
        <w:trPr>
          <w:cantSplit/>
          <w:jc w:val="center"/>
        </w:trPr>
        <w:tc>
          <w:tcPr>
            <w:tcW w:w="1232" w:type="pct"/>
            <w:tcBorders>
              <w:left w:val="single" w:sz="8" w:space="0" w:color="auto"/>
              <w:bottom w:val="single" w:sz="4" w:space="0" w:color="auto"/>
              <w:right w:val="single" w:sz="8" w:space="0" w:color="auto"/>
            </w:tcBorders>
          </w:tcPr>
          <w:p w14:paraId="368B8B9A" w14:textId="77777777" w:rsidR="009C0666" w:rsidRPr="000F0246" w:rsidRDefault="009C0666" w:rsidP="00C65E97">
            <w:pPr>
              <w:pStyle w:val="TableCellLeft"/>
              <w:keepNext w:val="0"/>
              <w:keepLines w:val="0"/>
              <w:spacing w:after="120"/>
              <w:jc w:val="center"/>
              <w:rPr>
                <w:i/>
                <w:lang w:val="it-IT"/>
              </w:rPr>
            </w:pPr>
            <w:r w:rsidRPr="000F0246">
              <w:rPr>
                <w:i/>
                <w:lang w:val="it-IT"/>
              </w:rPr>
              <w:t>Hazard ratio</w:t>
            </w:r>
          </w:p>
        </w:tc>
        <w:tc>
          <w:tcPr>
            <w:tcW w:w="1166" w:type="pct"/>
            <w:tcBorders>
              <w:left w:val="single" w:sz="8" w:space="0" w:color="auto"/>
              <w:bottom w:val="single" w:sz="4" w:space="0" w:color="auto"/>
              <w:right w:val="single" w:sz="8" w:space="0" w:color="auto"/>
            </w:tcBorders>
          </w:tcPr>
          <w:p w14:paraId="22775D20" w14:textId="77777777" w:rsidR="009C0666" w:rsidRPr="00330A40" w:rsidRDefault="009C0666" w:rsidP="00F4321D">
            <w:pPr>
              <w:jc w:val="center"/>
              <w:rPr>
                <w:sz w:val="20"/>
                <w:lang w:val="it-IT"/>
              </w:rPr>
            </w:pPr>
          </w:p>
        </w:tc>
        <w:tc>
          <w:tcPr>
            <w:tcW w:w="1315" w:type="pct"/>
            <w:tcBorders>
              <w:left w:val="single" w:sz="8" w:space="0" w:color="auto"/>
              <w:bottom w:val="single" w:sz="4" w:space="0" w:color="auto"/>
              <w:right w:val="single" w:sz="8" w:space="0" w:color="auto"/>
            </w:tcBorders>
          </w:tcPr>
          <w:p w14:paraId="583C67B8" w14:textId="77777777" w:rsidR="009C0666" w:rsidRPr="00330A40" w:rsidRDefault="009C0666" w:rsidP="00772EE7">
            <w:pPr>
              <w:pStyle w:val="TableCellHead"/>
              <w:keepNext w:val="0"/>
              <w:keepLines w:val="0"/>
              <w:jc w:val="center"/>
              <w:rPr>
                <w:u w:val="none"/>
                <w:lang w:val="it-IT"/>
              </w:rPr>
            </w:pPr>
            <w:r w:rsidRPr="00330A40">
              <w:rPr>
                <w:u w:val="none"/>
                <w:lang w:val="it-IT"/>
              </w:rPr>
              <w:t>0,75</w:t>
            </w:r>
            <w:r w:rsidRPr="00330A40">
              <w:rPr>
                <w:u w:val="none"/>
                <w:lang w:val="it-IT"/>
              </w:rPr>
              <w:br/>
              <w:t>[0,62; 0,91]</w:t>
            </w:r>
          </w:p>
        </w:tc>
        <w:tc>
          <w:tcPr>
            <w:tcW w:w="1287" w:type="pct"/>
            <w:tcBorders>
              <w:left w:val="single" w:sz="8" w:space="0" w:color="auto"/>
              <w:bottom w:val="single" w:sz="4" w:space="0" w:color="auto"/>
              <w:right w:val="single" w:sz="8" w:space="0" w:color="auto"/>
            </w:tcBorders>
          </w:tcPr>
          <w:p w14:paraId="2063E88B" w14:textId="77777777" w:rsidR="009C0666" w:rsidRPr="00330A40" w:rsidRDefault="009C0666" w:rsidP="00DE5F21">
            <w:pPr>
              <w:pStyle w:val="TableCellHead"/>
              <w:keepNext w:val="0"/>
              <w:keepLines w:val="0"/>
              <w:jc w:val="center"/>
              <w:rPr>
                <w:u w:val="none"/>
                <w:lang w:val="it-IT"/>
              </w:rPr>
            </w:pPr>
            <w:r w:rsidRPr="00330A40">
              <w:rPr>
                <w:u w:val="none"/>
                <w:lang w:val="it-IT"/>
              </w:rPr>
              <w:t>0,82</w:t>
            </w:r>
            <w:r w:rsidRPr="00330A40">
              <w:rPr>
                <w:u w:val="none"/>
                <w:lang w:val="it-IT"/>
              </w:rPr>
              <w:br/>
              <w:t>[0,68; 0,98]</w:t>
            </w:r>
          </w:p>
        </w:tc>
      </w:tr>
      <w:tr w:rsidR="009C0666" w:rsidRPr="006A2BF9" w14:paraId="28F6DB76" w14:textId="77777777" w:rsidTr="002C7DCE">
        <w:trPr>
          <w:cantSplit/>
          <w:trHeight w:val="930"/>
          <w:jc w:val="center"/>
        </w:trPr>
        <w:tc>
          <w:tcPr>
            <w:tcW w:w="1232" w:type="pct"/>
            <w:tcBorders>
              <w:top w:val="single" w:sz="4" w:space="0" w:color="auto"/>
              <w:left w:val="single" w:sz="8" w:space="0" w:color="auto"/>
              <w:bottom w:val="single" w:sz="4" w:space="0" w:color="auto"/>
              <w:right w:val="single" w:sz="8" w:space="0" w:color="auto"/>
            </w:tcBorders>
          </w:tcPr>
          <w:p w14:paraId="3CE929AD" w14:textId="77777777" w:rsidR="009C0666" w:rsidRPr="006A2BF9" w:rsidRDefault="009C0666" w:rsidP="00F4321D">
            <w:pPr>
              <w:pStyle w:val="TableCellHead"/>
              <w:keepNext w:val="0"/>
              <w:keepLines w:val="0"/>
              <w:rPr>
                <w:u w:val="none"/>
                <w:lang w:val="it-IT"/>
              </w:rPr>
            </w:pPr>
            <w:r w:rsidRPr="006A2BF9">
              <w:rPr>
                <w:u w:val="none"/>
                <w:lang w:val="it-IT"/>
              </w:rPr>
              <w:t>Tasso della migliore risposta globale</w:t>
            </w:r>
            <w:r w:rsidRPr="006A2BF9">
              <w:rPr>
                <w:u w:val="none"/>
                <w:vertAlign w:val="superscript"/>
                <w:lang w:val="it-IT"/>
              </w:rPr>
              <w:t>a</w:t>
            </w:r>
          </w:p>
          <w:p w14:paraId="57F0A7A4" w14:textId="77777777" w:rsidR="009C0666" w:rsidRPr="006A2BF9" w:rsidRDefault="009C0666" w:rsidP="00C65E97">
            <w:pPr>
              <w:pStyle w:val="TableCellLeft"/>
              <w:keepNext w:val="0"/>
              <w:keepLines w:val="0"/>
              <w:spacing w:after="120"/>
              <w:rPr>
                <w:lang w:val="it-IT"/>
              </w:rPr>
            </w:pPr>
          </w:p>
        </w:tc>
        <w:tc>
          <w:tcPr>
            <w:tcW w:w="1166" w:type="pct"/>
            <w:tcBorders>
              <w:top w:val="single" w:sz="4" w:space="0" w:color="auto"/>
              <w:left w:val="single" w:sz="8" w:space="0" w:color="auto"/>
              <w:bottom w:val="single" w:sz="4" w:space="0" w:color="auto"/>
              <w:right w:val="single" w:sz="8" w:space="0" w:color="auto"/>
            </w:tcBorders>
          </w:tcPr>
          <w:p w14:paraId="465C1798" w14:textId="77777777" w:rsidR="009C0666" w:rsidRPr="006A2BF9" w:rsidRDefault="009C0666" w:rsidP="00F4321D">
            <w:pPr>
              <w:pStyle w:val="TableCellHead"/>
              <w:keepNext w:val="0"/>
              <w:keepLines w:val="0"/>
              <w:jc w:val="center"/>
              <w:rPr>
                <w:u w:val="none"/>
                <w:lang w:val="it-IT"/>
              </w:rPr>
            </w:pPr>
            <w:r w:rsidRPr="006A2BF9">
              <w:rPr>
                <w:u w:val="none"/>
                <w:lang w:val="it-IT"/>
              </w:rPr>
              <w:t>20,1%</w:t>
            </w:r>
          </w:p>
        </w:tc>
        <w:tc>
          <w:tcPr>
            <w:tcW w:w="1315" w:type="pct"/>
            <w:tcBorders>
              <w:top w:val="single" w:sz="4" w:space="0" w:color="auto"/>
              <w:left w:val="single" w:sz="8" w:space="0" w:color="auto"/>
              <w:bottom w:val="single" w:sz="4" w:space="0" w:color="auto"/>
              <w:right w:val="single" w:sz="8" w:space="0" w:color="auto"/>
            </w:tcBorders>
          </w:tcPr>
          <w:p w14:paraId="5601F3F7" w14:textId="77777777" w:rsidR="009C0666" w:rsidRPr="006A2BF9" w:rsidRDefault="009C0666" w:rsidP="00772EE7">
            <w:pPr>
              <w:pStyle w:val="TableCellHead"/>
              <w:keepNext w:val="0"/>
              <w:keepLines w:val="0"/>
              <w:jc w:val="center"/>
              <w:rPr>
                <w:u w:val="none"/>
                <w:lang w:val="it-IT"/>
              </w:rPr>
            </w:pPr>
            <w:r w:rsidRPr="006A2BF9">
              <w:rPr>
                <w:u w:val="none"/>
                <w:lang w:val="it-IT"/>
              </w:rPr>
              <w:t>34,1%</w:t>
            </w:r>
            <w:r w:rsidRPr="006A2BF9">
              <w:rPr>
                <w:u w:val="none"/>
                <w:lang w:val="it-IT"/>
              </w:rPr>
              <w:br/>
              <w:t>(p</w:t>
            </w:r>
            <w:r w:rsidR="006E4D20" w:rsidRPr="006A2BF9">
              <w:rPr>
                <w:u w:val="none"/>
                <w:lang w:val="it-IT"/>
              </w:rPr>
              <w:t> </w:t>
            </w:r>
            <w:r w:rsidRPr="006A2BF9">
              <w:rPr>
                <w:u w:val="none"/>
                <w:lang w:val="it-IT"/>
              </w:rPr>
              <w:t>&lt;</w:t>
            </w:r>
            <w:r w:rsidR="006E4D20" w:rsidRPr="006A2BF9">
              <w:rPr>
                <w:u w:val="none"/>
                <w:lang w:val="it-IT"/>
              </w:rPr>
              <w:t> </w:t>
            </w:r>
            <w:r w:rsidRPr="006A2BF9">
              <w:rPr>
                <w:u w:val="none"/>
                <w:lang w:val="it-IT"/>
              </w:rPr>
              <w:t>0,0001)</w:t>
            </w:r>
          </w:p>
        </w:tc>
        <w:tc>
          <w:tcPr>
            <w:tcW w:w="1287" w:type="pct"/>
            <w:tcBorders>
              <w:top w:val="single" w:sz="4" w:space="0" w:color="auto"/>
              <w:left w:val="single" w:sz="8" w:space="0" w:color="auto"/>
              <w:bottom w:val="single" w:sz="4" w:space="0" w:color="auto"/>
              <w:right w:val="single" w:sz="8" w:space="0" w:color="auto"/>
            </w:tcBorders>
          </w:tcPr>
          <w:p w14:paraId="23F92B17" w14:textId="77777777" w:rsidR="009C0666" w:rsidRPr="006A2BF9" w:rsidRDefault="009C0666" w:rsidP="00DE5F21">
            <w:pPr>
              <w:pStyle w:val="TableCellHead"/>
              <w:keepNext w:val="0"/>
              <w:keepLines w:val="0"/>
              <w:jc w:val="center"/>
              <w:rPr>
                <w:u w:val="none"/>
                <w:lang w:val="it-IT"/>
              </w:rPr>
            </w:pPr>
            <w:r w:rsidRPr="006A2BF9">
              <w:rPr>
                <w:u w:val="none"/>
                <w:lang w:val="it-IT"/>
              </w:rPr>
              <w:t>30,4%</w:t>
            </w:r>
            <w:r w:rsidRPr="006A2BF9">
              <w:rPr>
                <w:u w:val="none"/>
                <w:lang w:val="it-IT"/>
              </w:rPr>
              <w:br/>
              <w:t xml:space="preserve"> (p</w:t>
            </w:r>
            <w:r w:rsidR="006E4D20" w:rsidRPr="006A2BF9">
              <w:rPr>
                <w:u w:val="none"/>
                <w:lang w:val="it-IT"/>
              </w:rPr>
              <w:t> </w:t>
            </w:r>
            <w:r w:rsidRPr="006A2BF9">
              <w:rPr>
                <w:u w:val="none"/>
                <w:lang w:val="it-IT"/>
              </w:rPr>
              <w:t>=</w:t>
            </w:r>
            <w:r w:rsidR="006E4D20" w:rsidRPr="006A2BF9">
              <w:rPr>
                <w:u w:val="none"/>
                <w:lang w:val="it-IT"/>
              </w:rPr>
              <w:t> </w:t>
            </w:r>
            <w:r w:rsidRPr="006A2BF9">
              <w:rPr>
                <w:u w:val="none"/>
                <w:lang w:val="it-IT"/>
              </w:rPr>
              <w:t>0,0023)</w:t>
            </w:r>
          </w:p>
        </w:tc>
      </w:tr>
    </w:tbl>
    <w:p w14:paraId="214E09FF" w14:textId="77777777" w:rsidR="009C0666" w:rsidRPr="006A2BF9" w:rsidRDefault="009C0666" w:rsidP="00EB4AE3">
      <w:pPr>
        <w:ind w:left="360"/>
        <w:rPr>
          <w:sz w:val="20"/>
          <w:lang w:val="it-IT"/>
        </w:rPr>
      </w:pPr>
      <w:r w:rsidRPr="006A2BF9">
        <w:rPr>
          <w:sz w:val="20"/>
          <w:vertAlign w:val="superscript"/>
          <w:lang w:val="it-IT"/>
        </w:rPr>
        <w:t xml:space="preserve">a </w:t>
      </w:r>
      <w:r w:rsidRPr="006A2BF9">
        <w:rPr>
          <w:sz w:val="20"/>
          <w:lang w:val="it-IT"/>
        </w:rPr>
        <w:t xml:space="preserve">pazienti con malattia misurabile </w:t>
      </w:r>
      <w:r w:rsidR="0025736A" w:rsidRPr="006A2BF9">
        <w:rPr>
          <w:sz w:val="20"/>
          <w:lang w:val="it-IT"/>
        </w:rPr>
        <w:t>al basale</w:t>
      </w:r>
    </w:p>
    <w:p w14:paraId="49E24418" w14:textId="77777777" w:rsidR="00660B74" w:rsidRPr="006A2BF9" w:rsidRDefault="00660B74" w:rsidP="00E77901">
      <w:pPr>
        <w:rPr>
          <w:lang w:val="it-IT"/>
        </w:rPr>
      </w:pPr>
    </w:p>
    <w:tbl>
      <w:tblPr>
        <w:tblW w:w="5000" w:type="pct"/>
        <w:tblCellMar>
          <w:left w:w="57" w:type="dxa"/>
          <w:right w:w="57" w:type="dxa"/>
        </w:tblCellMar>
        <w:tblLook w:val="0000" w:firstRow="0" w:lastRow="0" w:firstColumn="0" w:lastColumn="0" w:noHBand="0" w:noVBand="0"/>
      </w:tblPr>
      <w:tblGrid>
        <w:gridCol w:w="2274"/>
        <w:gridCol w:w="2100"/>
        <w:gridCol w:w="2335"/>
        <w:gridCol w:w="2342"/>
      </w:tblGrid>
      <w:tr w:rsidR="00660B74" w:rsidRPr="006A2BF9" w14:paraId="29DAC508" w14:textId="77777777" w:rsidTr="002C7DCE">
        <w:trPr>
          <w:cantSplit/>
          <w:trHeight w:val="417"/>
        </w:trPr>
        <w:tc>
          <w:tcPr>
            <w:tcW w:w="5000" w:type="pct"/>
            <w:gridSpan w:val="4"/>
            <w:tcBorders>
              <w:top w:val="single" w:sz="4" w:space="0" w:color="auto"/>
              <w:left w:val="single" w:sz="8" w:space="0" w:color="auto"/>
              <w:bottom w:val="single" w:sz="4" w:space="0" w:color="auto"/>
              <w:right w:val="single" w:sz="8" w:space="0" w:color="auto"/>
            </w:tcBorders>
          </w:tcPr>
          <w:p w14:paraId="085B1900" w14:textId="77777777" w:rsidR="00660B74" w:rsidRPr="006A2BF9" w:rsidRDefault="00660B74" w:rsidP="00E77901">
            <w:pPr>
              <w:pStyle w:val="TextTi10"/>
              <w:ind w:left="240"/>
              <w:rPr>
                <w:lang w:val="it-IT"/>
              </w:rPr>
            </w:pPr>
            <w:r w:rsidRPr="006A2BF9">
              <w:rPr>
                <w:lang w:val="it-IT"/>
              </w:rPr>
              <w:t>Sopravvivenza globale</w:t>
            </w:r>
          </w:p>
        </w:tc>
      </w:tr>
      <w:tr w:rsidR="00660B74" w:rsidRPr="006A2BF9" w14:paraId="1F9CE71E" w14:textId="77777777" w:rsidTr="002C7DCE">
        <w:trPr>
          <w:cantSplit/>
          <w:trHeight w:val="1557"/>
        </w:trPr>
        <w:tc>
          <w:tcPr>
            <w:tcW w:w="1256" w:type="pct"/>
            <w:tcBorders>
              <w:top w:val="single" w:sz="4" w:space="0" w:color="auto"/>
              <w:left w:val="single" w:sz="8" w:space="0" w:color="auto"/>
              <w:bottom w:val="single" w:sz="4" w:space="0" w:color="auto"/>
              <w:right w:val="single" w:sz="8" w:space="0" w:color="auto"/>
            </w:tcBorders>
          </w:tcPr>
          <w:p w14:paraId="48C587F1" w14:textId="77777777" w:rsidR="003B6E1C" w:rsidRPr="006A2BF9" w:rsidRDefault="003B6E1C" w:rsidP="00E77901">
            <w:pPr>
              <w:pStyle w:val="TextTi10"/>
              <w:ind w:left="284"/>
              <w:rPr>
                <w:lang w:val="it-IT"/>
              </w:rPr>
            </w:pPr>
          </w:p>
          <w:p w14:paraId="5CFCFFB1" w14:textId="77777777" w:rsidR="00660B74" w:rsidRPr="006A2BF9" w:rsidRDefault="00660B74" w:rsidP="00E77901">
            <w:pPr>
              <w:pStyle w:val="TextTi10"/>
              <w:ind w:left="284"/>
              <w:rPr>
                <w:lang w:val="it-IT"/>
              </w:rPr>
            </w:pPr>
            <w:r w:rsidRPr="006A2BF9">
              <w:rPr>
                <w:lang w:val="it-IT"/>
              </w:rPr>
              <w:t>Mediana (mesi)</w:t>
            </w:r>
          </w:p>
          <w:p w14:paraId="70EA0CA7" w14:textId="77777777" w:rsidR="00660B74" w:rsidRPr="006A2BF9" w:rsidRDefault="00660B74" w:rsidP="00E77901">
            <w:pPr>
              <w:pStyle w:val="TextTi10"/>
              <w:ind w:left="284"/>
              <w:rPr>
                <w:lang w:val="it-IT"/>
              </w:rPr>
            </w:pPr>
          </w:p>
          <w:p w14:paraId="5DF45D53" w14:textId="77777777" w:rsidR="00660B74" w:rsidRPr="006A2BF9" w:rsidRDefault="00660B74" w:rsidP="00E77901">
            <w:pPr>
              <w:pStyle w:val="TextTi10"/>
              <w:ind w:left="284"/>
              <w:rPr>
                <w:lang w:val="it-IT"/>
              </w:rPr>
            </w:pPr>
          </w:p>
          <w:p w14:paraId="02AD2055" w14:textId="77777777" w:rsidR="00660B74" w:rsidRPr="000F0246" w:rsidRDefault="00660B74" w:rsidP="00E77901">
            <w:pPr>
              <w:pStyle w:val="TextTi10"/>
              <w:ind w:left="284"/>
              <w:rPr>
                <w:i/>
                <w:lang w:val="it-IT"/>
              </w:rPr>
            </w:pPr>
            <w:r w:rsidRPr="000F0246">
              <w:rPr>
                <w:i/>
                <w:lang w:val="it-IT"/>
              </w:rPr>
              <w:t>Hazard ratio</w:t>
            </w:r>
          </w:p>
          <w:p w14:paraId="46BE14ED" w14:textId="77777777" w:rsidR="00660B74" w:rsidRPr="00330A40" w:rsidRDefault="00660B74" w:rsidP="00E77901">
            <w:pPr>
              <w:pStyle w:val="TextTi10"/>
              <w:ind w:left="284"/>
              <w:rPr>
                <w:lang w:val="it-IT"/>
              </w:rPr>
            </w:pPr>
          </w:p>
        </w:tc>
        <w:tc>
          <w:tcPr>
            <w:tcW w:w="1160" w:type="pct"/>
            <w:tcBorders>
              <w:top w:val="single" w:sz="4" w:space="0" w:color="auto"/>
              <w:left w:val="single" w:sz="8" w:space="0" w:color="auto"/>
              <w:bottom w:val="single" w:sz="4" w:space="0" w:color="auto"/>
              <w:right w:val="single" w:sz="8" w:space="0" w:color="auto"/>
            </w:tcBorders>
          </w:tcPr>
          <w:p w14:paraId="05359CD9" w14:textId="77777777" w:rsidR="003B6E1C" w:rsidRPr="00330A40" w:rsidRDefault="003B6E1C" w:rsidP="00E77901">
            <w:pPr>
              <w:pStyle w:val="TextTi10"/>
              <w:ind w:left="240"/>
              <w:jc w:val="center"/>
              <w:rPr>
                <w:lang w:val="it-IT"/>
              </w:rPr>
            </w:pPr>
          </w:p>
          <w:p w14:paraId="74CEE5A7" w14:textId="77777777" w:rsidR="00660B74" w:rsidRPr="00330A40" w:rsidRDefault="00660B74" w:rsidP="00E77901">
            <w:pPr>
              <w:pStyle w:val="TextTi10"/>
              <w:ind w:left="240"/>
              <w:jc w:val="center"/>
              <w:rPr>
                <w:lang w:val="it-IT"/>
              </w:rPr>
            </w:pPr>
            <w:r w:rsidRPr="00330A40">
              <w:rPr>
                <w:lang w:val="it-IT"/>
              </w:rPr>
              <w:t>13,1</w:t>
            </w:r>
          </w:p>
        </w:tc>
        <w:tc>
          <w:tcPr>
            <w:tcW w:w="1290" w:type="pct"/>
            <w:tcBorders>
              <w:top w:val="single" w:sz="4" w:space="0" w:color="auto"/>
              <w:left w:val="single" w:sz="8" w:space="0" w:color="auto"/>
              <w:bottom w:val="single" w:sz="4" w:space="0" w:color="auto"/>
              <w:right w:val="single" w:sz="8" w:space="0" w:color="auto"/>
            </w:tcBorders>
          </w:tcPr>
          <w:p w14:paraId="404D3A0B" w14:textId="77777777" w:rsidR="003B6E1C" w:rsidRPr="00330A40" w:rsidRDefault="003B6E1C" w:rsidP="00E77901">
            <w:pPr>
              <w:pStyle w:val="TextTi10"/>
              <w:ind w:left="240"/>
              <w:jc w:val="center"/>
              <w:rPr>
                <w:lang w:val="it-IT"/>
              </w:rPr>
            </w:pPr>
          </w:p>
          <w:p w14:paraId="6DB893EE" w14:textId="77777777" w:rsidR="00660B74" w:rsidRPr="00330A40" w:rsidRDefault="00660B74" w:rsidP="00E77901">
            <w:pPr>
              <w:pStyle w:val="TextTi10"/>
              <w:ind w:left="240"/>
              <w:jc w:val="center"/>
              <w:rPr>
                <w:lang w:val="it-IT"/>
              </w:rPr>
            </w:pPr>
            <w:r w:rsidRPr="00330A40">
              <w:rPr>
                <w:lang w:val="it-IT"/>
              </w:rPr>
              <w:t>13,6</w:t>
            </w:r>
          </w:p>
          <w:p w14:paraId="5D100CCB" w14:textId="77777777" w:rsidR="00660B74" w:rsidRPr="00330A40" w:rsidRDefault="00660B74" w:rsidP="00E77901">
            <w:pPr>
              <w:pStyle w:val="TextTi10"/>
              <w:ind w:left="240"/>
              <w:jc w:val="center"/>
              <w:rPr>
                <w:lang w:val="it-IT"/>
              </w:rPr>
            </w:pPr>
            <w:r w:rsidRPr="00330A40">
              <w:rPr>
                <w:lang w:val="it-IT"/>
              </w:rPr>
              <w:t>(p</w:t>
            </w:r>
            <w:r w:rsidR="006E4D20" w:rsidRPr="00330A40">
              <w:rPr>
                <w:lang w:val="it-IT"/>
              </w:rPr>
              <w:t> </w:t>
            </w:r>
            <w:r w:rsidRPr="00330A40">
              <w:rPr>
                <w:lang w:val="it-IT"/>
              </w:rPr>
              <w:t>=</w:t>
            </w:r>
            <w:r w:rsidR="006E4D20" w:rsidRPr="00330A40">
              <w:rPr>
                <w:lang w:val="it-IT"/>
              </w:rPr>
              <w:t> </w:t>
            </w:r>
            <w:r w:rsidRPr="00330A40">
              <w:rPr>
                <w:lang w:val="it-IT"/>
              </w:rPr>
              <w:t>0,4203)</w:t>
            </w:r>
          </w:p>
          <w:p w14:paraId="4BC7A0FC" w14:textId="77777777" w:rsidR="00660B74" w:rsidRPr="006A2BF9" w:rsidRDefault="00660B74" w:rsidP="00E77901">
            <w:pPr>
              <w:pStyle w:val="TextTi10"/>
              <w:ind w:left="240"/>
              <w:jc w:val="center"/>
              <w:rPr>
                <w:lang w:val="it-IT"/>
              </w:rPr>
            </w:pPr>
          </w:p>
          <w:p w14:paraId="4477CA33" w14:textId="77777777" w:rsidR="00660B74" w:rsidRPr="006A2BF9" w:rsidRDefault="00660B74" w:rsidP="00E77901">
            <w:pPr>
              <w:pStyle w:val="TextTi10"/>
              <w:ind w:left="240"/>
              <w:jc w:val="center"/>
              <w:rPr>
                <w:lang w:val="it-IT"/>
              </w:rPr>
            </w:pPr>
            <w:r w:rsidRPr="006A2BF9">
              <w:rPr>
                <w:lang w:val="it-IT"/>
              </w:rPr>
              <w:t>0,93</w:t>
            </w:r>
          </w:p>
          <w:p w14:paraId="4294DA86" w14:textId="77777777" w:rsidR="00660B74" w:rsidRPr="006A2BF9" w:rsidRDefault="00660B74" w:rsidP="00E77901">
            <w:pPr>
              <w:pStyle w:val="TextTi10"/>
              <w:ind w:left="240"/>
              <w:jc w:val="center"/>
              <w:rPr>
                <w:lang w:val="it-IT"/>
              </w:rPr>
            </w:pPr>
            <w:r w:rsidRPr="006A2BF9">
              <w:rPr>
                <w:lang w:val="it-IT"/>
              </w:rPr>
              <w:t>[0,78; 1,11]</w:t>
            </w:r>
          </w:p>
        </w:tc>
        <w:tc>
          <w:tcPr>
            <w:tcW w:w="1295" w:type="pct"/>
            <w:tcBorders>
              <w:top w:val="single" w:sz="4" w:space="0" w:color="auto"/>
              <w:left w:val="single" w:sz="8" w:space="0" w:color="auto"/>
              <w:bottom w:val="single" w:sz="4" w:space="0" w:color="auto"/>
              <w:right w:val="single" w:sz="8" w:space="0" w:color="auto"/>
            </w:tcBorders>
          </w:tcPr>
          <w:p w14:paraId="639011E8" w14:textId="77777777" w:rsidR="003B6E1C" w:rsidRPr="006A2BF9" w:rsidRDefault="003B6E1C" w:rsidP="00E77901">
            <w:pPr>
              <w:pStyle w:val="TextTi10"/>
              <w:ind w:left="240"/>
              <w:jc w:val="center"/>
              <w:rPr>
                <w:lang w:val="it-IT"/>
              </w:rPr>
            </w:pPr>
          </w:p>
          <w:p w14:paraId="290BD935" w14:textId="77777777" w:rsidR="00660B74" w:rsidRPr="006A2BF9" w:rsidRDefault="00660B74" w:rsidP="00E77901">
            <w:pPr>
              <w:pStyle w:val="TextTi10"/>
              <w:ind w:left="240"/>
              <w:jc w:val="center"/>
              <w:rPr>
                <w:lang w:val="it-IT"/>
              </w:rPr>
            </w:pPr>
            <w:r w:rsidRPr="006A2BF9">
              <w:rPr>
                <w:lang w:val="it-IT"/>
              </w:rPr>
              <w:t>13,4</w:t>
            </w:r>
          </w:p>
          <w:p w14:paraId="46989D9F" w14:textId="77777777" w:rsidR="003B6E1C" w:rsidRPr="006A2BF9" w:rsidRDefault="003B6E1C" w:rsidP="00E77901">
            <w:pPr>
              <w:pStyle w:val="TextTi10"/>
              <w:ind w:left="240"/>
              <w:jc w:val="center"/>
              <w:rPr>
                <w:lang w:val="it-IT"/>
              </w:rPr>
            </w:pPr>
            <w:r w:rsidRPr="006A2BF9">
              <w:rPr>
                <w:lang w:val="it-IT"/>
              </w:rPr>
              <w:t>(</w:t>
            </w:r>
            <w:r w:rsidR="006E4D20" w:rsidRPr="006A2BF9">
              <w:rPr>
                <w:lang w:val="it-IT"/>
              </w:rPr>
              <w:t> </w:t>
            </w:r>
            <w:r w:rsidRPr="006A2BF9">
              <w:rPr>
                <w:lang w:val="it-IT"/>
              </w:rPr>
              <w:t xml:space="preserve"> =</w:t>
            </w:r>
            <w:r w:rsidR="006E4D20" w:rsidRPr="006A2BF9">
              <w:rPr>
                <w:lang w:val="it-IT"/>
              </w:rPr>
              <w:t> </w:t>
            </w:r>
            <w:r w:rsidRPr="006A2BF9">
              <w:rPr>
                <w:lang w:val="it-IT"/>
              </w:rPr>
              <w:t>0,7613)</w:t>
            </w:r>
          </w:p>
          <w:p w14:paraId="67E3AEA8" w14:textId="77777777" w:rsidR="00660B74" w:rsidRPr="006A2BF9" w:rsidRDefault="00660B74" w:rsidP="00E77901">
            <w:pPr>
              <w:pStyle w:val="TextTi10"/>
              <w:ind w:left="240"/>
              <w:jc w:val="center"/>
              <w:rPr>
                <w:lang w:val="it-IT"/>
              </w:rPr>
            </w:pPr>
          </w:p>
          <w:p w14:paraId="24B05154" w14:textId="77777777" w:rsidR="00660B74" w:rsidRPr="006A2BF9" w:rsidRDefault="00660B74" w:rsidP="00E77901">
            <w:pPr>
              <w:pStyle w:val="TextTi10"/>
              <w:ind w:left="240"/>
              <w:jc w:val="center"/>
              <w:rPr>
                <w:lang w:val="it-IT"/>
              </w:rPr>
            </w:pPr>
            <w:r w:rsidRPr="006A2BF9">
              <w:rPr>
                <w:lang w:val="it-IT"/>
              </w:rPr>
              <w:t xml:space="preserve">1,03 </w:t>
            </w:r>
          </w:p>
          <w:p w14:paraId="1B2CC561" w14:textId="77777777" w:rsidR="00660B74" w:rsidRPr="006A2BF9" w:rsidRDefault="00660B74" w:rsidP="00E77901">
            <w:pPr>
              <w:pStyle w:val="TextTi10"/>
              <w:ind w:left="240"/>
              <w:jc w:val="center"/>
              <w:rPr>
                <w:lang w:val="it-IT"/>
              </w:rPr>
            </w:pPr>
            <w:r w:rsidRPr="006A2BF9">
              <w:rPr>
                <w:lang w:val="it-IT"/>
              </w:rPr>
              <w:t>[0,86; 1,23]</w:t>
            </w:r>
          </w:p>
        </w:tc>
      </w:tr>
    </w:tbl>
    <w:p w14:paraId="615B2B4F" w14:textId="77777777" w:rsidR="009C0666" w:rsidRPr="006A2BF9" w:rsidRDefault="009C0666" w:rsidP="009C0666">
      <w:pPr>
        <w:outlineLvl w:val="0"/>
        <w:rPr>
          <w:b/>
          <w:bCs/>
          <w:lang w:val="it-IT"/>
        </w:rPr>
      </w:pPr>
    </w:p>
    <w:p w14:paraId="0199657F" w14:textId="77777777" w:rsidR="00BB195D" w:rsidRPr="006A2BF9" w:rsidRDefault="00BB195D" w:rsidP="00BB195D">
      <w:pPr>
        <w:outlineLvl w:val="0"/>
        <w:rPr>
          <w:bCs/>
          <w:i/>
          <w:lang w:val="it-IT"/>
        </w:rPr>
      </w:pPr>
      <w:r w:rsidRPr="006A2BF9">
        <w:rPr>
          <w:bCs/>
          <w:i/>
          <w:lang w:val="it-IT"/>
        </w:rPr>
        <w:t xml:space="preserve">Trattamento in prima linea </w:t>
      </w:r>
      <w:r w:rsidR="00EB41BA" w:rsidRPr="006A2BF9">
        <w:rPr>
          <w:bCs/>
          <w:i/>
          <w:lang w:val="it-IT"/>
        </w:rPr>
        <w:t xml:space="preserve">del </w:t>
      </w:r>
      <w:r w:rsidRPr="006A2BF9">
        <w:rPr>
          <w:bCs/>
          <w:i/>
          <w:lang w:val="it-IT"/>
        </w:rPr>
        <w:t xml:space="preserve">NSCLC non </w:t>
      </w:r>
      <w:r w:rsidR="00E33BCD" w:rsidRPr="006A2BF9">
        <w:rPr>
          <w:bCs/>
          <w:i/>
          <w:lang w:val="it-IT"/>
        </w:rPr>
        <w:t>squamoso</w:t>
      </w:r>
      <w:r w:rsidR="00E33BCD" w:rsidRPr="006A2BF9">
        <w:rPr>
          <w:bCs/>
          <w:i/>
          <w:u w:val="single"/>
          <w:lang w:val="it-IT"/>
        </w:rPr>
        <w:t xml:space="preserve"> </w:t>
      </w:r>
      <w:r w:rsidRPr="006A2BF9">
        <w:rPr>
          <w:bCs/>
          <w:i/>
          <w:lang w:val="it-IT"/>
        </w:rPr>
        <w:t xml:space="preserve">con mutazioni attivanti dell’EGFR in associazione </w:t>
      </w:r>
      <w:r w:rsidR="00E33BCD" w:rsidRPr="006A2BF9">
        <w:rPr>
          <w:bCs/>
          <w:i/>
          <w:lang w:val="it-IT"/>
        </w:rPr>
        <w:t xml:space="preserve">a </w:t>
      </w:r>
      <w:r w:rsidRPr="006A2BF9">
        <w:rPr>
          <w:bCs/>
          <w:i/>
          <w:lang w:val="it-IT"/>
        </w:rPr>
        <w:t>erlotinib</w:t>
      </w:r>
    </w:p>
    <w:p w14:paraId="74D76CE9" w14:textId="77777777" w:rsidR="00BB195D" w:rsidRPr="006A2BF9" w:rsidRDefault="00BB195D" w:rsidP="00BB195D">
      <w:pPr>
        <w:outlineLvl w:val="0"/>
        <w:rPr>
          <w:bCs/>
          <w:lang w:val="it-IT"/>
        </w:rPr>
      </w:pPr>
    </w:p>
    <w:p w14:paraId="077A1432" w14:textId="77777777" w:rsidR="00BB195D" w:rsidRPr="006A2BF9" w:rsidRDefault="00BB195D" w:rsidP="00BB195D">
      <w:pPr>
        <w:outlineLvl w:val="0"/>
        <w:rPr>
          <w:bCs/>
          <w:i/>
          <w:lang w:val="it-IT"/>
        </w:rPr>
      </w:pPr>
      <w:r w:rsidRPr="006A2BF9">
        <w:rPr>
          <w:bCs/>
          <w:i/>
          <w:lang w:val="it-IT"/>
        </w:rPr>
        <w:t>JO25567</w:t>
      </w:r>
    </w:p>
    <w:p w14:paraId="7165703E" w14:textId="77777777" w:rsidR="00F526B9" w:rsidRPr="006A2BF9" w:rsidRDefault="00BB195D" w:rsidP="00F030E8">
      <w:pPr>
        <w:rPr>
          <w:lang w:val="it-IT"/>
        </w:rPr>
      </w:pPr>
      <w:r w:rsidRPr="006A2BF9">
        <w:rPr>
          <w:lang w:val="it-IT"/>
        </w:rPr>
        <w:t>Lo studio JO25567 è uno studio di fase</w:t>
      </w:r>
      <w:r w:rsidR="00F4321D" w:rsidRPr="006A2BF9">
        <w:rPr>
          <w:lang w:val="it-IT"/>
        </w:rPr>
        <w:t> </w:t>
      </w:r>
      <w:r w:rsidRPr="006A2BF9">
        <w:rPr>
          <w:lang w:val="it-IT"/>
        </w:rPr>
        <w:t xml:space="preserve">II, randomizzato, in aperto e multicentrico che è stato condotto in Giappone al fine di valutare l’efficacia e la sicurezza di </w:t>
      </w:r>
      <w:r w:rsidR="00F4321D" w:rsidRPr="006A2BF9">
        <w:rPr>
          <w:szCs w:val="22"/>
          <w:lang w:val="it-IT"/>
        </w:rPr>
        <w:t>bevacizumab</w:t>
      </w:r>
      <w:r w:rsidR="00F4321D" w:rsidRPr="006A2BF9">
        <w:rPr>
          <w:sz w:val="20"/>
          <w:lang w:val="it-IT"/>
        </w:rPr>
        <w:t xml:space="preserve"> </w:t>
      </w:r>
      <w:r w:rsidRPr="006A2BF9">
        <w:rPr>
          <w:lang w:val="it-IT"/>
        </w:rPr>
        <w:t xml:space="preserve">in associazione </w:t>
      </w:r>
      <w:r w:rsidR="00E33BCD" w:rsidRPr="006A2BF9">
        <w:rPr>
          <w:lang w:val="it-IT"/>
        </w:rPr>
        <w:t xml:space="preserve">a </w:t>
      </w:r>
      <w:r w:rsidRPr="006A2BF9">
        <w:rPr>
          <w:lang w:val="it-IT"/>
        </w:rPr>
        <w:t xml:space="preserve">erlotinib in pazienti affetti da NSCLC non </w:t>
      </w:r>
      <w:r w:rsidR="00E33BCD" w:rsidRPr="006A2BF9">
        <w:rPr>
          <w:lang w:val="it-IT"/>
        </w:rPr>
        <w:t xml:space="preserve">squamoso </w:t>
      </w:r>
      <w:r w:rsidRPr="006A2BF9">
        <w:rPr>
          <w:lang w:val="it-IT"/>
        </w:rPr>
        <w:t>con mutazioni attivanti dell’EGFR</w:t>
      </w:r>
      <w:r w:rsidR="00F526B9" w:rsidRPr="006A2BF9">
        <w:rPr>
          <w:lang w:val="it-IT"/>
        </w:rPr>
        <w:t xml:space="preserve"> (delezione </w:t>
      </w:r>
      <w:r w:rsidR="00743303" w:rsidRPr="006A2BF9">
        <w:rPr>
          <w:lang w:val="it-IT"/>
        </w:rPr>
        <w:t>dell’</w:t>
      </w:r>
      <w:r w:rsidR="00F526B9" w:rsidRPr="006A2BF9">
        <w:rPr>
          <w:lang w:val="it-IT"/>
        </w:rPr>
        <w:t xml:space="preserve">esone 19 o mutazione </w:t>
      </w:r>
      <w:r w:rsidR="00743303" w:rsidRPr="006A2BF9">
        <w:rPr>
          <w:lang w:val="it-IT"/>
        </w:rPr>
        <w:t>dell’</w:t>
      </w:r>
      <w:r w:rsidR="00F526B9" w:rsidRPr="006A2BF9">
        <w:rPr>
          <w:lang w:val="it-IT"/>
        </w:rPr>
        <w:t>esone 21</w:t>
      </w:r>
      <w:r w:rsidR="00371323" w:rsidRPr="006A2BF9">
        <w:rPr>
          <w:lang w:val="it-IT"/>
        </w:rPr>
        <w:t xml:space="preserve"> </w:t>
      </w:r>
      <w:r w:rsidR="00F526B9" w:rsidRPr="006A2BF9">
        <w:rPr>
          <w:lang w:val="it-IT"/>
        </w:rPr>
        <w:t>L858R)</w:t>
      </w:r>
      <w:r w:rsidRPr="006A2BF9">
        <w:rPr>
          <w:lang w:val="it-IT"/>
        </w:rPr>
        <w:t xml:space="preserve"> non precedentemente sottoposti a terapia sistemica per malattia in stadio IIIB/IV o ricorrente.</w:t>
      </w:r>
    </w:p>
    <w:p w14:paraId="5B8FEF8F" w14:textId="77777777" w:rsidR="009E2C4B" w:rsidRPr="006A2BF9" w:rsidRDefault="009E2C4B" w:rsidP="00F030E8">
      <w:pPr>
        <w:rPr>
          <w:lang w:val="it-IT"/>
        </w:rPr>
      </w:pPr>
    </w:p>
    <w:p w14:paraId="3BE636AA" w14:textId="77777777" w:rsidR="00BB195D" w:rsidRPr="006A2BF9" w:rsidRDefault="00BB195D" w:rsidP="00F030E8">
      <w:pPr>
        <w:rPr>
          <w:lang w:val="it-IT"/>
        </w:rPr>
      </w:pPr>
      <w:r w:rsidRPr="006A2BF9">
        <w:rPr>
          <w:lang w:val="it-IT"/>
        </w:rPr>
        <w:t xml:space="preserve">L’endpoint primario era la PFS basata su una valutazione indipendente. Tra gli endpoint secondari figuravano </w:t>
      </w:r>
      <w:r w:rsidR="004C45F5">
        <w:rPr>
          <w:lang w:val="it-IT"/>
        </w:rPr>
        <w:t>OS</w:t>
      </w:r>
      <w:r w:rsidRPr="006A2BF9">
        <w:rPr>
          <w:lang w:val="it-IT"/>
        </w:rPr>
        <w:t xml:space="preserve">, tasso di risposta, tasso di controllo della </w:t>
      </w:r>
      <w:r w:rsidR="00F526B9" w:rsidRPr="006A2BF9">
        <w:rPr>
          <w:lang w:val="it-IT"/>
        </w:rPr>
        <w:t>malattia, durata della risposta e</w:t>
      </w:r>
      <w:r w:rsidRPr="006A2BF9">
        <w:rPr>
          <w:lang w:val="it-IT"/>
        </w:rPr>
        <w:t xml:space="preserve"> sicurezza.</w:t>
      </w:r>
    </w:p>
    <w:p w14:paraId="09CBD8F3" w14:textId="77777777" w:rsidR="009E2C4B" w:rsidRPr="006A2BF9" w:rsidRDefault="009E2C4B" w:rsidP="00F030E8">
      <w:pPr>
        <w:rPr>
          <w:lang w:val="it-IT"/>
        </w:rPr>
      </w:pPr>
    </w:p>
    <w:p w14:paraId="6C4E96CD" w14:textId="5574D123" w:rsidR="00BB195D" w:rsidRPr="006A2BF9" w:rsidRDefault="00BB195D" w:rsidP="00F030E8">
      <w:pPr>
        <w:rPr>
          <w:lang w:val="it-IT"/>
        </w:rPr>
      </w:pPr>
      <w:r w:rsidRPr="006A2BF9">
        <w:rPr>
          <w:lang w:val="it-IT"/>
        </w:rPr>
        <w:t>Lo stato mutazionale di EGFR è stato determinato per ciascun paziente prima della fase di screening e 154</w:t>
      </w:r>
      <w:r w:rsidR="00772EE7" w:rsidRPr="006A2BF9">
        <w:rPr>
          <w:lang w:val="it-IT"/>
        </w:rPr>
        <w:t> </w:t>
      </w:r>
      <w:r w:rsidRPr="006A2BF9">
        <w:rPr>
          <w:lang w:val="it-IT"/>
        </w:rPr>
        <w:t>soggetti sono stati randomizzati al trattamento con erlotinib</w:t>
      </w:r>
      <w:r w:rsidR="006E4D20" w:rsidRPr="006A2BF9">
        <w:rPr>
          <w:lang w:val="it-IT"/>
        </w:rPr>
        <w:t> </w:t>
      </w:r>
      <w:r w:rsidRPr="006A2BF9">
        <w:rPr>
          <w:lang w:val="it-IT"/>
        </w:rPr>
        <w:t>+</w:t>
      </w:r>
      <w:r w:rsidR="006E4D20" w:rsidRPr="006A2BF9">
        <w:rPr>
          <w:lang w:val="it-IT"/>
        </w:rPr>
        <w:t> </w:t>
      </w:r>
      <w:r w:rsidR="00772EE7" w:rsidRPr="006A2BF9">
        <w:rPr>
          <w:szCs w:val="22"/>
          <w:lang w:val="it-IT"/>
        </w:rPr>
        <w:t>bevacizumab</w:t>
      </w:r>
      <w:r w:rsidR="00772EE7" w:rsidRPr="006A2BF9" w:rsidDel="00772EE7">
        <w:rPr>
          <w:lang w:val="it-IT"/>
        </w:rPr>
        <w:t xml:space="preserve"> </w:t>
      </w:r>
      <w:r w:rsidRPr="006A2BF9">
        <w:rPr>
          <w:lang w:val="it-IT"/>
        </w:rPr>
        <w:t>(erlotinib 150</w:t>
      </w:r>
      <w:r w:rsidR="00772EE7" w:rsidRPr="006A2BF9">
        <w:rPr>
          <w:lang w:val="it-IT"/>
        </w:rPr>
        <w:t> </w:t>
      </w:r>
      <w:r w:rsidRPr="006A2BF9">
        <w:rPr>
          <w:lang w:val="it-IT"/>
        </w:rPr>
        <w:t>mg tutti i giorni per via orale</w:t>
      </w:r>
      <w:r w:rsidR="006E4D20" w:rsidRPr="006A2BF9">
        <w:rPr>
          <w:lang w:val="it-IT"/>
        </w:rPr>
        <w:t> </w:t>
      </w:r>
      <w:r w:rsidRPr="006A2BF9">
        <w:rPr>
          <w:lang w:val="it-IT"/>
        </w:rPr>
        <w:t>+</w:t>
      </w:r>
      <w:r w:rsidR="006E4D20" w:rsidRPr="006A2BF9">
        <w:rPr>
          <w:lang w:val="it-IT"/>
        </w:rPr>
        <w:t> </w:t>
      </w:r>
      <w:r w:rsidR="00772EE7" w:rsidRPr="006A2BF9">
        <w:rPr>
          <w:szCs w:val="22"/>
          <w:lang w:val="it-IT"/>
        </w:rPr>
        <w:t>bevacizumab</w:t>
      </w:r>
      <w:r w:rsidR="00772EE7" w:rsidRPr="006A2BF9" w:rsidDel="00772EE7">
        <w:rPr>
          <w:lang w:val="it-IT"/>
        </w:rPr>
        <w:t xml:space="preserve"> </w:t>
      </w:r>
      <w:r w:rsidRPr="006A2BF9">
        <w:rPr>
          <w:lang w:val="it-IT"/>
        </w:rPr>
        <w:t>[15</w:t>
      </w:r>
      <w:r w:rsidR="00772EE7" w:rsidRPr="006A2BF9">
        <w:rPr>
          <w:lang w:val="it-IT"/>
        </w:rPr>
        <w:t> </w:t>
      </w:r>
      <w:r w:rsidRPr="006A2BF9">
        <w:rPr>
          <w:lang w:val="it-IT"/>
        </w:rPr>
        <w:t xml:space="preserve">mg/kg </w:t>
      </w:r>
      <w:r w:rsidR="00062D61">
        <w:rPr>
          <w:lang w:val="it-IT"/>
        </w:rPr>
        <w:t>per via endovenosa</w:t>
      </w:r>
      <w:r w:rsidRPr="006A2BF9">
        <w:rPr>
          <w:lang w:val="it-IT"/>
        </w:rPr>
        <w:t xml:space="preserve"> ogni 3</w:t>
      </w:r>
      <w:r w:rsidR="00772EE7" w:rsidRPr="006A2BF9">
        <w:rPr>
          <w:lang w:val="it-IT"/>
        </w:rPr>
        <w:t> </w:t>
      </w:r>
      <w:r w:rsidRPr="006A2BF9">
        <w:rPr>
          <w:lang w:val="it-IT"/>
        </w:rPr>
        <w:t>settimane]) o erlotinib in monoterapia (150</w:t>
      </w:r>
      <w:r w:rsidR="00772EE7" w:rsidRPr="006A2BF9">
        <w:rPr>
          <w:lang w:val="it-IT"/>
        </w:rPr>
        <w:t> </w:t>
      </w:r>
      <w:r w:rsidRPr="006A2BF9">
        <w:rPr>
          <w:lang w:val="it-IT"/>
        </w:rPr>
        <w:t>mg tutti i giorni per via orale) fino a progressione della malattia (PD) o insorgenza di tossicità inaccettabile. In assenza di PD, come specificato nel protocollo dello studio, l’interruzione della somministrazione di un componente del trattamento in studio del braccio erlotinib</w:t>
      </w:r>
      <w:r w:rsidR="006E4D20" w:rsidRPr="006A2BF9">
        <w:rPr>
          <w:lang w:val="it-IT"/>
        </w:rPr>
        <w:t> </w:t>
      </w:r>
      <w:r w:rsidRPr="006A2BF9">
        <w:rPr>
          <w:lang w:val="it-IT"/>
        </w:rPr>
        <w:t>+</w:t>
      </w:r>
      <w:r w:rsidR="006E4D20" w:rsidRPr="006A2BF9">
        <w:rPr>
          <w:lang w:val="it-IT"/>
        </w:rPr>
        <w:t> </w:t>
      </w:r>
      <w:r w:rsidR="00772EE7" w:rsidRPr="006A2BF9">
        <w:rPr>
          <w:szCs w:val="22"/>
          <w:lang w:val="it-IT"/>
        </w:rPr>
        <w:t>bevacizumab</w:t>
      </w:r>
      <w:r w:rsidR="00772EE7" w:rsidRPr="006A2BF9" w:rsidDel="00772EE7">
        <w:rPr>
          <w:lang w:val="it-IT"/>
        </w:rPr>
        <w:t xml:space="preserve"> </w:t>
      </w:r>
      <w:r w:rsidRPr="006A2BF9">
        <w:rPr>
          <w:lang w:val="it-IT"/>
        </w:rPr>
        <w:t>non ha determinato la sospensione dell’altro componente di tale terapia.</w:t>
      </w:r>
    </w:p>
    <w:p w14:paraId="1DFC1CFA" w14:textId="77777777" w:rsidR="009E2C4B" w:rsidRPr="006A2BF9" w:rsidRDefault="009E2C4B" w:rsidP="00F030E8">
      <w:pPr>
        <w:rPr>
          <w:lang w:val="it-IT"/>
        </w:rPr>
      </w:pPr>
    </w:p>
    <w:p w14:paraId="6BF068E0" w14:textId="77777777" w:rsidR="00BB195D" w:rsidRPr="006A2BF9" w:rsidRDefault="00BB195D" w:rsidP="00F030E8">
      <w:pPr>
        <w:rPr>
          <w:lang w:val="it-IT"/>
        </w:rPr>
      </w:pPr>
      <w:r w:rsidRPr="006A2BF9">
        <w:rPr>
          <w:lang w:val="it-IT"/>
        </w:rPr>
        <w:lastRenderedPageBreak/>
        <w:t>I risultati di efficacia dello studio sono illustrati nella tabella</w:t>
      </w:r>
      <w:r w:rsidR="00772EE7" w:rsidRPr="006A2BF9">
        <w:rPr>
          <w:lang w:val="it-IT"/>
        </w:rPr>
        <w:t> </w:t>
      </w:r>
      <w:r w:rsidRPr="006A2BF9">
        <w:rPr>
          <w:lang w:val="it-IT"/>
        </w:rPr>
        <w:t>14.</w:t>
      </w:r>
    </w:p>
    <w:p w14:paraId="00F45336" w14:textId="77777777" w:rsidR="00907F59" w:rsidRPr="006A2BF9" w:rsidRDefault="00907F59" w:rsidP="00907F59">
      <w:pPr>
        <w:rPr>
          <w:lang w:val="it-IT"/>
        </w:rPr>
      </w:pPr>
    </w:p>
    <w:p w14:paraId="3828FF95" w14:textId="77777777" w:rsidR="00BB195D" w:rsidRPr="006A2BF9" w:rsidRDefault="00BB195D" w:rsidP="001A214C">
      <w:pPr>
        <w:keepNext/>
        <w:spacing w:line="280" w:lineRule="atLeast"/>
        <w:ind w:left="1701" w:hanging="1701"/>
        <w:outlineLvl w:val="4"/>
        <w:rPr>
          <w:b/>
          <w:lang w:val="it-IT"/>
        </w:rPr>
      </w:pPr>
      <w:r w:rsidRPr="006A2BF9">
        <w:rPr>
          <w:b/>
          <w:lang w:val="it-IT"/>
        </w:rPr>
        <w:t>Tabella 14</w:t>
      </w:r>
      <w:r w:rsidRPr="006A2BF9">
        <w:rPr>
          <w:b/>
          <w:lang w:val="it-IT"/>
        </w:rPr>
        <w:tab/>
        <w:t>Risultati di efficacia dello studio JO25567</w:t>
      </w: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BB195D" w:rsidRPr="006A2BF9" w14:paraId="53B5FFD9" w14:textId="77777777" w:rsidTr="00C65E97">
        <w:tc>
          <w:tcPr>
            <w:tcW w:w="5173" w:type="dxa"/>
            <w:tcBorders>
              <w:top w:val="single" w:sz="6" w:space="0" w:color="000000"/>
              <w:left w:val="single" w:sz="4" w:space="0" w:color="auto"/>
              <w:bottom w:val="single" w:sz="4" w:space="0" w:color="auto"/>
            </w:tcBorders>
            <w:shd w:val="clear" w:color="auto" w:fill="auto"/>
          </w:tcPr>
          <w:p w14:paraId="17E1BD1E" w14:textId="77777777" w:rsidR="00BB195D" w:rsidRPr="00330A40" w:rsidRDefault="00BB195D" w:rsidP="00ED1740">
            <w:pPr>
              <w:keepNext/>
              <w:keepLines/>
              <w:spacing w:before="50" w:after="50" w:line="240" w:lineRule="exact"/>
              <w:rPr>
                <w:rFonts w:eastAsia="SimSun"/>
                <w:sz w:val="20"/>
                <w:lang w:val="it-IT"/>
              </w:rPr>
            </w:pPr>
          </w:p>
        </w:tc>
        <w:tc>
          <w:tcPr>
            <w:tcW w:w="1843" w:type="dxa"/>
            <w:tcBorders>
              <w:top w:val="single" w:sz="6" w:space="0" w:color="000000"/>
              <w:bottom w:val="single" w:sz="6" w:space="0" w:color="000000"/>
            </w:tcBorders>
            <w:shd w:val="clear" w:color="auto" w:fill="auto"/>
          </w:tcPr>
          <w:p w14:paraId="4A20D980" w14:textId="77777777" w:rsidR="00BB195D" w:rsidRPr="00330A40" w:rsidRDefault="00BB195D" w:rsidP="00ED1740">
            <w:pPr>
              <w:keepNext/>
              <w:keepLines/>
              <w:spacing w:before="50" w:after="50" w:line="240" w:lineRule="exact"/>
              <w:jc w:val="center"/>
              <w:rPr>
                <w:rFonts w:eastAsia="SimSun"/>
                <w:b/>
                <w:sz w:val="20"/>
                <w:lang w:val="it-IT"/>
              </w:rPr>
            </w:pPr>
            <w:r w:rsidRPr="00330A40">
              <w:rPr>
                <w:rFonts w:eastAsia="SimSun"/>
                <w:b/>
                <w:sz w:val="20"/>
                <w:lang w:val="it-IT"/>
              </w:rPr>
              <w:t>Erlotinib</w:t>
            </w:r>
          </w:p>
          <w:p w14:paraId="6944E6C7" w14:textId="77777777" w:rsidR="00BB195D" w:rsidRPr="00330A40" w:rsidRDefault="009353FA" w:rsidP="009353FA">
            <w:pPr>
              <w:keepNext/>
              <w:keepLines/>
              <w:spacing w:before="50" w:after="50" w:line="240" w:lineRule="exact"/>
              <w:jc w:val="center"/>
              <w:rPr>
                <w:rFonts w:eastAsia="SimSun"/>
                <w:b/>
                <w:sz w:val="20"/>
                <w:lang w:val="it-IT"/>
              </w:rPr>
            </w:pPr>
            <w:r w:rsidRPr="00330A40">
              <w:rPr>
                <w:rFonts w:eastAsia="SimSun"/>
                <w:b/>
                <w:sz w:val="20"/>
                <w:lang w:val="it-IT"/>
              </w:rPr>
              <w:t>n</w:t>
            </w:r>
            <w:r w:rsidR="006E4D20" w:rsidRPr="00330A40">
              <w:rPr>
                <w:rFonts w:eastAsia="SimSun"/>
                <w:b/>
                <w:sz w:val="20"/>
                <w:lang w:val="it-IT"/>
              </w:rPr>
              <w:t> </w:t>
            </w:r>
            <w:r w:rsidR="00BB195D" w:rsidRPr="00330A40">
              <w:rPr>
                <w:rFonts w:eastAsia="SimSun"/>
                <w:b/>
                <w:sz w:val="20"/>
                <w:lang w:val="it-IT"/>
              </w:rPr>
              <w:t>=</w:t>
            </w:r>
            <w:r w:rsidR="006E4D20" w:rsidRPr="00330A40">
              <w:rPr>
                <w:rFonts w:eastAsia="SimSun"/>
                <w:b/>
                <w:sz w:val="20"/>
                <w:lang w:val="it-IT"/>
              </w:rPr>
              <w:t> </w:t>
            </w:r>
            <w:r w:rsidR="00BB195D" w:rsidRPr="00330A40">
              <w:rPr>
                <w:rFonts w:eastAsia="SimSun"/>
                <w:b/>
                <w:sz w:val="20"/>
                <w:lang w:val="it-IT"/>
              </w:rPr>
              <w:t>77</w:t>
            </w:r>
            <w:r w:rsidR="00BB195D" w:rsidRPr="00330A40">
              <w:rPr>
                <w:rFonts w:eastAsia="SimSun"/>
                <w:b/>
                <w:sz w:val="20"/>
                <w:vertAlign w:val="superscript"/>
                <w:lang w:val="it-IT"/>
              </w:rPr>
              <w:t>#</w:t>
            </w:r>
          </w:p>
        </w:tc>
        <w:tc>
          <w:tcPr>
            <w:tcW w:w="1843" w:type="dxa"/>
            <w:tcBorders>
              <w:top w:val="single" w:sz="6" w:space="0" w:color="000000"/>
              <w:bottom w:val="single" w:sz="6" w:space="0" w:color="000000"/>
              <w:right w:val="single" w:sz="4" w:space="0" w:color="auto"/>
            </w:tcBorders>
            <w:shd w:val="clear" w:color="auto" w:fill="auto"/>
          </w:tcPr>
          <w:p w14:paraId="135653FC" w14:textId="77777777" w:rsidR="00BB195D" w:rsidRPr="006A2BF9" w:rsidRDefault="00BB195D" w:rsidP="00ED1740">
            <w:pPr>
              <w:keepNext/>
              <w:keepLines/>
              <w:spacing w:before="50" w:after="50" w:line="240" w:lineRule="exact"/>
              <w:jc w:val="center"/>
              <w:rPr>
                <w:rFonts w:eastAsia="SimSun"/>
                <w:b/>
                <w:sz w:val="20"/>
                <w:lang w:val="it-IT"/>
              </w:rPr>
            </w:pPr>
            <w:r w:rsidRPr="00330A40">
              <w:rPr>
                <w:rFonts w:eastAsia="SimSun"/>
                <w:b/>
                <w:sz w:val="20"/>
                <w:lang w:val="it-IT"/>
              </w:rPr>
              <w:t>Erlotinib</w:t>
            </w:r>
            <w:r w:rsidR="006E4D20" w:rsidRPr="00330A40">
              <w:rPr>
                <w:rFonts w:eastAsia="SimSun"/>
                <w:b/>
                <w:sz w:val="20"/>
                <w:lang w:val="it-IT"/>
              </w:rPr>
              <w:t> </w:t>
            </w:r>
            <w:r w:rsidRPr="00330A40">
              <w:rPr>
                <w:rFonts w:eastAsia="SimSun"/>
                <w:b/>
                <w:sz w:val="20"/>
                <w:lang w:val="it-IT"/>
              </w:rPr>
              <w:t>+</w:t>
            </w:r>
            <w:r w:rsidR="006E4D20" w:rsidRPr="00330A40">
              <w:rPr>
                <w:rFonts w:eastAsia="SimSun"/>
                <w:b/>
                <w:sz w:val="20"/>
                <w:lang w:val="it-IT"/>
              </w:rPr>
              <w:t> </w:t>
            </w:r>
            <w:r w:rsidR="00772EE7" w:rsidRPr="00330A40">
              <w:rPr>
                <w:b/>
                <w:sz w:val="20"/>
                <w:lang w:val="it-IT"/>
              </w:rPr>
              <w:t>bevacizumab</w:t>
            </w:r>
          </w:p>
          <w:p w14:paraId="71E0AF67" w14:textId="77777777" w:rsidR="00BB195D" w:rsidRPr="006A2BF9" w:rsidRDefault="009353FA" w:rsidP="009353FA">
            <w:pPr>
              <w:keepNext/>
              <w:keepLines/>
              <w:spacing w:before="50" w:after="50" w:line="240" w:lineRule="exact"/>
              <w:jc w:val="center"/>
              <w:rPr>
                <w:rFonts w:eastAsia="SimSun"/>
                <w:b/>
                <w:sz w:val="20"/>
                <w:lang w:val="it-IT"/>
              </w:rPr>
            </w:pPr>
            <w:r w:rsidRPr="006A2BF9">
              <w:rPr>
                <w:rFonts w:eastAsia="SimSun"/>
                <w:b/>
                <w:sz w:val="20"/>
                <w:lang w:val="it-IT"/>
              </w:rPr>
              <w:t>n</w:t>
            </w:r>
            <w:r w:rsidR="006E4D20" w:rsidRPr="006A2BF9">
              <w:rPr>
                <w:rFonts w:eastAsia="SimSun"/>
                <w:b/>
                <w:sz w:val="20"/>
                <w:lang w:val="it-IT"/>
              </w:rPr>
              <w:t> </w:t>
            </w:r>
            <w:r w:rsidR="00BB195D" w:rsidRPr="006A2BF9">
              <w:rPr>
                <w:rFonts w:eastAsia="SimSun"/>
                <w:b/>
                <w:sz w:val="20"/>
                <w:lang w:val="it-IT"/>
              </w:rPr>
              <w:t>=</w:t>
            </w:r>
            <w:r w:rsidR="006E4D20" w:rsidRPr="006A2BF9">
              <w:rPr>
                <w:rFonts w:eastAsia="SimSun"/>
                <w:b/>
                <w:sz w:val="20"/>
                <w:lang w:val="it-IT"/>
              </w:rPr>
              <w:t> </w:t>
            </w:r>
            <w:r w:rsidR="00BB195D" w:rsidRPr="006A2BF9">
              <w:rPr>
                <w:rFonts w:eastAsia="SimSun"/>
                <w:b/>
                <w:sz w:val="20"/>
                <w:lang w:val="it-IT"/>
              </w:rPr>
              <w:t>75</w:t>
            </w:r>
            <w:r w:rsidR="00BB195D" w:rsidRPr="006A2BF9">
              <w:rPr>
                <w:rFonts w:eastAsia="SimSun"/>
                <w:b/>
                <w:sz w:val="20"/>
                <w:vertAlign w:val="superscript"/>
                <w:lang w:val="it-IT"/>
              </w:rPr>
              <w:t>#</w:t>
            </w:r>
          </w:p>
        </w:tc>
      </w:tr>
      <w:tr w:rsidR="00BB195D" w:rsidRPr="006A2BF9" w14:paraId="4612F79A" w14:textId="77777777" w:rsidTr="00C65E97">
        <w:tc>
          <w:tcPr>
            <w:tcW w:w="5173" w:type="dxa"/>
            <w:tcBorders>
              <w:top w:val="single" w:sz="6" w:space="0" w:color="000000"/>
              <w:left w:val="single" w:sz="4" w:space="0" w:color="auto"/>
              <w:bottom w:val="single" w:sz="4" w:space="0" w:color="auto"/>
            </w:tcBorders>
            <w:shd w:val="clear" w:color="auto" w:fill="auto"/>
          </w:tcPr>
          <w:p w14:paraId="0825045F" w14:textId="77777777" w:rsidR="00BB195D" w:rsidRPr="006A2BF9" w:rsidRDefault="00BB195D" w:rsidP="00ED1740">
            <w:pPr>
              <w:keepNext/>
              <w:keepLines/>
              <w:spacing w:before="50" w:after="50" w:line="240" w:lineRule="exact"/>
              <w:rPr>
                <w:rFonts w:eastAsia="SimSun"/>
                <w:sz w:val="20"/>
                <w:lang w:val="it-IT"/>
              </w:rPr>
            </w:pPr>
            <w:r w:rsidRPr="006A2BF9">
              <w:rPr>
                <w:rFonts w:eastAsia="SimSun"/>
                <w:sz w:val="20"/>
                <w:lang w:val="it-IT"/>
              </w:rPr>
              <w:t>PFS^ (mesi)</w:t>
            </w:r>
          </w:p>
          <w:p w14:paraId="0F257081" w14:textId="77777777" w:rsidR="00BB195D" w:rsidRPr="006A2BF9" w:rsidRDefault="00BB195D" w:rsidP="00F613A4">
            <w:pPr>
              <w:keepNext/>
              <w:keepLines/>
              <w:spacing w:before="50" w:after="50" w:line="240" w:lineRule="exact"/>
              <w:ind w:left="284"/>
              <w:rPr>
                <w:rFonts w:eastAsia="SimSun"/>
                <w:sz w:val="20"/>
                <w:lang w:val="it-IT"/>
              </w:rPr>
            </w:pPr>
            <w:r w:rsidRPr="006A2BF9">
              <w:rPr>
                <w:rFonts w:eastAsia="SimSun"/>
                <w:sz w:val="20"/>
                <w:lang w:val="it-IT"/>
              </w:rPr>
              <w:t>Mediana</w:t>
            </w:r>
          </w:p>
        </w:tc>
        <w:tc>
          <w:tcPr>
            <w:tcW w:w="1843" w:type="dxa"/>
            <w:tcBorders>
              <w:top w:val="single" w:sz="6" w:space="0" w:color="000000"/>
              <w:bottom w:val="nil"/>
            </w:tcBorders>
            <w:shd w:val="clear" w:color="auto" w:fill="auto"/>
          </w:tcPr>
          <w:p w14:paraId="2A59BCFC" w14:textId="77777777" w:rsidR="00BB195D" w:rsidRPr="006A2BF9" w:rsidRDefault="00BB195D" w:rsidP="00ED1740">
            <w:pPr>
              <w:keepNext/>
              <w:keepLines/>
              <w:spacing w:before="50" w:after="50" w:line="240" w:lineRule="exact"/>
              <w:jc w:val="center"/>
              <w:rPr>
                <w:rFonts w:eastAsia="SimSun"/>
                <w:sz w:val="20"/>
                <w:lang w:val="it-IT"/>
              </w:rPr>
            </w:pPr>
          </w:p>
          <w:p w14:paraId="4FB3EB42" w14:textId="77777777" w:rsidR="00BB195D" w:rsidRPr="006A2BF9" w:rsidRDefault="00BB195D" w:rsidP="00ED1740">
            <w:pPr>
              <w:keepNext/>
              <w:keepLines/>
              <w:spacing w:before="50" w:after="50" w:line="240" w:lineRule="exact"/>
              <w:jc w:val="center"/>
              <w:rPr>
                <w:rFonts w:eastAsia="SimSun"/>
                <w:sz w:val="20"/>
                <w:lang w:val="it-IT"/>
              </w:rPr>
            </w:pPr>
            <w:r w:rsidRPr="006A2BF9">
              <w:rPr>
                <w:rFonts w:eastAsia="SimSun"/>
                <w:sz w:val="20"/>
                <w:lang w:val="it-IT"/>
              </w:rPr>
              <w:t>9,7</w:t>
            </w:r>
          </w:p>
        </w:tc>
        <w:tc>
          <w:tcPr>
            <w:tcW w:w="1843" w:type="dxa"/>
            <w:tcBorders>
              <w:top w:val="single" w:sz="6" w:space="0" w:color="000000"/>
              <w:bottom w:val="nil"/>
              <w:right w:val="single" w:sz="4" w:space="0" w:color="auto"/>
            </w:tcBorders>
            <w:shd w:val="clear" w:color="auto" w:fill="auto"/>
          </w:tcPr>
          <w:p w14:paraId="44552967" w14:textId="77777777" w:rsidR="00BB195D" w:rsidRPr="006A2BF9" w:rsidRDefault="00BB195D" w:rsidP="00ED1740">
            <w:pPr>
              <w:keepNext/>
              <w:keepLines/>
              <w:spacing w:before="50" w:after="50" w:line="240" w:lineRule="exact"/>
              <w:jc w:val="center"/>
              <w:rPr>
                <w:rFonts w:eastAsia="SimSun"/>
                <w:sz w:val="20"/>
                <w:lang w:val="it-IT"/>
              </w:rPr>
            </w:pPr>
          </w:p>
          <w:p w14:paraId="122239E0" w14:textId="77777777" w:rsidR="00BB195D" w:rsidRPr="006A2BF9" w:rsidRDefault="00BB195D" w:rsidP="00ED1740">
            <w:pPr>
              <w:keepNext/>
              <w:keepLines/>
              <w:spacing w:before="50" w:after="50" w:line="240" w:lineRule="exact"/>
              <w:jc w:val="center"/>
              <w:rPr>
                <w:rFonts w:eastAsia="SimSun"/>
                <w:sz w:val="20"/>
                <w:lang w:val="it-IT"/>
              </w:rPr>
            </w:pPr>
            <w:r w:rsidRPr="006A2BF9">
              <w:rPr>
                <w:rFonts w:eastAsia="SimSun"/>
                <w:sz w:val="20"/>
                <w:lang w:val="it-IT"/>
              </w:rPr>
              <w:t>16,0</w:t>
            </w:r>
          </w:p>
        </w:tc>
      </w:tr>
      <w:tr w:rsidR="00BB195D" w:rsidRPr="006A2BF9" w14:paraId="5C9984A1" w14:textId="77777777" w:rsidTr="00C65E97">
        <w:tc>
          <w:tcPr>
            <w:tcW w:w="5173" w:type="dxa"/>
            <w:tcBorders>
              <w:top w:val="nil"/>
              <w:left w:val="single" w:sz="4" w:space="0" w:color="auto"/>
              <w:bottom w:val="single" w:sz="4" w:space="0" w:color="auto"/>
            </w:tcBorders>
            <w:shd w:val="clear" w:color="auto" w:fill="auto"/>
          </w:tcPr>
          <w:p w14:paraId="60B1B5BF" w14:textId="77777777" w:rsidR="00BB195D" w:rsidRPr="006A2BF9" w:rsidRDefault="00BB195D" w:rsidP="00ED1740">
            <w:pPr>
              <w:keepNext/>
              <w:keepLines/>
              <w:spacing w:before="50" w:after="50" w:line="240" w:lineRule="exact"/>
              <w:rPr>
                <w:rFonts w:eastAsia="SimSun"/>
                <w:sz w:val="20"/>
                <w:lang w:val="it-IT"/>
              </w:rPr>
            </w:pPr>
            <w:r w:rsidRPr="006A2BF9">
              <w:rPr>
                <w:rFonts w:eastAsia="SimSun"/>
                <w:sz w:val="20"/>
                <w:lang w:val="it-IT"/>
              </w:rPr>
              <w:t>HR (IC al 95%)</w:t>
            </w:r>
          </w:p>
          <w:p w14:paraId="1C964252" w14:textId="77777777" w:rsidR="00BB195D" w:rsidRPr="006A2BF9" w:rsidRDefault="00BB195D" w:rsidP="00F613A4">
            <w:pPr>
              <w:keepNext/>
              <w:keepLines/>
              <w:spacing w:before="50" w:after="50" w:line="240" w:lineRule="exact"/>
              <w:ind w:left="284"/>
              <w:rPr>
                <w:rFonts w:eastAsia="SimSun"/>
                <w:sz w:val="20"/>
                <w:lang w:val="it-IT"/>
              </w:rPr>
            </w:pPr>
            <w:r w:rsidRPr="006A2BF9">
              <w:rPr>
                <w:rFonts w:eastAsia="SimSun"/>
                <w:sz w:val="20"/>
                <w:lang w:val="it-IT"/>
              </w:rPr>
              <w:t>Valore di p</w:t>
            </w:r>
          </w:p>
        </w:tc>
        <w:tc>
          <w:tcPr>
            <w:tcW w:w="3686" w:type="dxa"/>
            <w:gridSpan w:val="2"/>
            <w:tcBorders>
              <w:top w:val="nil"/>
              <w:bottom w:val="single" w:sz="6" w:space="0" w:color="000000"/>
              <w:right w:val="single" w:sz="4" w:space="0" w:color="auto"/>
            </w:tcBorders>
            <w:shd w:val="clear" w:color="auto" w:fill="auto"/>
          </w:tcPr>
          <w:p w14:paraId="4B7B06C6" w14:textId="77777777" w:rsidR="00BB195D" w:rsidRPr="006A2BF9" w:rsidRDefault="00BB195D" w:rsidP="00ED1740">
            <w:pPr>
              <w:keepNext/>
              <w:keepLines/>
              <w:spacing w:before="50" w:after="50" w:line="240" w:lineRule="exact"/>
              <w:jc w:val="center"/>
              <w:rPr>
                <w:rFonts w:eastAsia="SimSun"/>
                <w:sz w:val="20"/>
                <w:lang w:val="it-IT"/>
              </w:rPr>
            </w:pPr>
            <w:r w:rsidRPr="006A2BF9">
              <w:rPr>
                <w:rFonts w:eastAsia="SimSun"/>
                <w:sz w:val="20"/>
                <w:lang w:val="it-IT"/>
              </w:rPr>
              <w:t xml:space="preserve">0,54 (0,36; 0,79) </w:t>
            </w:r>
          </w:p>
          <w:p w14:paraId="49BFC29B" w14:textId="77777777" w:rsidR="00BB195D" w:rsidRPr="006A2BF9" w:rsidRDefault="00BB195D" w:rsidP="00ED1740">
            <w:pPr>
              <w:keepNext/>
              <w:keepLines/>
              <w:spacing w:before="50" w:after="50" w:line="240" w:lineRule="exact"/>
              <w:jc w:val="center"/>
              <w:rPr>
                <w:rFonts w:eastAsia="SimSun"/>
                <w:sz w:val="20"/>
                <w:lang w:val="it-IT"/>
              </w:rPr>
            </w:pPr>
            <w:r w:rsidRPr="006A2BF9">
              <w:rPr>
                <w:rFonts w:eastAsia="SimSun"/>
                <w:sz w:val="20"/>
                <w:lang w:val="it-IT"/>
              </w:rPr>
              <w:t>0,0015</w:t>
            </w:r>
          </w:p>
        </w:tc>
      </w:tr>
      <w:tr w:rsidR="00BB195D" w:rsidRPr="006A2BF9" w14:paraId="304E1185" w14:textId="77777777" w:rsidTr="00C65E97">
        <w:tc>
          <w:tcPr>
            <w:tcW w:w="5173" w:type="dxa"/>
            <w:vMerge w:val="restart"/>
            <w:tcBorders>
              <w:top w:val="single" w:sz="6" w:space="0" w:color="000000"/>
              <w:left w:val="single" w:sz="4" w:space="0" w:color="auto"/>
              <w:bottom w:val="single" w:sz="4" w:space="0" w:color="auto"/>
            </w:tcBorders>
            <w:shd w:val="clear" w:color="auto" w:fill="auto"/>
          </w:tcPr>
          <w:p w14:paraId="088209E8" w14:textId="77777777" w:rsidR="00BB195D" w:rsidRPr="006A2BF9" w:rsidRDefault="00BB195D" w:rsidP="00ED1740">
            <w:pPr>
              <w:keepNext/>
              <w:keepLines/>
              <w:spacing w:before="50" w:after="50" w:line="240" w:lineRule="exact"/>
              <w:rPr>
                <w:rFonts w:eastAsia="SimSun"/>
                <w:sz w:val="20"/>
                <w:lang w:val="it-IT"/>
              </w:rPr>
            </w:pPr>
            <w:r w:rsidRPr="006A2BF9">
              <w:rPr>
                <w:rFonts w:eastAsia="SimSun"/>
                <w:sz w:val="20"/>
                <w:lang w:val="it-IT"/>
              </w:rPr>
              <w:t>Tasso di risposta globale</w:t>
            </w:r>
          </w:p>
          <w:p w14:paraId="7FC2AE98" w14:textId="77777777" w:rsidR="00BB195D" w:rsidRPr="006A2BF9" w:rsidRDefault="00BB195D" w:rsidP="00F613A4">
            <w:pPr>
              <w:keepNext/>
              <w:keepLines/>
              <w:spacing w:before="50" w:after="50" w:line="240" w:lineRule="exact"/>
              <w:ind w:left="284"/>
              <w:rPr>
                <w:rFonts w:eastAsia="SimSun"/>
                <w:sz w:val="20"/>
                <w:lang w:val="it-IT"/>
              </w:rPr>
            </w:pPr>
            <w:r w:rsidRPr="006A2BF9">
              <w:rPr>
                <w:rFonts w:eastAsia="SimSun"/>
                <w:sz w:val="20"/>
                <w:lang w:val="it-IT"/>
              </w:rPr>
              <w:t>Tasso (n)</w:t>
            </w:r>
          </w:p>
          <w:p w14:paraId="6AB0E897" w14:textId="77777777" w:rsidR="00BB195D" w:rsidRPr="006A2BF9" w:rsidRDefault="00BB195D" w:rsidP="00F613A4">
            <w:pPr>
              <w:keepNext/>
              <w:keepLines/>
              <w:spacing w:before="50" w:after="50" w:line="240" w:lineRule="exact"/>
              <w:ind w:left="284"/>
              <w:rPr>
                <w:rFonts w:eastAsia="SimSun"/>
                <w:strike/>
                <w:sz w:val="20"/>
                <w:lang w:val="it-IT"/>
              </w:rPr>
            </w:pPr>
            <w:r w:rsidRPr="006A2BF9">
              <w:rPr>
                <w:rFonts w:eastAsia="SimSun"/>
                <w:sz w:val="20"/>
                <w:lang w:val="it-IT"/>
              </w:rPr>
              <w:t>Valore di p</w:t>
            </w:r>
          </w:p>
        </w:tc>
        <w:tc>
          <w:tcPr>
            <w:tcW w:w="1843" w:type="dxa"/>
            <w:tcBorders>
              <w:top w:val="single" w:sz="6" w:space="0" w:color="000000"/>
              <w:bottom w:val="nil"/>
            </w:tcBorders>
            <w:shd w:val="clear" w:color="auto" w:fill="auto"/>
          </w:tcPr>
          <w:p w14:paraId="1FD7CDF0" w14:textId="77777777" w:rsidR="00BB195D" w:rsidRPr="006A2BF9" w:rsidRDefault="00BB195D" w:rsidP="00ED1740">
            <w:pPr>
              <w:keepNext/>
              <w:keepLines/>
              <w:spacing w:before="50" w:after="50" w:line="240" w:lineRule="exact"/>
              <w:jc w:val="center"/>
              <w:rPr>
                <w:rFonts w:eastAsia="SimSun"/>
                <w:sz w:val="20"/>
                <w:lang w:val="it-IT"/>
              </w:rPr>
            </w:pPr>
          </w:p>
          <w:p w14:paraId="350424F0" w14:textId="77777777" w:rsidR="00BB195D" w:rsidRPr="006A2BF9" w:rsidRDefault="00BB195D" w:rsidP="00ED1740">
            <w:pPr>
              <w:keepNext/>
              <w:keepLines/>
              <w:spacing w:before="50" w:after="50" w:line="240" w:lineRule="exact"/>
              <w:jc w:val="center"/>
              <w:rPr>
                <w:rFonts w:eastAsia="SimSun"/>
                <w:sz w:val="20"/>
                <w:lang w:val="it-IT"/>
              </w:rPr>
            </w:pPr>
            <w:r w:rsidRPr="006A2BF9">
              <w:rPr>
                <w:rFonts w:eastAsia="SimSun"/>
                <w:sz w:val="20"/>
                <w:lang w:val="it-IT"/>
              </w:rPr>
              <w:t>63,6% (49)</w:t>
            </w:r>
          </w:p>
        </w:tc>
        <w:tc>
          <w:tcPr>
            <w:tcW w:w="1843" w:type="dxa"/>
            <w:tcBorders>
              <w:top w:val="single" w:sz="6" w:space="0" w:color="000000"/>
              <w:right w:val="single" w:sz="4" w:space="0" w:color="auto"/>
            </w:tcBorders>
            <w:shd w:val="clear" w:color="auto" w:fill="auto"/>
          </w:tcPr>
          <w:p w14:paraId="7B09E03A" w14:textId="77777777" w:rsidR="00BB195D" w:rsidRPr="006A2BF9" w:rsidRDefault="00BB195D" w:rsidP="00ED1740">
            <w:pPr>
              <w:keepNext/>
              <w:keepLines/>
              <w:spacing w:before="50" w:after="50" w:line="240" w:lineRule="exact"/>
              <w:jc w:val="center"/>
              <w:rPr>
                <w:rFonts w:eastAsia="SimSun"/>
                <w:sz w:val="20"/>
                <w:lang w:val="it-IT"/>
              </w:rPr>
            </w:pPr>
          </w:p>
          <w:p w14:paraId="44EC177E" w14:textId="77777777" w:rsidR="00BB195D" w:rsidRPr="006A2BF9" w:rsidRDefault="00BB195D" w:rsidP="00ED1740">
            <w:pPr>
              <w:keepNext/>
              <w:keepLines/>
              <w:spacing w:before="50" w:after="50" w:line="240" w:lineRule="exact"/>
              <w:jc w:val="center"/>
              <w:rPr>
                <w:rFonts w:eastAsia="SimSun"/>
                <w:sz w:val="20"/>
                <w:lang w:val="it-IT"/>
              </w:rPr>
            </w:pPr>
            <w:r w:rsidRPr="006A2BF9">
              <w:rPr>
                <w:rFonts w:eastAsia="SimSun"/>
                <w:sz w:val="20"/>
                <w:lang w:val="it-IT"/>
              </w:rPr>
              <w:t>69,3% (52)</w:t>
            </w:r>
          </w:p>
        </w:tc>
      </w:tr>
      <w:tr w:rsidR="00BB195D" w:rsidRPr="006A2BF9" w14:paraId="688006E0" w14:textId="77777777" w:rsidTr="00C65E97">
        <w:trPr>
          <w:trHeight w:val="227"/>
        </w:trPr>
        <w:tc>
          <w:tcPr>
            <w:tcW w:w="5173" w:type="dxa"/>
            <w:vMerge/>
            <w:tcBorders>
              <w:left w:val="single" w:sz="4" w:space="0" w:color="auto"/>
              <w:bottom w:val="single" w:sz="4" w:space="0" w:color="auto"/>
            </w:tcBorders>
            <w:shd w:val="clear" w:color="auto" w:fill="auto"/>
          </w:tcPr>
          <w:p w14:paraId="3E02DF80" w14:textId="77777777" w:rsidR="00BB195D" w:rsidRPr="006A2BF9" w:rsidRDefault="00BB195D" w:rsidP="00ED1740">
            <w:pPr>
              <w:keepNext/>
              <w:keepLines/>
              <w:spacing w:before="50" w:after="50" w:line="240" w:lineRule="exact"/>
              <w:rPr>
                <w:rFonts w:eastAsia="SimSun"/>
                <w:sz w:val="20"/>
                <w:lang w:val="it-IT"/>
              </w:rPr>
            </w:pPr>
          </w:p>
        </w:tc>
        <w:tc>
          <w:tcPr>
            <w:tcW w:w="3686" w:type="dxa"/>
            <w:gridSpan w:val="2"/>
            <w:tcBorders>
              <w:top w:val="nil"/>
              <w:bottom w:val="single" w:sz="4" w:space="0" w:color="auto"/>
              <w:right w:val="single" w:sz="4" w:space="0" w:color="auto"/>
            </w:tcBorders>
            <w:shd w:val="clear" w:color="auto" w:fill="auto"/>
          </w:tcPr>
          <w:p w14:paraId="0F451695" w14:textId="77777777" w:rsidR="00BB195D" w:rsidRPr="006A2BF9" w:rsidRDefault="00BB195D" w:rsidP="00ED1740">
            <w:pPr>
              <w:keepNext/>
              <w:keepLines/>
              <w:spacing w:before="50" w:after="50" w:line="240" w:lineRule="exact"/>
              <w:jc w:val="center"/>
              <w:rPr>
                <w:rFonts w:eastAsia="SimSun"/>
                <w:sz w:val="20"/>
                <w:lang w:val="it-IT"/>
              </w:rPr>
            </w:pPr>
            <w:r w:rsidRPr="006A2BF9">
              <w:rPr>
                <w:rFonts w:eastAsia="SimSun"/>
                <w:sz w:val="20"/>
                <w:lang w:val="it-IT"/>
              </w:rPr>
              <w:t>0,4951</w:t>
            </w:r>
          </w:p>
        </w:tc>
      </w:tr>
      <w:tr w:rsidR="00BB195D" w:rsidRPr="006A2BF9" w14:paraId="7C4B8DC6" w14:textId="77777777" w:rsidTr="00C65E97">
        <w:tc>
          <w:tcPr>
            <w:tcW w:w="5173" w:type="dxa"/>
            <w:tcBorders>
              <w:top w:val="single" w:sz="4" w:space="0" w:color="auto"/>
              <w:left w:val="single" w:sz="4" w:space="0" w:color="auto"/>
              <w:bottom w:val="single" w:sz="4" w:space="0" w:color="auto"/>
            </w:tcBorders>
            <w:shd w:val="clear" w:color="auto" w:fill="auto"/>
          </w:tcPr>
          <w:p w14:paraId="1294BAC9" w14:textId="77777777" w:rsidR="00BB195D" w:rsidRPr="006A2BF9" w:rsidRDefault="00BB195D" w:rsidP="00ED1740">
            <w:pPr>
              <w:keepNext/>
              <w:keepLines/>
              <w:spacing w:before="50" w:after="50" w:line="240" w:lineRule="exact"/>
              <w:rPr>
                <w:rFonts w:eastAsia="SimSun"/>
                <w:sz w:val="20"/>
                <w:lang w:val="it-IT"/>
              </w:rPr>
            </w:pPr>
            <w:r w:rsidRPr="006A2BF9">
              <w:rPr>
                <w:rFonts w:eastAsia="SimSun"/>
                <w:sz w:val="20"/>
                <w:lang w:val="it-IT"/>
              </w:rPr>
              <w:t>Sopravvivenza globale* (mesi)</w:t>
            </w:r>
          </w:p>
          <w:p w14:paraId="6ECE6AB6" w14:textId="77777777" w:rsidR="00BB195D" w:rsidRPr="006A2BF9" w:rsidRDefault="00BB195D" w:rsidP="00F613A4">
            <w:pPr>
              <w:keepNext/>
              <w:keepLines/>
              <w:spacing w:before="50" w:after="50" w:line="240" w:lineRule="exact"/>
              <w:ind w:left="284"/>
              <w:rPr>
                <w:rFonts w:eastAsia="SimSun"/>
                <w:strike/>
                <w:sz w:val="20"/>
                <w:lang w:val="it-IT"/>
              </w:rPr>
            </w:pPr>
            <w:r w:rsidRPr="006A2BF9">
              <w:rPr>
                <w:rFonts w:eastAsia="SimSun"/>
                <w:sz w:val="20"/>
                <w:lang w:val="it-IT"/>
              </w:rPr>
              <w:t>Mediana</w:t>
            </w:r>
          </w:p>
        </w:tc>
        <w:tc>
          <w:tcPr>
            <w:tcW w:w="1843" w:type="dxa"/>
            <w:tcBorders>
              <w:top w:val="single" w:sz="4" w:space="0" w:color="auto"/>
              <w:left w:val="single" w:sz="6" w:space="0" w:color="000000"/>
              <w:bottom w:val="nil"/>
            </w:tcBorders>
            <w:shd w:val="clear" w:color="auto" w:fill="auto"/>
          </w:tcPr>
          <w:p w14:paraId="7FE0C312" w14:textId="77777777" w:rsidR="00BB195D" w:rsidRPr="006A2BF9" w:rsidRDefault="00BB195D" w:rsidP="00ED1740">
            <w:pPr>
              <w:keepNext/>
              <w:keepLines/>
              <w:spacing w:before="50" w:after="50" w:line="240" w:lineRule="exact"/>
              <w:jc w:val="center"/>
              <w:rPr>
                <w:rFonts w:eastAsia="SimSun"/>
                <w:sz w:val="20"/>
                <w:lang w:val="it-IT"/>
              </w:rPr>
            </w:pPr>
          </w:p>
          <w:p w14:paraId="6CA88C96" w14:textId="77777777" w:rsidR="00BB195D" w:rsidRPr="006A2BF9" w:rsidRDefault="00AA5AAE" w:rsidP="00ED1740">
            <w:pPr>
              <w:keepNext/>
              <w:keepLines/>
              <w:spacing w:before="50" w:after="50" w:line="240" w:lineRule="exact"/>
              <w:jc w:val="center"/>
              <w:rPr>
                <w:rFonts w:eastAsia="SimSun"/>
                <w:sz w:val="20"/>
                <w:lang w:val="it-IT"/>
              </w:rPr>
            </w:pPr>
            <w:r w:rsidRPr="006A2BF9">
              <w:rPr>
                <w:rFonts w:eastAsia="SimSun"/>
                <w:sz w:val="20"/>
                <w:lang w:val="it-IT"/>
              </w:rPr>
              <w:t>4</w:t>
            </w:r>
            <w:r w:rsidR="00EC7336" w:rsidRPr="006A2BF9">
              <w:rPr>
                <w:rFonts w:eastAsia="SimSun"/>
                <w:sz w:val="20"/>
                <w:lang w:val="it-IT"/>
              </w:rPr>
              <w:t>7,4</w:t>
            </w:r>
          </w:p>
        </w:tc>
        <w:tc>
          <w:tcPr>
            <w:tcW w:w="1843" w:type="dxa"/>
            <w:tcBorders>
              <w:top w:val="single" w:sz="4" w:space="0" w:color="auto"/>
              <w:bottom w:val="nil"/>
              <w:right w:val="single" w:sz="4" w:space="0" w:color="auto"/>
            </w:tcBorders>
            <w:shd w:val="clear" w:color="auto" w:fill="auto"/>
          </w:tcPr>
          <w:p w14:paraId="19264ADC" w14:textId="77777777" w:rsidR="00BB195D" w:rsidRPr="006A2BF9" w:rsidRDefault="00BB195D" w:rsidP="00ED1740">
            <w:pPr>
              <w:keepNext/>
              <w:keepLines/>
              <w:spacing w:before="50" w:after="50" w:line="240" w:lineRule="exact"/>
              <w:jc w:val="center"/>
              <w:rPr>
                <w:rFonts w:eastAsia="SimSun"/>
                <w:sz w:val="20"/>
                <w:lang w:val="it-IT"/>
              </w:rPr>
            </w:pPr>
          </w:p>
          <w:p w14:paraId="6D1290D8" w14:textId="77777777" w:rsidR="000D7E7E" w:rsidRPr="006A2BF9" w:rsidRDefault="00AA5AAE" w:rsidP="00AA5AAE">
            <w:pPr>
              <w:keepNext/>
              <w:keepLines/>
              <w:spacing w:before="50" w:after="50" w:line="240" w:lineRule="exact"/>
              <w:rPr>
                <w:rFonts w:eastAsia="SimSun"/>
                <w:sz w:val="20"/>
                <w:lang w:val="it-IT"/>
              </w:rPr>
            </w:pPr>
            <w:r w:rsidRPr="006A2BF9">
              <w:rPr>
                <w:rFonts w:eastAsia="SimSun"/>
                <w:sz w:val="20"/>
                <w:lang w:val="it-IT"/>
              </w:rPr>
              <w:t xml:space="preserve">           4</w:t>
            </w:r>
            <w:r w:rsidR="00EC7336" w:rsidRPr="006A2BF9">
              <w:rPr>
                <w:rFonts w:eastAsia="SimSun"/>
                <w:sz w:val="20"/>
                <w:lang w:val="it-IT"/>
              </w:rPr>
              <w:t>7,0</w:t>
            </w:r>
          </w:p>
        </w:tc>
      </w:tr>
      <w:tr w:rsidR="00BB195D" w:rsidRPr="006A2BF9" w14:paraId="32D0F868" w14:textId="77777777" w:rsidTr="00C65E97">
        <w:tc>
          <w:tcPr>
            <w:tcW w:w="5173" w:type="dxa"/>
            <w:vMerge w:val="restart"/>
            <w:tcBorders>
              <w:top w:val="nil"/>
              <w:left w:val="single" w:sz="4" w:space="0" w:color="auto"/>
              <w:bottom w:val="single" w:sz="4" w:space="0" w:color="auto"/>
            </w:tcBorders>
            <w:shd w:val="clear" w:color="auto" w:fill="auto"/>
          </w:tcPr>
          <w:p w14:paraId="798AE6ED" w14:textId="77777777" w:rsidR="00BB195D" w:rsidRPr="006A2BF9" w:rsidRDefault="00BB195D" w:rsidP="00F613A4">
            <w:pPr>
              <w:keepNext/>
              <w:keepLines/>
              <w:spacing w:before="50" w:after="50" w:line="240" w:lineRule="exact"/>
              <w:ind w:left="284"/>
              <w:rPr>
                <w:rFonts w:eastAsia="SimSun"/>
                <w:sz w:val="20"/>
                <w:lang w:val="it-IT"/>
              </w:rPr>
            </w:pPr>
            <w:r w:rsidRPr="006A2BF9">
              <w:rPr>
                <w:rFonts w:eastAsia="SimSun"/>
                <w:sz w:val="20"/>
                <w:lang w:val="it-IT"/>
              </w:rPr>
              <w:t>HR (IC al 95%)</w:t>
            </w:r>
          </w:p>
          <w:p w14:paraId="60CA17FE" w14:textId="77777777" w:rsidR="00BB195D" w:rsidRPr="006A2BF9" w:rsidRDefault="00BB195D" w:rsidP="00F613A4">
            <w:pPr>
              <w:keepNext/>
              <w:keepLines/>
              <w:spacing w:before="50" w:after="50" w:line="240" w:lineRule="exact"/>
              <w:ind w:left="284"/>
              <w:rPr>
                <w:rFonts w:eastAsia="SimSun"/>
                <w:b/>
                <w:sz w:val="20"/>
                <w:lang w:val="it-IT"/>
              </w:rPr>
            </w:pPr>
            <w:r w:rsidRPr="006A2BF9">
              <w:rPr>
                <w:rFonts w:eastAsia="SimSun"/>
                <w:sz w:val="20"/>
                <w:lang w:val="it-IT"/>
              </w:rPr>
              <w:t>Valore di p</w:t>
            </w:r>
          </w:p>
        </w:tc>
        <w:tc>
          <w:tcPr>
            <w:tcW w:w="3686" w:type="dxa"/>
            <w:gridSpan w:val="2"/>
            <w:tcBorders>
              <w:top w:val="nil"/>
              <w:bottom w:val="nil"/>
              <w:right w:val="single" w:sz="4" w:space="0" w:color="auto"/>
            </w:tcBorders>
            <w:shd w:val="clear" w:color="auto" w:fill="auto"/>
          </w:tcPr>
          <w:p w14:paraId="44075BE4" w14:textId="77777777" w:rsidR="00AA5AAE" w:rsidRPr="006A2BF9" w:rsidRDefault="00EC7336" w:rsidP="00AA5AAE">
            <w:pPr>
              <w:pStyle w:val="TableCell10Center"/>
              <w:rPr>
                <w:rFonts w:ascii="Times New Roman" w:hAnsi="Times New Roman"/>
                <w:szCs w:val="20"/>
                <w:lang w:val="it-IT" w:eastAsia="ja-JP"/>
              </w:rPr>
            </w:pPr>
            <w:r w:rsidRPr="006A2BF9">
              <w:rPr>
                <w:rFonts w:ascii="Times New Roman" w:hAnsi="Times New Roman"/>
                <w:szCs w:val="20"/>
                <w:lang w:val="it-IT" w:eastAsia="ja-JP"/>
              </w:rPr>
              <w:t>0,81 (0,53; 1,23)</w:t>
            </w:r>
          </w:p>
          <w:p w14:paraId="695D13E4" w14:textId="77777777" w:rsidR="00BB195D" w:rsidRPr="006A2BF9" w:rsidRDefault="00EC7336" w:rsidP="00EC7336">
            <w:pPr>
              <w:keepNext/>
              <w:keepLines/>
              <w:spacing w:before="50" w:after="50" w:line="240" w:lineRule="exact"/>
              <w:jc w:val="center"/>
              <w:rPr>
                <w:rFonts w:eastAsia="SimSun"/>
                <w:sz w:val="20"/>
                <w:lang w:val="it-IT"/>
              </w:rPr>
            </w:pPr>
            <w:r w:rsidRPr="006A2BF9">
              <w:rPr>
                <w:sz w:val="20"/>
                <w:lang w:val="it-IT"/>
              </w:rPr>
              <w:t>0,3267</w:t>
            </w:r>
          </w:p>
        </w:tc>
      </w:tr>
      <w:tr w:rsidR="00BB195D" w:rsidRPr="006A2BF9" w14:paraId="7EFDB068" w14:textId="77777777" w:rsidTr="00C65E97">
        <w:tc>
          <w:tcPr>
            <w:tcW w:w="5173" w:type="dxa"/>
            <w:vMerge/>
            <w:tcBorders>
              <w:left w:val="single" w:sz="4" w:space="0" w:color="auto"/>
              <w:bottom w:val="single" w:sz="4" w:space="0" w:color="auto"/>
              <w:right w:val="single" w:sz="6" w:space="0" w:color="000000"/>
            </w:tcBorders>
            <w:shd w:val="clear" w:color="auto" w:fill="auto"/>
          </w:tcPr>
          <w:p w14:paraId="15D67ACF" w14:textId="77777777" w:rsidR="00BB195D" w:rsidRPr="006A2BF9" w:rsidRDefault="00BB195D" w:rsidP="00ED1740">
            <w:pPr>
              <w:keepNext/>
              <w:keepLines/>
              <w:spacing w:before="50" w:after="50" w:line="240" w:lineRule="exact"/>
              <w:rPr>
                <w:rFonts w:eastAsia="SimSun"/>
                <w:sz w:val="20"/>
                <w:lang w:val="it-IT"/>
              </w:rPr>
            </w:pPr>
          </w:p>
        </w:tc>
        <w:tc>
          <w:tcPr>
            <w:tcW w:w="3686" w:type="dxa"/>
            <w:gridSpan w:val="2"/>
            <w:tcBorders>
              <w:top w:val="nil"/>
              <w:left w:val="single" w:sz="6" w:space="0" w:color="000000"/>
              <w:bottom w:val="single" w:sz="4" w:space="0" w:color="auto"/>
              <w:right w:val="single" w:sz="4" w:space="0" w:color="auto"/>
            </w:tcBorders>
            <w:shd w:val="clear" w:color="auto" w:fill="auto"/>
          </w:tcPr>
          <w:p w14:paraId="6032268C" w14:textId="77777777" w:rsidR="00BB195D" w:rsidRPr="006A2BF9" w:rsidRDefault="00BB195D" w:rsidP="00ED1740">
            <w:pPr>
              <w:keepNext/>
              <w:keepLines/>
              <w:spacing w:before="50" w:after="50" w:line="240" w:lineRule="exact"/>
              <w:jc w:val="center"/>
              <w:rPr>
                <w:rFonts w:eastAsia="SimSun"/>
                <w:sz w:val="20"/>
                <w:lang w:val="it-IT"/>
              </w:rPr>
            </w:pPr>
          </w:p>
        </w:tc>
      </w:tr>
    </w:tbl>
    <w:p w14:paraId="65658708" w14:textId="77777777" w:rsidR="00BB195D" w:rsidRPr="006A2BF9" w:rsidRDefault="00BB195D" w:rsidP="00C65E97">
      <w:pPr>
        <w:keepNext/>
        <w:keepLines/>
        <w:ind w:left="243" w:hanging="215"/>
        <w:rPr>
          <w:rFonts w:eastAsia="SimSun"/>
          <w:sz w:val="20"/>
          <w:lang w:val="it-IT" w:eastAsia="zh-CN" w:bidi="en-US"/>
        </w:rPr>
      </w:pPr>
      <w:r w:rsidRPr="006A2BF9">
        <w:rPr>
          <w:rFonts w:eastAsia="SimSun"/>
          <w:sz w:val="20"/>
          <w:lang w:val="it-IT" w:eastAsia="zh-CN" w:bidi="en-US"/>
        </w:rPr>
        <w:t># Complessivamente sono stati randomizzati 154</w:t>
      </w:r>
      <w:r w:rsidR="006E4D20" w:rsidRPr="006A2BF9">
        <w:rPr>
          <w:rFonts w:eastAsia="SimSun"/>
          <w:sz w:val="20"/>
          <w:lang w:val="it-IT" w:eastAsia="zh-CN" w:bidi="en-US"/>
        </w:rPr>
        <w:t> </w:t>
      </w:r>
      <w:r w:rsidRPr="006A2BF9">
        <w:rPr>
          <w:rFonts w:eastAsia="SimSun"/>
          <w:sz w:val="20"/>
          <w:lang w:val="it-IT" w:eastAsia="zh-CN" w:bidi="en-US"/>
        </w:rPr>
        <w:t>pazienti (ECOG PS 0 o 1). Due dei soggetti randomizzati hanno tuttavia interrotto la sperimentazione prima che venisse somministrato il trattamento in studio.</w:t>
      </w:r>
    </w:p>
    <w:p w14:paraId="02FA247D" w14:textId="77777777" w:rsidR="00BB195D" w:rsidRPr="006A2BF9" w:rsidRDefault="00BB195D" w:rsidP="00C65E97">
      <w:pPr>
        <w:keepNext/>
        <w:keepLines/>
        <w:ind w:left="243" w:hanging="215"/>
        <w:rPr>
          <w:rFonts w:eastAsia="SimSun"/>
          <w:sz w:val="20"/>
          <w:lang w:val="it-IT"/>
        </w:rPr>
      </w:pPr>
      <w:r w:rsidRPr="006A2BF9">
        <w:rPr>
          <w:rFonts w:eastAsia="SimSun"/>
          <w:sz w:val="20"/>
          <w:lang w:val="it-IT"/>
        </w:rPr>
        <w:t>^ Revisione indipendente in cieco (analisi primaria definita dal protocollo).</w:t>
      </w:r>
    </w:p>
    <w:p w14:paraId="51567613" w14:textId="77777777" w:rsidR="00EC7336" w:rsidRPr="006A2BF9" w:rsidRDefault="00EC7336" w:rsidP="00C65E97">
      <w:pPr>
        <w:keepNext/>
        <w:keepLines/>
        <w:ind w:left="243" w:hanging="215"/>
        <w:rPr>
          <w:rFonts w:eastAsia="SimSun"/>
          <w:sz w:val="20"/>
          <w:lang w:val="it-IT"/>
        </w:rPr>
      </w:pPr>
      <w:r w:rsidRPr="006A2BF9">
        <w:rPr>
          <w:rFonts w:eastAsia="SimSun"/>
          <w:sz w:val="20"/>
          <w:lang w:val="it-IT"/>
        </w:rPr>
        <w:t>*Analisi esplorativa: analisi finale della OS al cut-off clinico del 31 ottobre 2017</w:t>
      </w:r>
      <w:r w:rsidR="0016264D" w:rsidRPr="006A2BF9">
        <w:rPr>
          <w:rFonts w:eastAsia="SimSun"/>
          <w:sz w:val="20"/>
          <w:lang w:val="it-IT"/>
        </w:rPr>
        <w:t>;</w:t>
      </w:r>
      <w:r w:rsidRPr="006A2BF9">
        <w:rPr>
          <w:rFonts w:eastAsia="SimSun"/>
          <w:sz w:val="20"/>
          <w:lang w:val="it-IT"/>
        </w:rPr>
        <w:t xml:space="preserve"> è stato osservato il decesso di circa il 59% dei pazienti.</w:t>
      </w:r>
    </w:p>
    <w:p w14:paraId="7CFC8640" w14:textId="77777777" w:rsidR="00BB195D" w:rsidRPr="00330A40" w:rsidRDefault="00BB195D" w:rsidP="00C65E97">
      <w:pPr>
        <w:keepNext/>
        <w:keepLines/>
        <w:ind w:left="243" w:hanging="215"/>
        <w:rPr>
          <w:rFonts w:eastAsia="SimSun"/>
          <w:sz w:val="20"/>
          <w:lang w:val="it-IT"/>
        </w:rPr>
      </w:pPr>
      <w:r w:rsidRPr="006A2BF9">
        <w:rPr>
          <w:rFonts w:eastAsia="SimSun"/>
          <w:sz w:val="20"/>
          <w:lang w:val="it-IT"/>
        </w:rPr>
        <w:t xml:space="preserve">IC, intervallo di confidenza; HR, </w:t>
      </w:r>
      <w:r w:rsidRPr="000F0246">
        <w:rPr>
          <w:rFonts w:eastAsia="SimSun"/>
          <w:i/>
          <w:sz w:val="20"/>
          <w:lang w:val="it-IT"/>
        </w:rPr>
        <w:t>hazard ratio</w:t>
      </w:r>
      <w:r w:rsidRPr="00330A40">
        <w:rPr>
          <w:rFonts w:eastAsia="SimSun"/>
          <w:sz w:val="20"/>
          <w:lang w:val="it-IT"/>
        </w:rPr>
        <w:t xml:space="preserve"> dell’analisi di regressione di Cox non stratificata; NR, non raggiunta.</w:t>
      </w:r>
    </w:p>
    <w:p w14:paraId="7EB743CD" w14:textId="77777777" w:rsidR="00BB195D" w:rsidRPr="00330A40" w:rsidRDefault="00BB195D" w:rsidP="00321ACD">
      <w:pPr>
        <w:keepNext/>
        <w:rPr>
          <w:i/>
          <w:lang w:val="it-IT"/>
        </w:rPr>
      </w:pPr>
    </w:p>
    <w:p w14:paraId="57B107BB" w14:textId="77777777" w:rsidR="009C0666" w:rsidRPr="00330A40" w:rsidRDefault="00AC0016" w:rsidP="00321ACD">
      <w:pPr>
        <w:keepNext/>
        <w:rPr>
          <w:i/>
          <w:u w:val="single"/>
          <w:lang w:val="it-IT"/>
        </w:rPr>
      </w:pPr>
      <w:r>
        <w:rPr>
          <w:i/>
          <w:u w:val="single"/>
          <w:lang w:val="it-IT"/>
        </w:rPr>
        <w:t xml:space="preserve">Cancro a cellule </w:t>
      </w:r>
      <w:r w:rsidR="009C0666" w:rsidRPr="00330A40">
        <w:rPr>
          <w:i/>
          <w:u w:val="single"/>
          <w:lang w:val="it-IT"/>
        </w:rPr>
        <w:t>renal</w:t>
      </w:r>
      <w:r>
        <w:rPr>
          <w:i/>
          <w:u w:val="single"/>
          <w:lang w:val="it-IT"/>
        </w:rPr>
        <w:t>i</w:t>
      </w:r>
      <w:r w:rsidR="009C0666" w:rsidRPr="00330A40">
        <w:rPr>
          <w:i/>
          <w:u w:val="single"/>
          <w:lang w:val="it-IT"/>
        </w:rPr>
        <w:t xml:space="preserve"> avanzato e/o metastatico (</w:t>
      </w:r>
      <w:r w:rsidR="009E0073" w:rsidRPr="00330A40">
        <w:rPr>
          <w:i/>
          <w:u w:val="single"/>
          <w:lang w:val="it-IT"/>
        </w:rPr>
        <w:t>mRCC</w:t>
      </w:r>
      <w:r w:rsidR="009C0666" w:rsidRPr="00330A40">
        <w:rPr>
          <w:i/>
          <w:u w:val="single"/>
          <w:lang w:val="it-IT"/>
        </w:rPr>
        <w:t>)</w:t>
      </w:r>
    </w:p>
    <w:p w14:paraId="3D827F4E" w14:textId="77777777" w:rsidR="009C0666" w:rsidRPr="00330A40" w:rsidRDefault="009C0666" w:rsidP="00321ACD">
      <w:pPr>
        <w:keepNext/>
        <w:rPr>
          <w:lang w:val="it-IT"/>
        </w:rPr>
      </w:pPr>
    </w:p>
    <w:p w14:paraId="525A9C2A" w14:textId="77777777" w:rsidR="009C0666" w:rsidRPr="00330A40" w:rsidRDefault="00772EE7" w:rsidP="009C0666">
      <w:pPr>
        <w:rPr>
          <w:i/>
          <w:lang w:val="it-IT"/>
        </w:rPr>
      </w:pPr>
      <w:r w:rsidRPr="00330A40">
        <w:rPr>
          <w:i/>
          <w:szCs w:val="22"/>
          <w:lang w:val="it-IT"/>
        </w:rPr>
        <w:t>Bevacizumab</w:t>
      </w:r>
      <w:r w:rsidRPr="00330A40" w:rsidDel="00772EE7">
        <w:rPr>
          <w:i/>
          <w:lang w:val="it-IT"/>
        </w:rPr>
        <w:t xml:space="preserve"> </w:t>
      </w:r>
      <w:r w:rsidR="009C0666" w:rsidRPr="00330A40">
        <w:rPr>
          <w:i/>
          <w:lang w:val="it-IT"/>
        </w:rPr>
        <w:t xml:space="preserve">in </w:t>
      </w:r>
      <w:r w:rsidR="003A32A4" w:rsidRPr="00330A40">
        <w:rPr>
          <w:i/>
          <w:lang w:val="it-IT"/>
        </w:rPr>
        <w:t xml:space="preserve">associazione </w:t>
      </w:r>
      <w:r w:rsidR="00E33BCD" w:rsidRPr="00330A40">
        <w:rPr>
          <w:i/>
          <w:lang w:val="it-IT"/>
        </w:rPr>
        <w:t xml:space="preserve">a </w:t>
      </w:r>
      <w:r w:rsidR="009C0666" w:rsidRPr="00330A40">
        <w:rPr>
          <w:i/>
          <w:lang w:val="it-IT"/>
        </w:rPr>
        <w:t xml:space="preserve">interferone alfa-2a per il trattamento in prima linea del </w:t>
      </w:r>
      <w:r w:rsidR="00AC0016">
        <w:rPr>
          <w:i/>
          <w:lang w:val="it-IT"/>
        </w:rPr>
        <w:t xml:space="preserve">cancro a cellule renali </w:t>
      </w:r>
      <w:r w:rsidR="009C0666" w:rsidRPr="00330A40">
        <w:rPr>
          <w:i/>
          <w:lang w:val="it-IT"/>
        </w:rPr>
        <w:t>avanzato e/o metastatico (BO17705)</w:t>
      </w:r>
    </w:p>
    <w:p w14:paraId="7925E660" w14:textId="77777777" w:rsidR="009C0666" w:rsidRPr="00330A40" w:rsidRDefault="009C0666" w:rsidP="009C0666">
      <w:pPr>
        <w:rPr>
          <w:b/>
          <w:lang w:val="it-IT"/>
        </w:rPr>
      </w:pPr>
    </w:p>
    <w:p w14:paraId="3E03D907" w14:textId="77777777" w:rsidR="00660B74" w:rsidRPr="006A2BF9" w:rsidRDefault="009C0666" w:rsidP="009C0666">
      <w:pPr>
        <w:rPr>
          <w:lang w:val="it-IT"/>
        </w:rPr>
      </w:pPr>
      <w:r w:rsidRPr="00330A40">
        <w:rPr>
          <w:lang w:val="it-IT"/>
        </w:rPr>
        <w:t>Si è trattato di uno studio di fase</w:t>
      </w:r>
      <w:r w:rsidR="00772EE7" w:rsidRPr="006A2BF9">
        <w:rPr>
          <w:lang w:val="it-IT"/>
        </w:rPr>
        <w:t> </w:t>
      </w:r>
      <w:r w:rsidRPr="006A2BF9">
        <w:rPr>
          <w:lang w:val="it-IT"/>
        </w:rPr>
        <w:t xml:space="preserve">III randomizzato in doppio cieco effettuato per valutare l’efficacia e la sicurezza di </w:t>
      </w:r>
      <w:r w:rsidR="00772EE7" w:rsidRPr="006A2BF9">
        <w:rPr>
          <w:szCs w:val="22"/>
          <w:lang w:val="it-IT"/>
        </w:rPr>
        <w:t>bevacizumab</w:t>
      </w:r>
      <w:r w:rsidR="00772EE7" w:rsidRPr="006A2BF9" w:rsidDel="00772EE7">
        <w:rPr>
          <w:lang w:val="it-IT"/>
        </w:rPr>
        <w:t xml:space="preserve"> </w:t>
      </w:r>
      <w:r w:rsidRPr="006A2BF9">
        <w:rPr>
          <w:lang w:val="it-IT"/>
        </w:rPr>
        <w:t xml:space="preserve">in </w:t>
      </w:r>
      <w:r w:rsidR="003A32A4" w:rsidRPr="006A2BF9">
        <w:rPr>
          <w:lang w:val="it-IT"/>
        </w:rPr>
        <w:t xml:space="preserve">associazione </w:t>
      </w:r>
      <w:r w:rsidR="00E33BCD" w:rsidRPr="006A2BF9">
        <w:rPr>
          <w:lang w:val="it-IT"/>
        </w:rPr>
        <w:t xml:space="preserve">a </w:t>
      </w:r>
      <w:r w:rsidRPr="006A2BF9">
        <w:rPr>
          <w:lang w:val="it-IT"/>
        </w:rPr>
        <w:t>interferone (IFN) alfa-2</w:t>
      </w:r>
      <w:r w:rsidR="00D33CDD" w:rsidRPr="006A2BF9">
        <w:rPr>
          <w:lang w:val="it-IT"/>
        </w:rPr>
        <w:t>a</w:t>
      </w:r>
      <w:r w:rsidRPr="006A2BF9">
        <w:rPr>
          <w:lang w:val="it-IT"/>
        </w:rPr>
        <w:t xml:space="preserve"> rispetto a interferone (IFN) alfa-2a da solo nel trattamento in prima linea del</w:t>
      </w:r>
      <w:r w:rsidRPr="006A2BF9">
        <w:rPr>
          <w:b/>
          <w:lang w:val="it-IT"/>
        </w:rPr>
        <w:t xml:space="preserve"> </w:t>
      </w:r>
      <w:r w:rsidR="009E0073" w:rsidRPr="006A2BF9">
        <w:rPr>
          <w:lang w:val="it-IT"/>
        </w:rPr>
        <w:t>mRCC</w:t>
      </w:r>
      <w:r w:rsidRPr="006A2BF9">
        <w:rPr>
          <w:lang w:val="it-IT"/>
        </w:rPr>
        <w:t>. I 649</w:t>
      </w:r>
      <w:r w:rsidR="00772EE7" w:rsidRPr="006A2BF9">
        <w:rPr>
          <w:lang w:val="it-IT"/>
        </w:rPr>
        <w:t> </w:t>
      </w:r>
      <w:r w:rsidRPr="006A2BF9">
        <w:rPr>
          <w:lang w:val="it-IT"/>
        </w:rPr>
        <w:t>pazienti randomizzati (641</w:t>
      </w:r>
      <w:r w:rsidR="006E4D20" w:rsidRPr="006A2BF9">
        <w:rPr>
          <w:lang w:val="it-IT"/>
        </w:rPr>
        <w:t> </w:t>
      </w:r>
      <w:r w:rsidRPr="006A2BF9">
        <w:rPr>
          <w:lang w:val="it-IT"/>
        </w:rPr>
        <w:t xml:space="preserve">trattati) avevano un Karnofsky Performance Status (KPS) ≥ 70%, nessuna metastasi a livello del SNC e un’adeguata funzione d’organo. I pazienti erano nefrectomizzati per </w:t>
      </w:r>
      <w:r w:rsidR="00AC0016">
        <w:rPr>
          <w:lang w:val="it-IT"/>
        </w:rPr>
        <w:t>cancro a cellule renali</w:t>
      </w:r>
      <w:r w:rsidRPr="00330A40">
        <w:rPr>
          <w:lang w:val="it-IT"/>
        </w:rPr>
        <w:t xml:space="preserve"> </w:t>
      </w:r>
      <w:r w:rsidR="00D966E3" w:rsidRPr="00330A40">
        <w:rPr>
          <w:lang w:val="it-IT"/>
        </w:rPr>
        <w:t>primitivo</w:t>
      </w:r>
      <w:r w:rsidRPr="00330A40">
        <w:rPr>
          <w:lang w:val="it-IT"/>
        </w:rPr>
        <w:t xml:space="preserve">. </w:t>
      </w:r>
      <w:r w:rsidR="00E33BCD" w:rsidRPr="00330A40">
        <w:rPr>
          <w:szCs w:val="22"/>
          <w:lang w:val="it-IT"/>
        </w:rPr>
        <w:t>Bevacizumab</w:t>
      </w:r>
      <w:r w:rsidR="00E33BCD" w:rsidRPr="00330A40" w:rsidDel="00772EE7">
        <w:rPr>
          <w:lang w:val="it-IT"/>
        </w:rPr>
        <w:t xml:space="preserve"> </w:t>
      </w:r>
      <w:r w:rsidRPr="00330A40">
        <w:rPr>
          <w:lang w:val="it-IT"/>
        </w:rPr>
        <w:t>è stato somministrato al</w:t>
      </w:r>
      <w:r w:rsidR="00633039" w:rsidRPr="00330A40">
        <w:rPr>
          <w:lang w:val="it-IT"/>
        </w:rPr>
        <w:t>la dose</w:t>
      </w:r>
      <w:r w:rsidRPr="00330A40">
        <w:rPr>
          <w:lang w:val="it-IT"/>
        </w:rPr>
        <w:t xml:space="preserve"> di 10 mg/kg ogni 2</w:t>
      </w:r>
      <w:r w:rsidR="00772EE7" w:rsidRPr="00330A40">
        <w:rPr>
          <w:lang w:val="it-IT"/>
        </w:rPr>
        <w:t> </w:t>
      </w:r>
      <w:r w:rsidRPr="00330A40">
        <w:rPr>
          <w:lang w:val="it-IT"/>
        </w:rPr>
        <w:t>settimane fino a progressione di malattia. IFN alfa-2a è stato somministrato per un massimo di 52</w:t>
      </w:r>
      <w:r w:rsidR="00772EE7" w:rsidRPr="00330A40">
        <w:rPr>
          <w:lang w:val="it-IT"/>
        </w:rPr>
        <w:t> </w:t>
      </w:r>
      <w:r w:rsidRPr="00330A40">
        <w:rPr>
          <w:lang w:val="it-IT"/>
        </w:rPr>
        <w:t>settimane o fino a progressione di malattia alla dose iniziale raccomandata di 9 MU</w:t>
      </w:r>
      <w:r w:rsidR="00FE09D4" w:rsidRPr="00330A40">
        <w:rPr>
          <w:lang w:val="it-IT"/>
        </w:rPr>
        <w:t>I</w:t>
      </w:r>
      <w:r w:rsidRPr="00330A40">
        <w:rPr>
          <w:lang w:val="it-IT"/>
        </w:rPr>
        <w:t xml:space="preserve"> tre volte alla settimana, </w:t>
      </w:r>
      <w:r w:rsidR="00972612" w:rsidRPr="00330A40">
        <w:rPr>
          <w:lang w:val="it-IT"/>
        </w:rPr>
        <w:t xml:space="preserve">consentendo </w:t>
      </w:r>
      <w:r w:rsidR="00FE09D4" w:rsidRPr="00330A40">
        <w:rPr>
          <w:lang w:val="it-IT"/>
        </w:rPr>
        <w:t xml:space="preserve">una </w:t>
      </w:r>
      <w:r w:rsidRPr="00330A40">
        <w:rPr>
          <w:lang w:val="it-IT"/>
        </w:rPr>
        <w:t>riduzion</w:t>
      </w:r>
      <w:r w:rsidR="00FE09D4" w:rsidRPr="00330A40">
        <w:rPr>
          <w:lang w:val="it-IT"/>
        </w:rPr>
        <w:t>e</w:t>
      </w:r>
      <w:r w:rsidRPr="00330A40">
        <w:rPr>
          <w:lang w:val="it-IT"/>
        </w:rPr>
        <w:t xml:space="preserve"> </w:t>
      </w:r>
      <w:r w:rsidR="00633039" w:rsidRPr="006A2BF9">
        <w:rPr>
          <w:lang w:val="it-IT"/>
        </w:rPr>
        <w:t>di dose</w:t>
      </w:r>
      <w:r w:rsidR="00972612" w:rsidRPr="006A2BF9">
        <w:rPr>
          <w:lang w:val="it-IT"/>
        </w:rPr>
        <w:t xml:space="preserve"> fino</w:t>
      </w:r>
      <w:r w:rsidRPr="006A2BF9">
        <w:rPr>
          <w:lang w:val="it-IT"/>
        </w:rPr>
        <w:t xml:space="preserve"> a 3 </w:t>
      </w:r>
      <w:r w:rsidR="00FE09D4" w:rsidRPr="006A2BF9">
        <w:rPr>
          <w:lang w:val="it-IT"/>
        </w:rPr>
        <w:t xml:space="preserve">MUI </w:t>
      </w:r>
      <w:r w:rsidRPr="006A2BF9">
        <w:rPr>
          <w:lang w:val="it-IT"/>
        </w:rPr>
        <w:t>tre volte alla settimana</w:t>
      </w:r>
      <w:r w:rsidR="00FE09D4" w:rsidRPr="006A2BF9">
        <w:rPr>
          <w:lang w:val="it-IT"/>
        </w:rPr>
        <w:t xml:space="preserve"> in 2 fasi</w:t>
      </w:r>
      <w:r w:rsidRPr="006A2BF9">
        <w:rPr>
          <w:lang w:val="it-IT"/>
        </w:rPr>
        <w:t xml:space="preserve">. I pazienti sono stati stratificati per paese e </w:t>
      </w:r>
      <w:r w:rsidR="00D966E3" w:rsidRPr="006A2BF9">
        <w:rPr>
          <w:lang w:val="it-IT"/>
        </w:rPr>
        <w:t>criteri</w:t>
      </w:r>
      <w:r w:rsidR="009315B1" w:rsidRPr="006A2BF9">
        <w:rPr>
          <w:lang w:val="it-IT"/>
        </w:rPr>
        <w:t xml:space="preserve"> </w:t>
      </w:r>
      <w:r w:rsidRPr="006A2BF9">
        <w:rPr>
          <w:lang w:val="it-IT"/>
        </w:rPr>
        <w:t>di Motzer e i bracci di trattamento sono risultati ben bilanciati relativamente ai fattori prognostici.</w:t>
      </w:r>
    </w:p>
    <w:p w14:paraId="34A9A79A" w14:textId="77777777" w:rsidR="00660B74" w:rsidRPr="006A2BF9" w:rsidRDefault="00660B74" w:rsidP="009C0666">
      <w:pPr>
        <w:rPr>
          <w:lang w:val="it-IT"/>
        </w:rPr>
      </w:pPr>
    </w:p>
    <w:p w14:paraId="6B8F926A" w14:textId="77777777" w:rsidR="00DE54D6" w:rsidRPr="006A2BF9" w:rsidRDefault="00A641B1" w:rsidP="00DE54D6">
      <w:pPr>
        <w:rPr>
          <w:rFonts w:eastAsia="SimSun"/>
          <w:lang w:val="it-IT"/>
        </w:rPr>
      </w:pPr>
      <w:r w:rsidRPr="006A2BF9">
        <w:rPr>
          <w:i/>
          <w:lang w:val="it-IT"/>
        </w:rPr>
        <w:t xml:space="preserve">L’endpoint </w:t>
      </w:r>
      <w:r w:rsidR="00DE54D6" w:rsidRPr="006A2BF9">
        <w:rPr>
          <w:lang w:val="it-IT"/>
        </w:rPr>
        <w:t xml:space="preserve">primario dello studio è stato la </w:t>
      </w:r>
      <w:r w:rsidR="00062D61">
        <w:rPr>
          <w:lang w:val="it-IT"/>
        </w:rPr>
        <w:t>OS</w:t>
      </w:r>
      <w:r w:rsidR="00DE54D6" w:rsidRPr="006A2BF9">
        <w:rPr>
          <w:lang w:val="it-IT"/>
        </w:rPr>
        <w:t xml:space="preserve">, con </w:t>
      </w:r>
      <w:r w:rsidRPr="006A2BF9">
        <w:rPr>
          <w:i/>
          <w:lang w:val="it-IT"/>
        </w:rPr>
        <w:t xml:space="preserve">endpoint </w:t>
      </w:r>
      <w:r w:rsidR="00DE54D6" w:rsidRPr="006A2BF9">
        <w:rPr>
          <w:lang w:val="it-IT"/>
        </w:rPr>
        <w:t xml:space="preserve">secondari comprendenti la </w:t>
      </w:r>
      <w:r w:rsidR="00062D61">
        <w:rPr>
          <w:lang w:val="it-IT"/>
        </w:rPr>
        <w:t>PFS</w:t>
      </w:r>
      <w:r w:rsidR="00DE54D6" w:rsidRPr="006A2BF9">
        <w:rPr>
          <w:lang w:val="it-IT"/>
        </w:rPr>
        <w:t>. L</w:t>
      </w:r>
      <w:r w:rsidR="00772EE7" w:rsidRPr="006A2BF9">
        <w:rPr>
          <w:lang w:val="it-IT"/>
        </w:rPr>
        <w:t>’</w:t>
      </w:r>
      <w:r w:rsidR="00DE54D6" w:rsidRPr="006A2BF9">
        <w:rPr>
          <w:lang w:val="it-IT"/>
        </w:rPr>
        <w:t xml:space="preserve">aggiunta di </w:t>
      </w:r>
      <w:r w:rsidR="00772EE7" w:rsidRPr="006A2BF9">
        <w:rPr>
          <w:szCs w:val="22"/>
          <w:lang w:val="it-IT"/>
        </w:rPr>
        <w:t>bevacizumab</w:t>
      </w:r>
      <w:r w:rsidR="00772EE7" w:rsidRPr="006A2BF9" w:rsidDel="00772EE7">
        <w:rPr>
          <w:lang w:val="it-IT"/>
        </w:rPr>
        <w:t xml:space="preserve"> </w:t>
      </w:r>
      <w:r w:rsidR="00DE54D6" w:rsidRPr="006A2BF9">
        <w:rPr>
          <w:lang w:val="it-IT"/>
        </w:rPr>
        <w:t xml:space="preserve">a IFN-alfa-2a ha aumentato significativamente la PFS ed il tasso di risposta obiettiva. Questi risultati sono stati confermati </w:t>
      </w:r>
      <w:r w:rsidR="00730B72" w:rsidRPr="006A2BF9">
        <w:rPr>
          <w:lang w:val="it-IT"/>
        </w:rPr>
        <w:t xml:space="preserve">da una </w:t>
      </w:r>
      <w:r w:rsidR="00DE54D6" w:rsidRPr="006A2BF9">
        <w:rPr>
          <w:lang w:val="it-IT"/>
        </w:rPr>
        <w:t xml:space="preserve">revisione </w:t>
      </w:r>
      <w:r w:rsidR="00730B72" w:rsidRPr="006A2BF9">
        <w:rPr>
          <w:lang w:val="it-IT"/>
        </w:rPr>
        <w:t xml:space="preserve">radiologica </w:t>
      </w:r>
      <w:r w:rsidR="00DE54D6" w:rsidRPr="006A2BF9">
        <w:rPr>
          <w:lang w:val="it-IT"/>
        </w:rPr>
        <w:t xml:space="preserve">indipendente. Tuttavia, l'aumento di due mesi </w:t>
      </w:r>
      <w:r w:rsidRPr="006A2BF9">
        <w:rPr>
          <w:lang w:val="it-IT"/>
        </w:rPr>
        <w:t>dell’</w:t>
      </w:r>
      <w:r w:rsidRPr="006A2BF9">
        <w:rPr>
          <w:i/>
          <w:lang w:val="it-IT"/>
        </w:rPr>
        <w:t xml:space="preserve">endpoint </w:t>
      </w:r>
      <w:r w:rsidR="00DE54D6" w:rsidRPr="006A2BF9">
        <w:rPr>
          <w:lang w:val="it-IT"/>
        </w:rPr>
        <w:t xml:space="preserve">primario della </w:t>
      </w:r>
      <w:r w:rsidR="00062D61">
        <w:rPr>
          <w:lang w:val="it-IT"/>
        </w:rPr>
        <w:t>OS</w:t>
      </w:r>
      <w:r w:rsidR="00DE54D6" w:rsidRPr="006A2BF9">
        <w:rPr>
          <w:lang w:val="it-IT"/>
        </w:rPr>
        <w:t xml:space="preserve"> non è stato significativo (HR</w:t>
      </w:r>
      <w:r w:rsidR="006E4D20" w:rsidRPr="006A2BF9">
        <w:rPr>
          <w:lang w:val="it-IT"/>
        </w:rPr>
        <w:t> </w:t>
      </w:r>
      <w:r w:rsidR="00DE54D6" w:rsidRPr="006A2BF9">
        <w:rPr>
          <w:lang w:val="it-IT"/>
        </w:rPr>
        <w:t>=</w:t>
      </w:r>
      <w:r w:rsidR="006E4D20" w:rsidRPr="006A2BF9">
        <w:rPr>
          <w:lang w:val="it-IT"/>
        </w:rPr>
        <w:t> </w:t>
      </w:r>
      <w:r w:rsidR="00DE54D6" w:rsidRPr="006A2BF9">
        <w:rPr>
          <w:lang w:val="it-IT"/>
        </w:rPr>
        <w:t xml:space="preserve">0,91). Un’elevata quota di pazienti (circa 63% IFN/placebo; 55% </w:t>
      </w:r>
      <w:r w:rsidR="00772EE7" w:rsidRPr="006A2BF9">
        <w:rPr>
          <w:szCs w:val="22"/>
          <w:lang w:val="it-IT"/>
        </w:rPr>
        <w:t>bevacizumab</w:t>
      </w:r>
      <w:r w:rsidR="00DE54D6" w:rsidRPr="006A2BF9">
        <w:rPr>
          <w:lang w:val="it-IT"/>
        </w:rPr>
        <w:t xml:space="preserve">/IFN) ha ricevuto successivamente all’uscita dallo studio una serie di terapie antitumorali non-specificate, comprendenti agenti antineoplastici che </w:t>
      </w:r>
      <w:r w:rsidR="00A66094" w:rsidRPr="006A2BF9">
        <w:rPr>
          <w:lang w:val="it-IT"/>
        </w:rPr>
        <w:t>po</w:t>
      </w:r>
      <w:r w:rsidR="00A66094">
        <w:rPr>
          <w:lang w:val="it-IT"/>
        </w:rPr>
        <w:t>ssono</w:t>
      </w:r>
      <w:r w:rsidR="00A66094" w:rsidRPr="006A2BF9">
        <w:rPr>
          <w:lang w:val="it-IT"/>
        </w:rPr>
        <w:t xml:space="preserve"> </w:t>
      </w:r>
      <w:r w:rsidR="00DE54D6" w:rsidRPr="006A2BF9">
        <w:rPr>
          <w:lang w:val="it-IT"/>
        </w:rPr>
        <w:t xml:space="preserve">avere impattato sulla valutazione della </w:t>
      </w:r>
      <w:r w:rsidR="00062D61">
        <w:rPr>
          <w:lang w:val="it-IT"/>
        </w:rPr>
        <w:t>OS</w:t>
      </w:r>
      <w:r w:rsidR="00DE54D6" w:rsidRPr="006A2BF9">
        <w:rPr>
          <w:lang w:val="it-IT"/>
        </w:rPr>
        <w:t>.</w:t>
      </w:r>
    </w:p>
    <w:p w14:paraId="7DF0D3AE" w14:textId="77777777" w:rsidR="00DE54D6" w:rsidRPr="006A2BF9" w:rsidRDefault="00DE54D6" w:rsidP="007D5EB7">
      <w:pPr>
        <w:tabs>
          <w:tab w:val="left" w:pos="1110"/>
        </w:tabs>
        <w:rPr>
          <w:lang w:val="it-IT"/>
        </w:rPr>
      </w:pPr>
    </w:p>
    <w:p w14:paraId="1AF5BF10" w14:textId="77777777" w:rsidR="009C0666" w:rsidRPr="006A2BF9" w:rsidRDefault="00DE54D6" w:rsidP="00DE54D6">
      <w:pPr>
        <w:rPr>
          <w:lang w:val="it-IT"/>
        </w:rPr>
      </w:pPr>
      <w:r w:rsidRPr="006A2BF9">
        <w:rPr>
          <w:lang w:val="it-IT"/>
        </w:rPr>
        <w:t xml:space="preserve">I risultati di efficacia sono illustrati </w:t>
      </w:r>
      <w:r w:rsidR="00A641B1" w:rsidRPr="006A2BF9">
        <w:rPr>
          <w:lang w:val="it-IT"/>
        </w:rPr>
        <w:t>nella</w:t>
      </w:r>
      <w:r w:rsidRPr="006A2BF9">
        <w:rPr>
          <w:lang w:val="it-IT"/>
        </w:rPr>
        <w:t xml:space="preserve"> </w:t>
      </w:r>
      <w:r w:rsidR="00A641B1" w:rsidRPr="006A2BF9">
        <w:rPr>
          <w:lang w:val="it-IT"/>
        </w:rPr>
        <w:t>t</w:t>
      </w:r>
      <w:r w:rsidRPr="006A2BF9">
        <w:rPr>
          <w:lang w:val="it-IT"/>
        </w:rPr>
        <w:t>abella</w:t>
      </w:r>
      <w:r w:rsidR="00C0436C" w:rsidRPr="006A2BF9">
        <w:rPr>
          <w:lang w:val="it-IT"/>
        </w:rPr>
        <w:t> </w:t>
      </w:r>
      <w:r w:rsidRPr="006A2BF9">
        <w:rPr>
          <w:lang w:val="it-IT"/>
        </w:rPr>
        <w:t>1</w:t>
      </w:r>
      <w:r w:rsidR="00BB195D" w:rsidRPr="006A2BF9">
        <w:rPr>
          <w:lang w:val="it-IT"/>
        </w:rPr>
        <w:t>5</w:t>
      </w:r>
      <w:r w:rsidRPr="006A2BF9">
        <w:rPr>
          <w:lang w:val="it-IT"/>
        </w:rPr>
        <w:t>.</w:t>
      </w:r>
    </w:p>
    <w:p w14:paraId="60AF7E3C" w14:textId="77777777" w:rsidR="009C0666" w:rsidRPr="006A2BF9" w:rsidRDefault="009C0666" w:rsidP="009C0666">
      <w:pPr>
        <w:rPr>
          <w:lang w:val="it-IT"/>
        </w:rPr>
      </w:pPr>
    </w:p>
    <w:p w14:paraId="478AB131" w14:textId="77777777" w:rsidR="009C0666" w:rsidRPr="006A2BF9" w:rsidRDefault="009C0666" w:rsidP="00F15447">
      <w:pPr>
        <w:ind w:left="1560" w:hanging="1560"/>
        <w:rPr>
          <w:b/>
          <w:lang w:val="it-IT"/>
        </w:rPr>
      </w:pPr>
      <w:r w:rsidRPr="006A2BF9">
        <w:rPr>
          <w:b/>
          <w:lang w:val="it-IT"/>
        </w:rPr>
        <w:t>Tabella</w:t>
      </w:r>
      <w:r w:rsidR="007B1A80" w:rsidRPr="006A2BF9">
        <w:rPr>
          <w:b/>
          <w:lang w:val="it-IT"/>
        </w:rPr>
        <w:t> </w:t>
      </w:r>
      <w:r w:rsidR="001B2D83" w:rsidRPr="006A2BF9">
        <w:rPr>
          <w:b/>
          <w:lang w:val="it-IT"/>
        </w:rPr>
        <w:t>1</w:t>
      </w:r>
      <w:r w:rsidR="00BB195D" w:rsidRPr="006A2BF9">
        <w:rPr>
          <w:b/>
          <w:lang w:val="it-IT"/>
        </w:rPr>
        <w:t>5</w:t>
      </w:r>
      <w:r w:rsidRPr="006A2BF9">
        <w:rPr>
          <w:b/>
          <w:lang w:val="it-IT"/>
        </w:rPr>
        <w:tab/>
        <w:t>Risultati di efficacia dello studio BO17705</w:t>
      </w:r>
    </w:p>
    <w:tbl>
      <w:tblPr>
        <w:tblW w:w="0" w:type="auto"/>
        <w:tblLayout w:type="fixed"/>
        <w:tblLook w:val="0000" w:firstRow="0" w:lastRow="0" w:firstColumn="0" w:lastColumn="0" w:noHBand="0" w:noVBand="0"/>
      </w:tblPr>
      <w:tblGrid>
        <w:gridCol w:w="3688"/>
        <w:gridCol w:w="2340"/>
        <w:gridCol w:w="2869"/>
      </w:tblGrid>
      <w:tr w:rsidR="009C0666" w:rsidRPr="006A2BF9" w14:paraId="75306CB4" w14:textId="77777777" w:rsidTr="00C65E97">
        <w:trPr>
          <w:cantSplit/>
          <w:trHeight w:val="360"/>
        </w:trPr>
        <w:tc>
          <w:tcPr>
            <w:tcW w:w="3688" w:type="dxa"/>
            <w:tcBorders>
              <w:top w:val="single" w:sz="4" w:space="0" w:color="auto"/>
              <w:left w:val="single" w:sz="8" w:space="0" w:color="auto"/>
              <w:right w:val="single" w:sz="8" w:space="0" w:color="auto"/>
            </w:tcBorders>
            <w:vAlign w:val="bottom"/>
          </w:tcPr>
          <w:p w14:paraId="2EBC8622" w14:textId="77777777" w:rsidR="009C0666" w:rsidRPr="006A2BF9" w:rsidRDefault="009C0666" w:rsidP="00F15447">
            <w:pPr>
              <w:rPr>
                <w:b/>
                <w:sz w:val="20"/>
                <w:lang w:val="it-IT"/>
              </w:rPr>
            </w:pPr>
          </w:p>
        </w:tc>
        <w:tc>
          <w:tcPr>
            <w:tcW w:w="5209" w:type="dxa"/>
            <w:gridSpan w:val="2"/>
            <w:tcBorders>
              <w:top w:val="single" w:sz="4" w:space="0" w:color="auto"/>
              <w:left w:val="single" w:sz="8" w:space="0" w:color="auto"/>
              <w:bottom w:val="single" w:sz="8" w:space="0" w:color="auto"/>
              <w:right w:val="single" w:sz="8" w:space="0" w:color="auto"/>
            </w:tcBorders>
            <w:vAlign w:val="bottom"/>
          </w:tcPr>
          <w:p w14:paraId="11729E52" w14:textId="77777777" w:rsidR="009C0666" w:rsidRPr="006A2BF9" w:rsidRDefault="009C0666" w:rsidP="00F15447">
            <w:pPr>
              <w:jc w:val="center"/>
              <w:rPr>
                <w:b/>
                <w:sz w:val="20"/>
                <w:u w:val="single"/>
                <w:lang w:val="it-IT"/>
              </w:rPr>
            </w:pPr>
            <w:r w:rsidRPr="006A2BF9">
              <w:rPr>
                <w:b/>
                <w:sz w:val="20"/>
                <w:u w:val="single"/>
                <w:lang w:val="it-IT"/>
              </w:rPr>
              <w:t>BO17705</w:t>
            </w:r>
          </w:p>
        </w:tc>
      </w:tr>
      <w:tr w:rsidR="009C0666" w:rsidRPr="006A2BF9" w14:paraId="726FB5B4" w14:textId="77777777" w:rsidTr="00C65E97">
        <w:trPr>
          <w:cantSplit/>
          <w:trHeight w:val="457"/>
        </w:trPr>
        <w:tc>
          <w:tcPr>
            <w:tcW w:w="3688" w:type="dxa"/>
            <w:tcBorders>
              <w:left w:val="single" w:sz="8" w:space="0" w:color="auto"/>
              <w:bottom w:val="single" w:sz="8" w:space="0" w:color="auto"/>
              <w:right w:val="single" w:sz="8" w:space="0" w:color="auto"/>
            </w:tcBorders>
            <w:vAlign w:val="bottom"/>
          </w:tcPr>
          <w:p w14:paraId="5DC72914" w14:textId="77777777" w:rsidR="009C0666" w:rsidRPr="006A2BF9" w:rsidRDefault="009C0666" w:rsidP="00F15447">
            <w:pPr>
              <w:rPr>
                <w:b/>
                <w:sz w:val="20"/>
                <w:lang w:val="it-IT"/>
              </w:rPr>
            </w:pPr>
          </w:p>
        </w:tc>
        <w:tc>
          <w:tcPr>
            <w:tcW w:w="2340" w:type="dxa"/>
            <w:tcBorders>
              <w:top w:val="single" w:sz="4" w:space="0" w:color="auto"/>
              <w:left w:val="single" w:sz="8" w:space="0" w:color="auto"/>
              <w:bottom w:val="single" w:sz="8" w:space="0" w:color="auto"/>
            </w:tcBorders>
            <w:vAlign w:val="bottom"/>
          </w:tcPr>
          <w:p w14:paraId="3C7FCF7D" w14:textId="77777777" w:rsidR="009C0666" w:rsidRPr="006A2BF9" w:rsidRDefault="009C0666" w:rsidP="00F15447">
            <w:pPr>
              <w:jc w:val="center"/>
              <w:rPr>
                <w:b/>
                <w:sz w:val="20"/>
                <w:lang w:val="it-IT"/>
              </w:rPr>
            </w:pPr>
            <w:r w:rsidRPr="006A2BF9">
              <w:rPr>
                <w:b/>
                <w:sz w:val="20"/>
                <w:lang w:val="it-IT"/>
              </w:rPr>
              <w:t>Placebo</w:t>
            </w:r>
            <w:r w:rsidR="006E4D20" w:rsidRPr="006A2BF9">
              <w:rPr>
                <w:b/>
                <w:sz w:val="20"/>
                <w:lang w:val="it-IT"/>
              </w:rPr>
              <w:t> </w:t>
            </w:r>
            <w:r w:rsidRPr="006A2BF9">
              <w:rPr>
                <w:b/>
                <w:sz w:val="20"/>
                <w:lang w:val="it-IT"/>
              </w:rPr>
              <w:t>+</w:t>
            </w:r>
            <w:r w:rsidR="006E4D20" w:rsidRPr="006A2BF9">
              <w:rPr>
                <w:b/>
                <w:sz w:val="20"/>
                <w:lang w:val="it-IT"/>
              </w:rPr>
              <w:t> </w:t>
            </w:r>
            <w:r w:rsidRPr="006A2BF9">
              <w:rPr>
                <w:b/>
                <w:sz w:val="20"/>
                <w:lang w:val="it-IT"/>
              </w:rPr>
              <w:t>IFN</w:t>
            </w:r>
            <w:r w:rsidRPr="006A2BF9">
              <w:rPr>
                <w:b/>
                <w:sz w:val="20"/>
                <w:vertAlign w:val="superscript"/>
                <w:lang w:val="it-IT"/>
              </w:rPr>
              <w:t>a</w:t>
            </w:r>
          </w:p>
        </w:tc>
        <w:tc>
          <w:tcPr>
            <w:tcW w:w="2869" w:type="dxa"/>
            <w:tcBorders>
              <w:top w:val="single" w:sz="4" w:space="0" w:color="auto"/>
              <w:bottom w:val="single" w:sz="8" w:space="0" w:color="auto"/>
              <w:right w:val="single" w:sz="8" w:space="0" w:color="auto"/>
            </w:tcBorders>
            <w:shd w:val="clear" w:color="auto" w:fill="auto"/>
            <w:vAlign w:val="bottom"/>
          </w:tcPr>
          <w:p w14:paraId="0E47C57B" w14:textId="77777777" w:rsidR="009C0666" w:rsidRPr="006A2BF9" w:rsidRDefault="009C0666" w:rsidP="00F15447">
            <w:pPr>
              <w:jc w:val="center"/>
              <w:rPr>
                <w:b/>
                <w:sz w:val="20"/>
                <w:lang w:val="it-IT"/>
              </w:rPr>
            </w:pPr>
            <w:r w:rsidRPr="006A2BF9">
              <w:rPr>
                <w:b/>
                <w:sz w:val="20"/>
                <w:lang w:val="it-IT"/>
              </w:rPr>
              <w:t>B</w:t>
            </w:r>
            <w:r w:rsidR="00B656CC">
              <w:rPr>
                <w:b/>
                <w:sz w:val="20"/>
                <w:lang w:val="it-IT"/>
              </w:rPr>
              <w:t>V</w:t>
            </w:r>
            <w:r w:rsidRPr="006A2BF9">
              <w:rPr>
                <w:b/>
                <w:sz w:val="20"/>
                <w:vertAlign w:val="superscript"/>
                <w:lang w:val="it-IT"/>
              </w:rPr>
              <w:t>b</w:t>
            </w:r>
            <w:r w:rsidR="006E4D20" w:rsidRPr="006A2BF9">
              <w:rPr>
                <w:b/>
                <w:sz w:val="20"/>
                <w:lang w:val="it-IT"/>
              </w:rPr>
              <w:t> </w:t>
            </w:r>
            <w:r w:rsidRPr="006A2BF9">
              <w:rPr>
                <w:b/>
                <w:sz w:val="20"/>
                <w:lang w:val="it-IT"/>
              </w:rPr>
              <w:t>+</w:t>
            </w:r>
            <w:r w:rsidR="006E4D20" w:rsidRPr="006A2BF9">
              <w:rPr>
                <w:b/>
                <w:sz w:val="20"/>
                <w:lang w:val="it-IT"/>
              </w:rPr>
              <w:t> </w:t>
            </w:r>
            <w:r w:rsidRPr="006A2BF9">
              <w:rPr>
                <w:b/>
                <w:sz w:val="20"/>
                <w:lang w:val="it-IT"/>
              </w:rPr>
              <w:t>IFN</w:t>
            </w:r>
            <w:r w:rsidRPr="006A2BF9">
              <w:rPr>
                <w:b/>
                <w:sz w:val="20"/>
                <w:vertAlign w:val="superscript"/>
                <w:lang w:val="it-IT"/>
              </w:rPr>
              <w:t>a</w:t>
            </w:r>
          </w:p>
        </w:tc>
      </w:tr>
      <w:tr w:rsidR="009C0666" w:rsidRPr="006A2BF9" w14:paraId="3197ACB8" w14:textId="77777777" w:rsidTr="00C65E97">
        <w:trPr>
          <w:cantSplit/>
        </w:trPr>
        <w:tc>
          <w:tcPr>
            <w:tcW w:w="3688" w:type="dxa"/>
            <w:tcBorders>
              <w:top w:val="single" w:sz="8" w:space="0" w:color="auto"/>
              <w:left w:val="single" w:sz="8" w:space="0" w:color="auto"/>
              <w:bottom w:val="single" w:sz="4" w:space="0" w:color="auto"/>
              <w:right w:val="single" w:sz="8" w:space="0" w:color="auto"/>
            </w:tcBorders>
          </w:tcPr>
          <w:p w14:paraId="429AB92B" w14:textId="77777777" w:rsidR="009C0666" w:rsidRPr="006A2BF9" w:rsidRDefault="009C0666" w:rsidP="00F15447">
            <w:pPr>
              <w:spacing w:before="40" w:after="40"/>
              <w:rPr>
                <w:sz w:val="20"/>
                <w:lang w:val="it-IT"/>
              </w:rPr>
            </w:pPr>
            <w:r w:rsidRPr="006A2BF9">
              <w:rPr>
                <w:sz w:val="20"/>
                <w:lang w:val="it-IT"/>
              </w:rPr>
              <w:t>Numero di pazienti</w:t>
            </w:r>
          </w:p>
        </w:tc>
        <w:tc>
          <w:tcPr>
            <w:tcW w:w="2340" w:type="dxa"/>
            <w:tcBorders>
              <w:top w:val="single" w:sz="8" w:space="0" w:color="auto"/>
              <w:left w:val="single" w:sz="8" w:space="0" w:color="auto"/>
              <w:bottom w:val="single" w:sz="4" w:space="0" w:color="auto"/>
            </w:tcBorders>
          </w:tcPr>
          <w:p w14:paraId="44BE8D59" w14:textId="77777777" w:rsidR="009C0666" w:rsidRPr="006A2BF9" w:rsidRDefault="009C0666" w:rsidP="00F15447">
            <w:pPr>
              <w:jc w:val="center"/>
              <w:rPr>
                <w:sz w:val="20"/>
                <w:lang w:val="it-IT"/>
              </w:rPr>
            </w:pPr>
            <w:r w:rsidRPr="006A2BF9">
              <w:rPr>
                <w:sz w:val="20"/>
                <w:lang w:val="it-IT"/>
              </w:rPr>
              <w:t>322</w:t>
            </w:r>
          </w:p>
        </w:tc>
        <w:tc>
          <w:tcPr>
            <w:tcW w:w="2869" w:type="dxa"/>
            <w:tcBorders>
              <w:top w:val="single" w:sz="8" w:space="0" w:color="auto"/>
              <w:bottom w:val="single" w:sz="4" w:space="0" w:color="auto"/>
              <w:right w:val="single" w:sz="8" w:space="0" w:color="auto"/>
            </w:tcBorders>
          </w:tcPr>
          <w:p w14:paraId="5D416A4B" w14:textId="77777777" w:rsidR="009C0666" w:rsidRPr="006A2BF9" w:rsidRDefault="009C0666" w:rsidP="00F15447">
            <w:pPr>
              <w:jc w:val="center"/>
              <w:rPr>
                <w:sz w:val="20"/>
                <w:lang w:val="it-IT"/>
              </w:rPr>
            </w:pPr>
            <w:r w:rsidRPr="006A2BF9">
              <w:rPr>
                <w:sz w:val="20"/>
                <w:lang w:val="it-IT"/>
              </w:rPr>
              <w:t>327</w:t>
            </w:r>
          </w:p>
        </w:tc>
      </w:tr>
      <w:tr w:rsidR="009C0666" w:rsidRPr="006A2BF9" w14:paraId="220C8E56" w14:textId="77777777" w:rsidTr="00C65E97">
        <w:trPr>
          <w:cantSplit/>
        </w:trPr>
        <w:tc>
          <w:tcPr>
            <w:tcW w:w="3688" w:type="dxa"/>
            <w:tcBorders>
              <w:top w:val="single" w:sz="4" w:space="0" w:color="auto"/>
              <w:left w:val="single" w:sz="8" w:space="0" w:color="auto"/>
              <w:right w:val="single" w:sz="8" w:space="0" w:color="auto"/>
            </w:tcBorders>
          </w:tcPr>
          <w:p w14:paraId="22C9D0C8" w14:textId="77777777" w:rsidR="009C0666" w:rsidRPr="006A2BF9" w:rsidRDefault="009C0666" w:rsidP="00F15447">
            <w:pPr>
              <w:rPr>
                <w:sz w:val="20"/>
                <w:lang w:val="it-IT"/>
              </w:rPr>
            </w:pPr>
            <w:r w:rsidRPr="006A2BF9">
              <w:rPr>
                <w:sz w:val="20"/>
                <w:lang w:val="it-IT"/>
              </w:rPr>
              <w:t>Sopravvivenza libera da progressione</w:t>
            </w:r>
          </w:p>
        </w:tc>
        <w:tc>
          <w:tcPr>
            <w:tcW w:w="2340" w:type="dxa"/>
            <w:tcBorders>
              <w:top w:val="single" w:sz="4" w:space="0" w:color="auto"/>
              <w:left w:val="single" w:sz="8" w:space="0" w:color="auto"/>
            </w:tcBorders>
          </w:tcPr>
          <w:p w14:paraId="335B5C81" w14:textId="77777777" w:rsidR="009C0666" w:rsidRPr="006A2BF9" w:rsidRDefault="009C0666" w:rsidP="00F15447">
            <w:pPr>
              <w:jc w:val="center"/>
              <w:rPr>
                <w:sz w:val="20"/>
                <w:lang w:val="it-IT"/>
              </w:rPr>
            </w:pPr>
          </w:p>
        </w:tc>
        <w:tc>
          <w:tcPr>
            <w:tcW w:w="2869" w:type="dxa"/>
            <w:tcBorders>
              <w:top w:val="single" w:sz="4" w:space="0" w:color="auto"/>
              <w:right w:val="single" w:sz="8" w:space="0" w:color="auto"/>
            </w:tcBorders>
          </w:tcPr>
          <w:p w14:paraId="52F87E27" w14:textId="77777777" w:rsidR="009C0666" w:rsidRPr="006A2BF9" w:rsidRDefault="009C0666" w:rsidP="00F15447">
            <w:pPr>
              <w:jc w:val="center"/>
              <w:rPr>
                <w:sz w:val="20"/>
                <w:lang w:val="it-IT"/>
              </w:rPr>
            </w:pPr>
          </w:p>
        </w:tc>
      </w:tr>
      <w:tr w:rsidR="009C0666" w:rsidRPr="006A2BF9" w14:paraId="5945CA4A" w14:textId="77777777" w:rsidTr="00C65E97">
        <w:trPr>
          <w:cantSplit/>
        </w:trPr>
        <w:tc>
          <w:tcPr>
            <w:tcW w:w="3688" w:type="dxa"/>
            <w:tcBorders>
              <w:left w:val="single" w:sz="8" w:space="0" w:color="auto"/>
              <w:right w:val="single" w:sz="8" w:space="0" w:color="auto"/>
            </w:tcBorders>
          </w:tcPr>
          <w:p w14:paraId="56BD4FDC" w14:textId="77777777" w:rsidR="009C0666" w:rsidRPr="006A2BF9" w:rsidRDefault="009C0666" w:rsidP="00F15447">
            <w:pPr>
              <w:ind w:left="411"/>
              <w:rPr>
                <w:sz w:val="20"/>
                <w:lang w:val="it-IT"/>
              </w:rPr>
            </w:pPr>
            <w:r w:rsidRPr="006A2BF9">
              <w:rPr>
                <w:sz w:val="20"/>
                <w:lang w:val="it-IT"/>
              </w:rPr>
              <w:t>Mediana (mesi)</w:t>
            </w:r>
          </w:p>
        </w:tc>
        <w:tc>
          <w:tcPr>
            <w:tcW w:w="2340" w:type="dxa"/>
            <w:tcBorders>
              <w:left w:val="single" w:sz="8" w:space="0" w:color="auto"/>
            </w:tcBorders>
          </w:tcPr>
          <w:p w14:paraId="37AD83DD" w14:textId="77777777" w:rsidR="009C0666" w:rsidRPr="006A2BF9" w:rsidRDefault="009C0666" w:rsidP="00F15447">
            <w:pPr>
              <w:jc w:val="center"/>
              <w:rPr>
                <w:sz w:val="20"/>
                <w:lang w:val="it-IT"/>
              </w:rPr>
            </w:pPr>
            <w:r w:rsidRPr="006A2BF9">
              <w:rPr>
                <w:sz w:val="20"/>
                <w:lang w:val="it-IT"/>
              </w:rPr>
              <w:t>5,4</w:t>
            </w:r>
          </w:p>
        </w:tc>
        <w:tc>
          <w:tcPr>
            <w:tcW w:w="2869" w:type="dxa"/>
            <w:tcBorders>
              <w:right w:val="single" w:sz="8" w:space="0" w:color="auto"/>
            </w:tcBorders>
          </w:tcPr>
          <w:p w14:paraId="16A88011" w14:textId="77777777" w:rsidR="009C0666" w:rsidRPr="006A2BF9" w:rsidRDefault="009C0666" w:rsidP="00F15447">
            <w:pPr>
              <w:jc w:val="center"/>
              <w:rPr>
                <w:sz w:val="20"/>
                <w:lang w:val="it-IT"/>
              </w:rPr>
            </w:pPr>
            <w:r w:rsidRPr="006A2BF9">
              <w:rPr>
                <w:sz w:val="20"/>
                <w:lang w:val="it-IT"/>
              </w:rPr>
              <w:t>10,2</w:t>
            </w:r>
          </w:p>
        </w:tc>
      </w:tr>
      <w:tr w:rsidR="009C0666" w:rsidRPr="006A2BF9" w14:paraId="7AA0057C" w14:textId="77777777" w:rsidTr="00C65E97">
        <w:trPr>
          <w:cantSplit/>
        </w:trPr>
        <w:tc>
          <w:tcPr>
            <w:tcW w:w="3688" w:type="dxa"/>
            <w:tcBorders>
              <w:left w:val="single" w:sz="8" w:space="0" w:color="auto"/>
              <w:bottom w:val="single" w:sz="4" w:space="0" w:color="auto"/>
              <w:right w:val="single" w:sz="8" w:space="0" w:color="auto"/>
            </w:tcBorders>
          </w:tcPr>
          <w:p w14:paraId="656E68F9" w14:textId="77777777" w:rsidR="009C0666" w:rsidRPr="000F0246" w:rsidRDefault="009C0666" w:rsidP="00F15447">
            <w:pPr>
              <w:ind w:left="411"/>
              <w:rPr>
                <w:i/>
                <w:sz w:val="20"/>
                <w:lang w:val="it-IT"/>
              </w:rPr>
            </w:pPr>
            <w:r w:rsidRPr="000F0246">
              <w:rPr>
                <w:i/>
                <w:sz w:val="20"/>
                <w:lang w:val="it-IT"/>
              </w:rPr>
              <w:t>Hazard ratio</w:t>
            </w:r>
          </w:p>
          <w:p w14:paraId="57BE0E78" w14:textId="77777777" w:rsidR="009C0666" w:rsidRPr="00330A40" w:rsidRDefault="00A641B1" w:rsidP="00A641B1">
            <w:pPr>
              <w:ind w:left="411"/>
              <w:rPr>
                <w:sz w:val="20"/>
                <w:lang w:val="it-IT"/>
              </w:rPr>
            </w:pPr>
            <w:r w:rsidRPr="00330A40">
              <w:rPr>
                <w:sz w:val="20"/>
                <w:lang w:val="it-IT"/>
              </w:rPr>
              <w:t xml:space="preserve">IC </w:t>
            </w:r>
            <w:r w:rsidR="00831FDE">
              <w:rPr>
                <w:sz w:val="20"/>
                <w:lang w:val="it-IT"/>
              </w:rPr>
              <w:t xml:space="preserve">al </w:t>
            </w:r>
            <w:r w:rsidR="009C0666" w:rsidRPr="00330A40">
              <w:rPr>
                <w:sz w:val="20"/>
                <w:lang w:val="it-IT"/>
              </w:rPr>
              <w:t xml:space="preserve">95% </w:t>
            </w:r>
          </w:p>
        </w:tc>
        <w:tc>
          <w:tcPr>
            <w:tcW w:w="5209" w:type="dxa"/>
            <w:gridSpan w:val="2"/>
            <w:tcBorders>
              <w:left w:val="single" w:sz="8" w:space="0" w:color="auto"/>
              <w:bottom w:val="single" w:sz="4" w:space="0" w:color="auto"/>
              <w:right w:val="single" w:sz="8" w:space="0" w:color="auto"/>
            </w:tcBorders>
          </w:tcPr>
          <w:p w14:paraId="313DEEA8" w14:textId="77777777" w:rsidR="009C0666" w:rsidRPr="00330A40" w:rsidRDefault="009C0666" w:rsidP="00F15447">
            <w:pPr>
              <w:jc w:val="center"/>
              <w:rPr>
                <w:sz w:val="20"/>
                <w:lang w:val="it-IT"/>
              </w:rPr>
            </w:pPr>
            <w:r w:rsidRPr="00330A40">
              <w:rPr>
                <w:sz w:val="20"/>
                <w:lang w:val="it-IT"/>
              </w:rPr>
              <w:t>0,63</w:t>
            </w:r>
          </w:p>
          <w:p w14:paraId="2FF96D70" w14:textId="77777777" w:rsidR="009C0666" w:rsidRPr="00330A40" w:rsidRDefault="009C0666" w:rsidP="00F15447">
            <w:pPr>
              <w:jc w:val="center"/>
              <w:rPr>
                <w:sz w:val="20"/>
                <w:lang w:val="it-IT"/>
              </w:rPr>
            </w:pPr>
            <w:r w:rsidRPr="00330A40">
              <w:rPr>
                <w:sz w:val="20"/>
                <w:lang w:val="it-IT"/>
              </w:rPr>
              <w:t>0,52; 0,75</w:t>
            </w:r>
          </w:p>
          <w:p w14:paraId="0EE82354" w14:textId="77777777" w:rsidR="009C0666" w:rsidRPr="00330A40" w:rsidRDefault="009C0666" w:rsidP="00F15447">
            <w:pPr>
              <w:jc w:val="center"/>
              <w:rPr>
                <w:sz w:val="20"/>
                <w:lang w:val="it-IT"/>
              </w:rPr>
            </w:pPr>
            <w:r w:rsidRPr="00330A40">
              <w:rPr>
                <w:sz w:val="20"/>
                <w:lang w:val="it-IT"/>
              </w:rPr>
              <w:t>(valore di p</w:t>
            </w:r>
            <w:r w:rsidR="006E4D20" w:rsidRPr="00330A40">
              <w:rPr>
                <w:sz w:val="20"/>
                <w:lang w:val="it-IT"/>
              </w:rPr>
              <w:t> </w:t>
            </w:r>
            <w:r w:rsidRPr="00330A40">
              <w:rPr>
                <w:sz w:val="20"/>
                <w:lang w:val="it-IT"/>
              </w:rPr>
              <w:t>&lt; 0,0001)</w:t>
            </w:r>
          </w:p>
        </w:tc>
      </w:tr>
      <w:tr w:rsidR="009C0666" w:rsidRPr="006A2BF9" w14:paraId="63E8A6CF" w14:textId="77777777" w:rsidTr="00C65E97">
        <w:trPr>
          <w:cantSplit/>
        </w:trPr>
        <w:tc>
          <w:tcPr>
            <w:tcW w:w="3688" w:type="dxa"/>
            <w:tcBorders>
              <w:top w:val="single" w:sz="4" w:space="0" w:color="auto"/>
              <w:left w:val="single" w:sz="8" w:space="0" w:color="auto"/>
              <w:right w:val="single" w:sz="8" w:space="0" w:color="auto"/>
            </w:tcBorders>
          </w:tcPr>
          <w:p w14:paraId="67FF5A2F" w14:textId="77777777" w:rsidR="009C0666" w:rsidRPr="006A2BF9" w:rsidRDefault="009C0666" w:rsidP="00F15447">
            <w:pPr>
              <w:tabs>
                <w:tab w:val="left" w:pos="411"/>
              </w:tabs>
              <w:rPr>
                <w:sz w:val="20"/>
                <w:lang w:val="it-IT"/>
              </w:rPr>
            </w:pPr>
            <w:r w:rsidRPr="006A2BF9">
              <w:rPr>
                <w:sz w:val="20"/>
                <w:lang w:val="it-IT"/>
              </w:rPr>
              <w:t>Tasso di risposta obiettiva (%) nei pazienti con malattia misurabile</w:t>
            </w:r>
          </w:p>
          <w:p w14:paraId="4A33ABE5" w14:textId="77777777" w:rsidR="009C0666" w:rsidRPr="006A2BF9" w:rsidRDefault="009C0666" w:rsidP="00F15447">
            <w:pPr>
              <w:tabs>
                <w:tab w:val="left" w:pos="411"/>
              </w:tabs>
              <w:rPr>
                <w:sz w:val="20"/>
                <w:lang w:val="it-IT"/>
              </w:rPr>
            </w:pPr>
            <w:r w:rsidRPr="006A2BF9">
              <w:rPr>
                <w:sz w:val="20"/>
                <w:lang w:val="it-IT"/>
              </w:rPr>
              <w:tab/>
              <w:t>n</w:t>
            </w:r>
          </w:p>
        </w:tc>
        <w:tc>
          <w:tcPr>
            <w:tcW w:w="2340" w:type="dxa"/>
            <w:tcBorders>
              <w:top w:val="single" w:sz="4" w:space="0" w:color="auto"/>
              <w:left w:val="single" w:sz="8" w:space="0" w:color="auto"/>
            </w:tcBorders>
          </w:tcPr>
          <w:p w14:paraId="3B563C78" w14:textId="77777777" w:rsidR="009C0666" w:rsidRPr="006A2BF9" w:rsidRDefault="009C0666" w:rsidP="00F15447">
            <w:pPr>
              <w:jc w:val="center"/>
              <w:rPr>
                <w:sz w:val="20"/>
                <w:lang w:val="it-IT"/>
              </w:rPr>
            </w:pPr>
          </w:p>
          <w:p w14:paraId="765A9DFC" w14:textId="77777777" w:rsidR="009C0666" w:rsidRPr="006A2BF9" w:rsidRDefault="009C0666" w:rsidP="00F15447">
            <w:pPr>
              <w:jc w:val="center"/>
              <w:rPr>
                <w:sz w:val="20"/>
                <w:lang w:val="it-IT"/>
              </w:rPr>
            </w:pPr>
          </w:p>
          <w:p w14:paraId="0D6BB6F3" w14:textId="77777777" w:rsidR="009C0666" w:rsidRPr="006A2BF9" w:rsidRDefault="009C0666" w:rsidP="00F15447">
            <w:pPr>
              <w:jc w:val="center"/>
              <w:rPr>
                <w:sz w:val="20"/>
                <w:lang w:val="it-IT"/>
              </w:rPr>
            </w:pPr>
            <w:r w:rsidRPr="006A2BF9">
              <w:rPr>
                <w:sz w:val="20"/>
                <w:lang w:val="it-IT"/>
              </w:rPr>
              <w:t>289</w:t>
            </w:r>
          </w:p>
        </w:tc>
        <w:tc>
          <w:tcPr>
            <w:tcW w:w="2869" w:type="dxa"/>
            <w:tcBorders>
              <w:top w:val="single" w:sz="4" w:space="0" w:color="auto"/>
              <w:right w:val="single" w:sz="8" w:space="0" w:color="auto"/>
            </w:tcBorders>
          </w:tcPr>
          <w:p w14:paraId="7856390D" w14:textId="77777777" w:rsidR="009C0666" w:rsidRPr="006A2BF9" w:rsidRDefault="009C0666" w:rsidP="00F15447">
            <w:pPr>
              <w:jc w:val="center"/>
              <w:rPr>
                <w:sz w:val="20"/>
                <w:lang w:val="it-IT"/>
              </w:rPr>
            </w:pPr>
          </w:p>
          <w:p w14:paraId="1ED7B171" w14:textId="77777777" w:rsidR="009C0666" w:rsidRPr="006A2BF9" w:rsidRDefault="009C0666" w:rsidP="00F15447">
            <w:pPr>
              <w:jc w:val="center"/>
              <w:rPr>
                <w:sz w:val="20"/>
                <w:lang w:val="it-IT"/>
              </w:rPr>
            </w:pPr>
          </w:p>
          <w:p w14:paraId="53BF107E" w14:textId="77777777" w:rsidR="009C0666" w:rsidRPr="006A2BF9" w:rsidRDefault="009C0666" w:rsidP="00F15447">
            <w:pPr>
              <w:jc w:val="center"/>
              <w:rPr>
                <w:sz w:val="20"/>
                <w:lang w:val="it-IT"/>
              </w:rPr>
            </w:pPr>
            <w:r w:rsidRPr="006A2BF9">
              <w:rPr>
                <w:sz w:val="20"/>
                <w:lang w:val="it-IT"/>
              </w:rPr>
              <w:t>306</w:t>
            </w:r>
          </w:p>
        </w:tc>
      </w:tr>
      <w:tr w:rsidR="009C0666" w:rsidRPr="006A2BF9" w14:paraId="218BD7D2" w14:textId="77777777" w:rsidTr="00C65E97">
        <w:trPr>
          <w:cantSplit/>
        </w:trPr>
        <w:tc>
          <w:tcPr>
            <w:tcW w:w="3688" w:type="dxa"/>
            <w:tcBorders>
              <w:left w:val="single" w:sz="8" w:space="0" w:color="auto"/>
              <w:right w:val="single" w:sz="8" w:space="0" w:color="auto"/>
            </w:tcBorders>
          </w:tcPr>
          <w:p w14:paraId="6F5448C2" w14:textId="77777777" w:rsidR="009C0666" w:rsidRPr="006A2BF9" w:rsidRDefault="009C0666" w:rsidP="00F15447">
            <w:pPr>
              <w:tabs>
                <w:tab w:val="left" w:pos="411"/>
              </w:tabs>
              <w:rPr>
                <w:sz w:val="20"/>
                <w:lang w:val="it-IT"/>
              </w:rPr>
            </w:pPr>
            <w:r w:rsidRPr="006A2BF9">
              <w:rPr>
                <w:sz w:val="20"/>
                <w:lang w:val="it-IT"/>
              </w:rPr>
              <w:tab/>
              <w:t>Tasso di risposta</w:t>
            </w:r>
          </w:p>
        </w:tc>
        <w:tc>
          <w:tcPr>
            <w:tcW w:w="2340" w:type="dxa"/>
            <w:tcBorders>
              <w:left w:val="single" w:sz="8" w:space="0" w:color="auto"/>
            </w:tcBorders>
          </w:tcPr>
          <w:p w14:paraId="0F783A75" w14:textId="77777777" w:rsidR="009C0666" w:rsidRPr="006A2BF9" w:rsidRDefault="009C0666" w:rsidP="00F15447">
            <w:pPr>
              <w:jc w:val="center"/>
              <w:rPr>
                <w:sz w:val="20"/>
                <w:lang w:val="it-IT"/>
              </w:rPr>
            </w:pPr>
            <w:r w:rsidRPr="006A2BF9">
              <w:rPr>
                <w:sz w:val="20"/>
                <w:lang w:val="it-IT"/>
              </w:rPr>
              <w:t>12,8%</w:t>
            </w:r>
          </w:p>
        </w:tc>
        <w:tc>
          <w:tcPr>
            <w:tcW w:w="2869" w:type="dxa"/>
            <w:tcBorders>
              <w:right w:val="single" w:sz="8" w:space="0" w:color="auto"/>
            </w:tcBorders>
          </w:tcPr>
          <w:p w14:paraId="12675746" w14:textId="77777777" w:rsidR="009C0666" w:rsidRPr="006A2BF9" w:rsidRDefault="009C0666" w:rsidP="00F15447">
            <w:pPr>
              <w:jc w:val="center"/>
              <w:rPr>
                <w:sz w:val="20"/>
                <w:lang w:val="it-IT"/>
              </w:rPr>
            </w:pPr>
            <w:r w:rsidRPr="006A2BF9">
              <w:rPr>
                <w:sz w:val="20"/>
                <w:lang w:val="it-IT"/>
              </w:rPr>
              <w:t>31,4%</w:t>
            </w:r>
          </w:p>
        </w:tc>
      </w:tr>
      <w:tr w:rsidR="009C0666" w:rsidRPr="006A2BF9" w14:paraId="31D3475F" w14:textId="77777777" w:rsidTr="00C65E97">
        <w:trPr>
          <w:cantSplit/>
        </w:trPr>
        <w:tc>
          <w:tcPr>
            <w:tcW w:w="3688" w:type="dxa"/>
            <w:tcBorders>
              <w:left w:val="single" w:sz="8" w:space="0" w:color="auto"/>
              <w:right w:val="single" w:sz="8" w:space="0" w:color="auto"/>
            </w:tcBorders>
          </w:tcPr>
          <w:p w14:paraId="0CE36065" w14:textId="77777777" w:rsidR="009C0666" w:rsidRPr="006A2BF9" w:rsidRDefault="009C0666" w:rsidP="00F15447">
            <w:pPr>
              <w:rPr>
                <w:sz w:val="20"/>
                <w:lang w:val="it-IT"/>
              </w:rPr>
            </w:pPr>
          </w:p>
        </w:tc>
        <w:tc>
          <w:tcPr>
            <w:tcW w:w="5209" w:type="dxa"/>
            <w:gridSpan w:val="2"/>
            <w:tcBorders>
              <w:left w:val="single" w:sz="8" w:space="0" w:color="auto"/>
              <w:right w:val="single" w:sz="8" w:space="0" w:color="auto"/>
            </w:tcBorders>
          </w:tcPr>
          <w:p w14:paraId="09F5B2A6" w14:textId="77777777" w:rsidR="009C0666" w:rsidRPr="006A2BF9" w:rsidRDefault="009C0666" w:rsidP="00F15447">
            <w:pPr>
              <w:jc w:val="center"/>
              <w:rPr>
                <w:sz w:val="20"/>
                <w:lang w:val="it-IT"/>
              </w:rPr>
            </w:pPr>
            <w:r w:rsidRPr="006A2BF9">
              <w:rPr>
                <w:sz w:val="20"/>
                <w:lang w:val="it-IT"/>
              </w:rPr>
              <w:t>(valore di p</w:t>
            </w:r>
            <w:r w:rsidR="006E4D20" w:rsidRPr="006A2BF9">
              <w:rPr>
                <w:sz w:val="20"/>
                <w:lang w:val="it-IT"/>
              </w:rPr>
              <w:t> </w:t>
            </w:r>
            <w:r w:rsidRPr="006A2BF9">
              <w:rPr>
                <w:sz w:val="20"/>
                <w:lang w:val="it-IT"/>
              </w:rPr>
              <w:t>&lt; 0,0001)</w:t>
            </w:r>
          </w:p>
        </w:tc>
      </w:tr>
      <w:tr w:rsidR="009C0666" w:rsidRPr="006A2BF9" w14:paraId="4991CA76" w14:textId="77777777" w:rsidTr="00C65E97">
        <w:trPr>
          <w:cantSplit/>
        </w:trPr>
        <w:tc>
          <w:tcPr>
            <w:tcW w:w="8897" w:type="dxa"/>
            <w:gridSpan w:val="3"/>
            <w:tcBorders>
              <w:top w:val="single" w:sz="4" w:space="0" w:color="auto"/>
            </w:tcBorders>
          </w:tcPr>
          <w:p w14:paraId="1165E2C7" w14:textId="77777777" w:rsidR="009C0666" w:rsidRPr="006A2BF9" w:rsidRDefault="009C0666" w:rsidP="00F15447">
            <w:pPr>
              <w:rPr>
                <w:sz w:val="20"/>
                <w:lang w:val="it-IT"/>
              </w:rPr>
            </w:pPr>
            <w:r w:rsidRPr="006A2BF9">
              <w:rPr>
                <w:sz w:val="20"/>
                <w:vertAlign w:val="superscript"/>
                <w:lang w:val="it-IT"/>
              </w:rPr>
              <w:t>a</w:t>
            </w:r>
            <w:r w:rsidRPr="006A2BF9">
              <w:rPr>
                <w:sz w:val="20"/>
                <w:lang w:val="it-IT"/>
              </w:rPr>
              <w:t xml:space="preserve"> Interferone alfa-2a 9 M</w:t>
            </w:r>
            <w:r w:rsidR="00A641B1" w:rsidRPr="006A2BF9">
              <w:rPr>
                <w:sz w:val="20"/>
                <w:lang w:val="it-IT"/>
              </w:rPr>
              <w:t>UI</w:t>
            </w:r>
            <w:r w:rsidRPr="006A2BF9">
              <w:rPr>
                <w:sz w:val="20"/>
                <w:lang w:val="it-IT"/>
              </w:rPr>
              <w:t xml:space="preserve"> 3 volte alla settimana</w:t>
            </w:r>
          </w:p>
          <w:p w14:paraId="0CB9A8EA" w14:textId="77777777" w:rsidR="009C0666" w:rsidRPr="006A2BF9" w:rsidRDefault="009C0666" w:rsidP="00F15447">
            <w:pPr>
              <w:rPr>
                <w:sz w:val="20"/>
                <w:lang w:val="it-IT"/>
              </w:rPr>
            </w:pPr>
            <w:r w:rsidRPr="006A2BF9">
              <w:rPr>
                <w:sz w:val="20"/>
                <w:vertAlign w:val="superscript"/>
                <w:lang w:val="it-IT"/>
              </w:rPr>
              <w:t>b</w:t>
            </w:r>
            <w:r w:rsidRPr="006A2BF9">
              <w:rPr>
                <w:sz w:val="20"/>
                <w:lang w:val="it-IT"/>
              </w:rPr>
              <w:t xml:space="preserve"> Bevacizumab 10 mg/kg ogni 2</w:t>
            </w:r>
            <w:r w:rsidR="006E4D20" w:rsidRPr="006A2BF9">
              <w:rPr>
                <w:sz w:val="20"/>
                <w:lang w:val="it-IT"/>
              </w:rPr>
              <w:t> </w:t>
            </w:r>
            <w:r w:rsidRPr="006A2BF9">
              <w:rPr>
                <w:sz w:val="20"/>
                <w:lang w:val="it-IT"/>
              </w:rPr>
              <w:t>settimane</w:t>
            </w:r>
          </w:p>
        </w:tc>
      </w:tr>
    </w:tbl>
    <w:p w14:paraId="7910E635" w14:textId="77777777" w:rsidR="00DE54D6" w:rsidRPr="006A2BF9" w:rsidRDefault="00DE54D6" w:rsidP="00DE54D6">
      <w:pPr>
        <w:rPr>
          <w:lang w:val="it-IT"/>
        </w:rPr>
      </w:pPr>
    </w:p>
    <w:tbl>
      <w:tblPr>
        <w:tblW w:w="0" w:type="auto"/>
        <w:tblLayout w:type="fixed"/>
        <w:tblLook w:val="0000" w:firstRow="0" w:lastRow="0" w:firstColumn="0" w:lastColumn="0" w:noHBand="0" w:noVBand="0"/>
      </w:tblPr>
      <w:tblGrid>
        <w:gridCol w:w="3708"/>
        <w:gridCol w:w="2341"/>
        <w:gridCol w:w="2848"/>
      </w:tblGrid>
      <w:tr w:rsidR="00DE54D6" w:rsidRPr="006A2BF9" w14:paraId="3D8D191C" w14:textId="77777777" w:rsidTr="002C7DCE">
        <w:trPr>
          <w:cantSplit/>
          <w:trHeight w:val="320"/>
        </w:trPr>
        <w:tc>
          <w:tcPr>
            <w:tcW w:w="3708" w:type="dxa"/>
            <w:tcBorders>
              <w:top w:val="single" w:sz="4" w:space="0" w:color="auto"/>
              <w:left w:val="single" w:sz="4" w:space="0" w:color="auto"/>
              <w:right w:val="single" w:sz="4" w:space="0" w:color="auto"/>
            </w:tcBorders>
          </w:tcPr>
          <w:p w14:paraId="185C7B30" w14:textId="77777777" w:rsidR="00DE54D6" w:rsidRPr="006A2BF9" w:rsidRDefault="00DE54D6" w:rsidP="00F15447">
            <w:pPr>
              <w:pStyle w:val="TableFooter"/>
              <w:keepNext w:val="0"/>
              <w:keepLines w:val="0"/>
              <w:tabs>
                <w:tab w:val="left" w:pos="1440"/>
              </w:tabs>
              <w:spacing w:before="40" w:after="40" w:line="240" w:lineRule="auto"/>
              <w:ind w:left="1440" w:hanging="1440"/>
              <w:rPr>
                <w:lang w:val="it-IT"/>
              </w:rPr>
            </w:pPr>
            <w:r w:rsidRPr="006A2BF9">
              <w:rPr>
                <w:lang w:val="it-IT"/>
              </w:rPr>
              <w:t>Sopravvivenza globale</w:t>
            </w:r>
          </w:p>
        </w:tc>
        <w:tc>
          <w:tcPr>
            <w:tcW w:w="2341" w:type="dxa"/>
            <w:tcBorders>
              <w:top w:val="single" w:sz="4" w:space="0" w:color="auto"/>
              <w:left w:val="single" w:sz="4" w:space="0" w:color="auto"/>
            </w:tcBorders>
          </w:tcPr>
          <w:p w14:paraId="2EEEA4B3" w14:textId="77777777" w:rsidR="00DE54D6" w:rsidRPr="006A2BF9" w:rsidRDefault="00DE54D6" w:rsidP="00F15447">
            <w:pPr>
              <w:pStyle w:val="TableFooter"/>
              <w:keepNext w:val="0"/>
              <w:keepLines w:val="0"/>
              <w:tabs>
                <w:tab w:val="left" w:pos="1440"/>
              </w:tabs>
              <w:spacing w:before="40" w:after="40" w:line="240" w:lineRule="auto"/>
              <w:ind w:left="1440" w:hanging="1440"/>
              <w:rPr>
                <w:lang w:val="it-IT"/>
              </w:rPr>
            </w:pPr>
          </w:p>
        </w:tc>
        <w:tc>
          <w:tcPr>
            <w:tcW w:w="2848" w:type="dxa"/>
            <w:tcBorders>
              <w:top w:val="single" w:sz="4" w:space="0" w:color="auto"/>
              <w:right w:val="single" w:sz="4" w:space="0" w:color="auto"/>
            </w:tcBorders>
          </w:tcPr>
          <w:p w14:paraId="14312CB7" w14:textId="77777777" w:rsidR="00DE54D6" w:rsidRPr="006A2BF9" w:rsidRDefault="00DE54D6" w:rsidP="00F15447">
            <w:pPr>
              <w:pStyle w:val="TableFooter"/>
              <w:keepNext w:val="0"/>
              <w:keepLines w:val="0"/>
              <w:tabs>
                <w:tab w:val="left" w:pos="1440"/>
              </w:tabs>
              <w:spacing w:before="40" w:after="40" w:line="240" w:lineRule="auto"/>
              <w:ind w:left="1440" w:hanging="1440"/>
              <w:rPr>
                <w:lang w:val="it-IT"/>
              </w:rPr>
            </w:pPr>
          </w:p>
        </w:tc>
      </w:tr>
      <w:tr w:rsidR="00DE54D6" w:rsidRPr="006A2BF9" w14:paraId="1C07BCB3" w14:textId="77777777" w:rsidTr="002C7DCE">
        <w:trPr>
          <w:cantSplit/>
          <w:trHeight w:val="320"/>
        </w:trPr>
        <w:tc>
          <w:tcPr>
            <w:tcW w:w="3708" w:type="dxa"/>
            <w:tcBorders>
              <w:left w:val="single" w:sz="4" w:space="0" w:color="auto"/>
              <w:right w:val="single" w:sz="4" w:space="0" w:color="auto"/>
            </w:tcBorders>
          </w:tcPr>
          <w:p w14:paraId="69091C97" w14:textId="77777777" w:rsidR="00DE54D6" w:rsidRPr="006A2BF9" w:rsidRDefault="00DE54D6" w:rsidP="00F15447">
            <w:pPr>
              <w:pStyle w:val="TableFooter"/>
              <w:keepNext w:val="0"/>
              <w:keepLines w:val="0"/>
              <w:spacing w:before="40" w:after="40" w:line="240" w:lineRule="auto"/>
              <w:ind w:left="400"/>
              <w:rPr>
                <w:lang w:val="it-IT"/>
              </w:rPr>
            </w:pPr>
            <w:r w:rsidRPr="006A2BF9">
              <w:rPr>
                <w:lang w:val="it-IT"/>
              </w:rPr>
              <w:t>Mediana (mesi)</w:t>
            </w:r>
          </w:p>
        </w:tc>
        <w:tc>
          <w:tcPr>
            <w:tcW w:w="2341" w:type="dxa"/>
            <w:tcBorders>
              <w:left w:val="single" w:sz="4" w:space="0" w:color="auto"/>
            </w:tcBorders>
          </w:tcPr>
          <w:p w14:paraId="1D9AA965" w14:textId="77777777" w:rsidR="00DE54D6" w:rsidRPr="006A2BF9" w:rsidRDefault="00DE54D6" w:rsidP="00F15447">
            <w:pPr>
              <w:pStyle w:val="TableFooter"/>
              <w:keepNext w:val="0"/>
              <w:keepLines w:val="0"/>
              <w:tabs>
                <w:tab w:val="left" w:pos="1440"/>
              </w:tabs>
              <w:spacing w:before="40" w:after="40" w:line="240" w:lineRule="auto"/>
              <w:ind w:left="1440" w:hanging="1440"/>
              <w:jc w:val="center"/>
              <w:rPr>
                <w:lang w:val="it-IT"/>
              </w:rPr>
            </w:pPr>
            <w:r w:rsidRPr="006A2BF9">
              <w:rPr>
                <w:lang w:val="it-IT"/>
              </w:rPr>
              <w:t>21,3</w:t>
            </w:r>
          </w:p>
        </w:tc>
        <w:tc>
          <w:tcPr>
            <w:tcW w:w="2848" w:type="dxa"/>
            <w:tcBorders>
              <w:right w:val="single" w:sz="4" w:space="0" w:color="auto"/>
            </w:tcBorders>
          </w:tcPr>
          <w:p w14:paraId="516147AE" w14:textId="77777777" w:rsidR="00DE54D6" w:rsidRPr="006A2BF9" w:rsidRDefault="00DE54D6" w:rsidP="00F15447">
            <w:pPr>
              <w:pStyle w:val="TableFooter"/>
              <w:keepNext w:val="0"/>
              <w:keepLines w:val="0"/>
              <w:tabs>
                <w:tab w:val="left" w:pos="1440"/>
              </w:tabs>
              <w:spacing w:before="40" w:after="40" w:line="240" w:lineRule="auto"/>
              <w:ind w:left="1440" w:hanging="1440"/>
              <w:jc w:val="center"/>
              <w:rPr>
                <w:lang w:val="it-IT"/>
              </w:rPr>
            </w:pPr>
            <w:r w:rsidRPr="006A2BF9">
              <w:rPr>
                <w:lang w:val="it-IT"/>
              </w:rPr>
              <w:t>23,3</w:t>
            </w:r>
          </w:p>
        </w:tc>
      </w:tr>
      <w:tr w:rsidR="00DE54D6" w:rsidRPr="006A2BF9" w14:paraId="7B326B5E" w14:textId="77777777" w:rsidTr="002C7DCE">
        <w:trPr>
          <w:cantSplit/>
          <w:trHeight w:val="320"/>
        </w:trPr>
        <w:tc>
          <w:tcPr>
            <w:tcW w:w="3708" w:type="dxa"/>
            <w:tcBorders>
              <w:left w:val="single" w:sz="4" w:space="0" w:color="auto"/>
              <w:bottom w:val="single" w:sz="4" w:space="0" w:color="auto"/>
              <w:right w:val="single" w:sz="4" w:space="0" w:color="auto"/>
            </w:tcBorders>
          </w:tcPr>
          <w:p w14:paraId="6FDED460" w14:textId="77777777" w:rsidR="00DE54D6" w:rsidRPr="000F0246" w:rsidRDefault="00DE54D6" w:rsidP="00F15447">
            <w:pPr>
              <w:pStyle w:val="TableFooter"/>
              <w:keepNext w:val="0"/>
              <w:keepLines w:val="0"/>
              <w:spacing w:before="40" w:after="40" w:line="240" w:lineRule="auto"/>
              <w:ind w:left="400"/>
              <w:rPr>
                <w:i/>
                <w:lang w:val="it-IT"/>
              </w:rPr>
            </w:pPr>
            <w:r w:rsidRPr="000F0246">
              <w:rPr>
                <w:i/>
                <w:lang w:val="it-IT"/>
              </w:rPr>
              <w:t>Hazard ratio</w:t>
            </w:r>
          </w:p>
          <w:p w14:paraId="52864D4D" w14:textId="77777777" w:rsidR="00DE54D6" w:rsidRPr="00330A40" w:rsidRDefault="00DE54D6" w:rsidP="00F15447">
            <w:pPr>
              <w:pStyle w:val="TableFooter"/>
              <w:keepNext w:val="0"/>
              <w:keepLines w:val="0"/>
              <w:spacing w:before="40" w:after="40" w:line="240" w:lineRule="auto"/>
              <w:ind w:left="400"/>
              <w:rPr>
                <w:lang w:val="it-IT"/>
              </w:rPr>
            </w:pPr>
            <w:r w:rsidRPr="00330A40">
              <w:rPr>
                <w:lang w:val="it-IT"/>
              </w:rPr>
              <w:t xml:space="preserve">IC </w:t>
            </w:r>
            <w:r w:rsidR="00831FDE">
              <w:rPr>
                <w:lang w:val="it-IT"/>
              </w:rPr>
              <w:t xml:space="preserve">al </w:t>
            </w:r>
            <w:r w:rsidRPr="00330A40">
              <w:rPr>
                <w:lang w:val="it-IT"/>
              </w:rPr>
              <w:t>95%</w:t>
            </w:r>
          </w:p>
        </w:tc>
        <w:tc>
          <w:tcPr>
            <w:tcW w:w="5189" w:type="dxa"/>
            <w:gridSpan w:val="2"/>
            <w:tcBorders>
              <w:left w:val="single" w:sz="4" w:space="0" w:color="auto"/>
              <w:bottom w:val="single" w:sz="4" w:space="0" w:color="auto"/>
              <w:right w:val="single" w:sz="4" w:space="0" w:color="auto"/>
            </w:tcBorders>
          </w:tcPr>
          <w:p w14:paraId="05506881" w14:textId="77777777" w:rsidR="00DE54D6" w:rsidRPr="00330A40" w:rsidRDefault="00DE54D6" w:rsidP="00F15447">
            <w:pPr>
              <w:pStyle w:val="TableFooter"/>
              <w:keepNext w:val="0"/>
              <w:keepLines w:val="0"/>
              <w:tabs>
                <w:tab w:val="left" w:pos="1440"/>
              </w:tabs>
              <w:spacing w:before="40" w:after="40" w:line="240" w:lineRule="auto"/>
              <w:ind w:left="1440" w:hanging="1440"/>
              <w:jc w:val="center"/>
              <w:rPr>
                <w:lang w:val="it-IT"/>
              </w:rPr>
            </w:pPr>
            <w:r w:rsidRPr="00330A40">
              <w:rPr>
                <w:lang w:val="it-IT"/>
              </w:rPr>
              <w:t>0,91</w:t>
            </w:r>
          </w:p>
          <w:p w14:paraId="78C5D50E" w14:textId="77777777" w:rsidR="00DE54D6" w:rsidRPr="00330A40" w:rsidRDefault="00DE54D6" w:rsidP="00F15447">
            <w:pPr>
              <w:pStyle w:val="TableFooter"/>
              <w:keepNext w:val="0"/>
              <w:keepLines w:val="0"/>
              <w:tabs>
                <w:tab w:val="left" w:pos="1440"/>
              </w:tabs>
              <w:spacing w:before="40" w:after="40" w:line="240" w:lineRule="auto"/>
              <w:ind w:left="1440" w:hanging="1440"/>
              <w:jc w:val="center"/>
              <w:rPr>
                <w:lang w:val="it-IT"/>
              </w:rPr>
            </w:pPr>
            <w:r w:rsidRPr="00330A40">
              <w:rPr>
                <w:rFonts w:eastAsia="PMingLiU"/>
                <w:lang w:val="it-IT" w:eastAsia="zh-CN"/>
              </w:rPr>
              <w:t>0,76, 1,10</w:t>
            </w:r>
          </w:p>
          <w:p w14:paraId="588B8321" w14:textId="77777777" w:rsidR="00DE54D6" w:rsidRPr="00330A40" w:rsidRDefault="00DE54D6" w:rsidP="00F15447">
            <w:pPr>
              <w:pStyle w:val="TableFooter"/>
              <w:keepNext w:val="0"/>
              <w:keepLines w:val="0"/>
              <w:tabs>
                <w:tab w:val="left" w:pos="1440"/>
              </w:tabs>
              <w:spacing w:before="40" w:after="40" w:line="240" w:lineRule="auto"/>
              <w:ind w:left="1440" w:hanging="1440"/>
              <w:jc w:val="center"/>
              <w:rPr>
                <w:lang w:val="it-IT"/>
              </w:rPr>
            </w:pPr>
            <w:r w:rsidRPr="00330A40">
              <w:rPr>
                <w:lang w:val="it-IT"/>
              </w:rPr>
              <w:t>(valore di p</w:t>
            </w:r>
            <w:r w:rsidR="006E4D20" w:rsidRPr="00330A40">
              <w:rPr>
                <w:lang w:val="it-IT"/>
              </w:rPr>
              <w:t> </w:t>
            </w:r>
            <w:r w:rsidRPr="00330A40">
              <w:rPr>
                <w:lang w:val="it-IT"/>
              </w:rPr>
              <w:t>0,3360)</w:t>
            </w:r>
          </w:p>
        </w:tc>
      </w:tr>
    </w:tbl>
    <w:p w14:paraId="584DE1F1" w14:textId="77777777" w:rsidR="00DE54D6" w:rsidRPr="006A2BF9" w:rsidRDefault="00DE54D6" w:rsidP="00DE54D6">
      <w:pPr>
        <w:rPr>
          <w:lang w:val="it-IT"/>
        </w:rPr>
      </w:pPr>
    </w:p>
    <w:p w14:paraId="3EE1D0DD" w14:textId="77777777" w:rsidR="00DE54D6" w:rsidRPr="00330A40" w:rsidRDefault="00DE54D6" w:rsidP="00DE54D6">
      <w:pPr>
        <w:rPr>
          <w:szCs w:val="22"/>
          <w:lang w:val="it-IT"/>
        </w:rPr>
      </w:pPr>
      <w:r w:rsidRPr="006A2BF9">
        <w:rPr>
          <w:lang w:val="it-IT"/>
        </w:rPr>
        <w:t xml:space="preserve">Un’analisi esplorativa multivariata secondo il modello di regressione di Cox </w:t>
      </w:r>
      <w:r w:rsidR="00A641B1" w:rsidRPr="006A2BF9">
        <w:rPr>
          <w:lang w:val="it-IT"/>
        </w:rPr>
        <w:t xml:space="preserve">che </w:t>
      </w:r>
      <w:r w:rsidRPr="006A2BF9">
        <w:rPr>
          <w:lang w:val="it-IT"/>
        </w:rPr>
        <w:t xml:space="preserve">usa parametri predefiniti, ha indicato che i seguenti fattori prognostici valutati al basale erano strettamente correlati con la sopravvivenza, indipendentemente dal trattamento: sesso, conta leucocitaria e delle piastrine, calo del peso corporeo </w:t>
      </w:r>
      <w:r w:rsidR="00A641B1" w:rsidRPr="006A2BF9">
        <w:rPr>
          <w:lang w:val="it-IT"/>
        </w:rPr>
        <w:t xml:space="preserve">nei </w:t>
      </w:r>
      <w:r w:rsidRPr="006A2BF9">
        <w:rPr>
          <w:lang w:val="it-IT"/>
        </w:rPr>
        <w:t>6</w:t>
      </w:r>
      <w:r w:rsidR="006E4D20" w:rsidRPr="006A2BF9">
        <w:rPr>
          <w:lang w:val="it-IT"/>
        </w:rPr>
        <w:t> </w:t>
      </w:r>
      <w:r w:rsidRPr="006A2BF9">
        <w:rPr>
          <w:lang w:val="it-IT"/>
        </w:rPr>
        <w:t xml:space="preserve">mesi precedenti l’arruolamento, numero di sedi metastatiche, somma dei diametri maggiori delle lesioni target, </w:t>
      </w:r>
      <w:r w:rsidR="00D966E3" w:rsidRPr="006A2BF9">
        <w:rPr>
          <w:lang w:val="it-IT"/>
        </w:rPr>
        <w:t xml:space="preserve">criteri </w:t>
      </w:r>
      <w:r w:rsidRPr="006A2BF9">
        <w:rPr>
          <w:lang w:val="it-IT"/>
        </w:rPr>
        <w:t xml:space="preserve">di Motzer. L’aggiustamento </w:t>
      </w:r>
      <w:r w:rsidR="00D966E3" w:rsidRPr="006A2BF9">
        <w:rPr>
          <w:lang w:val="it-IT"/>
        </w:rPr>
        <w:t xml:space="preserve">per </w:t>
      </w:r>
      <w:r w:rsidRPr="006A2BF9">
        <w:rPr>
          <w:lang w:val="it-IT"/>
        </w:rPr>
        <w:t>q</w:t>
      </w:r>
      <w:r w:rsidR="002D48C6" w:rsidRPr="006A2BF9">
        <w:rPr>
          <w:lang w:val="it-IT"/>
        </w:rPr>
        <w:t xml:space="preserve">uesti fattori ha determinato un </w:t>
      </w:r>
      <w:r w:rsidRPr="000F0246">
        <w:rPr>
          <w:i/>
          <w:lang w:val="it-IT"/>
        </w:rPr>
        <w:t>hazard ratio</w:t>
      </w:r>
      <w:r w:rsidRPr="00330A40">
        <w:rPr>
          <w:lang w:val="it-IT"/>
        </w:rPr>
        <w:t xml:space="preserve"> di 0,78 (IC </w:t>
      </w:r>
      <w:r w:rsidR="00831FDE">
        <w:rPr>
          <w:lang w:val="it-IT"/>
        </w:rPr>
        <w:t xml:space="preserve">al </w:t>
      </w:r>
      <w:r w:rsidRPr="00330A40">
        <w:rPr>
          <w:lang w:val="it-IT"/>
        </w:rPr>
        <w:t xml:space="preserve">95% </w:t>
      </w:r>
      <w:r w:rsidRPr="00330A40">
        <w:rPr>
          <w:szCs w:val="22"/>
          <w:lang w:val="it-IT"/>
        </w:rPr>
        <w:t>[0,63;0,96], p</w:t>
      </w:r>
      <w:r w:rsidR="006E4D20" w:rsidRPr="00330A40">
        <w:rPr>
          <w:szCs w:val="22"/>
          <w:lang w:val="it-IT"/>
        </w:rPr>
        <w:t> </w:t>
      </w:r>
      <w:r w:rsidRPr="00330A40">
        <w:rPr>
          <w:szCs w:val="22"/>
          <w:lang w:val="it-IT"/>
        </w:rPr>
        <w:t>=</w:t>
      </w:r>
      <w:r w:rsidR="006E4D20" w:rsidRPr="00330A40">
        <w:rPr>
          <w:szCs w:val="22"/>
          <w:lang w:val="it-IT"/>
        </w:rPr>
        <w:t> </w:t>
      </w:r>
      <w:r w:rsidRPr="00330A40">
        <w:rPr>
          <w:szCs w:val="22"/>
          <w:lang w:val="it-IT"/>
        </w:rPr>
        <w:t xml:space="preserve">0,0219), che indica una riduzione del rischio di morte del 22% per i pazienti nel braccio di trattamento </w:t>
      </w:r>
      <w:r w:rsidR="00772EE7" w:rsidRPr="00330A40">
        <w:rPr>
          <w:szCs w:val="22"/>
          <w:lang w:val="it-IT"/>
        </w:rPr>
        <w:t>bevacizumab</w:t>
      </w:r>
      <w:r w:rsidR="006E4D20" w:rsidRPr="00330A40">
        <w:rPr>
          <w:szCs w:val="22"/>
          <w:lang w:val="it-IT"/>
        </w:rPr>
        <w:t> </w:t>
      </w:r>
      <w:r w:rsidRPr="00330A40">
        <w:rPr>
          <w:szCs w:val="22"/>
          <w:lang w:val="it-IT"/>
        </w:rPr>
        <w:t>+</w:t>
      </w:r>
      <w:r w:rsidR="006E4D20" w:rsidRPr="00330A40">
        <w:rPr>
          <w:szCs w:val="22"/>
          <w:lang w:val="it-IT"/>
        </w:rPr>
        <w:t> </w:t>
      </w:r>
      <w:r w:rsidRPr="00330A40">
        <w:rPr>
          <w:szCs w:val="22"/>
          <w:lang w:val="it-IT"/>
        </w:rPr>
        <w:t>IFN alfa-2a rispetto a quelli nel braccio IFN alfa-2a.</w:t>
      </w:r>
    </w:p>
    <w:p w14:paraId="781680DA" w14:textId="77777777" w:rsidR="00DE54D6" w:rsidRPr="00330A40" w:rsidRDefault="00DE54D6" w:rsidP="00DE54D6">
      <w:pPr>
        <w:rPr>
          <w:szCs w:val="22"/>
          <w:lang w:val="it-IT"/>
        </w:rPr>
      </w:pPr>
    </w:p>
    <w:p w14:paraId="125A31D8" w14:textId="6D4F10AF" w:rsidR="00DE54D6" w:rsidRPr="006A2BF9" w:rsidDel="002D76BD" w:rsidRDefault="00DE54D6" w:rsidP="00DE54D6">
      <w:pPr>
        <w:rPr>
          <w:szCs w:val="22"/>
          <w:lang w:val="it-IT"/>
        </w:rPr>
      </w:pPr>
      <w:r w:rsidRPr="00330A40">
        <w:rPr>
          <w:szCs w:val="22"/>
          <w:lang w:val="it-IT"/>
        </w:rPr>
        <w:t>Novantasette</w:t>
      </w:r>
      <w:r w:rsidR="00A641B1" w:rsidRPr="00330A40">
        <w:rPr>
          <w:szCs w:val="22"/>
          <w:lang w:val="it-IT"/>
        </w:rPr>
        <w:t xml:space="preserve"> </w:t>
      </w:r>
      <w:r w:rsidRPr="00330A40">
        <w:rPr>
          <w:szCs w:val="22"/>
          <w:lang w:val="it-IT"/>
        </w:rPr>
        <w:t>pazienti nel braccio IFN alfa-2a e 131</w:t>
      </w:r>
      <w:r w:rsidR="00772EE7" w:rsidRPr="00330A40">
        <w:rPr>
          <w:szCs w:val="22"/>
          <w:lang w:val="it-IT"/>
        </w:rPr>
        <w:t> </w:t>
      </w:r>
      <w:r w:rsidRPr="00330A40">
        <w:rPr>
          <w:szCs w:val="22"/>
          <w:lang w:val="it-IT"/>
        </w:rPr>
        <w:t xml:space="preserve">pazienti nel braccio </w:t>
      </w:r>
      <w:r w:rsidR="00772EE7" w:rsidRPr="006A2BF9">
        <w:rPr>
          <w:szCs w:val="22"/>
          <w:lang w:val="it-IT"/>
        </w:rPr>
        <w:t>bevacizumab</w:t>
      </w:r>
      <w:r w:rsidR="00772EE7" w:rsidRPr="006A2BF9" w:rsidDel="00772EE7">
        <w:rPr>
          <w:szCs w:val="22"/>
          <w:lang w:val="it-IT"/>
        </w:rPr>
        <w:t xml:space="preserve"> </w:t>
      </w:r>
      <w:r w:rsidRPr="006A2BF9">
        <w:rPr>
          <w:szCs w:val="22"/>
          <w:lang w:val="it-IT"/>
        </w:rPr>
        <w:t>hanno ridotto la dose di IFN alfa 2a da 9 MUI a 6 o 3</w:t>
      </w:r>
      <w:r w:rsidR="006E4D20" w:rsidRPr="006A2BF9">
        <w:rPr>
          <w:szCs w:val="22"/>
          <w:lang w:val="it-IT"/>
        </w:rPr>
        <w:t> </w:t>
      </w:r>
      <w:r w:rsidRPr="006A2BF9">
        <w:rPr>
          <w:szCs w:val="22"/>
          <w:lang w:val="it-IT"/>
        </w:rPr>
        <w:t>MUI tre volte la settimana come specificato nel protocollo. La riduzione della dose di IFN alfa-2a non sembra avere impattato sull’efficacia dell</w:t>
      </w:r>
      <w:r w:rsidR="003A32A4" w:rsidRPr="006A2BF9">
        <w:rPr>
          <w:szCs w:val="22"/>
          <w:lang w:val="it-IT"/>
        </w:rPr>
        <w:t>’associaz</w:t>
      </w:r>
      <w:r w:rsidR="00A641B1" w:rsidRPr="006A2BF9">
        <w:rPr>
          <w:szCs w:val="22"/>
          <w:lang w:val="it-IT"/>
        </w:rPr>
        <w:t>i</w:t>
      </w:r>
      <w:r w:rsidR="003A32A4" w:rsidRPr="006A2BF9">
        <w:rPr>
          <w:szCs w:val="22"/>
          <w:lang w:val="it-IT"/>
        </w:rPr>
        <w:t xml:space="preserve">one </w:t>
      </w:r>
      <w:r w:rsidRPr="006A2BF9">
        <w:rPr>
          <w:szCs w:val="22"/>
          <w:lang w:val="it-IT"/>
        </w:rPr>
        <w:t xml:space="preserve">di </w:t>
      </w:r>
      <w:r w:rsidR="00772EE7" w:rsidRPr="006A2BF9">
        <w:rPr>
          <w:szCs w:val="22"/>
          <w:lang w:val="it-IT"/>
        </w:rPr>
        <w:t>bevacizumab</w:t>
      </w:r>
      <w:r w:rsidR="00772EE7" w:rsidRPr="006A2BF9" w:rsidDel="00772EE7">
        <w:rPr>
          <w:szCs w:val="22"/>
          <w:lang w:val="it-IT"/>
        </w:rPr>
        <w:t xml:space="preserve"> </w:t>
      </w:r>
      <w:r w:rsidRPr="006A2BF9">
        <w:rPr>
          <w:szCs w:val="22"/>
          <w:lang w:val="it-IT"/>
        </w:rPr>
        <w:t xml:space="preserve">e IFN alfa-2a in termini di </w:t>
      </w:r>
      <w:r w:rsidR="00A641B1" w:rsidRPr="006A2BF9">
        <w:rPr>
          <w:szCs w:val="22"/>
          <w:lang w:val="it-IT"/>
        </w:rPr>
        <w:t>PFS</w:t>
      </w:r>
      <w:r w:rsidRPr="006A2BF9">
        <w:rPr>
          <w:szCs w:val="22"/>
          <w:lang w:val="it-IT"/>
        </w:rPr>
        <w:t>, come evidenziato da un’analisi per sottogruppi. I 131</w:t>
      </w:r>
      <w:r w:rsidR="00772EE7" w:rsidRPr="006A2BF9">
        <w:rPr>
          <w:szCs w:val="22"/>
          <w:lang w:val="it-IT"/>
        </w:rPr>
        <w:t> </w:t>
      </w:r>
      <w:r w:rsidRPr="006A2BF9">
        <w:rPr>
          <w:szCs w:val="22"/>
          <w:lang w:val="it-IT"/>
        </w:rPr>
        <w:t xml:space="preserve">pazienti nel braccio di trattamento </w:t>
      </w:r>
      <w:r w:rsidR="00772EE7" w:rsidRPr="006A2BF9">
        <w:rPr>
          <w:szCs w:val="22"/>
          <w:lang w:val="it-IT"/>
        </w:rPr>
        <w:t>bevacizumab</w:t>
      </w:r>
      <w:r w:rsidR="006E4D20" w:rsidRPr="006A2BF9">
        <w:rPr>
          <w:szCs w:val="22"/>
          <w:lang w:val="it-IT"/>
        </w:rPr>
        <w:t> </w:t>
      </w:r>
      <w:r w:rsidRPr="006A2BF9">
        <w:rPr>
          <w:szCs w:val="22"/>
          <w:lang w:val="it-IT"/>
        </w:rPr>
        <w:t>+</w:t>
      </w:r>
      <w:r w:rsidR="006E4D20" w:rsidRPr="006A2BF9">
        <w:rPr>
          <w:szCs w:val="22"/>
          <w:lang w:val="it-IT"/>
        </w:rPr>
        <w:t> </w:t>
      </w:r>
      <w:r w:rsidRPr="006A2BF9">
        <w:rPr>
          <w:szCs w:val="22"/>
          <w:lang w:val="it-IT"/>
        </w:rPr>
        <w:t>IFN alfa-2a che hanno ridotto e mantenuto la dose di IFN alfa-2a a 6 o 3</w:t>
      </w:r>
      <w:r w:rsidR="006E4D20" w:rsidRPr="006A2BF9">
        <w:rPr>
          <w:szCs w:val="22"/>
          <w:lang w:val="it-IT"/>
        </w:rPr>
        <w:t> </w:t>
      </w:r>
      <w:r w:rsidRPr="006A2BF9">
        <w:rPr>
          <w:szCs w:val="22"/>
          <w:lang w:val="it-IT"/>
        </w:rPr>
        <w:t>MUI durante lo studio, hanno avuto un tasso di sopravvivenza libera da malattia a 6, 12 e 18</w:t>
      </w:r>
      <w:r w:rsidR="00772EE7" w:rsidRPr="006A2BF9">
        <w:rPr>
          <w:szCs w:val="22"/>
          <w:lang w:val="it-IT"/>
        </w:rPr>
        <w:t> </w:t>
      </w:r>
      <w:r w:rsidRPr="006A2BF9">
        <w:rPr>
          <w:szCs w:val="22"/>
          <w:lang w:val="it-IT"/>
        </w:rPr>
        <w:t xml:space="preserve">mesi del 73, 52 e 21% rispettivamente, confrontato con il 61, 43 e 17% nella popolazione globale dei pazienti trattati con </w:t>
      </w:r>
      <w:r w:rsidR="00772EE7" w:rsidRPr="006A2BF9">
        <w:rPr>
          <w:szCs w:val="22"/>
          <w:lang w:val="it-IT"/>
        </w:rPr>
        <w:t>bevacizumab</w:t>
      </w:r>
      <w:r w:rsidR="00772EE7" w:rsidRPr="006A2BF9" w:rsidDel="00772EE7">
        <w:rPr>
          <w:szCs w:val="22"/>
          <w:lang w:val="it-IT"/>
        </w:rPr>
        <w:t xml:space="preserve"> </w:t>
      </w:r>
      <w:r w:rsidRPr="006A2BF9">
        <w:rPr>
          <w:szCs w:val="22"/>
          <w:lang w:val="it-IT"/>
        </w:rPr>
        <w:t>e IFN alfa-2a.</w:t>
      </w:r>
    </w:p>
    <w:p w14:paraId="2936EEAE" w14:textId="77777777" w:rsidR="00DE54D6" w:rsidRPr="006A2BF9" w:rsidRDefault="00DE54D6" w:rsidP="00DE54D6">
      <w:pPr>
        <w:rPr>
          <w:lang w:val="it-IT"/>
        </w:rPr>
      </w:pPr>
    </w:p>
    <w:p w14:paraId="3B6F606E" w14:textId="77777777" w:rsidR="009C0666" w:rsidRPr="006A2BF9" w:rsidRDefault="009C0666" w:rsidP="009C0666">
      <w:pPr>
        <w:rPr>
          <w:i/>
          <w:lang w:val="it-IT"/>
        </w:rPr>
      </w:pPr>
      <w:r w:rsidRPr="006A2BF9">
        <w:rPr>
          <w:i/>
          <w:lang w:val="it-IT"/>
        </w:rPr>
        <w:t>AVF2938</w:t>
      </w:r>
    </w:p>
    <w:p w14:paraId="3AD31FEC" w14:textId="77777777" w:rsidR="009C0666" w:rsidRPr="006A2BF9" w:rsidRDefault="009C0666" w:rsidP="009C0666">
      <w:pPr>
        <w:rPr>
          <w:bCs/>
          <w:lang w:val="it-IT"/>
        </w:rPr>
      </w:pPr>
      <w:r w:rsidRPr="006A2BF9">
        <w:rPr>
          <w:lang w:val="it-IT"/>
        </w:rPr>
        <w:t>Si è trattato di uno studio clinico randomizzato, in doppio cieco, di fase</w:t>
      </w:r>
      <w:r w:rsidR="00772EE7" w:rsidRPr="006A2BF9">
        <w:rPr>
          <w:lang w:val="it-IT"/>
        </w:rPr>
        <w:t> </w:t>
      </w:r>
      <w:r w:rsidRPr="006A2BF9">
        <w:rPr>
          <w:lang w:val="it-IT"/>
        </w:rPr>
        <w:t xml:space="preserve">II finalizzato a studiare </w:t>
      </w:r>
      <w:r w:rsidR="00772EE7" w:rsidRPr="006A2BF9">
        <w:rPr>
          <w:szCs w:val="22"/>
          <w:lang w:val="it-IT"/>
        </w:rPr>
        <w:t>bevacizumab</w:t>
      </w:r>
      <w:r w:rsidR="00772EE7" w:rsidRPr="006A2BF9" w:rsidDel="00772EE7">
        <w:rPr>
          <w:lang w:val="it-IT"/>
        </w:rPr>
        <w:t xml:space="preserve"> </w:t>
      </w:r>
      <w:r w:rsidRPr="006A2BF9">
        <w:rPr>
          <w:lang w:val="it-IT"/>
        </w:rPr>
        <w:t xml:space="preserve">10 mg/kg </w:t>
      </w:r>
      <w:r w:rsidR="00A641B1" w:rsidRPr="006A2BF9">
        <w:rPr>
          <w:lang w:val="it-IT"/>
        </w:rPr>
        <w:t xml:space="preserve">in uno schema di </w:t>
      </w:r>
      <w:r w:rsidRPr="006A2BF9">
        <w:rPr>
          <w:lang w:val="it-IT"/>
        </w:rPr>
        <w:t>2</w:t>
      </w:r>
      <w:r w:rsidR="00772EE7" w:rsidRPr="006A2BF9">
        <w:rPr>
          <w:lang w:val="it-IT"/>
        </w:rPr>
        <w:t> </w:t>
      </w:r>
      <w:r w:rsidRPr="006A2BF9">
        <w:rPr>
          <w:lang w:val="it-IT"/>
        </w:rPr>
        <w:t>settimane rispetto a</w:t>
      </w:r>
      <w:r w:rsidR="00772EE7" w:rsidRPr="006A2BF9">
        <w:rPr>
          <w:lang w:val="it-IT"/>
        </w:rPr>
        <w:t xml:space="preserve"> </w:t>
      </w:r>
      <w:r w:rsidR="00772EE7" w:rsidRPr="006A2BF9">
        <w:rPr>
          <w:szCs w:val="22"/>
          <w:lang w:val="it-IT"/>
        </w:rPr>
        <w:t>bevacizumab</w:t>
      </w:r>
      <w:r w:rsidR="00772EE7" w:rsidRPr="006A2BF9">
        <w:rPr>
          <w:lang w:val="it-IT"/>
        </w:rPr>
        <w:t xml:space="preserve"> </w:t>
      </w:r>
      <w:r w:rsidRPr="006A2BF9">
        <w:rPr>
          <w:lang w:val="it-IT"/>
        </w:rPr>
        <w:t>all</w:t>
      </w:r>
      <w:r w:rsidR="00633039" w:rsidRPr="006A2BF9">
        <w:rPr>
          <w:lang w:val="it-IT"/>
        </w:rPr>
        <w:t>a</w:t>
      </w:r>
      <w:r w:rsidRPr="006A2BF9">
        <w:rPr>
          <w:lang w:val="it-IT"/>
        </w:rPr>
        <w:t xml:space="preserve"> stess</w:t>
      </w:r>
      <w:r w:rsidR="00633039" w:rsidRPr="006A2BF9">
        <w:rPr>
          <w:lang w:val="it-IT"/>
        </w:rPr>
        <w:t>a</w:t>
      </w:r>
      <w:r w:rsidRPr="006A2BF9">
        <w:rPr>
          <w:lang w:val="it-IT"/>
        </w:rPr>
        <w:t xml:space="preserve"> dos</w:t>
      </w:r>
      <w:r w:rsidR="00633039" w:rsidRPr="006A2BF9">
        <w:rPr>
          <w:lang w:val="it-IT"/>
        </w:rPr>
        <w:t>e</w:t>
      </w:r>
      <w:r w:rsidRPr="006A2BF9">
        <w:rPr>
          <w:lang w:val="it-IT"/>
        </w:rPr>
        <w:t xml:space="preserve"> in </w:t>
      </w:r>
      <w:r w:rsidR="003A32A4" w:rsidRPr="006A2BF9">
        <w:rPr>
          <w:lang w:val="it-IT"/>
        </w:rPr>
        <w:t xml:space="preserve">associazione </w:t>
      </w:r>
      <w:r w:rsidR="00E33BCD" w:rsidRPr="006A2BF9">
        <w:rPr>
          <w:lang w:val="it-IT"/>
        </w:rPr>
        <w:t xml:space="preserve">a </w:t>
      </w:r>
      <w:r w:rsidRPr="006A2BF9">
        <w:rPr>
          <w:lang w:val="it-IT"/>
        </w:rPr>
        <w:t>erlotinib 150 mg al giorno, in pazienti con carcinoma renale metastatico a cellule chiare. In questo studio un totale di 104</w:t>
      </w:r>
      <w:r w:rsidR="00772EE7" w:rsidRPr="006A2BF9">
        <w:rPr>
          <w:lang w:val="it-IT"/>
        </w:rPr>
        <w:t> </w:t>
      </w:r>
      <w:r w:rsidRPr="006A2BF9">
        <w:rPr>
          <w:lang w:val="it-IT"/>
        </w:rPr>
        <w:t xml:space="preserve">pazienti è stato randomizzato al trattamento, 53 con </w:t>
      </w:r>
      <w:r w:rsidR="00772EE7" w:rsidRPr="006A2BF9">
        <w:rPr>
          <w:szCs w:val="22"/>
          <w:lang w:val="it-IT"/>
        </w:rPr>
        <w:t>bevacizumab</w:t>
      </w:r>
      <w:r w:rsidR="00772EE7" w:rsidRPr="006A2BF9" w:rsidDel="00772EE7">
        <w:rPr>
          <w:lang w:val="it-IT"/>
        </w:rPr>
        <w:t xml:space="preserve"> </w:t>
      </w:r>
      <w:r w:rsidRPr="006A2BF9">
        <w:rPr>
          <w:lang w:val="it-IT"/>
        </w:rPr>
        <w:t>10 mg/kg ogni 2</w:t>
      </w:r>
      <w:r w:rsidR="00772EE7" w:rsidRPr="006A2BF9">
        <w:rPr>
          <w:lang w:val="it-IT"/>
        </w:rPr>
        <w:t> </w:t>
      </w:r>
      <w:r w:rsidRPr="006A2BF9">
        <w:rPr>
          <w:lang w:val="it-IT"/>
        </w:rPr>
        <w:t xml:space="preserve">settimane più placebo e 51 con </w:t>
      </w:r>
      <w:r w:rsidR="00772EE7" w:rsidRPr="006A2BF9">
        <w:rPr>
          <w:szCs w:val="22"/>
          <w:lang w:val="it-IT"/>
        </w:rPr>
        <w:t>bevacizumab</w:t>
      </w:r>
      <w:r w:rsidR="00772EE7" w:rsidRPr="006A2BF9" w:rsidDel="00772EE7">
        <w:rPr>
          <w:lang w:val="it-IT"/>
        </w:rPr>
        <w:t xml:space="preserve"> </w:t>
      </w:r>
      <w:r w:rsidRPr="006A2BF9">
        <w:rPr>
          <w:lang w:val="it-IT"/>
        </w:rPr>
        <w:t>10 mg/kg ogni 2</w:t>
      </w:r>
      <w:r w:rsidR="00772EE7" w:rsidRPr="006A2BF9">
        <w:rPr>
          <w:lang w:val="it-IT"/>
        </w:rPr>
        <w:t> </w:t>
      </w:r>
      <w:r w:rsidRPr="006A2BF9">
        <w:rPr>
          <w:lang w:val="it-IT"/>
        </w:rPr>
        <w:t>settimane più erlotinib 150 mg al giorno. L’analisi dell’</w:t>
      </w:r>
      <w:r w:rsidRPr="006A2BF9">
        <w:rPr>
          <w:i/>
          <w:lang w:val="it-IT"/>
        </w:rPr>
        <w:t xml:space="preserve">endpoint </w:t>
      </w:r>
      <w:r w:rsidRPr="006A2BF9">
        <w:rPr>
          <w:lang w:val="it-IT"/>
        </w:rPr>
        <w:t xml:space="preserve">primario non ha mostrato differenze tra il braccio </w:t>
      </w:r>
      <w:r w:rsidR="00772EE7" w:rsidRPr="006A2BF9">
        <w:rPr>
          <w:szCs w:val="22"/>
          <w:lang w:val="it-IT"/>
        </w:rPr>
        <w:t>bevacizumab</w:t>
      </w:r>
      <w:r w:rsidR="006E4D20" w:rsidRPr="006A2BF9">
        <w:rPr>
          <w:lang w:val="it-IT"/>
        </w:rPr>
        <w:t> </w:t>
      </w:r>
      <w:r w:rsidRPr="006A2BF9">
        <w:rPr>
          <w:lang w:val="it-IT"/>
        </w:rPr>
        <w:t>+</w:t>
      </w:r>
      <w:r w:rsidR="006E4D20" w:rsidRPr="006A2BF9">
        <w:rPr>
          <w:lang w:val="it-IT"/>
        </w:rPr>
        <w:t> </w:t>
      </w:r>
      <w:r w:rsidRPr="006A2BF9">
        <w:rPr>
          <w:lang w:val="it-IT"/>
        </w:rPr>
        <w:t xml:space="preserve">placebo e il braccio </w:t>
      </w:r>
      <w:r w:rsidR="00772EE7" w:rsidRPr="006A2BF9">
        <w:rPr>
          <w:szCs w:val="22"/>
          <w:lang w:val="it-IT"/>
        </w:rPr>
        <w:t>bevacizumab</w:t>
      </w:r>
      <w:r w:rsidR="006E4D20" w:rsidRPr="006A2BF9">
        <w:rPr>
          <w:lang w:val="it-IT"/>
        </w:rPr>
        <w:t> </w:t>
      </w:r>
      <w:r w:rsidRPr="006A2BF9">
        <w:rPr>
          <w:lang w:val="it-IT"/>
        </w:rPr>
        <w:t>+</w:t>
      </w:r>
      <w:r w:rsidR="006E4D20" w:rsidRPr="006A2BF9">
        <w:rPr>
          <w:lang w:val="it-IT"/>
        </w:rPr>
        <w:t> </w:t>
      </w:r>
      <w:r w:rsidRPr="006A2BF9">
        <w:rPr>
          <w:lang w:val="it-IT"/>
        </w:rPr>
        <w:t>erlotinib (</w:t>
      </w:r>
      <w:r w:rsidR="001A2863" w:rsidRPr="006A2BF9">
        <w:rPr>
          <w:lang w:val="it-IT"/>
        </w:rPr>
        <w:t xml:space="preserve">PFS </w:t>
      </w:r>
      <w:r w:rsidRPr="006A2BF9">
        <w:rPr>
          <w:lang w:val="it-IT"/>
        </w:rPr>
        <w:t>mediana 8,5 rispetto a 9,9</w:t>
      </w:r>
      <w:r w:rsidR="00772EE7" w:rsidRPr="006A2BF9">
        <w:rPr>
          <w:lang w:val="it-IT"/>
        </w:rPr>
        <w:t> </w:t>
      </w:r>
      <w:r w:rsidRPr="006A2BF9">
        <w:rPr>
          <w:lang w:val="it-IT"/>
        </w:rPr>
        <w:t>mesi). Sette pazienti in ciascun braccio hanno avuto una risposta obiettiva.</w:t>
      </w:r>
      <w:r w:rsidRPr="006A2BF9">
        <w:rPr>
          <w:bCs/>
          <w:lang w:val="it-IT"/>
        </w:rPr>
        <w:t xml:space="preserve"> L’aggiunta di erlotinib a bevacizumab non si è tradotta in un miglioramento della</w:t>
      </w:r>
      <w:r w:rsidR="00A641B1" w:rsidRPr="006A2BF9">
        <w:rPr>
          <w:bCs/>
          <w:lang w:val="it-IT"/>
        </w:rPr>
        <w:t xml:space="preserve"> OS</w:t>
      </w:r>
      <w:r w:rsidRPr="006A2BF9">
        <w:rPr>
          <w:bCs/>
          <w:lang w:val="it-IT"/>
        </w:rPr>
        <w:t xml:space="preserve"> (HR</w:t>
      </w:r>
      <w:r w:rsidR="006E4D20" w:rsidRPr="006A2BF9">
        <w:rPr>
          <w:bCs/>
          <w:lang w:val="it-IT"/>
        </w:rPr>
        <w:t> </w:t>
      </w:r>
      <w:r w:rsidRPr="006A2BF9">
        <w:rPr>
          <w:bCs/>
          <w:lang w:val="it-IT"/>
        </w:rPr>
        <w:t xml:space="preserve">1,764; p = 0,1789), della durata della risposta </w:t>
      </w:r>
      <w:r w:rsidR="00E33BCD" w:rsidRPr="006A2BF9">
        <w:rPr>
          <w:bCs/>
          <w:lang w:val="it-IT"/>
        </w:rPr>
        <w:t xml:space="preserve">oggettiva </w:t>
      </w:r>
      <w:r w:rsidRPr="006A2BF9">
        <w:rPr>
          <w:bCs/>
          <w:lang w:val="it-IT"/>
        </w:rPr>
        <w:t>(6,7 verso 9,1</w:t>
      </w:r>
      <w:r w:rsidR="00772EE7" w:rsidRPr="006A2BF9">
        <w:rPr>
          <w:bCs/>
          <w:lang w:val="it-IT"/>
        </w:rPr>
        <w:t> </w:t>
      </w:r>
      <w:r w:rsidRPr="006A2BF9">
        <w:rPr>
          <w:bCs/>
          <w:lang w:val="it-IT"/>
        </w:rPr>
        <w:t>mesi) o del tempo alla progressione dei sintomi (HR = 1,172; p = 0,5076).</w:t>
      </w:r>
    </w:p>
    <w:p w14:paraId="507C70E8" w14:textId="77777777" w:rsidR="009C0666" w:rsidRPr="006A2BF9" w:rsidRDefault="009C0666" w:rsidP="009C0666">
      <w:pPr>
        <w:rPr>
          <w:lang w:val="it-IT"/>
        </w:rPr>
      </w:pPr>
    </w:p>
    <w:p w14:paraId="51045BC2" w14:textId="77777777" w:rsidR="009C0666" w:rsidRPr="006A2BF9" w:rsidRDefault="009C0666" w:rsidP="001B5FB1">
      <w:pPr>
        <w:keepNext/>
        <w:keepLines/>
        <w:outlineLvl w:val="0"/>
        <w:rPr>
          <w:bCs/>
          <w:lang w:val="it-IT"/>
        </w:rPr>
      </w:pPr>
      <w:r w:rsidRPr="006A2BF9">
        <w:rPr>
          <w:bCs/>
          <w:i/>
          <w:lang w:val="it-IT"/>
        </w:rPr>
        <w:lastRenderedPageBreak/>
        <w:t>AVF0890</w:t>
      </w:r>
    </w:p>
    <w:p w14:paraId="2F40F566" w14:textId="77777777" w:rsidR="009C0666" w:rsidRPr="00330A40" w:rsidRDefault="009C0666" w:rsidP="009C0666">
      <w:pPr>
        <w:outlineLvl w:val="0"/>
        <w:rPr>
          <w:bCs/>
          <w:lang w:val="it-IT"/>
        </w:rPr>
      </w:pPr>
      <w:r w:rsidRPr="006A2BF9">
        <w:rPr>
          <w:bCs/>
          <w:lang w:val="it-IT"/>
        </w:rPr>
        <w:t>Si è trattato di uno studio randomizzato di fase</w:t>
      </w:r>
      <w:r w:rsidR="00772EE7" w:rsidRPr="006A2BF9">
        <w:rPr>
          <w:bCs/>
          <w:lang w:val="it-IT"/>
        </w:rPr>
        <w:t> </w:t>
      </w:r>
      <w:r w:rsidRPr="006A2BF9">
        <w:rPr>
          <w:bCs/>
          <w:lang w:val="it-IT"/>
        </w:rPr>
        <w:t xml:space="preserve">II effettuato per confrontare l’efficacia e la sicurezza di bevacizumab </w:t>
      </w:r>
      <w:r w:rsidR="00A641B1" w:rsidRPr="006A2BF9">
        <w:rPr>
          <w:bCs/>
          <w:lang w:val="it-IT"/>
        </w:rPr>
        <w:t xml:space="preserve">rispetto al </w:t>
      </w:r>
      <w:r w:rsidRPr="006A2BF9">
        <w:rPr>
          <w:bCs/>
          <w:lang w:val="it-IT"/>
        </w:rPr>
        <w:t>placebo. Un totale di 116</w:t>
      </w:r>
      <w:r w:rsidR="00772EE7" w:rsidRPr="006A2BF9">
        <w:rPr>
          <w:bCs/>
          <w:lang w:val="it-IT"/>
        </w:rPr>
        <w:t> </w:t>
      </w:r>
      <w:r w:rsidRPr="006A2BF9">
        <w:rPr>
          <w:bCs/>
          <w:lang w:val="it-IT"/>
        </w:rPr>
        <w:t>pazienti è stato randomizzato a ricevere bevacizumab alla dose di 3 mg/kg ogni 2</w:t>
      </w:r>
      <w:r w:rsidR="00772EE7" w:rsidRPr="006A2BF9">
        <w:rPr>
          <w:bCs/>
          <w:lang w:val="it-IT"/>
        </w:rPr>
        <w:t> </w:t>
      </w:r>
      <w:r w:rsidRPr="006A2BF9">
        <w:rPr>
          <w:bCs/>
          <w:lang w:val="it-IT"/>
        </w:rPr>
        <w:t>settimane (n</w:t>
      </w:r>
      <w:r w:rsidR="0028755D" w:rsidRPr="006A2BF9">
        <w:rPr>
          <w:bCs/>
          <w:lang w:val="it-IT"/>
        </w:rPr>
        <w:t> </w:t>
      </w:r>
      <w:r w:rsidRPr="006A2BF9">
        <w:rPr>
          <w:bCs/>
          <w:lang w:val="it-IT"/>
        </w:rPr>
        <w:t>=</w:t>
      </w:r>
      <w:r w:rsidR="0028755D" w:rsidRPr="006A2BF9">
        <w:rPr>
          <w:bCs/>
          <w:lang w:val="it-IT"/>
        </w:rPr>
        <w:t> </w:t>
      </w:r>
      <w:r w:rsidRPr="006A2BF9">
        <w:rPr>
          <w:bCs/>
          <w:lang w:val="it-IT"/>
        </w:rPr>
        <w:t>39), 10 mg/kg ogni 2</w:t>
      </w:r>
      <w:r w:rsidR="00772EE7" w:rsidRPr="006A2BF9">
        <w:rPr>
          <w:bCs/>
          <w:lang w:val="it-IT"/>
        </w:rPr>
        <w:t> </w:t>
      </w:r>
      <w:r w:rsidRPr="006A2BF9">
        <w:rPr>
          <w:bCs/>
          <w:lang w:val="it-IT"/>
        </w:rPr>
        <w:t>settimane (n</w:t>
      </w:r>
      <w:r w:rsidR="00EC7EB8" w:rsidRPr="006A2BF9">
        <w:rPr>
          <w:bCs/>
          <w:lang w:val="it-IT"/>
        </w:rPr>
        <w:t> </w:t>
      </w:r>
      <w:r w:rsidRPr="006A2BF9">
        <w:rPr>
          <w:bCs/>
          <w:lang w:val="it-IT"/>
        </w:rPr>
        <w:t>=</w:t>
      </w:r>
      <w:r w:rsidR="00EC7EB8" w:rsidRPr="006A2BF9">
        <w:rPr>
          <w:bCs/>
          <w:lang w:val="it-IT"/>
        </w:rPr>
        <w:t> </w:t>
      </w:r>
      <w:r w:rsidRPr="006A2BF9">
        <w:rPr>
          <w:bCs/>
          <w:lang w:val="it-IT"/>
        </w:rPr>
        <w:t>37) o placebo (n</w:t>
      </w:r>
      <w:r w:rsidR="0028755D" w:rsidRPr="006A2BF9">
        <w:rPr>
          <w:bCs/>
          <w:lang w:val="it-IT"/>
        </w:rPr>
        <w:t> </w:t>
      </w:r>
      <w:r w:rsidRPr="006A2BF9">
        <w:rPr>
          <w:bCs/>
          <w:lang w:val="it-IT"/>
        </w:rPr>
        <w:t>=</w:t>
      </w:r>
      <w:r w:rsidR="0028755D" w:rsidRPr="006A2BF9">
        <w:rPr>
          <w:bCs/>
          <w:lang w:val="it-IT"/>
        </w:rPr>
        <w:t> </w:t>
      </w:r>
      <w:r w:rsidRPr="006A2BF9">
        <w:rPr>
          <w:bCs/>
          <w:lang w:val="it-IT"/>
        </w:rPr>
        <w:t>40). L’</w:t>
      </w:r>
      <w:r w:rsidR="00A641B1" w:rsidRPr="006A2BF9">
        <w:rPr>
          <w:bCs/>
          <w:lang w:val="it-IT"/>
        </w:rPr>
        <w:t xml:space="preserve">analisi ad </w:t>
      </w:r>
      <w:r w:rsidRPr="006A2BF9">
        <w:rPr>
          <w:bCs/>
          <w:i/>
          <w:lang w:val="it-IT"/>
        </w:rPr>
        <w:t xml:space="preserve">interim </w:t>
      </w:r>
      <w:r w:rsidRPr="006A2BF9">
        <w:rPr>
          <w:bCs/>
          <w:lang w:val="it-IT"/>
        </w:rPr>
        <w:t xml:space="preserve">ha mostrato che vi è stato un </w:t>
      </w:r>
      <w:r w:rsidR="0004541D" w:rsidRPr="006A2BF9">
        <w:rPr>
          <w:bCs/>
          <w:lang w:val="it-IT"/>
        </w:rPr>
        <w:t>prolungamento significativo del</w:t>
      </w:r>
      <w:r w:rsidRPr="006A2BF9">
        <w:rPr>
          <w:bCs/>
          <w:lang w:val="it-IT"/>
        </w:rPr>
        <w:t xml:space="preserve"> tempo alla progressione della malattia nel gruppo trattato con 10 mg/kg rispetto al gruppo placebo (hazard ratio</w:t>
      </w:r>
      <w:r w:rsidR="0028755D" w:rsidRPr="006A2BF9">
        <w:rPr>
          <w:bCs/>
          <w:lang w:val="it-IT"/>
        </w:rPr>
        <w:t> </w:t>
      </w:r>
      <w:r w:rsidRPr="006A2BF9">
        <w:rPr>
          <w:bCs/>
          <w:lang w:val="it-IT"/>
        </w:rPr>
        <w:t>2,55; p</w:t>
      </w:r>
      <w:r w:rsidR="0028755D" w:rsidRPr="006A2BF9">
        <w:rPr>
          <w:bCs/>
          <w:lang w:val="it-IT"/>
        </w:rPr>
        <w:t> </w:t>
      </w:r>
      <w:r w:rsidRPr="006A2BF9">
        <w:rPr>
          <w:bCs/>
          <w:lang w:val="it-IT"/>
        </w:rPr>
        <w:t>&lt; 0,001). Si è verificata un</w:t>
      </w:r>
      <w:r w:rsidR="00A641B1" w:rsidRPr="006A2BF9">
        <w:rPr>
          <w:bCs/>
          <w:lang w:val="it-IT"/>
        </w:rPr>
        <w:t>a</w:t>
      </w:r>
      <w:r w:rsidRPr="006A2BF9">
        <w:rPr>
          <w:bCs/>
          <w:lang w:val="it-IT"/>
        </w:rPr>
        <w:t xml:space="preserve"> piccola differenza, al limite della significatività, tra il tempo alla progressione della malattia nel gruppo alla dose di 3 mg/kg e quello nel gruppo placebo (hazard ratio</w:t>
      </w:r>
      <w:r w:rsidR="0028755D" w:rsidRPr="006A2BF9">
        <w:rPr>
          <w:bCs/>
          <w:lang w:val="it-IT"/>
        </w:rPr>
        <w:t> </w:t>
      </w:r>
      <w:r w:rsidRPr="006A2BF9">
        <w:rPr>
          <w:bCs/>
          <w:lang w:val="it-IT"/>
        </w:rPr>
        <w:t>1,26; p</w:t>
      </w:r>
      <w:r w:rsidR="0028755D" w:rsidRPr="006A2BF9">
        <w:rPr>
          <w:bCs/>
          <w:lang w:val="it-IT"/>
        </w:rPr>
        <w:t> </w:t>
      </w:r>
      <w:r w:rsidRPr="006A2BF9">
        <w:rPr>
          <w:bCs/>
          <w:lang w:val="it-IT"/>
        </w:rPr>
        <w:t>=</w:t>
      </w:r>
      <w:r w:rsidR="0028755D" w:rsidRPr="006A2BF9">
        <w:rPr>
          <w:bCs/>
          <w:lang w:val="it-IT"/>
        </w:rPr>
        <w:t> </w:t>
      </w:r>
      <w:r w:rsidRPr="006A2BF9">
        <w:rPr>
          <w:bCs/>
          <w:lang w:val="it-IT"/>
        </w:rPr>
        <w:t xml:space="preserve">0,053). Quattro pazienti hanno avuto una risposta </w:t>
      </w:r>
      <w:r w:rsidR="00EC7BC2">
        <w:rPr>
          <w:bCs/>
          <w:lang w:val="it-IT"/>
        </w:rPr>
        <w:t>oggettiva</w:t>
      </w:r>
      <w:r w:rsidR="00EC7BC2" w:rsidRPr="00330A40">
        <w:rPr>
          <w:bCs/>
          <w:lang w:val="it-IT"/>
        </w:rPr>
        <w:t xml:space="preserve"> </w:t>
      </w:r>
      <w:r w:rsidRPr="00330A40">
        <w:rPr>
          <w:bCs/>
          <w:lang w:val="it-IT"/>
        </w:rPr>
        <w:t xml:space="preserve">(parziale), e tutti questi avevano assunto bevacizumab alla dose di 10 mg/kg; il tasso di risposta </w:t>
      </w:r>
      <w:r w:rsidR="00EC7BC2">
        <w:rPr>
          <w:bCs/>
          <w:lang w:val="it-IT"/>
        </w:rPr>
        <w:t>oggettiva</w:t>
      </w:r>
      <w:r w:rsidR="00EC7BC2" w:rsidRPr="00330A40">
        <w:rPr>
          <w:bCs/>
          <w:lang w:val="it-IT"/>
        </w:rPr>
        <w:t xml:space="preserve"> </w:t>
      </w:r>
      <w:r w:rsidRPr="00330A40">
        <w:rPr>
          <w:bCs/>
          <w:lang w:val="it-IT"/>
        </w:rPr>
        <w:t>per la dose di 10 mg/kg è stato del 10%.</w:t>
      </w:r>
    </w:p>
    <w:p w14:paraId="6A130E50" w14:textId="77777777" w:rsidR="00972612" w:rsidRPr="00330A40" w:rsidRDefault="00972612" w:rsidP="009C0666">
      <w:pPr>
        <w:outlineLvl w:val="0"/>
        <w:rPr>
          <w:bCs/>
          <w:lang w:val="it-IT"/>
        </w:rPr>
      </w:pPr>
    </w:p>
    <w:p w14:paraId="7818FF1B" w14:textId="77777777" w:rsidR="00972612" w:rsidRPr="006A2BF9" w:rsidRDefault="0040589D" w:rsidP="00972612">
      <w:pPr>
        <w:outlineLvl w:val="0"/>
        <w:rPr>
          <w:bCs/>
          <w:i/>
          <w:u w:val="single"/>
          <w:lang w:val="it-IT"/>
        </w:rPr>
      </w:pPr>
      <w:r w:rsidRPr="006A2BF9">
        <w:rPr>
          <w:bCs/>
          <w:i/>
          <w:u w:val="single"/>
          <w:lang w:val="it-IT"/>
        </w:rPr>
        <w:t xml:space="preserve">Cancro </w:t>
      </w:r>
      <w:r w:rsidR="00972612" w:rsidRPr="006A2BF9">
        <w:rPr>
          <w:bCs/>
          <w:i/>
          <w:u w:val="single"/>
          <w:lang w:val="it-IT"/>
        </w:rPr>
        <w:t>epiteliale</w:t>
      </w:r>
      <w:r w:rsidRPr="006A2BF9">
        <w:rPr>
          <w:bCs/>
          <w:i/>
          <w:u w:val="single"/>
          <w:lang w:val="it-IT"/>
        </w:rPr>
        <w:t xml:space="preserve"> dell’ovaio</w:t>
      </w:r>
      <w:r w:rsidR="00972612" w:rsidRPr="006A2BF9">
        <w:rPr>
          <w:bCs/>
          <w:i/>
          <w:u w:val="single"/>
          <w:lang w:val="it-IT"/>
        </w:rPr>
        <w:t xml:space="preserve">, </w:t>
      </w:r>
      <w:r w:rsidR="00E33BCD" w:rsidRPr="006A2BF9">
        <w:rPr>
          <w:bCs/>
          <w:i/>
          <w:u w:val="single"/>
          <w:lang w:val="it-IT"/>
        </w:rPr>
        <w:t xml:space="preserve">della tuba </w:t>
      </w:r>
      <w:r w:rsidR="00972612" w:rsidRPr="006A2BF9">
        <w:rPr>
          <w:bCs/>
          <w:i/>
          <w:u w:val="single"/>
          <w:lang w:val="it-IT"/>
        </w:rPr>
        <w:t xml:space="preserve">di </w:t>
      </w:r>
      <w:r w:rsidR="00C71FFD" w:rsidRPr="006A2BF9">
        <w:rPr>
          <w:bCs/>
          <w:i/>
          <w:u w:val="single"/>
          <w:lang w:val="it-IT"/>
        </w:rPr>
        <w:t>F</w:t>
      </w:r>
      <w:r w:rsidR="00972612" w:rsidRPr="006A2BF9">
        <w:rPr>
          <w:bCs/>
          <w:i/>
          <w:u w:val="single"/>
          <w:lang w:val="it-IT"/>
        </w:rPr>
        <w:t>alloppio e peritoneale primario</w:t>
      </w:r>
    </w:p>
    <w:p w14:paraId="71FFAC29" w14:textId="77777777" w:rsidR="00972612" w:rsidRPr="006A2BF9" w:rsidRDefault="00972612" w:rsidP="00972612">
      <w:pPr>
        <w:outlineLvl w:val="0"/>
        <w:rPr>
          <w:bCs/>
          <w:i/>
          <w:u w:val="single"/>
          <w:lang w:val="it-IT"/>
        </w:rPr>
      </w:pPr>
    </w:p>
    <w:p w14:paraId="787C9CBF" w14:textId="77777777" w:rsidR="008D1B9E" w:rsidRPr="006A2BF9" w:rsidRDefault="008D1B9E" w:rsidP="00972612">
      <w:pPr>
        <w:outlineLvl w:val="0"/>
        <w:rPr>
          <w:bCs/>
          <w:i/>
          <w:lang w:val="it-IT"/>
        </w:rPr>
      </w:pPr>
      <w:r w:rsidRPr="006A2BF9">
        <w:rPr>
          <w:bCs/>
          <w:i/>
          <w:lang w:val="it-IT"/>
        </w:rPr>
        <w:t xml:space="preserve">Trattamento in prima linea del </w:t>
      </w:r>
      <w:r w:rsidR="00E33BCD" w:rsidRPr="006A2BF9">
        <w:rPr>
          <w:bCs/>
          <w:i/>
          <w:lang w:val="it-IT"/>
        </w:rPr>
        <w:t>cancro dell’ovaio</w:t>
      </w:r>
    </w:p>
    <w:p w14:paraId="5F965554" w14:textId="77777777" w:rsidR="008D1B9E" w:rsidRPr="006A2BF9" w:rsidRDefault="008D1B9E" w:rsidP="00972612">
      <w:pPr>
        <w:outlineLvl w:val="0"/>
        <w:rPr>
          <w:bCs/>
          <w:i/>
          <w:u w:val="single"/>
          <w:lang w:val="it-IT"/>
        </w:rPr>
      </w:pPr>
    </w:p>
    <w:p w14:paraId="255460CB" w14:textId="77777777" w:rsidR="00972612" w:rsidRPr="006A2BF9" w:rsidRDefault="00972612" w:rsidP="00972612">
      <w:pPr>
        <w:outlineLvl w:val="0"/>
        <w:rPr>
          <w:bCs/>
          <w:lang w:val="it-IT"/>
        </w:rPr>
      </w:pPr>
      <w:r w:rsidRPr="006A2BF9">
        <w:rPr>
          <w:bCs/>
          <w:lang w:val="it-IT"/>
        </w:rPr>
        <w:t xml:space="preserve">La sicurezza e l’efficacia di </w:t>
      </w:r>
      <w:r w:rsidR="00772EE7" w:rsidRPr="006A2BF9">
        <w:rPr>
          <w:szCs w:val="22"/>
          <w:lang w:val="it-IT"/>
        </w:rPr>
        <w:t>bevacizumab</w:t>
      </w:r>
      <w:r w:rsidR="00772EE7" w:rsidRPr="006A2BF9" w:rsidDel="00772EE7">
        <w:rPr>
          <w:bCs/>
          <w:lang w:val="it-IT"/>
        </w:rPr>
        <w:t xml:space="preserve"> </w:t>
      </w:r>
      <w:r w:rsidRPr="006A2BF9">
        <w:rPr>
          <w:bCs/>
          <w:lang w:val="it-IT"/>
        </w:rPr>
        <w:t xml:space="preserve">nel trattamento in prima linea delle pazienti con </w:t>
      </w:r>
      <w:r w:rsidR="0040589D" w:rsidRPr="006A2BF9">
        <w:rPr>
          <w:bCs/>
          <w:lang w:val="it-IT"/>
        </w:rPr>
        <w:t xml:space="preserve">cancro </w:t>
      </w:r>
      <w:r w:rsidRPr="006A2BF9">
        <w:rPr>
          <w:bCs/>
          <w:lang w:val="it-IT"/>
        </w:rPr>
        <w:t>epiteliale</w:t>
      </w:r>
      <w:r w:rsidR="0040589D" w:rsidRPr="006A2BF9">
        <w:rPr>
          <w:bCs/>
          <w:lang w:val="it-IT"/>
        </w:rPr>
        <w:t xml:space="preserve"> dell’ovaio</w:t>
      </w:r>
      <w:r w:rsidRPr="006A2BF9">
        <w:rPr>
          <w:bCs/>
          <w:lang w:val="it-IT"/>
        </w:rPr>
        <w:t xml:space="preserve">, </w:t>
      </w:r>
      <w:r w:rsidR="0040589D" w:rsidRPr="006A2BF9">
        <w:rPr>
          <w:bCs/>
          <w:lang w:val="it-IT"/>
        </w:rPr>
        <w:t xml:space="preserve">cancro della tuba </w:t>
      </w:r>
      <w:r w:rsidRPr="006A2BF9">
        <w:rPr>
          <w:bCs/>
          <w:lang w:val="it-IT"/>
        </w:rPr>
        <w:t xml:space="preserve">di </w:t>
      </w:r>
      <w:r w:rsidR="00685491" w:rsidRPr="006A2BF9">
        <w:rPr>
          <w:bCs/>
          <w:lang w:val="it-IT"/>
        </w:rPr>
        <w:t>F</w:t>
      </w:r>
      <w:r w:rsidRPr="006A2BF9">
        <w:rPr>
          <w:bCs/>
          <w:lang w:val="it-IT"/>
        </w:rPr>
        <w:t>alloppio o peritoneale primario sono state valutate in due studi clinici di fase</w:t>
      </w:r>
      <w:r w:rsidR="0028755D" w:rsidRPr="006A2BF9">
        <w:rPr>
          <w:bCs/>
          <w:lang w:val="it-IT"/>
        </w:rPr>
        <w:t> </w:t>
      </w:r>
      <w:r w:rsidRPr="006A2BF9">
        <w:rPr>
          <w:bCs/>
          <w:lang w:val="it-IT"/>
        </w:rPr>
        <w:t xml:space="preserve">III (GOG-0218 e BO17707) che hanno valutato gli effetti dell’aggiunta di </w:t>
      </w:r>
      <w:r w:rsidR="00772EE7" w:rsidRPr="006A2BF9">
        <w:rPr>
          <w:szCs w:val="22"/>
          <w:lang w:val="it-IT"/>
        </w:rPr>
        <w:t>bevacizumab</w:t>
      </w:r>
      <w:r w:rsidR="00772EE7" w:rsidRPr="006A2BF9" w:rsidDel="00772EE7">
        <w:rPr>
          <w:bCs/>
          <w:lang w:val="it-IT"/>
        </w:rPr>
        <w:t xml:space="preserve"> </w:t>
      </w:r>
      <w:r w:rsidRPr="006A2BF9">
        <w:rPr>
          <w:bCs/>
          <w:lang w:val="it-IT"/>
        </w:rPr>
        <w:t>ad un regime con carboplatino e paclitaxel rispetto alla sola chemioterapia.</w:t>
      </w:r>
    </w:p>
    <w:p w14:paraId="31120717" w14:textId="77777777" w:rsidR="00972612" w:rsidRPr="006A2BF9" w:rsidRDefault="00972612" w:rsidP="00972612">
      <w:pPr>
        <w:outlineLvl w:val="0"/>
        <w:rPr>
          <w:bCs/>
          <w:iCs/>
          <w:lang w:val="it-IT"/>
        </w:rPr>
      </w:pPr>
    </w:p>
    <w:p w14:paraId="1BA6D1CD" w14:textId="77777777" w:rsidR="00972612" w:rsidRPr="006A2BF9" w:rsidRDefault="00972612" w:rsidP="00685491">
      <w:pPr>
        <w:outlineLvl w:val="0"/>
        <w:rPr>
          <w:bCs/>
          <w:i/>
          <w:lang w:val="it-IT"/>
        </w:rPr>
      </w:pPr>
      <w:r w:rsidRPr="006A2BF9">
        <w:rPr>
          <w:bCs/>
          <w:i/>
          <w:lang w:val="it-IT"/>
        </w:rPr>
        <w:t>GOG-0218</w:t>
      </w:r>
    </w:p>
    <w:p w14:paraId="69CB7425" w14:textId="77777777" w:rsidR="00972612" w:rsidRPr="006A2BF9" w:rsidRDefault="00972612" w:rsidP="00972612">
      <w:pPr>
        <w:outlineLvl w:val="0"/>
        <w:rPr>
          <w:bCs/>
          <w:lang w:val="it-IT"/>
        </w:rPr>
      </w:pPr>
      <w:r w:rsidRPr="006A2BF9">
        <w:rPr>
          <w:bCs/>
          <w:lang w:val="it-IT"/>
        </w:rPr>
        <w:t>Lo studio GOG-0218</w:t>
      </w:r>
      <w:r w:rsidRPr="006A2BF9">
        <w:rPr>
          <w:bCs/>
          <w:i/>
          <w:lang w:val="it-IT"/>
        </w:rPr>
        <w:t xml:space="preserve"> </w:t>
      </w:r>
      <w:r w:rsidRPr="006A2BF9">
        <w:rPr>
          <w:bCs/>
          <w:lang w:val="it-IT"/>
        </w:rPr>
        <w:t>era uno studio di fase</w:t>
      </w:r>
      <w:r w:rsidR="00772EE7" w:rsidRPr="006A2BF9">
        <w:rPr>
          <w:bCs/>
          <w:lang w:val="it-IT"/>
        </w:rPr>
        <w:t> </w:t>
      </w:r>
      <w:r w:rsidRPr="006A2BF9">
        <w:rPr>
          <w:bCs/>
          <w:lang w:val="it-IT"/>
        </w:rPr>
        <w:t xml:space="preserve">III, multicentrico, randomizzato, in doppio cieco, controllato con placebo, a tre bracci, che ha valutato l’effetto dell’aggiunta di </w:t>
      </w:r>
      <w:r w:rsidR="00772EE7" w:rsidRPr="006A2BF9">
        <w:rPr>
          <w:szCs w:val="22"/>
          <w:lang w:val="it-IT"/>
        </w:rPr>
        <w:t>bevacizumab</w:t>
      </w:r>
      <w:r w:rsidR="00772EE7" w:rsidRPr="006A2BF9" w:rsidDel="00772EE7">
        <w:rPr>
          <w:bCs/>
          <w:lang w:val="it-IT"/>
        </w:rPr>
        <w:t xml:space="preserve"> </w:t>
      </w:r>
      <w:r w:rsidRPr="006A2BF9">
        <w:rPr>
          <w:bCs/>
          <w:lang w:val="it-IT"/>
        </w:rPr>
        <w:t xml:space="preserve">ad uno schema chemioterapico approvato (carboplatino e paclitaxel) in pazienti affette da </w:t>
      </w:r>
      <w:r w:rsidR="0040589D" w:rsidRPr="006A2BF9">
        <w:rPr>
          <w:bCs/>
          <w:lang w:val="it-IT"/>
        </w:rPr>
        <w:t xml:space="preserve">cancro </w:t>
      </w:r>
      <w:r w:rsidRPr="006A2BF9">
        <w:rPr>
          <w:bCs/>
          <w:lang w:val="it-IT"/>
        </w:rPr>
        <w:t>epiteliale</w:t>
      </w:r>
      <w:r w:rsidR="0040589D" w:rsidRPr="006A2BF9">
        <w:rPr>
          <w:bCs/>
          <w:lang w:val="it-IT"/>
        </w:rPr>
        <w:t xml:space="preserve"> dell’ovaio</w:t>
      </w:r>
      <w:r w:rsidRPr="006A2BF9">
        <w:rPr>
          <w:bCs/>
          <w:lang w:val="it-IT"/>
        </w:rPr>
        <w:t xml:space="preserve">, </w:t>
      </w:r>
      <w:r w:rsidR="0040589D" w:rsidRPr="006A2BF9">
        <w:rPr>
          <w:bCs/>
          <w:lang w:val="it-IT"/>
        </w:rPr>
        <w:t xml:space="preserve">cancro </w:t>
      </w:r>
      <w:r w:rsidRPr="006A2BF9">
        <w:rPr>
          <w:bCs/>
          <w:lang w:val="it-IT"/>
        </w:rPr>
        <w:t>dell</w:t>
      </w:r>
      <w:r w:rsidR="0040589D" w:rsidRPr="006A2BF9">
        <w:rPr>
          <w:bCs/>
          <w:lang w:val="it-IT"/>
        </w:rPr>
        <w:t>a</w:t>
      </w:r>
      <w:r w:rsidRPr="006A2BF9">
        <w:rPr>
          <w:bCs/>
          <w:lang w:val="it-IT"/>
        </w:rPr>
        <w:t xml:space="preserve"> tub</w:t>
      </w:r>
      <w:r w:rsidR="0040589D" w:rsidRPr="006A2BF9">
        <w:rPr>
          <w:bCs/>
          <w:lang w:val="it-IT"/>
        </w:rPr>
        <w:t>a</w:t>
      </w:r>
      <w:r w:rsidRPr="006A2BF9">
        <w:rPr>
          <w:bCs/>
          <w:lang w:val="it-IT"/>
        </w:rPr>
        <w:t xml:space="preserve"> di </w:t>
      </w:r>
      <w:r w:rsidR="00CF262D" w:rsidRPr="006A2BF9">
        <w:rPr>
          <w:bCs/>
          <w:lang w:val="it-IT"/>
        </w:rPr>
        <w:t>F</w:t>
      </w:r>
      <w:r w:rsidRPr="006A2BF9">
        <w:rPr>
          <w:bCs/>
          <w:lang w:val="it-IT"/>
        </w:rPr>
        <w:t xml:space="preserve">alloppio o </w:t>
      </w:r>
      <w:r w:rsidR="0040589D" w:rsidRPr="006A2BF9">
        <w:rPr>
          <w:bCs/>
          <w:lang w:val="it-IT"/>
        </w:rPr>
        <w:t xml:space="preserve">cancro </w:t>
      </w:r>
      <w:r w:rsidRPr="006A2BF9">
        <w:rPr>
          <w:bCs/>
          <w:lang w:val="it-IT"/>
        </w:rPr>
        <w:t>peritoneale primario in stadio avanzato (stadio</w:t>
      </w:r>
      <w:r w:rsidR="0028755D" w:rsidRPr="006A2BF9">
        <w:rPr>
          <w:bCs/>
          <w:lang w:val="it-IT"/>
        </w:rPr>
        <w:t> </w:t>
      </w:r>
      <w:r w:rsidRPr="006A2BF9">
        <w:rPr>
          <w:bCs/>
          <w:lang w:val="it-IT"/>
        </w:rPr>
        <w:t>IIIB, IIIC e IV</w:t>
      </w:r>
      <w:r w:rsidRPr="006A2BF9">
        <w:rPr>
          <w:color w:val="000000"/>
          <w:lang w:val="it-IT"/>
        </w:rPr>
        <w:t xml:space="preserve"> secondo la classificazione</w:t>
      </w:r>
      <w:r w:rsidRPr="006A2BF9">
        <w:rPr>
          <w:bCs/>
          <w:lang w:val="it-IT"/>
        </w:rPr>
        <w:t xml:space="preserve"> FIGO</w:t>
      </w:r>
      <w:r w:rsidR="0086135E" w:rsidRPr="006A2BF9">
        <w:rPr>
          <w:bCs/>
          <w:lang w:val="it-IT"/>
        </w:rPr>
        <w:t xml:space="preserve"> del 1988</w:t>
      </w:r>
      <w:r w:rsidRPr="006A2BF9">
        <w:rPr>
          <w:bCs/>
          <w:lang w:val="it-IT"/>
        </w:rPr>
        <w:t>).</w:t>
      </w:r>
    </w:p>
    <w:p w14:paraId="3D33A501" w14:textId="77777777" w:rsidR="00772EE7" w:rsidRPr="006A2BF9" w:rsidRDefault="00772EE7" w:rsidP="00972612">
      <w:pPr>
        <w:outlineLvl w:val="0"/>
        <w:rPr>
          <w:bCs/>
          <w:lang w:val="it-IT"/>
        </w:rPr>
      </w:pPr>
    </w:p>
    <w:p w14:paraId="014DF0FB" w14:textId="77777777" w:rsidR="00972612" w:rsidRPr="006A2BF9" w:rsidRDefault="00972612" w:rsidP="00972612">
      <w:pPr>
        <w:outlineLvl w:val="0"/>
        <w:rPr>
          <w:bCs/>
          <w:lang w:val="it-IT"/>
        </w:rPr>
      </w:pPr>
      <w:r w:rsidRPr="006A2BF9">
        <w:rPr>
          <w:bCs/>
          <w:lang w:val="it-IT"/>
        </w:rPr>
        <w:t xml:space="preserve">Dallo studio sono state escluse le pazienti precedentemente trattate per </w:t>
      </w:r>
      <w:r w:rsidR="0040589D" w:rsidRPr="006A2BF9">
        <w:rPr>
          <w:bCs/>
          <w:lang w:val="it-IT"/>
        </w:rPr>
        <w:t>cancro dell’ovaio</w:t>
      </w:r>
      <w:r w:rsidRPr="006A2BF9">
        <w:rPr>
          <w:bCs/>
          <w:lang w:val="it-IT"/>
        </w:rPr>
        <w:t xml:space="preserve"> con bevacizumab o terapia antineoplastica (ad esempio chemioterapia, terapia con anticorpi monoclonali, terapia con inibitori delle tirosinchinasi o terapia ormonale) o </w:t>
      </w:r>
      <w:r w:rsidR="00A641B1" w:rsidRPr="006A2BF9">
        <w:rPr>
          <w:bCs/>
          <w:lang w:val="it-IT"/>
        </w:rPr>
        <w:t xml:space="preserve">pazienti </w:t>
      </w:r>
      <w:r w:rsidRPr="006A2BF9">
        <w:rPr>
          <w:bCs/>
          <w:lang w:val="it-IT"/>
        </w:rPr>
        <w:t xml:space="preserve">che avevano precedentemente ricevuto un trattamento radioterapico dell’addome o della pelvi. </w:t>
      </w:r>
    </w:p>
    <w:p w14:paraId="262289F4" w14:textId="77777777" w:rsidR="00972612" w:rsidRPr="006A2BF9" w:rsidRDefault="00972612" w:rsidP="00972612">
      <w:pPr>
        <w:outlineLvl w:val="0"/>
        <w:rPr>
          <w:bCs/>
          <w:lang w:val="it-IT"/>
        </w:rPr>
      </w:pPr>
    </w:p>
    <w:p w14:paraId="16131509" w14:textId="77777777" w:rsidR="00972612" w:rsidRPr="006A2BF9" w:rsidRDefault="00972612" w:rsidP="00972612">
      <w:pPr>
        <w:outlineLvl w:val="0"/>
        <w:rPr>
          <w:bCs/>
          <w:lang w:val="it-IT"/>
        </w:rPr>
      </w:pPr>
      <w:r w:rsidRPr="006A2BF9">
        <w:rPr>
          <w:bCs/>
          <w:lang w:val="it-IT"/>
        </w:rPr>
        <w:t>Un totale di 1873</w:t>
      </w:r>
      <w:r w:rsidR="00772EE7" w:rsidRPr="006A2BF9">
        <w:rPr>
          <w:bCs/>
          <w:lang w:val="it-IT"/>
        </w:rPr>
        <w:t> </w:t>
      </w:r>
      <w:r w:rsidRPr="006A2BF9">
        <w:rPr>
          <w:bCs/>
          <w:lang w:val="it-IT"/>
        </w:rPr>
        <w:t>pazienti è stato randomizzato, in rapporti uguali, nei seguenti tre bracci:</w:t>
      </w:r>
    </w:p>
    <w:p w14:paraId="751AAC82" w14:textId="77777777" w:rsidR="00972612" w:rsidRPr="006A2BF9" w:rsidRDefault="00972612" w:rsidP="00972612">
      <w:pPr>
        <w:outlineLvl w:val="0"/>
        <w:rPr>
          <w:bCs/>
          <w:lang w:val="it-IT"/>
        </w:rPr>
      </w:pPr>
    </w:p>
    <w:p w14:paraId="1B58DC32" w14:textId="77777777" w:rsidR="00972612" w:rsidRPr="00330A40" w:rsidRDefault="00746906" w:rsidP="00C65E97">
      <w:pPr>
        <w:ind w:left="567" w:hanging="567"/>
        <w:outlineLvl w:val="0"/>
        <w:rPr>
          <w:bCs/>
          <w:lang w:val="it-IT"/>
        </w:rPr>
      </w:pPr>
      <w:r w:rsidRPr="00330A40">
        <w:rPr>
          <w:bCs/>
          <w:lang w:val="it-IT"/>
        </w:rPr>
        <w:sym w:font="Symbol" w:char="F0B7"/>
      </w:r>
      <w:r w:rsidRPr="00330A40">
        <w:rPr>
          <w:bCs/>
          <w:lang w:val="it-IT"/>
        </w:rPr>
        <w:tab/>
      </w:r>
      <w:r w:rsidR="0040589D" w:rsidRPr="00330A40">
        <w:rPr>
          <w:bCs/>
          <w:lang w:val="it-IT"/>
        </w:rPr>
        <w:t xml:space="preserve">braccio </w:t>
      </w:r>
      <w:r w:rsidR="00972612" w:rsidRPr="00330A40">
        <w:rPr>
          <w:bCs/>
          <w:lang w:val="it-IT"/>
        </w:rPr>
        <w:t xml:space="preserve">CPP: </w:t>
      </w:r>
      <w:r w:rsidR="00772EE7" w:rsidRPr="00330A40">
        <w:rPr>
          <w:bCs/>
          <w:lang w:val="it-IT"/>
        </w:rPr>
        <w:t>c</w:t>
      </w:r>
      <w:r w:rsidR="00972612" w:rsidRPr="00330A40">
        <w:rPr>
          <w:bCs/>
          <w:lang w:val="it-IT"/>
        </w:rPr>
        <w:t xml:space="preserve">inque cicli di placebo (iniziato dal 2° ciclo) in </w:t>
      </w:r>
      <w:r w:rsidR="003A32A4" w:rsidRPr="00330A40">
        <w:rPr>
          <w:bCs/>
          <w:lang w:val="it-IT"/>
        </w:rPr>
        <w:t xml:space="preserve">associazione </w:t>
      </w:r>
      <w:r w:rsidR="00972612" w:rsidRPr="00330A40">
        <w:rPr>
          <w:bCs/>
          <w:lang w:val="it-IT"/>
        </w:rPr>
        <w:t>a carboplatino (AUC 6) e paclitaxel (175 mg/m</w:t>
      </w:r>
      <w:r w:rsidR="00972612" w:rsidRPr="00330A40">
        <w:rPr>
          <w:bCs/>
          <w:vertAlign w:val="superscript"/>
          <w:lang w:val="it-IT"/>
        </w:rPr>
        <w:t>2</w:t>
      </w:r>
      <w:r w:rsidR="00972612" w:rsidRPr="00330A40">
        <w:rPr>
          <w:bCs/>
          <w:lang w:val="it-IT"/>
        </w:rPr>
        <w:t>) per 6</w:t>
      </w:r>
      <w:r w:rsidR="00772EE7" w:rsidRPr="00330A40">
        <w:rPr>
          <w:bCs/>
          <w:lang w:val="it-IT"/>
        </w:rPr>
        <w:t> </w:t>
      </w:r>
      <w:r w:rsidR="00972612" w:rsidRPr="00330A40">
        <w:rPr>
          <w:bCs/>
          <w:lang w:val="it-IT"/>
        </w:rPr>
        <w:t>cicli seguiti dalla somministrazione di solo placebo fino a 15</w:t>
      </w:r>
      <w:r w:rsidR="00772EE7" w:rsidRPr="00330A40">
        <w:rPr>
          <w:bCs/>
          <w:lang w:val="it-IT"/>
        </w:rPr>
        <w:t> </w:t>
      </w:r>
      <w:r w:rsidR="00972612" w:rsidRPr="00330A40">
        <w:rPr>
          <w:bCs/>
          <w:lang w:val="it-IT"/>
        </w:rPr>
        <w:t>mesi di terapia</w:t>
      </w:r>
    </w:p>
    <w:p w14:paraId="3B0427AE" w14:textId="77777777" w:rsidR="00972612" w:rsidRPr="00330A40" w:rsidRDefault="00746906" w:rsidP="00C65E97">
      <w:pPr>
        <w:ind w:left="567" w:hanging="567"/>
        <w:outlineLvl w:val="0"/>
        <w:rPr>
          <w:bCs/>
          <w:lang w:val="it-IT"/>
        </w:rPr>
      </w:pPr>
      <w:r w:rsidRPr="00330A40">
        <w:rPr>
          <w:bCs/>
          <w:lang w:val="it-IT"/>
        </w:rPr>
        <w:sym w:font="Symbol" w:char="F0B7"/>
      </w:r>
      <w:r w:rsidRPr="00330A40">
        <w:rPr>
          <w:bCs/>
          <w:lang w:val="it-IT"/>
        </w:rPr>
        <w:tab/>
      </w:r>
      <w:r w:rsidR="0040589D" w:rsidRPr="00330A40">
        <w:rPr>
          <w:bCs/>
          <w:lang w:val="it-IT"/>
        </w:rPr>
        <w:t xml:space="preserve">braccio </w:t>
      </w:r>
      <w:r w:rsidR="00972612" w:rsidRPr="00330A40">
        <w:rPr>
          <w:bCs/>
          <w:lang w:val="it-IT"/>
        </w:rPr>
        <w:t xml:space="preserve">CPB15: </w:t>
      </w:r>
      <w:r w:rsidR="00772EE7" w:rsidRPr="00330A40">
        <w:rPr>
          <w:bCs/>
          <w:lang w:val="it-IT"/>
        </w:rPr>
        <w:t>c</w:t>
      </w:r>
      <w:r w:rsidR="00972612" w:rsidRPr="00330A40">
        <w:rPr>
          <w:bCs/>
          <w:lang w:val="it-IT"/>
        </w:rPr>
        <w:t xml:space="preserve">inque cicli di </w:t>
      </w:r>
      <w:r w:rsidR="00772EE7" w:rsidRPr="00330A40">
        <w:rPr>
          <w:szCs w:val="22"/>
          <w:lang w:val="it-IT"/>
        </w:rPr>
        <w:t>bevacizumab</w:t>
      </w:r>
      <w:r w:rsidR="00772EE7" w:rsidRPr="00330A40" w:rsidDel="00772EE7">
        <w:rPr>
          <w:bCs/>
          <w:lang w:val="it-IT"/>
        </w:rPr>
        <w:t xml:space="preserve"> </w:t>
      </w:r>
      <w:r w:rsidR="00972612" w:rsidRPr="00330A40">
        <w:rPr>
          <w:bCs/>
          <w:lang w:val="it-IT"/>
        </w:rPr>
        <w:t xml:space="preserve">(15 mg/kg q3w iniziato dal 2° ciclo) in </w:t>
      </w:r>
      <w:r w:rsidR="003A32A4" w:rsidRPr="00330A40">
        <w:rPr>
          <w:bCs/>
          <w:lang w:val="it-IT"/>
        </w:rPr>
        <w:t xml:space="preserve">associazione </w:t>
      </w:r>
      <w:r w:rsidR="00972612" w:rsidRPr="00330A40">
        <w:rPr>
          <w:bCs/>
          <w:lang w:val="it-IT"/>
        </w:rPr>
        <w:t>a carboplatino (AUC 6) e paclitaxel (175 mg/m</w:t>
      </w:r>
      <w:r w:rsidR="00972612" w:rsidRPr="00330A40">
        <w:rPr>
          <w:bCs/>
          <w:vertAlign w:val="superscript"/>
          <w:lang w:val="it-IT"/>
        </w:rPr>
        <w:t>2</w:t>
      </w:r>
      <w:r w:rsidR="00972612" w:rsidRPr="00330A40">
        <w:rPr>
          <w:bCs/>
          <w:lang w:val="it-IT"/>
        </w:rPr>
        <w:t>) per 6</w:t>
      </w:r>
      <w:r w:rsidR="00772EE7" w:rsidRPr="00330A40">
        <w:rPr>
          <w:bCs/>
          <w:lang w:val="it-IT"/>
        </w:rPr>
        <w:t> </w:t>
      </w:r>
      <w:r w:rsidR="00972612" w:rsidRPr="00330A40">
        <w:rPr>
          <w:bCs/>
          <w:lang w:val="it-IT"/>
        </w:rPr>
        <w:t>cicli seguiti dalla somministrazione di solo placebo fino a 15</w:t>
      </w:r>
      <w:r w:rsidR="00772EE7" w:rsidRPr="00330A40">
        <w:rPr>
          <w:bCs/>
          <w:lang w:val="it-IT"/>
        </w:rPr>
        <w:t> </w:t>
      </w:r>
      <w:r w:rsidR="00972612" w:rsidRPr="00330A40">
        <w:rPr>
          <w:bCs/>
          <w:lang w:val="it-IT"/>
        </w:rPr>
        <w:t>mesi di terapia</w:t>
      </w:r>
    </w:p>
    <w:p w14:paraId="29731CEC" w14:textId="77777777" w:rsidR="00972612" w:rsidRPr="00330A40" w:rsidRDefault="00746906" w:rsidP="00C65E97">
      <w:pPr>
        <w:ind w:left="567" w:hanging="567"/>
        <w:outlineLvl w:val="0"/>
        <w:rPr>
          <w:bCs/>
          <w:lang w:val="it-IT"/>
        </w:rPr>
      </w:pPr>
      <w:r w:rsidRPr="00330A40">
        <w:rPr>
          <w:bCs/>
          <w:lang w:val="it-IT"/>
        </w:rPr>
        <w:sym w:font="Symbol" w:char="F0B7"/>
      </w:r>
      <w:r w:rsidRPr="00330A40">
        <w:rPr>
          <w:bCs/>
          <w:lang w:val="it-IT"/>
        </w:rPr>
        <w:tab/>
      </w:r>
      <w:r w:rsidR="0040589D" w:rsidRPr="00330A40">
        <w:rPr>
          <w:bCs/>
          <w:lang w:val="it-IT"/>
        </w:rPr>
        <w:t xml:space="preserve">braccio </w:t>
      </w:r>
      <w:r w:rsidR="00972612" w:rsidRPr="00330A40">
        <w:rPr>
          <w:bCs/>
          <w:lang w:val="it-IT"/>
        </w:rPr>
        <w:t xml:space="preserve">CPB15+: </w:t>
      </w:r>
      <w:r w:rsidR="00772EE7" w:rsidRPr="00330A40">
        <w:rPr>
          <w:bCs/>
          <w:lang w:val="it-IT"/>
        </w:rPr>
        <w:t>c</w:t>
      </w:r>
      <w:r w:rsidR="00972612" w:rsidRPr="00330A40">
        <w:rPr>
          <w:bCs/>
          <w:lang w:val="it-IT"/>
        </w:rPr>
        <w:t xml:space="preserve">inque cicli di </w:t>
      </w:r>
      <w:r w:rsidR="00772EE7" w:rsidRPr="00330A40">
        <w:rPr>
          <w:szCs w:val="22"/>
          <w:lang w:val="it-IT"/>
        </w:rPr>
        <w:t>bevacizumab</w:t>
      </w:r>
      <w:r w:rsidR="00772EE7" w:rsidRPr="00330A40" w:rsidDel="00772EE7">
        <w:rPr>
          <w:bCs/>
          <w:lang w:val="it-IT"/>
        </w:rPr>
        <w:t xml:space="preserve"> </w:t>
      </w:r>
      <w:r w:rsidR="00972612" w:rsidRPr="00330A40">
        <w:rPr>
          <w:bCs/>
          <w:lang w:val="it-IT"/>
        </w:rPr>
        <w:t xml:space="preserve">(15 mg/kg q3w iniziato dal 2° ciclo) in </w:t>
      </w:r>
      <w:r w:rsidR="003A32A4" w:rsidRPr="00330A40">
        <w:rPr>
          <w:bCs/>
          <w:lang w:val="it-IT"/>
        </w:rPr>
        <w:t>associazione</w:t>
      </w:r>
      <w:r w:rsidR="00972612" w:rsidRPr="00330A40">
        <w:rPr>
          <w:bCs/>
          <w:lang w:val="it-IT"/>
        </w:rPr>
        <w:t xml:space="preserve"> a carboplatino (AUC 6) e paclitaxel (175 mg/m</w:t>
      </w:r>
      <w:r w:rsidR="00972612" w:rsidRPr="00330A40">
        <w:rPr>
          <w:bCs/>
          <w:vertAlign w:val="superscript"/>
          <w:lang w:val="it-IT"/>
        </w:rPr>
        <w:t>2</w:t>
      </w:r>
      <w:r w:rsidR="00972612" w:rsidRPr="00330A40">
        <w:rPr>
          <w:bCs/>
          <w:lang w:val="it-IT"/>
        </w:rPr>
        <w:t>) per 6</w:t>
      </w:r>
      <w:r w:rsidR="0028755D" w:rsidRPr="00330A40">
        <w:rPr>
          <w:bCs/>
          <w:lang w:val="it-IT"/>
        </w:rPr>
        <w:t> </w:t>
      </w:r>
      <w:r w:rsidR="00972612" w:rsidRPr="00330A40">
        <w:rPr>
          <w:bCs/>
          <w:lang w:val="it-IT"/>
        </w:rPr>
        <w:t xml:space="preserve">cicli seguiti dalla somministrazione continua di </w:t>
      </w:r>
      <w:r w:rsidR="00772EE7" w:rsidRPr="00330A40">
        <w:rPr>
          <w:szCs w:val="22"/>
          <w:lang w:val="it-IT"/>
        </w:rPr>
        <w:t>bevacizumab</w:t>
      </w:r>
      <w:r w:rsidR="00772EE7" w:rsidRPr="00330A40" w:rsidDel="00772EE7">
        <w:rPr>
          <w:bCs/>
          <w:lang w:val="it-IT"/>
        </w:rPr>
        <w:t xml:space="preserve"> </w:t>
      </w:r>
      <w:r w:rsidR="00972612" w:rsidRPr="00330A40">
        <w:rPr>
          <w:bCs/>
          <w:lang w:val="it-IT"/>
        </w:rPr>
        <w:t>in monoterapia (15 mg/kg q3w) fino a 15</w:t>
      </w:r>
      <w:r w:rsidR="00772EE7" w:rsidRPr="00330A40">
        <w:rPr>
          <w:bCs/>
          <w:lang w:val="it-IT"/>
        </w:rPr>
        <w:t> </w:t>
      </w:r>
      <w:r w:rsidR="00972612" w:rsidRPr="00330A40">
        <w:rPr>
          <w:bCs/>
          <w:lang w:val="it-IT"/>
        </w:rPr>
        <w:t>mesi di terapia.</w:t>
      </w:r>
    </w:p>
    <w:p w14:paraId="402953FD" w14:textId="77777777" w:rsidR="00972612" w:rsidRPr="006A2BF9" w:rsidRDefault="00972612" w:rsidP="00972612">
      <w:pPr>
        <w:outlineLvl w:val="0"/>
        <w:rPr>
          <w:bCs/>
          <w:lang w:val="it-IT"/>
        </w:rPr>
      </w:pPr>
    </w:p>
    <w:p w14:paraId="0C87EAFA" w14:textId="77777777" w:rsidR="00972612" w:rsidRPr="006A2BF9" w:rsidRDefault="00972612" w:rsidP="00972612">
      <w:pPr>
        <w:outlineLvl w:val="0"/>
        <w:rPr>
          <w:bCs/>
          <w:lang w:val="it-IT"/>
        </w:rPr>
      </w:pPr>
      <w:r w:rsidRPr="006A2BF9">
        <w:rPr>
          <w:bCs/>
          <w:lang w:val="it-IT"/>
        </w:rPr>
        <w:t>La maggior parte de</w:t>
      </w:r>
      <w:r w:rsidR="00F37C19" w:rsidRPr="006A2BF9">
        <w:rPr>
          <w:bCs/>
          <w:lang w:val="it-IT"/>
        </w:rPr>
        <w:t>lle pazienti incluse</w:t>
      </w:r>
      <w:r w:rsidRPr="006A2BF9">
        <w:rPr>
          <w:bCs/>
          <w:lang w:val="it-IT"/>
        </w:rPr>
        <w:t xml:space="preserve"> nello studio era di razza bianca caucasica (87% nei tre bracci); l’età mediana era di 60</w:t>
      </w:r>
      <w:r w:rsidR="00772EE7" w:rsidRPr="006A2BF9">
        <w:rPr>
          <w:bCs/>
          <w:lang w:val="it-IT"/>
        </w:rPr>
        <w:t> </w:t>
      </w:r>
      <w:r w:rsidRPr="006A2BF9">
        <w:rPr>
          <w:bCs/>
          <w:lang w:val="it-IT"/>
        </w:rPr>
        <w:t>anni nel braccio CPP e CPB15 e 59</w:t>
      </w:r>
      <w:r w:rsidR="00772EE7" w:rsidRPr="006A2BF9">
        <w:rPr>
          <w:bCs/>
          <w:lang w:val="it-IT"/>
        </w:rPr>
        <w:t> </w:t>
      </w:r>
      <w:r w:rsidRPr="006A2BF9">
        <w:rPr>
          <w:bCs/>
          <w:lang w:val="it-IT"/>
        </w:rPr>
        <w:t>anni nel braccio CPB15+; il 29% dei</w:t>
      </w:r>
      <w:r w:rsidR="00F37C19" w:rsidRPr="006A2BF9">
        <w:rPr>
          <w:bCs/>
          <w:lang w:val="it-IT"/>
        </w:rPr>
        <w:t xml:space="preserve"> pazienti nel CPP e nel CPB15 e</w:t>
      </w:r>
      <w:r w:rsidRPr="006A2BF9">
        <w:rPr>
          <w:bCs/>
          <w:lang w:val="it-IT"/>
        </w:rPr>
        <w:t xml:space="preserve"> il 26% nel braccio CPB15+ avevano un’età maggiore di 65</w:t>
      </w:r>
      <w:r w:rsidR="00772EE7" w:rsidRPr="006A2BF9">
        <w:rPr>
          <w:bCs/>
          <w:lang w:val="it-IT"/>
        </w:rPr>
        <w:t> </w:t>
      </w:r>
      <w:r w:rsidRPr="006A2BF9">
        <w:rPr>
          <w:bCs/>
          <w:lang w:val="it-IT"/>
        </w:rPr>
        <w:t xml:space="preserve">anni. Approssimativamente il 50% di tutte le pazienti presentava </w:t>
      </w:r>
      <w:r w:rsidR="00436C24" w:rsidRPr="006A2BF9">
        <w:rPr>
          <w:bCs/>
          <w:lang w:val="it-IT"/>
        </w:rPr>
        <w:t xml:space="preserve">al basale un </w:t>
      </w:r>
      <w:r w:rsidR="00A641B1" w:rsidRPr="006A2BF9">
        <w:rPr>
          <w:bCs/>
          <w:lang w:val="it-IT"/>
        </w:rPr>
        <w:t>G</w:t>
      </w:r>
      <w:r w:rsidR="00D966E3" w:rsidRPr="006A2BF9">
        <w:rPr>
          <w:bCs/>
          <w:lang w:val="it-IT"/>
        </w:rPr>
        <w:t>OG PS</w:t>
      </w:r>
      <w:r w:rsidR="00436C24" w:rsidRPr="006A2BF9">
        <w:rPr>
          <w:bCs/>
          <w:lang w:val="it-IT"/>
        </w:rPr>
        <w:t xml:space="preserve"> </w:t>
      </w:r>
      <w:r w:rsidRPr="006A2BF9">
        <w:rPr>
          <w:bCs/>
          <w:lang w:val="it-IT"/>
        </w:rPr>
        <w:t>pari</w:t>
      </w:r>
      <w:r w:rsidR="00F37C19" w:rsidRPr="006A2BF9">
        <w:rPr>
          <w:bCs/>
          <w:lang w:val="it-IT"/>
        </w:rPr>
        <w:t xml:space="preserve"> a 0, circa il 43% un </w:t>
      </w:r>
      <w:r w:rsidR="00A641B1" w:rsidRPr="006A2BF9">
        <w:rPr>
          <w:bCs/>
          <w:lang w:val="it-IT"/>
        </w:rPr>
        <w:t>G</w:t>
      </w:r>
      <w:r w:rsidR="00D966E3" w:rsidRPr="006A2BF9">
        <w:rPr>
          <w:bCs/>
          <w:lang w:val="it-IT"/>
        </w:rPr>
        <w:t>OG</w:t>
      </w:r>
      <w:r w:rsidR="00CD78D8" w:rsidRPr="006A2BF9">
        <w:rPr>
          <w:bCs/>
          <w:lang w:val="it-IT"/>
        </w:rPr>
        <w:t xml:space="preserve"> </w:t>
      </w:r>
      <w:r w:rsidR="00F37C19" w:rsidRPr="006A2BF9">
        <w:rPr>
          <w:bCs/>
          <w:lang w:val="it-IT"/>
        </w:rPr>
        <w:t>PS pari a</w:t>
      </w:r>
      <w:r w:rsidRPr="006A2BF9">
        <w:rPr>
          <w:bCs/>
          <w:lang w:val="it-IT"/>
        </w:rPr>
        <w:t xml:space="preserve"> 1 e circa il 7% un</w:t>
      </w:r>
      <w:r w:rsidR="008122C2" w:rsidRPr="006A2BF9">
        <w:rPr>
          <w:bCs/>
          <w:lang w:val="it-IT"/>
        </w:rPr>
        <w:t xml:space="preserve"> </w:t>
      </w:r>
      <w:r w:rsidR="00A641B1" w:rsidRPr="006A2BF9">
        <w:rPr>
          <w:bCs/>
          <w:lang w:val="it-IT"/>
        </w:rPr>
        <w:t xml:space="preserve">GOG </w:t>
      </w:r>
      <w:r w:rsidRPr="006A2BF9">
        <w:rPr>
          <w:bCs/>
          <w:lang w:val="it-IT"/>
        </w:rPr>
        <w:t>PS pari a 2. La maggior parte delle pazienti aveva una diagnosi di EOC (82% nel CPP e nel CPB15, 85% nel CPB15+), PPC (16% nel CPP, 15% nel CPB15, 13% nel CPB15+) e FTC (1% n</w:t>
      </w:r>
      <w:r w:rsidR="00F37C19" w:rsidRPr="006A2BF9">
        <w:rPr>
          <w:bCs/>
          <w:lang w:val="it-IT"/>
        </w:rPr>
        <w:t>e</w:t>
      </w:r>
      <w:r w:rsidRPr="006A2BF9">
        <w:rPr>
          <w:bCs/>
          <w:lang w:val="it-IT"/>
        </w:rPr>
        <w:t xml:space="preserve">l CPP, 3% nel CPB15, 2% nel CPB15+). La maggior parte delle pazienti aveva un adenocarcinoma di tipo sieroso (85% nel CPP e nel CPB15, 86% nel CPB15+). </w:t>
      </w:r>
      <w:r w:rsidR="00F37C19" w:rsidRPr="006A2BF9">
        <w:rPr>
          <w:bCs/>
          <w:lang w:val="it-IT"/>
        </w:rPr>
        <w:t>Circa i</w:t>
      </w:r>
      <w:r w:rsidRPr="006A2BF9">
        <w:rPr>
          <w:bCs/>
          <w:lang w:val="it-IT"/>
        </w:rPr>
        <w:t>l 34% di tutte le pazienti arruolate era in stadio FIGO III ottimamente resecato con residuo di malattia valutabile, il 40% in stadio FIGO III con radicalizzazione sub-ottimale e</w:t>
      </w:r>
      <w:r w:rsidR="00F37C19" w:rsidRPr="006A2BF9">
        <w:rPr>
          <w:bCs/>
          <w:lang w:val="it-IT"/>
        </w:rPr>
        <w:t>d il 26% era in stadio FIGO IV.</w:t>
      </w:r>
    </w:p>
    <w:p w14:paraId="554E3908" w14:textId="77777777" w:rsidR="00F37C19" w:rsidRPr="006A2BF9" w:rsidRDefault="00F37C19" w:rsidP="00972612">
      <w:pPr>
        <w:outlineLvl w:val="0"/>
        <w:rPr>
          <w:bCs/>
          <w:lang w:val="it-IT"/>
        </w:rPr>
      </w:pPr>
    </w:p>
    <w:p w14:paraId="34EEDB4C" w14:textId="77777777" w:rsidR="00972612" w:rsidRPr="006A2BF9" w:rsidRDefault="00972612" w:rsidP="00972612">
      <w:pPr>
        <w:outlineLvl w:val="0"/>
        <w:rPr>
          <w:bCs/>
          <w:lang w:val="it-IT"/>
        </w:rPr>
      </w:pPr>
      <w:r w:rsidRPr="006A2BF9">
        <w:rPr>
          <w:bCs/>
          <w:lang w:val="it-IT"/>
        </w:rPr>
        <w:t>L’endpoint pri</w:t>
      </w:r>
      <w:r w:rsidR="00F37C19" w:rsidRPr="006A2BF9">
        <w:rPr>
          <w:bCs/>
          <w:lang w:val="it-IT"/>
        </w:rPr>
        <w:t>mario era la PFS</w:t>
      </w:r>
      <w:r w:rsidRPr="006A2BF9">
        <w:rPr>
          <w:bCs/>
          <w:lang w:val="it-IT"/>
        </w:rPr>
        <w:t xml:space="preserve"> valutata da</w:t>
      </w:r>
      <w:r w:rsidR="00A641B1" w:rsidRPr="006A2BF9">
        <w:rPr>
          <w:bCs/>
          <w:lang w:val="it-IT"/>
        </w:rPr>
        <w:t xml:space="preserve">gli sperimentatori </w:t>
      </w:r>
      <w:r w:rsidRPr="006A2BF9">
        <w:rPr>
          <w:bCs/>
          <w:lang w:val="it-IT"/>
        </w:rPr>
        <w:t>considerando la progressione d</w:t>
      </w:r>
      <w:r w:rsidR="00A641B1" w:rsidRPr="006A2BF9">
        <w:rPr>
          <w:bCs/>
          <w:lang w:val="it-IT"/>
        </w:rPr>
        <w:t>ella</w:t>
      </w:r>
      <w:r w:rsidRPr="006A2BF9">
        <w:rPr>
          <w:bCs/>
          <w:lang w:val="it-IT"/>
        </w:rPr>
        <w:t xml:space="preserve"> malattia in base alle immagini </w:t>
      </w:r>
      <w:r w:rsidR="00F37C19" w:rsidRPr="006A2BF9">
        <w:rPr>
          <w:bCs/>
          <w:lang w:val="it-IT"/>
        </w:rPr>
        <w:t xml:space="preserve">radiologiche, ai livelli del CA </w:t>
      </w:r>
      <w:r w:rsidRPr="006A2BF9">
        <w:rPr>
          <w:bCs/>
          <w:lang w:val="it-IT"/>
        </w:rPr>
        <w:t xml:space="preserve">125 o al peggioramento dei sintomi così come definito dal protocollo. Inoltre, è stata condotta un’analisi prespecificata dei dati </w:t>
      </w:r>
      <w:r w:rsidR="00A641B1" w:rsidRPr="006A2BF9">
        <w:rPr>
          <w:bCs/>
          <w:lang w:val="it-IT"/>
        </w:rPr>
        <w:t xml:space="preserve">censurando per gli eventi di </w:t>
      </w:r>
      <w:r w:rsidRPr="006A2BF9">
        <w:rPr>
          <w:bCs/>
          <w:lang w:val="it-IT"/>
        </w:rPr>
        <w:t xml:space="preserve">progressione </w:t>
      </w:r>
      <w:r w:rsidR="00A641B1" w:rsidRPr="006A2BF9">
        <w:rPr>
          <w:bCs/>
          <w:lang w:val="it-IT"/>
        </w:rPr>
        <w:t>definita</w:t>
      </w:r>
      <w:r w:rsidRPr="006A2BF9">
        <w:rPr>
          <w:bCs/>
          <w:lang w:val="it-IT"/>
        </w:rPr>
        <w:t xml:space="preserve"> </w:t>
      </w:r>
      <w:r w:rsidR="00F37C19" w:rsidRPr="006A2BF9">
        <w:rPr>
          <w:bCs/>
          <w:lang w:val="it-IT"/>
        </w:rPr>
        <w:t xml:space="preserve">in </w:t>
      </w:r>
      <w:r w:rsidRPr="006A2BF9">
        <w:rPr>
          <w:bCs/>
          <w:lang w:val="it-IT"/>
        </w:rPr>
        <w:t xml:space="preserve">base </w:t>
      </w:r>
      <w:r w:rsidR="00F37C19" w:rsidRPr="006A2BF9">
        <w:rPr>
          <w:bCs/>
          <w:lang w:val="it-IT"/>
        </w:rPr>
        <w:t xml:space="preserve">ai valori del CA </w:t>
      </w:r>
      <w:r w:rsidRPr="006A2BF9">
        <w:rPr>
          <w:bCs/>
          <w:lang w:val="it-IT"/>
        </w:rPr>
        <w:t xml:space="preserve">125, </w:t>
      </w:r>
      <w:r w:rsidR="00F37C19" w:rsidRPr="006A2BF9">
        <w:rPr>
          <w:bCs/>
          <w:lang w:val="it-IT"/>
        </w:rPr>
        <w:t>nonché</w:t>
      </w:r>
      <w:r w:rsidRPr="006A2BF9">
        <w:rPr>
          <w:bCs/>
          <w:lang w:val="it-IT"/>
        </w:rPr>
        <w:t xml:space="preserve"> una valutazione indipendente della PFS in funzione delle sole valutazioni radiologiche.</w:t>
      </w:r>
    </w:p>
    <w:p w14:paraId="4A5FC1F5" w14:textId="77777777" w:rsidR="00972612" w:rsidRPr="006A2BF9" w:rsidRDefault="00972612" w:rsidP="00972612">
      <w:pPr>
        <w:outlineLvl w:val="0"/>
        <w:rPr>
          <w:bCs/>
          <w:lang w:val="it-IT"/>
        </w:rPr>
      </w:pPr>
    </w:p>
    <w:p w14:paraId="56A0BB8E" w14:textId="77777777" w:rsidR="00CD78D8" w:rsidRPr="006A2BF9" w:rsidRDefault="00972612" w:rsidP="00CD78D8">
      <w:pPr>
        <w:outlineLvl w:val="0"/>
        <w:rPr>
          <w:bCs/>
          <w:lang w:val="it-IT"/>
        </w:rPr>
      </w:pPr>
      <w:r w:rsidRPr="006A2BF9">
        <w:rPr>
          <w:bCs/>
          <w:lang w:val="it-IT"/>
        </w:rPr>
        <w:t xml:space="preserve">Lo studio ha raggiunto l’obiettivo primario di miglioramento della </w:t>
      </w:r>
      <w:r w:rsidR="00F37C19" w:rsidRPr="006A2BF9">
        <w:rPr>
          <w:bCs/>
          <w:lang w:val="it-IT"/>
        </w:rPr>
        <w:t>PFS</w:t>
      </w:r>
      <w:r w:rsidRPr="006A2BF9">
        <w:rPr>
          <w:bCs/>
          <w:lang w:val="it-IT"/>
        </w:rPr>
        <w:t xml:space="preserve">. Rispetto ai pazienti trattati con la sola chemioterapia (carboplatino </w:t>
      </w:r>
      <w:r w:rsidR="00F37C19" w:rsidRPr="006A2BF9">
        <w:rPr>
          <w:bCs/>
          <w:lang w:val="it-IT"/>
        </w:rPr>
        <w:t>e paclitaxel) nel trattamento in</w:t>
      </w:r>
      <w:r w:rsidRPr="006A2BF9">
        <w:rPr>
          <w:bCs/>
          <w:lang w:val="it-IT"/>
        </w:rPr>
        <w:t xml:space="preserve"> prima linea, le pazienti a cui è stato somministrato bevacizumab alla dose di 15 mg/kg q3w in associazione alla chemioterapia e che hanno continuato a ricevere bevacizumab</w:t>
      </w:r>
      <w:r w:rsidR="00F37C19" w:rsidRPr="006A2BF9">
        <w:rPr>
          <w:bCs/>
          <w:lang w:val="it-IT"/>
        </w:rPr>
        <w:t xml:space="preserve"> in monoterapia (CPB15+), </w:t>
      </w:r>
      <w:r w:rsidRPr="006A2BF9">
        <w:rPr>
          <w:bCs/>
          <w:lang w:val="it-IT"/>
        </w:rPr>
        <w:t xml:space="preserve">hanno dimostrato </w:t>
      </w:r>
      <w:r w:rsidR="00CD78D8" w:rsidRPr="006A2BF9">
        <w:rPr>
          <w:bCs/>
          <w:lang w:val="it-IT"/>
        </w:rPr>
        <w:t xml:space="preserve">un miglioramento clinicamente e statisticamente significativo in </w:t>
      </w:r>
      <w:r w:rsidR="00A641B1" w:rsidRPr="006A2BF9">
        <w:rPr>
          <w:bCs/>
          <w:lang w:val="it-IT"/>
        </w:rPr>
        <w:t xml:space="preserve">termini di </w:t>
      </w:r>
      <w:r w:rsidR="00CD78D8" w:rsidRPr="006A2BF9">
        <w:rPr>
          <w:bCs/>
          <w:lang w:val="it-IT"/>
        </w:rPr>
        <w:t>PFS.</w:t>
      </w:r>
    </w:p>
    <w:p w14:paraId="6F481179" w14:textId="77777777" w:rsidR="00972612" w:rsidRPr="006A2BF9" w:rsidRDefault="00972612" w:rsidP="00972612">
      <w:pPr>
        <w:outlineLvl w:val="0"/>
        <w:rPr>
          <w:bCs/>
          <w:lang w:val="it-IT"/>
        </w:rPr>
      </w:pPr>
    </w:p>
    <w:p w14:paraId="3AD33576" w14:textId="77777777" w:rsidR="00972612" w:rsidRPr="006A2BF9" w:rsidRDefault="00972612" w:rsidP="00972612">
      <w:pPr>
        <w:outlineLvl w:val="0"/>
        <w:rPr>
          <w:bCs/>
          <w:lang w:val="it-IT"/>
        </w:rPr>
      </w:pPr>
      <w:r w:rsidRPr="006A2BF9">
        <w:rPr>
          <w:bCs/>
          <w:lang w:val="it-IT"/>
        </w:rPr>
        <w:t xml:space="preserve">Nelle pazienti trattate con solo bevacizumab in associazione a chemioterapia e che non hanno proseguito la terapia con bevacizumab </w:t>
      </w:r>
      <w:r w:rsidR="00F37C19" w:rsidRPr="006A2BF9">
        <w:rPr>
          <w:bCs/>
          <w:lang w:val="it-IT"/>
        </w:rPr>
        <w:t>in monoterapia</w:t>
      </w:r>
      <w:r w:rsidRPr="006A2BF9">
        <w:rPr>
          <w:bCs/>
          <w:lang w:val="it-IT"/>
        </w:rPr>
        <w:t xml:space="preserve"> (CPB15), non è stato osservato alcun miglioramento clinic</w:t>
      </w:r>
      <w:r w:rsidR="00436C24" w:rsidRPr="006A2BF9">
        <w:rPr>
          <w:bCs/>
          <w:lang w:val="it-IT"/>
        </w:rPr>
        <w:t>amente significativo</w:t>
      </w:r>
      <w:r w:rsidRPr="006A2BF9">
        <w:rPr>
          <w:bCs/>
          <w:lang w:val="it-IT"/>
        </w:rPr>
        <w:t xml:space="preserve"> in termini di PFS.</w:t>
      </w:r>
    </w:p>
    <w:p w14:paraId="53B6B5ED" w14:textId="77777777" w:rsidR="00972612" w:rsidRPr="006A2BF9" w:rsidRDefault="00972612" w:rsidP="00972612">
      <w:pPr>
        <w:outlineLvl w:val="0"/>
        <w:rPr>
          <w:bCs/>
          <w:lang w:val="it-IT"/>
        </w:rPr>
      </w:pPr>
    </w:p>
    <w:p w14:paraId="236E1892" w14:textId="77777777" w:rsidR="00972612" w:rsidRPr="006A2BF9" w:rsidRDefault="00972612" w:rsidP="00972612">
      <w:pPr>
        <w:outlineLvl w:val="0"/>
        <w:rPr>
          <w:bCs/>
          <w:lang w:val="it-IT"/>
        </w:rPr>
      </w:pPr>
      <w:r w:rsidRPr="006A2BF9">
        <w:rPr>
          <w:bCs/>
          <w:lang w:val="it-IT"/>
        </w:rPr>
        <w:t xml:space="preserve">I risultati di questo studio sono riassunti nella </w:t>
      </w:r>
      <w:r w:rsidR="00A641B1" w:rsidRPr="006A2BF9">
        <w:rPr>
          <w:bCs/>
          <w:lang w:val="it-IT"/>
        </w:rPr>
        <w:t>t</w:t>
      </w:r>
      <w:r w:rsidRPr="006A2BF9">
        <w:rPr>
          <w:bCs/>
          <w:lang w:val="it-IT"/>
        </w:rPr>
        <w:t>abella</w:t>
      </w:r>
      <w:r w:rsidR="00772EE7" w:rsidRPr="006A2BF9">
        <w:rPr>
          <w:bCs/>
          <w:lang w:val="it-IT"/>
        </w:rPr>
        <w:t> </w:t>
      </w:r>
      <w:r w:rsidRPr="006A2BF9">
        <w:rPr>
          <w:bCs/>
          <w:lang w:val="it-IT"/>
        </w:rPr>
        <w:t>1</w:t>
      </w:r>
      <w:r w:rsidR="00BB195D" w:rsidRPr="006A2BF9">
        <w:rPr>
          <w:bCs/>
          <w:lang w:val="it-IT"/>
        </w:rPr>
        <w:t>6</w:t>
      </w:r>
      <w:r w:rsidRPr="006A2BF9">
        <w:rPr>
          <w:bCs/>
          <w:lang w:val="it-IT"/>
        </w:rPr>
        <w:t>.</w:t>
      </w:r>
    </w:p>
    <w:p w14:paraId="51B159DA" w14:textId="77777777" w:rsidR="00ED4F9E" w:rsidRPr="006A2BF9" w:rsidRDefault="00ED4F9E" w:rsidP="00972612">
      <w:pPr>
        <w:outlineLvl w:val="0"/>
        <w:rPr>
          <w:bCs/>
          <w:lang w:val="it-IT"/>
        </w:rPr>
      </w:pPr>
    </w:p>
    <w:p w14:paraId="1BD0DE9C" w14:textId="77777777" w:rsidR="00972612" w:rsidRPr="006A2BF9" w:rsidRDefault="00972612" w:rsidP="00972612">
      <w:pPr>
        <w:outlineLvl w:val="0"/>
        <w:rPr>
          <w:b/>
          <w:bCs/>
          <w:lang w:val="it-IT"/>
        </w:rPr>
      </w:pPr>
      <w:r w:rsidRPr="006A2BF9">
        <w:rPr>
          <w:b/>
          <w:bCs/>
          <w:lang w:val="it-IT"/>
        </w:rPr>
        <w:t>Tabella 1</w:t>
      </w:r>
      <w:r w:rsidR="00BB195D" w:rsidRPr="006A2BF9">
        <w:rPr>
          <w:b/>
          <w:bCs/>
          <w:lang w:val="it-IT"/>
        </w:rPr>
        <w:t>6</w:t>
      </w:r>
      <w:r w:rsidRPr="006A2BF9">
        <w:rPr>
          <w:b/>
          <w:bCs/>
          <w:lang w:val="it-IT"/>
        </w:rPr>
        <w:tab/>
        <w:t>Risultati di efficacia dallo studio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3"/>
        <w:gridCol w:w="2089"/>
        <w:gridCol w:w="2089"/>
        <w:gridCol w:w="2090"/>
      </w:tblGrid>
      <w:tr w:rsidR="00972612" w:rsidRPr="006A2BF9" w14:paraId="7E469E44" w14:textId="77777777" w:rsidTr="00C65E97">
        <w:tc>
          <w:tcPr>
            <w:tcW w:w="9207" w:type="dxa"/>
            <w:gridSpan w:val="4"/>
            <w:tcBorders>
              <w:top w:val="single" w:sz="4" w:space="0" w:color="auto"/>
              <w:left w:val="single" w:sz="4" w:space="0" w:color="auto"/>
              <w:bottom w:val="single" w:sz="6" w:space="0" w:color="000000"/>
              <w:right w:val="single" w:sz="4" w:space="0" w:color="auto"/>
            </w:tcBorders>
            <w:shd w:val="clear" w:color="auto" w:fill="auto"/>
          </w:tcPr>
          <w:p w14:paraId="36F8B50E" w14:textId="77777777" w:rsidR="00972612" w:rsidRPr="006A2BF9" w:rsidRDefault="00972612" w:rsidP="006B0600">
            <w:pPr>
              <w:outlineLvl w:val="0"/>
              <w:rPr>
                <w:bCs/>
                <w:sz w:val="20"/>
                <w:lang w:val="it-IT"/>
              </w:rPr>
            </w:pPr>
            <w:r w:rsidRPr="006A2BF9">
              <w:rPr>
                <w:bCs/>
                <w:sz w:val="20"/>
                <w:lang w:val="it-IT"/>
              </w:rPr>
              <w:t>Sopravvivenza libera da progressione</w:t>
            </w:r>
            <w:r w:rsidR="006B0600" w:rsidRPr="006A2BF9">
              <w:rPr>
                <w:bCs/>
                <w:sz w:val="20"/>
                <w:lang w:val="it-IT"/>
              </w:rPr>
              <w:t xml:space="preserve"> </w:t>
            </w:r>
            <w:r w:rsidR="00EB351F" w:rsidRPr="006A2BF9">
              <w:rPr>
                <w:bCs/>
                <w:sz w:val="20"/>
                <w:lang w:val="it-IT"/>
              </w:rPr>
              <w:t>(PFS)</w:t>
            </w:r>
            <w:r w:rsidRPr="006A2BF9">
              <w:rPr>
                <w:bCs/>
                <w:sz w:val="20"/>
                <w:vertAlign w:val="superscript"/>
                <w:lang w:val="it-IT"/>
              </w:rPr>
              <w:t>1</w:t>
            </w:r>
          </w:p>
        </w:tc>
      </w:tr>
      <w:tr w:rsidR="00972612" w:rsidRPr="006A2BF9" w14:paraId="03527BF8" w14:textId="77777777" w:rsidTr="00C65E97">
        <w:tc>
          <w:tcPr>
            <w:tcW w:w="2840" w:type="dxa"/>
            <w:tcBorders>
              <w:left w:val="single" w:sz="4" w:space="0" w:color="auto"/>
            </w:tcBorders>
            <w:shd w:val="clear" w:color="auto" w:fill="auto"/>
          </w:tcPr>
          <w:p w14:paraId="7632A224" w14:textId="77777777" w:rsidR="00972612" w:rsidRPr="006A2BF9" w:rsidRDefault="00972612" w:rsidP="00972612">
            <w:pPr>
              <w:outlineLvl w:val="0"/>
              <w:rPr>
                <w:bCs/>
                <w:sz w:val="20"/>
                <w:lang w:val="it-IT"/>
              </w:rPr>
            </w:pPr>
          </w:p>
        </w:tc>
        <w:tc>
          <w:tcPr>
            <w:tcW w:w="2122" w:type="dxa"/>
            <w:shd w:val="clear" w:color="auto" w:fill="auto"/>
            <w:vAlign w:val="center"/>
          </w:tcPr>
          <w:p w14:paraId="0F8340A2" w14:textId="77777777" w:rsidR="00972612" w:rsidRPr="006A2BF9" w:rsidRDefault="00972612" w:rsidP="00F37C19">
            <w:pPr>
              <w:jc w:val="center"/>
              <w:outlineLvl w:val="0"/>
              <w:rPr>
                <w:bCs/>
                <w:sz w:val="20"/>
                <w:lang w:val="it-IT"/>
              </w:rPr>
            </w:pPr>
            <w:r w:rsidRPr="006A2BF9">
              <w:rPr>
                <w:bCs/>
                <w:sz w:val="20"/>
                <w:lang w:val="it-IT"/>
              </w:rPr>
              <w:t>CPP</w:t>
            </w:r>
          </w:p>
          <w:p w14:paraId="39533C93" w14:textId="77777777" w:rsidR="00972612" w:rsidRPr="006A2BF9" w:rsidRDefault="00972612" w:rsidP="00F37C19">
            <w:pPr>
              <w:jc w:val="center"/>
              <w:outlineLvl w:val="0"/>
              <w:rPr>
                <w:bCs/>
                <w:sz w:val="20"/>
                <w:lang w:val="it-IT"/>
              </w:rPr>
            </w:pPr>
            <w:r w:rsidRPr="006A2BF9">
              <w:rPr>
                <w:bCs/>
                <w:sz w:val="20"/>
                <w:lang w:val="it-IT"/>
              </w:rPr>
              <w:t>(n = 625)</w:t>
            </w:r>
          </w:p>
        </w:tc>
        <w:tc>
          <w:tcPr>
            <w:tcW w:w="2122" w:type="dxa"/>
            <w:shd w:val="clear" w:color="auto" w:fill="auto"/>
            <w:vAlign w:val="center"/>
          </w:tcPr>
          <w:p w14:paraId="4947B64F" w14:textId="77777777" w:rsidR="00972612" w:rsidRPr="006A2BF9" w:rsidRDefault="00972612" w:rsidP="00F37C19">
            <w:pPr>
              <w:jc w:val="center"/>
              <w:outlineLvl w:val="0"/>
              <w:rPr>
                <w:bCs/>
                <w:sz w:val="20"/>
                <w:lang w:val="it-IT"/>
              </w:rPr>
            </w:pPr>
            <w:r w:rsidRPr="006A2BF9">
              <w:rPr>
                <w:bCs/>
                <w:sz w:val="20"/>
                <w:lang w:val="it-IT"/>
              </w:rPr>
              <w:t>CPB15</w:t>
            </w:r>
          </w:p>
          <w:p w14:paraId="5F29C58C" w14:textId="77777777" w:rsidR="00972612" w:rsidRPr="006A2BF9" w:rsidRDefault="00972612" w:rsidP="00F37C19">
            <w:pPr>
              <w:jc w:val="center"/>
              <w:outlineLvl w:val="0"/>
              <w:rPr>
                <w:bCs/>
                <w:sz w:val="20"/>
                <w:lang w:val="it-IT"/>
              </w:rPr>
            </w:pPr>
            <w:r w:rsidRPr="006A2BF9">
              <w:rPr>
                <w:bCs/>
                <w:sz w:val="20"/>
                <w:lang w:val="it-IT"/>
              </w:rPr>
              <w:t>(n =</w:t>
            </w:r>
            <w:r w:rsidR="0028755D" w:rsidRPr="006A2BF9">
              <w:rPr>
                <w:bCs/>
                <w:sz w:val="20"/>
                <w:lang w:val="it-IT"/>
              </w:rPr>
              <w:t> </w:t>
            </w:r>
            <w:r w:rsidRPr="006A2BF9">
              <w:rPr>
                <w:bCs/>
                <w:sz w:val="20"/>
                <w:lang w:val="it-IT"/>
              </w:rPr>
              <w:t>625)</w:t>
            </w:r>
          </w:p>
        </w:tc>
        <w:tc>
          <w:tcPr>
            <w:tcW w:w="2123" w:type="dxa"/>
            <w:tcBorders>
              <w:right w:val="single" w:sz="4" w:space="0" w:color="auto"/>
            </w:tcBorders>
            <w:shd w:val="clear" w:color="auto" w:fill="auto"/>
            <w:vAlign w:val="center"/>
          </w:tcPr>
          <w:p w14:paraId="608C6552" w14:textId="77777777" w:rsidR="00972612" w:rsidRPr="006A2BF9" w:rsidRDefault="00972612" w:rsidP="00F37C19">
            <w:pPr>
              <w:jc w:val="center"/>
              <w:outlineLvl w:val="0"/>
              <w:rPr>
                <w:bCs/>
                <w:sz w:val="20"/>
                <w:vertAlign w:val="superscript"/>
                <w:lang w:val="it-IT"/>
              </w:rPr>
            </w:pPr>
            <w:r w:rsidRPr="006A2BF9">
              <w:rPr>
                <w:bCs/>
                <w:sz w:val="20"/>
                <w:lang w:val="it-IT" w:bidi="en-US"/>
              </w:rPr>
              <w:t>CPB15+</w:t>
            </w:r>
          </w:p>
          <w:p w14:paraId="0517F65A" w14:textId="77777777" w:rsidR="00972612" w:rsidRPr="006A2BF9" w:rsidRDefault="00972612" w:rsidP="00F37C19">
            <w:pPr>
              <w:jc w:val="center"/>
              <w:outlineLvl w:val="0"/>
              <w:rPr>
                <w:bCs/>
                <w:sz w:val="20"/>
                <w:lang w:val="it-IT"/>
              </w:rPr>
            </w:pPr>
            <w:r w:rsidRPr="006A2BF9">
              <w:rPr>
                <w:bCs/>
                <w:sz w:val="20"/>
                <w:lang w:val="it-IT"/>
              </w:rPr>
              <w:t>(n =</w:t>
            </w:r>
            <w:r w:rsidR="0028755D" w:rsidRPr="006A2BF9">
              <w:rPr>
                <w:bCs/>
                <w:sz w:val="20"/>
                <w:lang w:val="it-IT"/>
              </w:rPr>
              <w:t> </w:t>
            </w:r>
            <w:r w:rsidRPr="006A2BF9">
              <w:rPr>
                <w:bCs/>
                <w:sz w:val="20"/>
                <w:lang w:val="it-IT"/>
              </w:rPr>
              <w:t>623)</w:t>
            </w:r>
          </w:p>
        </w:tc>
      </w:tr>
      <w:tr w:rsidR="00972612" w:rsidRPr="006A2BF9" w14:paraId="64795DE8" w14:textId="77777777" w:rsidTr="00C65E97">
        <w:tc>
          <w:tcPr>
            <w:tcW w:w="2840" w:type="dxa"/>
            <w:tcBorders>
              <w:left w:val="single" w:sz="4" w:space="0" w:color="auto"/>
            </w:tcBorders>
            <w:shd w:val="clear" w:color="auto" w:fill="auto"/>
          </w:tcPr>
          <w:p w14:paraId="0E6A7F16" w14:textId="77777777" w:rsidR="00972612" w:rsidRPr="006A2BF9" w:rsidRDefault="00EB351F" w:rsidP="00972612">
            <w:pPr>
              <w:outlineLvl w:val="0"/>
              <w:rPr>
                <w:bCs/>
                <w:sz w:val="20"/>
                <w:lang w:val="it-IT"/>
              </w:rPr>
            </w:pPr>
            <w:r w:rsidRPr="006A2BF9">
              <w:rPr>
                <w:bCs/>
                <w:sz w:val="20"/>
                <w:lang w:val="it-IT"/>
              </w:rPr>
              <w:t xml:space="preserve">PFS </w:t>
            </w:r>
            <w:r w:rsidR="00972612" w:rsidRPr="006A2BF9">
              <w:rPr>
                <w:bCs/>
                <w:sz w:val="20"/>
                <w:lang w:val="it-IT"/>
              </w:rPr>
              <w:t>mediana (mesi)</w:t>
            </w:r>
          </w:p>
        </w:tc>
        <w:tc>
          <w:tcPr>
            <w:tcW w:w="2122" w:type="dxa"/>
            <w:shd w:val="clear" w:color="auto" w:fill="auto"/>
            <w:vAlign w:val="center"/>
          </w:tcPr>
          <w:p w14:paraId="269A25FE" w14:textId="77777777" w:rsidR="00972612" w:rsidRPr="006A2BF9" w:rsidRDefault="00972612" w:rsidP="00F37C19">
            <w:pPr>
              <w:jc w:val="center"/>
              <w:outlineLvl w:val="0"/>
              <w:rPr>
                <w:bCs/>
                <w:sz w:val="20"/>
                <w:lang w:val="it-IT"/>
              </w:rPr>
            </w:pPr>
            <w:r w:rsidRPr="006A2BF9">
              <w:rPr>
                <w:bCs/>
                <w:sz w:val="20"/>
                <w:lang w:val="it-IT"/>
              </w:rPr>
              <w:t>10,6</w:t>
            </w:r>
          </w:p>
        </w:tc>
        <w:tc>
          <w:tcPr>
            <w:tcW w:w="2122" w:type="dxa"/>
            <w:shd w:val="clear" w:color="auto" w:fill="auto"/>
            <w:vAlign w:val="center"/>
          </w:tcPr>
          <w:p w14:paraId="02B05832" w14:textId="77777777" w:rsidR="00972612" w:rsidRPr="006A2BF9" w:rsidRDefault="00972612" w:rsidP="00F37C19">
            <w:pPr>
              <w:jc w:val="center"/>
              <w:outlineLvl w:val="0"/>
              <w:rPr>
                <w:bCs/>
                <w:sz w:val="20"/>
                <w:lang w:val="it-IT"/>
              </w:rPr>
            </w:pPr>
            <w:r w:rsidRPr="006A2BF9">
              <w:rPr>
                <w:bCs/>
                <w:sz w:val="20"/>
                <w:lang w:val="it-IT"/>
              </w:rPr>
              <w:t>11,6</w:t>
            </w:r>
          </w:p>
        </w:tc>
        <w:tc>
          <w:tcPr>
            <w:tcW w:w="2123" w:type="dxa"/>
            <w:tcBorders>
              <w:right w:val="single" w:sz="4" w:space="0" w:color="auto"/>
            </w:tcBorders>
            <w:shd w:val="clear" w:color="auto" w:fill="auto"/>
            <w:vAlign w:val="center"/>
          </w:tcPr>
          <w:p w14:paraId="42341E40" w14:textId="77777777" w:rsidR="00972612" w:rsidRPr="006A2BF9" w:rsidRDefault="00972612" w:rsidP="00F37C19">
            <w:pPr>
              <w:jc w:val="center"/>
              <w:outlineLvl w:val="0"/>
              <w:rPr>
                <w:bCs/>
                <w:sz w:val="20"/>
                <w:lang w:val="it-IT"/>
              </w:rPr>
            </w:pPr>
            <w:r w:rsidRPr="006A2BF9">
              <w:rPr>
                <w:bCs/>
                <w:sz w:val="20"/>
                <w:lang w:val="it-IT"/>
              </w:rPr>
              <w:t>14,7</w:t>
            </w:r>
          </w:p>
        </w:tc>
      </w:tr>
      <w:tr w:rsidR="00972612" w:rsidRPr="006A2BF9" w14:paraId="1351F31F" w14:textId="77777777" w:rsidTr="00C65E97">
        <w:tc>
          <w:tcPr>
            <w:tcW w:w="2840" w:type="dxa"/>
            <w:tcBorders>
              <w:left w:val="single" w:sz="4" w:space="0" w:color="auto"/>
            </w:tcBorders>
            <w:shd w:val="clear" w:color="auto" w:fill="auto"/>
          </w:tcPr>
          <w:p w14:paraId="1F148A44" w14:textId="77777777" w:rsidR="00972612" w:rsidRPr="00330A40" w:rsidRDefault="00972612" w:rsidP="00330A40">
            <w:pPr>
              <w:outlineLvl w:val="0"/>
              <w:rPr>
                <w:bCs/>
                <w:sz w:val="20"/>
                <w:lang w:val="it-IT"/>
              </w:rPr>
            </w:pPr>
            <w:r w:rsidRPr="000F0246">
              <w:rPr>
                <w:bCs/>
                <w:i/>
                <w:sz w:val="20"/>
                <w:lang w:val="it-IT"/>
              </w:rPr>
              <w:t xml:space="preserve">Hazard </w:t>
            </w:r>
            <w:r w:rsidR="00330A40">
              <w:rPr>
                <w:bCs/>
                <w:i/>
                <w:sz w:val="20"/>
                <w:lang w:val="it-IT"/>
              </w:rPr>
              <w:t>r</w:t>
            </w:r>
            <w:r w:rsidR="00330A40" w:rsidRPr="000F0246">
              <w:rPr>
                <w:bCs/>
                <w:i/>
                <w:sz w:val="20"/>
                <w:lang w:val="it-IT"/>
              </w:rPr>
              <w:t>atio</w:t>
            </w:r>
            <w:r w:rsidR="00330A40" w:rsidRPr="00330A40">
              <w:rPr>
                <w:bCs/>
                <w:sz w:val="20"/>
                <w:lang w:val="it-IT"/>
              </w:rPr>
              <w:t xml:space="preserve"> </w:t>
            </w:r>
            <w:r w:rsidRPr="00330A40">
              <w:rPr>
                <w:bCs/>
                <w:sz w:val="20"/>
                <w:lang w:val="it-IT"/>
              </w:rPr>
              <w:t>(</w:t>
            </w:r>
            <w:r w:rsidR="00A641B1" w:rsidRPr="00330A40">
              <w:rPr>
                <w:bCs/>
                <w:sz w:val="20"/>
                <w:lang w:val="it-IT"/>
              </w:rPr>
              <w:t xml:space="preserve">IC </w:t>
            </w:r>
            <w:r w:rsidR="00831FDE">
              <w:rPr>
                <w:bCs/>
                <w:sz w:val="20"/>
                <w:lang w:val="it-IT"/>
              </w:rPr>
              <w:t xml:space="preserve">al </w:t>
            </w:r>
            <w:r w:rsidRPr="00330A40">
              <w:rPr>
                <w:bCs/>
                <w:sz w:val="20"/>
                <w:lang w:val="it-IT"/>
              </w:rPr>
              <w:t>95%) </w:t>
            </w:r>
            <w:r w:rsidRPr="00330A40">
              <w:rPr>
                <w:bCs/>
                <w:sz w:val="20"/>
                <w:vertAlign w:val="superscript"/>
                <w:lang w:val="it-IT"/>
              </w:rPr>
              <w:t>2</w:t>
            </w:r>
          </w:p>
        </w:tc>
        <w:tc>
          <w:tcPr>
            <w:tcW w:w="2122" w:type="dxa"/>
            <w:shd w:val="clear" w:color="auto" w:fill="auto"/>
            <w:vAlign w:val="center"/>
          </w:tcPr>
          <w:p w14:paraId="72090547" w14:textId="77777777" w:rsidR="00972612" w:rsidRPr="00330A40" w:rsidRDefault="00972612" w:rsidP="00F37C19">
            <w:pPr>
              <w:jc w:val="center"/>
              <w:outlineLvl w:val="0"/>
              <w:rPr>
                <w:bCs/>
                <w:sz w:val="20"/>
                <w:lang w:val="it-IT"/>
              </w:rPr>
            </w:pPr>
          </w:p>
        </w:tc>
        <w:tc>
          <w:tcPr>
            <w:tcW w:w="2122" w:type="dxa"/>
            <w:shd w:val="clear" w:color="auto" w:fill="auto"/>
            <w:vAlign w:val="center"/>
          </w:tcPr>
          <w:p w14:paraId="5F1C65EF" w14:textId="77777777" w:rsidR="00972612" w:rsidRPr="00330A40" w:rsidRDefault="00972612" w:rsidP="00F37C19">
            <w:pPr>
              <w:jc w:val="center"/>
              <w:outlineLvl w:val="0"/>
              <w:rPr>
                <w:bCs/>
                <w:sz w:val="20"/>
                <w:lang w:val="it-IT"/>
              </w:rPr>
            </w:pPr>
            <w:r w:rsidRPr="00330A40">
              <w:rPr>
                <w:bCs/>
                <w:sz w:val="20"/>
                <w:lang w:val="it-IT"/>
              </w:rPr>
              <w:t>0,89</w:t>
            </w:r>
          </w:p>
          <w:p w14:paraId="5F7F6674" w14:textId="77777777" w:rsidR="00972612" w:rsidRPr="00330A40" w:rsidRDefault="00972612" w:rsidP="00F37C19">
            <w:pPr>
              <w:jc w:val="center"/>
              <w:outlineLvl w:val="0"/>
              <w:rPr>
                <w:bCs/>
                <w:sz w:val="20"/>
                <w:lang w:val="it-IT"/>
              </w:rPr>
            </w:pPr>
            <w:r w:rsidRPr="00330A40">
              <w:rPr>
                <w:bCs/>
                <w:sz w:val="20"/>
                <w:lang w:val="it-IT"/>
              </w:rPr>
              <w:t>(0,78, 1,02)</w:t>
            </w:r>
          </w:p>
        </w:tc>
        <w:tc>
          <w:tcPr>
            <w:tcW w:w="2123" w:type="dxa"/>
            <w:tcBorders>
              <w:right w:val="single" w:sz="4" w:space="0" w:color="auto"/>
            </w:tcBorders>
            <w:shd w:val="clear" w:color="auto" w:fill="auto"/>
            <w:vAlign w:val="center"/>
          </w:tcPr>
          <w:p w14:paraId="358A47CF" w14:textId="77777777" w:rsidR="00972612" w:rsidRPr="00330A40" w:rsidRDefault="00972612" w:rsidP="00F37C19">
            <w:pPr>
              <w:jc w:val="center"/>
              <w:outlineLvl w:val="0"/>
              <w:rPr>
                <w:bCs/>
                <w:sz w:val="20"/>
                <w:lang w:val="it-IT"/>
              </w:rPr>
            </w:pPr>
            <w:r w:rsidRPr="00330A40">
              <w:rPr>
                <w:bCs/>
                <w:sz w:val="20"/>
                <w:lang w:val="it-IT"/>
              </w:rPr>
              <w:t>0,70</w:t>
            </w:r>
          </w:p>
          <w:p w14:paraId="14F1979C" w14:textId="77777777" w:rsidR="00972612" w:rsidRPr="00330A40" w:rsidRDefault="00972612" w:rsidP="00F37C19">
            <w:pPr>
              <w:jc w:val="center"/>
              <w:outlineLvl w:val="0"/>
              <w:rPr>
                <w:bCs/>
                <w:sz w:val="20"/>
                <w:lang w:val="it-IT"/>
              </w:rPr>
            </w:pPr>
            <w:r w:rsidRPr="00330A40">
              <w:rPr>
                <w:bCs/>
                <w:sz w:val="20"/>
                <w:lang w:val="it-IT"/>
              </w:rPr>
              <w:t>(0,61, 0,81)</w:t>
            </w:r>
          </w:p>
        </w:tc>
      </w:tr>
      <w:tr w:rsidR="00972612" w:rsidRPr="006A2BF9" w14:paraId="1AD8FD19" w14:textId="77777777" w:rsidTr="00C65E97">
        <w:tc>
          <w:tcPr>
            <w:tcW w:w="2840" w:type="dxa"/>
            <w:tcBorders>
              <w:left w:val="single" w:sz="4" w:space="0" w:color="auto"/>
              <w:bottom w:val="single" w:sz="4" w:space="0" w:color="auto"/>
            </w:tcBorders>
            <w:shd w:val="clear" w:color="auto" w:fill="auto"/>
          </w:tcPr>
          <w:p w14:paraId="49E8AF9F" w14:textId="77777777" w:rsidR="00972612" w:rsidRPr="006A2BF9" w:rsidRDefault="00972612" w:rsidP="00972612">
            <w:pPr>
              <w:outlineLvl w:val="0"/>
              <w:rPr>
                <w:bCs/>
                <w:sz w:val="20"/>
                <w:lang w:val="it-IT"/>
              </w:rPr>
            </w:pPr>
            <w:r w:rsidRPr="006A2BF9">
              <w:rPr>
                <w:bCs/>
                <w:sz w:val="20"/>
                <w:lang w:val="it-IT"/>
              </w:rPr>
              <w:t>valore di p </w:t>
            </w:r>
            <w:r w:rsidRPr="006A2BF9">
              <w:rPr>
                <w:bCs/>
                <w:sz w:val="20"/>
                <w:vertAlign w:val="superscript"/>
                <w:lang w:val="it-IT"/>
              </w:rPr>
              <w:t>3, 4</w:t>
            </w:r>
          </w:p>
        </w:tc>
        <w:tc>
          <w:tcPr>
            <w:tcW w:w="2122" w:type="dxa"/>
            <w:tcBorders>
              <w:bottom w:val="single" w:sz="4" w:space="0" w:color="auto"/>
            </w:tcBorders>
            <w:shd w:val="clear" w:color="auto" w:fill="auto"/>
            <w:vAlign w:val="center"/>
          </w:tcPr>
          <w:p w14:paraId="7EA64BE9" w14:textId="77777777" w:rsidR="00972612" w:rsidRPr="006A2BF9" w:rsidRDefault="00972612" w:rsidP="00F37C19">
            <w:pPr>
              <w:jc w:val="center"/>
              <w:outlineLvl w:val="0"/>
              <w:rPr>
                <w:bCs/>
                <w:sz w:val="20"/>
                <w:lang w:val="it-IT"/>
              </w:rPr>
            </w:pPr>
          </w:p>
        </w:tc>
        <w:tc>
          <w:tcPr>
            <w:tcW w:w="2122" w:type="dxa"/>
            <w:tcBorders>
              <w:bottom w:val="single" w:sz="4" w:space="0" w:color="auto"/>
            </w:tcBorders>
            <w:shd w:val="clear" w:color="auto" w:fill="auto"/>
            <w:vAlign w:val="center"/>
          </w:tcPr>
          <w:p w14:paraId="4CBB3217" w14:textId="77777777" w:rsidR="00972612" w:rsidRPr="006A2BF9" w:rsidRDefault="00972612" w:rsidP="00F37C19">
            <w:pPr>
              <w:jc w:val="center"/>
              <w:outlineLvl w:val="0"/>
              <w:rPr>
                <w:bCs/>
                <w:sz w:val="20"/>
                <w:lang w:val="it-IT"/>
              </w:rPr>
            </w:pPr>
            <w:r w:rsidRPr="006A2BF9">
              <w:rPr>
                <w:bCs/>
                <w:sz w:val="20"/>
                <w:lang w:val="it-IT"/>
              </w:rPr>
              <w:t>0,0437</w:t>
            </w:r>
          </w:p>
        </w:tc>
        <w:tc>
          <w:tcPr>
            <w:tcW w:w="2123" w:type="dxa"/>
            <w:tcBorders>
              <w:bottom w:val="single" w:sz="4" w:space="0" w:color="auto"/>
              <w:right w:val="single" w:sz="4" w:space="0" w:color="auto"/>
            </w:tcBorders>
            <w:shd w:val="clear" w:color="auto" w:fill="auto"/>
            <w:vAlign w:val="center"/>
          </w:tcPr>
          <w:p w14:paraId="447D6D5A" w14:textId="77777777" w:rsidR="00972612" w:rsidRPr="006A2BF9" w:rsidRDefault="00972612" w:rsidP="00F37C19">
            <w:pPr>
              <w:jc w:val="center"/>
              <w:outlineLvl w:val="0"/>
              <w:rPr>
                <w:bCs/>
                <w:sz w:val="20"/>
                <w:lang w:val="it-IT"/>
              </w:rPr>
            </w:pPr>
            <w:r w:rsidRPr="006A2BF9">
              <w:rPr>
                <w:bCs/>
                <w:sz w:val="20"/>
                <w:lang w:val="it-IT"/>
              </w:rPr>
              <w:t>&lt; 0,0001</w:t>
            </w:r>
          </w:p>
        </w:tc>
      </w:tr>
      <w:tr w:rsidR="00972612" w:rsidRPr="006A2BF9" w14:paraId="6F00A2A6" w14:textId="77777777" w:rsidTr="00C65E97">
        <w:tc>
          <w:tcPr>
            <w:tcW w:w="9207" w:type="dxa"/>
            <w:gridSpan w:val="4"/>
            <w:tcBorders>
              <w:top w:val="single" w:sz="4" w:space="0" w:color="auto"/>
              <w:left w:val="single" w:sz="4" w:space="0" w:color="auto"/>
              <w:bottom w:val="single" w:sz="4" w:space="0" w:color="auto"/>
              <w:right w:val="single" w:sz="4" w:space="0" w:color="auto"/>
            </w:tcBorders>
            <w:shd w:val="clear" w:color="auto" w:fill="auto"/>
          </w:tcPr>
          <w:p w14:paraId="11727509" w14:textId="77777777" w:rsidR="00972612" w:rsidRPr="006A2BF9" w:rsidRDefault="00972612" w:rsidP="00972612">
            <w:pPr>
              <w:outlineLvl w:val="0"/>
              <w:rPr>
                <w:bCs/>
                <w:sz w:val="20"/>
                <w:lang w:val="it-IT"/>
              </w:rPr>
            </w:pPr>
            <w:r w:rsidRPr="006A2BF9">
              <w:rPr>
                <w:bCs/>
                <w:sz w:val="20"/>
                <w:lang w:val="it-IT"/>
              </w:rPr>
              <w:t xml:space="preserve">Tasso di risposta obiettiva </w:t>
            </w:r>
            <w:r w:rsidRPr="006A2BF9">
              <w:rPr>
                <w:bCs/>
                <w:sz w:val="20"/>
                <w:vertAlign w:val="superscript"/>
                <w:lang w:val="it-IT"/>
              </w:rPr>
              <w:t>5</w:t>
            </w:r>
          </w:p>
        </w:tc>
      </w:tr>
      <w:tr w:rsidR="00972612" w:rsidRPr="006A2BF9" w14:paraId="2DB57787" w14:textId="77777777" w:rsidTr="00C65E97">
        <w:tc>
          <w:tcPr>
            <w:tcW w:w="2840" w:type="dxa"/>
            <w:tcBorders>
              <w:left w:val="single" w:sz="4" w:space="0" w:color="auto"/>
            </w:tcBorders>
            <w:shd w:val="clear" w:color="auto" w:fill="auto"/>
          </w:tcPr>
          <w:p w14:paraId="066CA5FB" w14:textId="77777777" w:rsidR="00972612" w:rsidRPr="006A2BF9" w:rsidRDefault="00972612" w:rsidP="00972612">
            <w:pPr>
              <w:outlineLvl w:val="0"/>
              <w:rPr>
                <w:bCs/>
                <w:sz w:val="20"/>
                <w:lang w:val="it-IT"/>
              </w:rPr>
            </w:pPr>
          </w:p>
        </w:tc>
        <w:tc>
          <w:tcPr>
            <w:tcW w:w="2122" w:type="dxa"/>
            <w:shd w:val="clear" w:color="auto" w:fill="auto"/>
            <w:vAlign w:val="center"/>
          </w:tcPr>
          <w:p w14:paraId="11284269" w14:textId="77777777" w:rsidR="00972612" w:rsidRPr="006A2BF9" w:rsidRDefault="00972612" w:rsidP="00F37C19">
            <w:pPr>
              <w:jc w:val="center"/>
              <w:outlineLvl w:val="0"/>
              <w:rPr>
                <w:bCs/>
                <w:sz w:val="20"/>
                <w:lang w:val="it-IT"/>
              </w:rPr>
            </w:pPr>
            <w:r w:rsidRPr="006A2BF9">
              <w:rPr>
                <w:bCs/>
                <w:sz w:val="20"/>
                <w:lang w:val="it-IT"/>
              </w:rPr>
              <w:t>CPP</w:t>
            </w:r>
          </w:p>
          <w:p w14:paraId="508880C6" w14:textId="77777777" w:rsidR="00972612" w:rsidRPr="006A2BF9" w:rsidRDefault="00972612" w:rsidP="00F37C19">
            <w:pPr>
              <w:jc w:val="center"/>
              <w:outlineLvl w:val="0"/>
              <w:rPr>
                <w:bCs/>
                <w:sz w:val="20"/>
                <w:lang w:val="it-IT"/>
              </w:rPr>
            </w:pPr>
            <w:r w:rsidRPr="006A2BF9">
              <w:rPr>
                <w:bCs/>
                <w:sz w:val="20"/>
                <w:lang w:val="it-IT"/>
              </w:rPr>
              <w:t>(n = 396)</w:t>
            </w:r>
          </w:p>
        </w:tc>
        <w:tc>
          <w:tcPr>
            <w:tcW w:w="2122" w:type="dxa"/>
            <w:shd w:val="clear" w:color="auto" w:fill="auto"/>
            <w:vAlign w:val="center"/>
          </w:tcPr>
          <w:p w14:paraId="1FC10279" w14:textId="77777777" w:rsidR="00972612" w:rsidRPr="006A2BF9" w:rsidRDefault="00972612" w:rsidP="00F37C19">
            <w:pPr>
              <w:jc w:val="center"/>
              <w:outlineLvl w:val="0"/>
              <w:rPr>
                <w:bCs/>
                <w:sz w:val="20"/>
                <w:lang w:val="it-IT" w:bidi="en-US"/>
              </w:rPr>
            </w:pPr>
            <w:r w:rsidRPr="006A2BF9">
              <w:rPr>
                <w:bCs/>
                <w:sz w:val="20"/>
                <w:lang w:val="it-IT" w:bidi="en-US"/>
              </w:rPr>
              <w:t>CPB15</w:t>
            </w:r>
          </w:p>
          <w:p w14:paraId="4A88ADEE" w14:textId="77777777" w:rsidR="00972612" w:rsidRPr="006A2BF9" w:rsidRDefault="00972612" w:rsidP="00F37C19">
            <w:pPr>
              <w:jc w:val="center"/>
              <w:outlineLvl w:val="0"/>
              <w:rPr>
                <w:bCs/>
                <w:sz w:val="20"/>
                <w:lang w:val="it-IT"/>
              </w:rPr>
            </w:pPr>
            <w:r w:rsidRPr="006A2BF9">
              <w:rPr>
                <w:bCs/>
                <w:sz w:val="20"/>
                <w:lang w:val="it-IT"/>
              </w:rPr>
              <w:t>(n =</w:t>
            </w:r>
            <w:r w:rsidR="0028755D" w:rsidRPr="006A2BF9">
              <w:rPr>
                <w:bCs/>
                <w:sz w:val="20"/>
                <w:lang w:val="it-IT"/>
              </w:rPr>
              <w:t> </w:t>
            </w:r>
            <w:r w:rsidRPr="006A2BF9">
              <w:rPr>
                <w:bCs/>
                <w:sz w:val="20"/>
                <w:lang w:val="it-IT"/>
              </w:rPr>
              <w:t>393)</w:t>
            </w:r>
          </w:p>
        </w:tc>
        <w:tc>
          <w:tcPr>
            <w:tcW w:w="2123" w:type="dxa"/>
            <w:tcBorders>
              <w:right w:val="single" w:sz="4" w:space="0" w:color="auto"/>
            </w:tcBorders>
            <w:shd w:val="clear" w:color="auto" w:fill="auto"/>
            <w:vAlign w:val="center"/>
          </w:tcPr>
          <w:p w14:paraId="7885525B" w14:textId="77777777" w:rsidR="00972612" w:rsidRPr="006A2BF9" w:rsidRDefault="00972612" w:rsidP="00F37C19">
            <w:pPr>
              <w:jc w:val="center"/>
              <w:outlineLvl w:val="0"/>
              <w:rPr>
                <w:bCs/>
                <w:sz w:val="20"/>
                <w:lang w:val="it-IT"/>
              </w:rPr>
            </w:pPr>
            <w:r w:rsidRPr="006A2BF9">
              <w:rPr>
                <w:bCs/>
                <w:sz w:val="20"/>
                <w:lang w:val="it-IT" w:bidi="en-US"/>
              </w:rPr>
              <w:t xml:space="preserve">CPB15+ </w:t>
            </w:r>
            <w:r w:rsidRPr="006A2BF9">
              <w:rPr>
                <w:bCs/>
                <w:sz w:val="20"/>
                <w:lang w:val="it-IT"/>
              </w:rPr>
              <w:t>(n = 403)</w:t>
            </w:r>
          </w:p>
        </w:tc>
      </w:tr>
      <w:tr w:rsidR="00972612" w:rsidRPr="006A2BF9" w14:paraId="6FD3354A" w14:textId="77777777" w:rsidTr="00C65E97">
        <w:tc>
          <w:tcPr>
            <w:tcW w:w="2840" w:type="dxa"/>
            <w:tcBorders>
              <w:left w:val="single" w:sz="4" w:space="0" w:color="auto"/>
            </w:tcBorders>
            <w:shd w:val="clear" w:color="auto" w:fill="auto"/>
          </w:tcPr>
          <w:p w14:paraId="25B7434C" w14:textId="77777777" w:rsidR="00972612" w:rsidRPr="006A2BF9" w:rsidRDefault="00972612" w:rsidP="00972612">
            <w:pPr>
              <w:outlineLvl w:val="0"/>
              <w:rPr>
                <w:bCs/>
                <w:sz w:val="20"/>
                <w:lang w:val="it-IT"/>
              </w:rPr>
            </w:pPr>
            <w:r w:rsidRPr="006A2BF9">
              <w:rPr>
                <w:bCs/>
                <w:sz w:val="20"/>
                <w:lang w:val="it-IT"/>
              </w:rPr>
              <w:t>% p</w:t>
            </w:r>
            <w:r w:rsidR="00A641B1" w:rsidRPr="006A2BF9">
              <w:rPr>
                <w:bCs/>
                <w:sz w:val="20"/>
                <w:lang w:val="it-IT"/>
              </w:rPr>
              <w:t>azienti</w:t>
            </w:r>
            <w:r w:rsidRPr="006A2BF9">
              <w:rPr>
                <w:bCs/>
                <w:sz w:val="20"/>
                <w:lang w:val="it-IT"/>
              </w:rPr>
              <w:t xml:space="preserve"> con risposta obiettiva</w:t>
            </w:r>
          </w:p>
        </w:tc>
        <w:tc>
          <w:tcPr>
            <w:tcW w:w="2122" w:type="dxa"/>
            <w:shd w:val="clear" w:color="auto" w:fill="auto"/>
            <w:vAlign w:val="center"/>
          </w:tcPr>
          <w:p w14:paraId="029D7881" w14:textId="77777777" w:rsidR="00972612" w:rsidRPr="006A2BF9" w:rsidRDefault="00972612" w:rsidP="00F37C19">
            <w:pPr>
              <w:jc w:val="center"/>
              <w:outlineLvl w:val="0"/>
              <w:rPr>
                <w:bCs/>
                <w:sz w:val="20"/>
                <w:lang w:val="it-IT"/>
              </w:rPr>
            </w:pPr>
            <w:r w:rsidRPr="006A2BF9">
              <w:rPr>
                <w:bCs/>
                <w:sz w:val="20"/>
                <w:lang w:val="it-IT"/>
              </w:rPr>
              <w:t>63,4</w:t>
            </w:r>
          </w:p>
        </w:tc>
        <w:tc>
          <w:tcPr>
            <w:tcW w:w="2122" w:type="dxa"/>
            <w:shd w:val="clear" w:color="auto" w:fill="auto"/>
            <w:vAlign w:val="center"/>
          </w:tcPr>
          <w:p w14:paraId="6E24A1AF" w14:textId="77777777" w:rsidR="00972612" w:rsidRPr="006A2BF9" w:rsidRDefault="00972612" w:rsidP="00F37C19">
            <w:pPr>
              <w:jc w:val="center"/>
              <w:outlineLvl w:val="0"/>
              <w:rPr>
                <w:bCs/>
                <w:sz w:val="20"/>
                <w:lang w:val="it-IT"/>
              </w:rPr>
            </w:pPr>
            <w:r w:rsidRPr="006A2BF9">
              <w:rPr>
                <w:bCs/>
                <w:sz w:val="20"/>
                <w:lang w:val="it-IT"/>
              </w:rPr>
              <w:t>66,2</w:t>
            </w:r>
          </w:p>
        </w:tc>
        <w:tc>
          <w:tcPr>
            <w:tcW w:w="2123" w:type="dxa"/>
            <w:tcBorders>
              <w:right w:val="single" w:sz="4" w:space="0" w:color="auto"/>
            </w:tcBorders>
            <w:shd w:val="clear" w:color="auto" w:fill="auto"/>
            <w:vAlign w:val="center"/>
          </w:tcPr>
          <w:p w14:paraId="0E5BB8F5" w14:textId="77777777" w:rsidR="00972612" w:rsidRPr="006A2BF9" w:rsidRDefault="00972612" w:rsidP="00F37C19">
            <w:pPr>
              <w:jc w:val="center"/>
              <w:outlineLvl w:val="0"/>
              <w:rPr>
                <w:bCs/>
                <w:sz w:val="20"/>
                <w:lang w:val="it-IT"/>
              </w:rPr>
            </w:pPr>
            <w:r w:rsidRPr="006A2BF9">
              <w:rPr>
                <w:bCs/>
                <w:sz w:val="20"/>
                <w:lang w:val="it-IT"/>
              </w:rPr>
              <w:t>66,0</w:t>
            </w:r>
          </w:p>
        </w:tc>
      </w:tr>
      <w:tr w:rsidR="00972612" w:rsidRPr="006A2BF9" w14:paraId="33A775C0" w14:textId="77777777" w:rsidTr="00C65E97">
        <w:trPr>
          <w:trHeight w:val="100"/>
        </w:trPr>
        <w:tc>
          <w:tcPr>
            <w:tcW w:w="2840" w:type="dxa"/>
            <w:tcBorders>
              <w:left w:val="single" w:sz="4" w:space="0" w:color="auto"/>
              <w:bottom w:val="single" w:sz="4" w:space="0" w:color="auto"/>
            </w:tcBorders>
            <w:shd w:val="clear" w:color="auto" w:fill="auto"/>
          </w:tcPr>
          <w:p w14:paraId="14B0511F" w14:textId="77777777" w:rsidR="00972612" w:rsidRPr="006A2BF9" w:rsidRDefault="00972612" w:rsidP="00972612">
            <w:pPr>
              <w:outlineLvl w:val="0"/>
              <w:rPr>
                <w:bCs/>
                <w:sz w:val="20"/>
                <w:lang w:val="it-IT"/>
              </w:rPr>
            </w:pPr>
            <w:r w:rsidRPr="006A2BF9">
              <w:rPr>
                <w:bCs/>
                <w:sz w:val="20"/>
                <w:lang w:val="it-IT"/>
              </w:rPr>
              <w:t>valore di p</w:t>
            </w:r>
          </w:p>
        </w:tc>
        <w:tc>
          <w:tcPr>
            <w:tcW w:w="2122" w:type="dxa"/>
            <w:tcBorders>
              <w:bottom w:val="single" w:sz="4" w:space="0" w:color="auto"/>
            </w:tcBorders>
            <w:shd w:val="clear" w:color="auto" w:fill="auto"/>
            <w:vAlign w:val="center"/>
          </w:tcPr>
          <w:p w14:paraId="4B24C1D7" w14:textId="77777777" w:rsidR="00972612" w:rsidRPr="006A2BF9" w:rsidRDefault="00972612" w:rsidP="00F37C19">
            <w:pPr>
              <w:jc w:val="center"/>
              <w:outlineLvl w:val="0"/>
              <w:rPr>
                <w:bCs/>
                <w:sz w:val="20"/>
                <w:lang w:val="it-IT"/>
              </w:rPr>
            </w:pPr>
          </w:p>
        </w:tc>
        <w:tc>
          <w:tcPr>
            <w:tcW w:w="2122" w:type="dxa"/>
            <w:tcBorders>
              <w:bottom w:val="single" w:sz="4" w:space="0" w:color="auto"/>
            </w:tcBorders>
            <w:shd w:val="clear" w:color="auto" w:fill="auto"/>
            <w:vAlign w:val="center"/>
          </w:tcPr>
          <w:p w14:paraId="5C2D3C0E" w14:textId="77777777" w:rsidR="00972612" w:rsidRPr="006A2BF9" w:rsidRDefault="00972612" w:rsidP="00F37C19">
            <w:pPr>
              <w:jc w:val="center"/>
              <w:outlineLvl w:val="0"/>
              <w:rPr>
                <w:bCs/>
                <w:sz w:val="20"/>
                <w:lang w:val="it-IT"/>
              </w:rPr>
            </w:pPr>
            <w:r w:rsidRPr="006A2BF9">
              <w:rPr>
                <w:bCs/>
                <w:sz w:val="20"/>
                <w:lang w:val="it-IT"/>
              </w:rPr>
              <w:t>0,2341</w:t>
            </w:r>
          </w:p>
        </w:tc>
        <w:tc>
          <w:tcPr>
            <w:tcW w:w="2123" w:type="dxa"/>
            <w:tcBorders>
              <w:bottom w:val="single" w:sz="4" w:space="0" w:color="auto"/>
              <w:right w:val="single" w:sz="4" w:space="0" w:color="auto"/>
            </w:tcBorders>
            <w:shd w:val="clear" w:color="auto" w:fill="auto"/>
            <w:vAlign w:val="center"/>
          </w:tcPr>
          <w:p w14:paraId="4E65D4F4" w14:textId="77777777" w:rsidR="00972612" w:rsidRPr="006A2BF9" w:rsidRDefault="00972612" w:rsidP="00F37C19">
            <w:pPr>
              <w:jc w:val="center"/>
              <w:outlineLvl w:val="0"/>
              <w:rPr>
                <w:bCs/>
                <w:sz w:val="20"/>
                <w:lang w:val="it-IT"/>
              </w:rPr>
            </w:pPr>
            <w:r w:rsidRPr="006A2BF9">
              <w:rPr>
                <w:bCs/>
                <w:sz w:val="20"/>
                <w:lang w:val="it-IT"/>
              </w:rPr>
              <w:t>0,2041</w:t>
            </w:r>
          </w:p>
        </w:tc>
      </w:tr>
      <w:tr w:rsidR="00972612" w:rsidRPr="006A2BF9" w14:paraId="1E4E39D8" w14:textId="77777777" w:rsidTr="00C65E97">
        <w:tc>
          <w:tcPr>
            <w:tcW w:w="9207" w:type="dxa"/>
            <w:gridSpan w:val="4"/>
            <w:tcBorders>
              <w:top w:val="single" w:sz="4" w:space="0" w:color="auto"/>
              <w:left w:val="single" w:sz="4" w:space="0" w:color="auto"/>
              <w:bottom w:val="single" w:sz="4" w:space="0" w:color="auto"/>
              <w:right w:val="single" w:sz="4" w:space="0" w:color="auto"/>
              <w:tr2bl w:val="nil"/>
            </w:tcBorders>
            <w:shd w:val="clear" w:color="auto" w:fill="auto"/>
          </w:tcPr>
          <w:p w14:paraId="3A5D09D0" w14:textId="77777777" w:rsidR="00972612" w:rsidRPr="006A2BF9" w:rsidRDefault="00972612" w:rsidP="006B0600">
            <w:pPr>
              <w:outlineLvl w:val="0"/>
              <w:rPr>
                <w:bCs/>
                <w:sz w:val="20"/>
                <w:lang w:val="it-IT"/>
              </w:rPr>
            </w:pPr>
            <w:r w:rsidRPr="006A2BF9">
              <w:rPr>
                <w:bCs/>
                <w:sz w:val="20"/>
                <w:lang w:val="it-IT"/>
              </w:rPr>
              <w:t>Sopravvivenza globale</w:t>
            </w:r>
            <w:r w:rsidRPr="006A2BF9">
              <w:rPr>
                <w:bCs/>
                <w:sz w:val="20"/>
                <w:vertAlign w:val="superscript"/>
                <w:lang w:val="it-IT"/>
              </w:rPr>
              <w:t xml:space="preserve">6 </w:t>
            </w:r>
          </w:p>
        </w:tc>
      </w:tr>
      <w:tr w:rsidR="00972612" w:rsidRPr="006A2BF9" w14:paraId="2334B80A" w14:textId="77777777" w:rsidTr="00C65E97">
        <w:tc>
          <w:tcPr>
            <w:tcW w:w="2840" w:type="dxa"/>
            <w:tcBorders>
              <w:top w:val="nil"/>
              <w:left w:val="single" w:sz="4" w:space="0" w:color="auto"/>
              <w:bottom w:val="nil"/>
            </w:tcBorders>
            <w:shd w:val="clear" w:color="auto" w:fill="auto"/>
          </w:tcPr>
          <w:p w14:paraId="3A0DDFAC" w14:textId="77777777" w:rsidR="00972612" w:rsidRPr="006A2BF9" w:rsidRDefault="00972612" w:rsidP="00972612">
            <w:pPr>
              <w:outlineLvl w:val="0"/>
              <w:rPr>
                <w:bCs/>
                <w:sz w:val="20"/>
                <w:lang w:val="it-IT"/>
              </w:rPr>
            </w:pPr>
          </w:p>
        </w:tc>
        <w:tc>
          <w:tcPr>
            <w:tcW w:w="2122" w:type="dxa"/>
            <w:tcBorders>
              <w:top w:val="nil"/>
              <w:bottom w:val="nil"/>
            </w:tcBorders>
            <w:shd w:val="clear" w:color="auto" w:fill="auto"/>
            <w:vAlign w:val="center"/>
          </w:tcPr>
          <w:p w14:paraId="414A98E9" w14:textId="77777777" w:rsidR="00972612" w:rsidRPr="006A2BF9" w:rsidRDefault="00972612" w:rsidP="00F37C19">
            <w:pPr>
              <w:jc w:val="center"/>
              <w:outlineLvl w:val="0"/>
              <w:rPr>
                <w:bCs/>
                <w:sz w:val="20"/>
                <w:lang w:val="it-IT"/>
              </w:rPr>
            </w:pPr>
            <w:r w:rsidRPr="006A2BF9">
              <w:rPr>
                <w:bCs/>
                <w:sz w:val="20"/>
                <w:lang w:val="it-IT"/>
              </w:rPr>
              <w:t>CPP</w:t>
            </w:r>
            <w:r w:rsidRPr="006A2BF9">
              <w:rPr>
                <w:bCs/>
                <w:sz w:val="20"/>
                <w:lang w:val="it-IT"/>
              </w:rPr>
              <w:br/>
              <w:t>(n =</w:t>
            </w:r>
            <w:r w:rsidR="0028755D" w:rsidRPr="006A2BF9">
              <w:rPr>
                <w:bCs/>
                <w:sz w:val="20"/>
                <w:lang w:val="it-IT"/>
              </w:rPr>
              <w:t> </w:t>
            </w:r>
            <w:r w:rsidRPr="006A2BF9">
              <w:rPr>
                <w:bCs/>
                <w:sz w:val="20"/>
                <w:lang w:val="it-IT"/>
              </w:rPr>
              <w:t>625)</w:t>
            </w:r>
          </w:p>
        </w:tc>
        <w:tc>
          <w:tcPr>
            <w:tcW w:w="2122" w:type="dxa"/>
            <w:tcBorders>
              <w:top w:val="nil"/>
              <w:bottom w:val="nil"/>
            </w:tcBorders>
            <w:shd w:val="clear" w:color="auto" w:fill="auto"/>
            <w:vAlign w:val="center"/>
          </w:tcPr>
          <w:p w14:paraId="65D8EACC" w14:textId="77777777" w:rsidR="00972612" w:rsidRPr="006A2BF9" w:rsidRDefault="00972612" w:rsidP="00F37C19">
            <w:pPr>
              <w:jc w:val="center"/>
              <w:outlineLvl w:val="0"/>
              <w:rPr>
                <w:bCs/>
                <w:sz w:val="20"/>
                <w:lang w:val="it-IT"/>
              </w:rPr>
            </w:pPr>
            <w:r w:rsidRPr="006A2BF9">
              <w:rPr>
                <w:bCs/>
                <w:sz w:val="20"/>
                <w:lang w:val="it-IT"/>
              </w:rPr>
              <w:t>CPB15</w:t>
            </w:r>
            <w:r w:rsidRPr="006A2BF9">
              <w:rPr>
                <w:bCs/>
                <w:sz w:val="20"/>
                <w:lang w:val="it-IT"/>
              </w:rPr>
              <w:br/>
              <w:t>(n =</w:t>
            </w:r>
            <w:r w:rsidR="0028755D" w:rsidRPr="006A2BF9">
              <w:rPr>
                <w:bCs/>
                <w:sz w:val="20"/>
                <w:lang w:val="it-IT"/>
              </w:rPr>
              <w:t> </w:t>
            </w:r>
            <w:r w:rsidRPr="006A2BF9">
              <w:rPr>
                <w:bCs/>
                <w:sz w:val="20"/>
                <w:lang w:val="it-IT"/>
              </w:rPr>
              <w:t>625)</w:t>
            </w:r>
          </w:p>
        </w:tc>
        <w:tc>
          <w:tcPr>
            <w:tcW w:w="2123" w:type="dxa"/>
            <w:tcBorders>
              <w:top w:val="nil"/>
              <w:bottom w:val="nil"/>
              <w:right w:val="single" w:sz="4" w:space="0" w:color="auto"/>
            </w:tcBorders>
            <w:shd w:val="clear" w:color="auto" w:fill="auto"/>
            <w:vAlign w:val="center"/>
          </w:tcPr>
          <w:p w14:paraId="4DB4913D" w14:textId="77777777" w:rsidR="00972612" w:rsidRPr="006A2BF9" w:rsidRDefault="00972612" w:rsidP="00F37C19">
            <w:pPr>
              <w:jc w:val="center"/>
              <w:outlineLvl w:val="0"/>
              <w:rPr>
                <w:bCs/>
                <w:sz w:val="20"/>
                <w:lang w:val="it-IT"/>
              </w:rPr>
            </w:pPr>
            <w:r w:rsidRPr="006A2BF9">
              <w:rPr>
                <w:bCs/>
                <w:sz w:val="20"/>
                <w:lang w:val="it-IT"/>
              </w:rPr>
              <w:t>CPB15+</w:t>
            </w:r>
            <w:r w:rsidRPr="006A2BF9">
              <w:rPr>
                <w:bCs/>
                <w:sz w:val="20"/>
                <w:lang w:val="it-IT"/>
              </w:rPr>
              <w:br/>
              <w:t>(n =</w:t>
            </w:r>
            <w:r w:rsidR="0028755D" w:rsidRPr="006A2BF9">
              <w:rPr>
                <w:bCs/>
                <w:sz w:val="20"/>
                <w:lang w:val="it-IT"/>
              </w:rPr>
              <w:t> </w:t>
            </w:r>
            <w:r w:rsidRPr="006A2BF9">
              <w:rPr>
                <w:bCs/>
                <w:sz w:val="20"/>
                <w:lang w:val="it-IT"/>
              </w:rPr>
              <w:t>623)</w:t>
            </w:r>
          </w:p>
        </w:tc>
      </w:tr>
      <w:tr w:rsidR="00972612" w:rsidRPr="006A2BF9" w14:paraId="1233BDBA" w14:textId="77777777" w:rsidTr="00C65E97">
        <w:tc>
          <w:tcPr>
            <w:tcW w:w="2840" w:type="dxa"/>
            <w:tcBorders>
              <w:top w:val="nil"/>
              <w:left w:val="single" w:sz="4" w:space="0" w:color="auto"/>
              <w:bottom w:val="nil"/>
            </w:tcBorders>
            <w:shd w:val="clear" w:color="auto" w:fill="auto"/>
          </w:tcPr>
          <w:p w14:paraId="38851A2B" w14:textId="77777777" w:rsidR="00972612" w:rsidRPr="006A2BF9" w:rsidRDefault="00972612" w:rsidP="00EB351F">
            <w:pPr>
              <w:outlineLvl w:val="0"/>
              <w:rPr>
                <w:bCs/>
                <w:sz w:val="20"/>
                <w:lang w:val="it-IT"/>
              </w:rPr>
            </w:pPr>
            <w:r w:rsidRPr="006A2BF9">
              <w:rPr>
                <w:bCs/>
                <w:sz w:val="20"/>
                <w:lang w:val="it-IT"/>
              </w:rPr>
              <w:t>OS median</w:t>
            </w:r>
            <w:r w:rsidR="00EB351F" w:rsidRPr="006A2BF9">
              <w:rPr>
                <w:bCs/>
                <w:sz w:val="20"/>
                <w:lang w:val="it-IT"/>
              </w:rPr>
              <w:t>a</w:t>
            </w:r>
            <w:r w:rsidRPr="006A2BF9">
              <w:rPr>
                <w:bCs/>
                <w:sz w:val="20"/>
                <w:lang w:val="it-IT"/>
              </w:rPr>
              <w:t xml:space="preserve"> (mesi)</w:t>
            </w:r>
          </w:p>
        </w:tc>
        <w:tc>
          <w:tcPr>
            <w:tcW w:w="2122" w:type="dxa"/>
            <w:tcBorders>
              <w:top w:val="nil"/>
              <w:bottom w:val="nil"/>
            </w:tcBorders>
            <w:shd w:val="clear" w:color="auto" w:fill="auto"/>
            <w:vAlign w:val="center"/>
          </w:tcPr>
          <w:p w14:paraId="6549C8D9" w14:textId="77777777" w:rsidR="00972612" w:rsidRPr="006A2BF9" w:rsidRDefault="001A12ED" w:rsidP="00F37C19">
            <w:pPr>
              <w:jc w:val="center"/>
              <w:outlineLvl w:val="0"/>
              <w:rPr>
                <w:bCs/>
                <w:sz w:val="20"/>
                <w:lang w:val="it-IT"/>
              </w:rPr>
            </w:pPr>
            <w:r w:rsidRPr="006A2BF9">
              <w:rPr>
                <w:bCs/>
                <w:sz w:val="20"/>
                <w:lang w:val="it-IT"/>
              </w:rPr>
              <w:t>40,6</w:t>
            </w:r>
          </w:p>
        </w:tc>
        <w:tc>
          <w:tcPr>
            <w:tcW w:w="2122" w:type="dxa"/>
            <w:tcBorders>
              <w:top w:val="nil"/>
              <w:bottom w:val="nil"/>
            </w:tcBorders>
            <w:shd w:val="clear" w:color="auto" w:fill="auto"/>
            <w:vAlign w:val="center"/>
          </w:tcPr>
          <w:p w14:paraId="5AAB15E1" w14:textId="77777777" w:rsidR="00972612" w:rsidRPr="006A2BF9" w:rsidRDefault="001A12ED" w:rsidP="00F37C19">
            <w:pPr>
              <w:jc w:val="center"/>
              <w:outlineLvl w:val="0"/>
              <w:rPr>
                <w:bCs/>
                <w:sz w:val="20"/>
                <w:lang w:val="it-IT"/>
              </w:rPr>
            </w:pPr>
            <w:r w:rsidRPr="006A2BF9">
              <w:rPr>
                <w:bCs/>
                <w:sz w:val="20"/>
                <w:lang w:val="it-IT"/>
              </w:rPr>
              <w:t>38,8</w:t>
            </w:r>
          </w:p>
        </w:tc>
        <w:tc>
          <w:tcPr>
            <w:tcW w:w="2123" w:type="dxa"/>
            <w:tcBorders>
              <w:top w:val="nil"/>
              <w:bottom w:val="nil"/>
              <w:right w:val="single" w:sz="4" w:space="0" w:color="auto"/>
            </w:tcBorders>
            <w:shd w:val="clear" w:color="auto" w:fill="auto"/>
            <w:vAlign w:val="center"/>
          </w:tcPr>
          <w:p w14:paraId="70734BE7" w14:textId="77777777" w:rsidR="00972612" w:rsidRPr="006A2BF9" w:rsidRDefault="001A12ED" w:rsidP="00F37C19">
            <w:pPr>
              <w:jc w:val="center"/>
              <w:outlineLvl w:val="0"/>
              <w:rPr>
                <w:bCs/>
                <w:sz w:val="20"/>
                <w:lang w:val="it-IT"/>
              </w:rPr>
            </w:pPr>
            <w:r w:rsidRPr="006A2BF9">
              <w:rPr>
                <w:bCs/>
                <w:sz w:val="20"/>
                <w:lang w:val="it-IT"/>
              </w:rPr>
              <w:t>43,8</w:t>
            </w:r>
          </w:p>
        </w:tc>
      </w:tr>
      <w:tr w:rsidR="00972612" w:rsidRPr="006A2BF9" w14:paraId="787503E5" w14:textId="77777777" w:rsidTr="00C65E97">
        <w:tc>
          <w:tcPr>
            <w:tcW w:w="2840" w:type="dxa"/>
            <w:tcBorders>
              <w:top w:val="nil"/>
              <w:left w:val="single" w:sz="4" w:space="0" w:color="auto"/>
              <w:bottom w:val="nil"/>
            </w:tcBorders>
            <w:shd w:val="clear" w:color="auto" w:fill="auto"/>
          </w:tcPr>
          <w:p w14:paraId="6602561E" w14:textId="77777777" w:rsidR="00972612" w:rsidRPr="00330A40" w:rsidRDefault="00972612" w:rsidP="00330A40">
            <w:pPr>
              <w:outlineLvl w:val="0"/>
              <w:rPr>
                <w:bCs/>
                <w:sz w:val="20"/>
                <w:lang w:val="it-IT"/>
              </w:rPr>
            </w:pPr>
            <w:r w:rsidRPr="000F0246">
              <w:rPr>
                <w:bCs/>
                <w:i/>
                <w:sz w:val="20"/>
                <w:lang w:val="it-IT"/>
              </w:rPr>
              <w:t xml:space="preserve">Hazard </w:t>
            </w:r>
            <w:r w:rsidR="00330A40">
              <w:rPr>
                <w:bCs/>
                <w:i/>
                <w:sz w:val="20"/>
                <w:lang w:val="it-IT"/>
              </w:rPr>
              <w:t>r</w:t>
            </w:r>
            <w:r w:rsidR="00330A40" w:rsidRPr="000F0246">
              <w:rPr>
                <w:bCs/>
                <w:i/>
                <w:sz w:val="20"/>
                <w:lang w:val="it-IT"/>
              </w:rPr>
              <w:t>atio</w:t>
            </w:r>
            <w:r w:rsidR="00330A40" w:rsidRPr="00330A40">
              <w:rPr>
                <w:bCs/>
                <w:sz w:val="20"/>
                <w:lang w:val="it-IT"/>
              </w:rPr>
              <w:t xml:space="preserve"> </w:t>
            </w:r>
            <w:r w:rsidRPr="00330A40">
              <w:rPr>
                <w:bCs/>
                <w:sz w:val="20"/>
                <w:lang w:val="it-IT"/>
              </w:rPr>
              <w:t>(</w:t>
            </w:r>
            <w:r w:rsidR="00364D35" w:rsidRPr="00330A40">
              <w:rPr>
                <w:bCs/>
                <w:sz w:val="20"/>
                <w:lang w:val="it-IT"/>
              </w:rPr>
              <w:t>IC</w:t>
            </w:r>
            <w:r w:rsidR="00831FDE">
              <w:rPr>
                <w:bCs/>
                <w:sz w:val="20"/>
                <w:lang w:val="it-IT"/>
              </w:rPr>
              <w:t xml:space="preserve"> al</w:t>
            </w:r>
            <w:r w:rsidR="00364D35" w:rsidRPr="00330A40">
              <w:rPr>
                <w:bCs/>
                <w:sz w:val="20"/>
                <w:lang w:val="it-IT"/>
              </w:rPr>
              <w:t xml:space="preserve"> </w:t>
            </w:r>
            <w:r w:rsidRPr="00330A40">
              <w:rPr>
                <w:bCs/>
                <w:sz w:val="20"/>
                <w:lang w:val="it-IT"/>
              </w:rPr>
              <w:t>95%) </w:t>
            </w:r>
            <w:r w:rsidRPr="00330A40">
              <w:rPr>
                <w:bCs/>
                <w:sz w:val="20"/>
                <w:vertAlign w:val="superscript"/>
                <w:lang w:val="it-IT"/>
              </w:rPr>
              <w:t>2</w:t>
            </w:r>
          </w:p>
        </w:tc>
        <w:tc>
          <w:tcPr>
            <w:tcW w:w="2122" w:type="dxa"/>
            <w:tcBorders>
              <w:top w:val="nil"/>
              <w:bottom w:val="nil"/>
            </w:tcBorders>
            <w:shd w:val="clear" w:color="auto" w:fill="auto"/>
            <w:vAlign w:val="center"/>
          </w:tcPr>
          <w:p w14:paraId="02AEBD08" w14:textId="77777777" w:rsidR="00972612" w:rsidRPr="00330A40" w:rsidRDefault="00972612" w:rsidP="00F37C19">
            <w:pPr>
              <w:jc w:val="center"/>
              <w:outlineLvl w:val="0"/>
              <w:rPr>
                <w:bCs/>
                <w:sz w:val="20"/>
                <w:lang w:val="it-IT"/>
              </w:rPr>
            </w:pPr>
          </w:p>
        </w:tc>
        <w:tc>
          <w:tcPr>
            <w:tcW w:w="2122" w:type="dxa"/>
            <w:tcBorders>
              <w:top w:val="nil"/>
              <w:bottom w:val="nil"/>
            </w:tcBorders>
            <w:shd w:val="clear" w:color="auto" w:fill="auto"/>
            <w:vAlign w:val="center"/>
          </w:tcPr>
          <w:p w14:paraId="04968040" w14:textId="77777777" w:rsidR="00972612" w:rsidRPr="00330A40" w:rsidRDefault="001A12ED" w:rsidP="00F37C19">
            <w:pPr>
              <w:jc w:val="center"/>
              <w:outlineLvl w:val="0"/>
              <w:rPr>
                <w:bCs/>
                <w:sz w:val="20"/>
                <w:lang w:val="it-IT"/>
              </w:rPr>
            </w:pPr>
            <w:r w:rsidRPr="00330A40">
              <w:rPr>
                <w:bCs/>
                <w:sz w:val="20"/>
                <w:lang w:val="it-IT"/>
              </w:rPr>
              <w:t>1,07</w:t>
            </w:r>
            <w:r w:rsidR="00972612" w:rsidRPr="00330A40">
              <w:rPr>
                <w:bCs/>
                <w:sz w:val="20"/>
                <w:lang w:val="it-IT"/>
              </w:rPr>
              <w:t xml:space="preserve"> (0,</w:t>
            </w:r>
            <w:r w:rsidRPr="00330A40">
              <w:rPr>
                <w:bCs/>
                <w:sz w:val="20"/>
                <w:lang w:val="it-IT"/>
              </w:rPr>
              <w:t>91</w:t>
            </w:r>
            <w:r w:rsidR="00972612" w:rsidRPr="00330A40">
              <w:rPr>
                <w:bCs/>
                <w:sz w:val="20"/>
                <w:lang w:val="it-IT"/>
              </w:rPr>
              <w:t>, 1,</w:t>
            </w:r>
            <w:r w:rsidRPr="00330A40">
              <w:rPr>
                <w:bCs/>
                <w:sz w:val="20"/>
                <w:lang w:val="it-IT"/>
              </w:rPr>
              <w:t>25</w:t>
            </w:r>
            <w:r w:rsidR="00972612" w:rsidRPr="00330A40">
              <w:rPr>
                <w:bCs/>
                <w:sz w:val="20"/>
                <w:lang w:val="it-IT"/>
              </w:rPr>
              <w:t>)</w:t>
            </w:r>
          </w:p>
        </w:tc>
        <w:tc>
          <w:tcPr>
            <w:tcW w:w="2123" w:type="dxa"/>
            <w:tcBorders>
              <w:top w:val="nil"/>
              <w:bottom w:val="nil"/>
              <w:right w:val="single" w:sz="4" w:space="0" w:color="auto"/>
            </w:tcBorders>
            <w:shd w:val="clear" w:color="auto" w:fill="auto"/>
            <w:vAlign w:val="center"/>
          </w:tcPr>
          <w:p w14:paraId="1CC2CE67" w14:textId="77777777" w:rsidR="00972612" w:rsidRPr="006A2BF9" w:rsidRDefault="00972612" w:rsidP="00F37C19">
            <w:pPr>
              <w:jc w:val="center"/>
              <w:outlineLvl w:val="0"/>
              <w:rPr>
                <w:bCs/>
                <w:sz w:val="20"/>
                <w:lang w:val="it-IT"/>
              </w:rPr>
            </w:pPr>
            <w:r w:rsidRPr="00330A40">
              <w:rPr>
                <w:bCs/>
                <w:sz w:val="20"/>
                <w:lang w:val="it-IT"/>
              </w:rPr>
              <w:t>0.</w:t>
            </w:r>
            <w:r w:rsidR="001A12ED" w:rsidRPr="00330A40">
              <w:rPr>
                <w:bCs/>
                <w:sz w:val="20"/>
                <w:lang w:val="it-IT"/>
              </w:rPr>
              <w:t>88</w:t>
            </w:r>
            <w:r w:rsidRPr="00330A40">
              <w:rPr>
                <w:bCs/>
                <w:sz w:val="20"/>
                <w:lang w:val="it-IT"/>
              </w:rPr>
              <w:t xml:space="preserve"> (0,</w:t>
            </w:r>
            <w:r w:rsidR="001A12ED" w:rsidRPr="00330A40">
              <w:rPr>
                <w:bCs/>
                <w:sz w:val="20"/>
                <w:lang w:val="it-IT"/>
              </w:rPr>
              <w:t>75</w:t>
            </w:r>
            <w:r w:rsidRPr="00330A40">
              <w:rPr>
                <w:bCs/>
                <w:sz w:val="20"/>
                <w:lang w:val="it-IT"/>
              </w:rPr>
              <w:t>, 1,</w:t>
            </w:r>
            <w:r w:rsidR="001A12ED" w:rsidRPr="006A2BF9">
              <w:rPr>
                <w:bCs/>
                <w:sz w:val="20"/>
                <w:lang w:val="it-IT"/>
              </w:rPr>
              <w:t>04</w:t>
            </w:r>
            <w:r w:rsidRPr="006A2BF9">
              <w:rPr>
                <w:bCs/>
                <w:sz w:val="20"/>
                <w:lang w:val="it-IT"/>
              </w:rPr>
              <w:t>)</w:t>
            </w:r>
          </w:p>
        </w:tc>
      </w:tr>
      <w:tr w:rsidR="00972612" w:rsidRPr="006A2BF9" w14:paraId="253A72EB" w14:textId="77777777" w:rsidTr="00C65E97">
        <w:tc>
          <w:tcPr>
            <w:tcW w:w="2840" w:type="dxa"/>
            <w:tcBorders>
              <w:top w:val="nil"/>
              <w:left w:val="single" w:sz="4" w:space="0" w:color="auto"/>
              <w:bottom w:val="single" w:sz="4" w:space="0" w:color="auto"/>
            </w:tcBorders>
            <w:shd w:val="clear" w:color="auto" w:fill="auto"/>
          </w:tcPr>
          <w:p w14:paraId="3C236BE1" w14:textId="77777777" w:rsidR="00972612" w:rsidRPr="006A2BF9" w:rsidRDefault="00972612" w:rsidP="00972612">
            <w:pPr>
              <w:outlineLvl w:val="0"/>
              <w:rPr>
                <w:bCs/>
                <w:sz w:val="20"/>
                <w:lang w:val="it-IT"/>
              </w:rPr>
            </w:pPr>
            <w:r w:rsidRPr="006A2BF9">
              <w:rPr>
                <w:bCs/>
                <w:sz w:val="20"/>
                <w:lang w:val="it-IT"/>
              </w:rPr>
              <w:t>valore di p</w:t>
            </w:r>
            <w:r w:rsidRPr="006A2BF9">
              <w:rPr>
                <w:bCs/>
                <w:sz w:val="20"/>
                <w:vertAlign w:val="superscript"/>
                <w:lang w:val="it-IT"/>
              </w:rPr>
              <w:t>3</w:t>
            </w:r>
          </w:p>
        </w:tc>
        <w:tc>
          <w:tcPr>
            <w:tcW w:w="2122" w:type="dxa"/>
            <w:tcBorders>
              <w:top w:val="nil"/>
              <w:bottom w:val="single" w:sz="4" w:space="0" w:color="auto"/>
            </w:tcBorders>
            <w:shd w:val="clear" w:color="auto" w:fill="auto"/>
            <w:vAlign w:val="center"/>
          </w:tcPr>
          <w:p w14:paraId="35EE6663" w14:textId="77777777" w:rsidR="00972612" w:rsidRPr="006A2BF9" w:rsidRDefault="00972612" w:rsidP="00F37C19">
            <w:pPr>
              <w:jc w:val="center"/>
              <w:outlineLvl w:val="0"/>
              <w:rPr>
                <w:bCs/>
                <w:sz w:val="20"/>
                <w:lang w:val="it-IT"/>
              </w:rPr>
            </w:pPr>
          </w:p>
        </w:tc>
        <w:tc>
          <w:tcPr>
            <w:tcW w:w="2122" w:type="dxa"/>
            <w:tcBorders>
              <w:top w:val="nil"/>
              <w:bottom w:val="single" w:sz="4" w:space="0" w:color="auto"/>
            </w:tcBorders>
            <w:shd w:val="clear" w:color="auto" w:fill="auto"/>
            <w:vAlign w:val="center"/>
          </w:tcPr>
          <w:p w14:paraId="15DAC107" w14:textId="77777777" w:rsidR="00972612" w:rsidRPr="006A2BF9" w:rsidRDefault="00972612" w:rsidP="00F37C19">
            <w:pPr>
              <w:jc w:val="center"/>
              <w:outlineLvl w:val="0"/>
              <w:rPr>
                <w:bCs/>
                <w:sz w:val="20"/>
                <w:lang w:val="it-IT"/>
              </w:rPr>
            </w:pPr>
            <w:r w:rsidRPr="006A2BF9">
              <w:rPr>
                <w:bCs/>
                <w:sz w:val="20"/>
                <w:lang w:val="it-IT"/>
              </w:rPr>
              <w:t>0,</w:t>
            </w:r>
            <w:r w:rsidR="001A12ED" w:rsidRPr="006A2BF9">
              <w:rPr>
                <w:bCs/>
                <w:sz w:val="20"/>
                <w:lang w:val="it-IT"/>
              </w:rPr>
              <w:t>2197</w:t>
            </w:r>
          </w:p>
        </w:tc>
        <w:tc>
          <w:tcPr>
            <w:tcW w:w="2123" w:type="dxa"/>
            <w:tcBorders>
              <w:top w:val="nil"/>
              <w:bottom w:val="single" w:sz="4" w:space="0" w:color="auto"/>
              <w:right w:val="single" w:sz="4" w:space="0" w:color="auto"/>
            </w:tcBorders>
            <w:shd w:val="clear" w:color="auto" w:fill="auto"/>
            <w:vAlign w:val="center"/>
          </w:tcPr>
          <w:p w14:paraId="042BF3F3" w14:textId="77777777" w:rsidR="00972612" w:rsidRPr="006A2BF9" w:rsidRDefault="00972612" w:rsidP="00F37C19">
            <w:pPr>
              <w:jc w:val="center"/>
              <w:outlineLvl w:val="0"/>
              <w:rPr>
                <w:bCs/>
                <w:sz w:val="20"/>
                <w:lang w:val="it-IT"/>
              </w:rPr>
            </w:pPr>
            <w:r w:rsidRPr="006A2BF9">
              <w:rPr>
                <w:bCs/>
                <w:sz w:val="20"/>
                <w:lang w:val="it-IT"/>
              </w:rPr>
              <w:t>0,</w:t>
            </w:r>
            <w:r w:rsidR="001A12ED" w:rsidRPr="006A2BF9">
              <w:rPr>
                <w:bCs/>
                <w:sz w:val="20"/>
                <w:lang w:val="it-IT"/>
              </w:rPr>
              <w:t>0641</w:t>
            </w:r>
          </w:p>
        </w:tc>
      </w:tr>
    </w:tbl>
    <w:p w14:paraId="4E575958" w14:textId="77777777" w:rsidR="00972612" w:rsidRPr="006A2BF9" w:rsidRDefault="00972612" w:rsidP="00972612">
      <w:pPr>
        <w:outlineLvl w:val="0"/>
        <w:rPr>
          <w:bCs/>
          <w:sz w:val="20"/>
          <w:vertAlign w:val="superscript"/>
          <w:lang w:val="it-IT"/>
        </w:rPr>
      </w:pPr>
      <w:r w:rsidRPr="006A2BF9">
        <w:rPr>
          <w:bCs/>
          <w:sz w:val="20"/>
          <w:vertAlign w:val="superscript"/>
          <w:lang w:val="it-IT"/>
        </w:rPr>
        <w:t>1 </w:t>
      </w:r>
      <w:r w:rsidR="00444028" w:rsidRPr="006A2BF9">
        <w:rPr>
          <w:bCs/>
          <w:sz w:val="20"/>
          <w:lang w:val="it-IT"/>
        </w:rPr>
        <w:t>Analisi della PFS valutata</w:t>
      </w:r>
      <w:r w:rsidR="001F498F" w:rsidRPr="006A2BF9">
        <w:rPr>
          <w:bCs/>
          <w:sz w:val="20"/>
          <w:lang w:val="it-IT"/>
        </w:rPr>
        <w:t xml:space="preserve"> dallo sperimentatore </w:t>
      </w:r>
      <w:r w:rsidR="00444028" w:rsidRPr="006A2BF9">
        <w:rPr>
          <w:bCs/>
          <w:sz w:val="20"/>
          <w:lang w:val="it-IT"/>
        </w:rPr>
        <w:t xml:space="preserve">in base ai parametri GOG specificati dal protocollo (pazienti non </w:t>
      </w:r>
      <w:r w:rsidR="00A641B1" w:rsidRPr="006A2BF9">
        <w:rPr>
          <w:bCs/>
          <w:sz w:val="20"/>
          <w:lang w:val="it-IT"/>
        </w:rPr>
        <w:t xml:space="preserve">censurate </w:t>
      </w:r>
      <w:r w:rsidR="004C3C77" w:rsidRPr="006A2BF9">
        <w:rPr>
          <w:bCs/>
          <w:sz w:val="20"/>
          <w:lang w:val="it-IT"/>
        </w:rPr>
        <w:t>né</w:t>
      </w:r>
      <w:r w:rsidR="00444028" w:rsidRPr="006A2BF9">
        <w:rPr>
          <w:bCs/>
          <w:sz w:val="20"/>
          <w:lang w:val="it-IT"/>
        </w:rPr>
        <w:t>, per progressione definita in base al CA 125 né per NPT</w:t>
      </w:r>
      <w:r w:rsidR="005C77B7" w:rsidRPr="006A2BF9">
        <w:rPr>
          <w:bCs/>
          <w:sz w:val="20"/>
          <w:lang w:val="it-IT"/>
        </w:rPr>
        <w:t xml:space="preserve"> prima della progressione della malattia)</w:t>
      </w:r>
      <w:r w:rsidR="00444028" w:rsidRPr="006A2BF9">
        <w:rPr>
          <w:bCs/>
          <w:sz w:val="20"/>
          <w:lang w:val="it-IT"/>
        </w:rPr>
        <w:t xml:space="preserve"> </w:t>
      </w:r>
      <w:r w:rsidR="009B4D3B" w:rsidRPr="006A2BF9">
        <w:rPr>
          <w:bCs/>
          <w:sz w:val="20"/>
          <w:lang w:val="it-IT"/>
        </w:rPr>
        <w:t xml:space="preserve">con </w:t>
      </w:r>
      <w:r w:rsidR="00444028" w:rsidRPr="006A2BF9">
        <w:rPr>
          <w:bCs/>
          <w:sz w:val="20"/>
          <w:lang w:val="it-IT"/>
        </w:rPr>
        <w:t>cut-off</w:t>
      </w:r>
      <w:r w:rsidR="009B4D3B" w:rsidRPr="006A2BF9">
        <w:rPr>
          <w:bCs/>
          <w:sz w:val="20"/>
          <w:lang w:val="it-IT"/>
        </w:rPr>
        <w:t xml:space="preserve"> dei dati </w:t>
      </w:r>
      <w:r w:rsidR="00444028" w:rsidRPr="006A2BF9">
        <w:rPr>
          <w:bCs/>
          <w:sz w:val="20"/>
          <w:lang w:val="it-IT"/>
        </w:rPr>
        <w:t xml:space="preserve">al </w:t>
      </w:r>
      <w:r w:rsidR="004475FD" w:rsidRPr="006A2BF9">
        <w:rPr>
          <w:bCs/>
          <w:sz w:val="20"/>
          <w:lang w:val="it-IT"/>
        </w:rPr>
        <w:t xml:space="preserve">25 </w:t>
      </w:r>
      <w:r w:rsidR="00772EE7" w:rsidRPr="006A2BF9">
        <w:rPr>
          <w:bCs/>
          <w:sz w:val="20"/>
          <w:lang w:val="it-IT"/>
        </w:rPr>
        <w:t>f</w:t>
      </w:r>
      <w:r w:rsidR="004475FD" w:rsidRPr="006A2BF9">
        <w:rPr>
          <w:bCs/>
          <w:sz w:val="20"/>
          <w:lang w:val="it-IT"/>
        </w:rPr>
        <w:t>ebbraio</w:t>
      </w:r>
      <w:r w:rsidR="00444028" w:rsidRPr="006A2BF9">
        <w:rPr>
          <w:bCs/>
          <w:sz w:val="20"/>
          <w:lang w:val="it-IT"/>
        </w:rPr>
        <w:t xml:space="preserve"> 2010</w:t>
      </w:r>
      <w:r w:rsidRPr="006A2BF9">
        <w:rPr>
          <w:bCs/>
          <w:sz w:val="20"/>
          <w:lang w:val="it-IT"/>
        </w:rPr>
        <w:t>.</w:t>
      </w:r>
    </w:p>
    <w:p w14:paraId="080B52C0" w14:textId="77777777" w:rsidR="00972612" w:rsidRPr="006A2BF9" w:rsidRDefault="00972612" w:rsidP="00972612">
      <w:pPr>
        <w:outlineLvl w:val="0"/>
        <w:rPr>
          <w:bCs/>
          <w:sz w:val="20"/>
          <w:lang w:val="it-IT"/>
        </w:rPr>
      </w:pPr>
      <w:r w:rsidRPr="006A2BF9">
        <w:rPr>
          <w:bCs/>
          <w:sz w:val="20"/>
          <w:vertAlign w:val="superscript"/>
          <w:lang w:val="it-IT"/>
        </w:rPr>
        <w:t>2</w:t>
      </w:r>
      <w:r w:rsidRPr="006A2BF9">
        <w:rPr>
          <w:bCs/>
          <w:sz w:val="20"/>
          <w:lang w:val="it-IT"/>
        </w:rPr>
        <w:t> Rispetto al braccio di controllo; hazard ratio stratificato.</w:t>
      </w:r>
    </w:p>
    <w:p w14:paraId="357231B2" w14:textId="77777777" w:rsidR="00972612" w:rsidRPr="006A2BF9" w:rsidRDefault="00972612" w:rsidP="00972612">
      <w:pPr>
        <w:outlineLvl w:val="0"/>
        <w:rPr>
          <w:bCs/>
          <w:sz w:val="20"/>
          <w:lang w:val="it-IT"/>
        </w:rPr>
      </w:pPr>
      <w:r w:rsidRPr="006A2BF9">
        <w:rPr>
          <w:bCs/>
          <w:sz w:val="20"/>
          <w:vertAlign w:val="superscript"/>
          <w:lang w:val="it-IT"/>
        </w:rPr>
        <w:t>3 </w:t>
      </w:r>
      <w:r w:rsidRPr="006A2BF9">
        <w:rPr>
          <w:bCs/>
          <w:sz w:val="20"/>
          <w:lang w:val="it-IT"/>
        </w:rPr>
        <w:t>Test log-rank a una coda, valore di p</w:t>
      </w:r>
    </w:p>
    <w:p w14:paraId="78E93800" w14:textId="77777777" w:rsidR="00972612" w:rsidRPr="006A2BF9" w:rsidRDefault="00972612" w:rsidP="00972612">
      <w:pPr>
        <w:outlineLvl w:val="0"/>
        <w:rPr>
          <w:bCs/>
          <w:sz w:val="20"/>
          <w:lang w:val="it-IT"/>
        </w:rPr>
      </w:pPr>
      <w:r w:rsidRPr="006A2BF9">
        <w:rPr>
          <w:bCs/>
          <w:sz w:val="20"/>
          <w:vertAlign w:val="superscript"/>
          <w:lang w:val="it-IT"/>
        </w:rPr>
        <w:t>4</w:t>
      </w:r>
      <w:r w:rsidRPr="006A2BF9">
        <w:rPr>
          <w:bCs/>
          <w:sz w:val="20"/>
          <w:lang w:val="it-IT"/>
        </w:rPr>
        <w:t xml:space="preserve"> Valore </w:t>
      </w:r>
      <w:r w:rsidR="005C77B7" w:rsidRPr="006A2BF9">
        <w:rPr>
          <w:bCs/>
          <w:sz w:val="20"/>
          <w:lang w:val="it-IT"/>
        </w:rPr>
        <w:t xml:space="preserve">di </w:t>
      </w:r>
      <w:r w:rsidRPr="006A2BF9">
        <w:rPr>
          <w:bCs/>
          <w:sz w:val="20"/>
          <w:lang w:val="it-IT"/>
        </w:rPr>
        <w:t xml:space="preserve">p </w:t>
      </w:r>
      <w:r w:rsidRPr="006A2BF9">
        <w:rPr>
          <w:bCs/>
          <w:i/>
          <w:sz w:val="20"/>
          <w:lang w:val="it-IT"/>
        </w:rPr>
        <w:t>boundary</w:t>
      </w:r>
      <w:r w:rsidRPr="006A2BF9">
        <w:rPr>
          <w:bCs/>
          <w:sz w:val="20"/>
          <w:lang w:val="it-IT"/>
        </w:rPr>
        <w:t xml:space="preserve"> pari a 0,0116.</w:t>
      </w:r>
    </w:p>
    <w:p w14:paraId="26165D00" w14:textId="77777777" w:rsidR="00972612" w:rsidRPr="006A2BF9" w:rsidRDefault="00972612" w:rsidP="00972612">
      <w:pPr>
        <w:outlineLvl w:val="0"/>
        <w:rPr>
          <w:bCs/>
          <w:sz w:val="20"/>
          <w:lang w:val="it-IT"/>
        </w:rPr>
      </w:pPr>
      <w:r w:rsidRPr="006A2BF9">
        <w:rPr>
          <w:bCs/>
          <w:sz w:val="20"/>
          <w:vertAlign w:val="superscript"/>
          <w:lang w:val="it-IT"/>
        </w:rPr>
        <w:t>5</w:t>
      </w:r>
      <w:r w:rsidRPr="006A2BF9">
        <w:rPr>
          <w:bCs/>
          <w:sz w:val="20"/>
          <w:lang w:val="it-IT"/>
        </w:rPr>
        <w:t> Pazienti con patologia valutabile al basale.</w:t>
      </w:r>
    </w:p>
    <w:p w14:paraId="42FA8C5C" w14:textId="77777777" w:rsidR="00972612" w:rsidRPr="006A2BF9" w:rsidRDefault="00972612" w:rsidP="00972612">
      <w:pPr>
        <w:outlineLvl w:val="0"/>
        <w:rPr>
          <w:bCs/>
          <w:sz w:val="20"/>
          <w:lang w:val="it-IT"/>
        </w:rPr>
      </w:pPr>
      <w:r w:rsidRPr="006A2BF9">
        <w:rPr>
          <w:bCs/>
          <w:sz w:val="20"/>
          <w:vertAlign w:val="superscript"/>
          <w:lang w:val="it-IT"/>
        </w:rPr>
        <w:t>6 </w:t>
      </w:r>
      <w:r w:rsidRPr="006A2BF9">
        <w:rPr>
          <w:bCs/>
          <w:sz w:val="20"/>
          <w:lang w:val="it-IT"/>
        </w:rPr>
        <w:t xml:space="preserve">Analisi </w:t>
      </w:r>
      <w:r w:rsidR="001A12ED" w:rsidRPr="006A2BF9">
        <w:rPr>
          <w:bCs/>
          <w:sz w:val="20"/>
          <w:lang w:val="it-IT"/>
        </w:rPr>
        <w:t xml:space="preserve">finale </w:t>
      </w:r>
      <w:r w:rsidRPr="006A2BF9">
        <w:rPr>
          <w:bCs/>
          <w:sz w:val="20"/>
          <w:lang w:val="it-IT"/>
        </w:rPr>
        <w:t xml:space="preserve">della </w:t>
      </w:r>
      <w:r w:rsidR="00062D61">
        <w:rPr>
          <w:bCs/>
          <w:sz w:val="20"/>
          <w:lang w:val="it-IT"/>
        </w:rPr>
        <w:t>OS</w:t>
      </w:r>
      <w:r w:rsidRPr="006A2BF9">
        <w:rPr>
          <w:bCs/>
          <w:sz w:val="20"/>
          <w:lang w:val="it-IT"/>
        </w:rPr>
        <w:t xml:space="preserve"> </w:t>
      </w:r>
      <w:r w:rsidR="00074E1B" w:rsidRPr="006A2BF9">
        <w:rPr>
          <w:bCs/>
          <w:sz w:val="20"/>
          <w:lang w:val="it-IT"/>
        </w:rPr>
        <w:t>effettuata</w:t>
      </w:r>
      <w:r w:rsidR="001A12ED" w:rsidRPr="006A2BF9">
        <w:rPr>
          <w:bCs/>
          <w:sz w:val="20"/>
          <w:lang w:val="it-IT"/>
        </w:rPr>
        <w:t xml:space="preserve"> quando il 46</w:t>
      </w:r>
      <w:r w:rsidR="00772EE7" w:rsidRPr="006A2BF9">
        <w:rPr>
          <w:bCs/>
          <w:sz w:val="20"/>
          <w:lang w:val="it-IT"/>
        </w:rPr>
        <w:t>,</w:t>
      </w:r>
      <w:r w:rsidR="001A12ED" w:rsidRPr="006A2BF9">
        <w:rPr>
          <w:bCs/>
          <w:sz w:val="20"/>
          <w:lang w:val="it-IT"/>
        </w:rPr>
        <w:t xml:space="preserve">9% </w:t>
      </w:r>
      <w:r w:rsidRPr="006A2BF9">
        <w:rPr>
          <w:bCs/>
          <w:sz w:val="20"/>
          <w:lang w:val="it-IT"/>
        </w:rPr>
        <w:t>dei pazienti era deceduto.</w:t>
      </w:r>
    </w:p>
    <w:p w14:paraId="20E78A94" w14:textId="77777777" w:rsidR="00972612" w:rsidRPr="006A2BF9" w:rsidRDefault="00972612" w:rsidP="00972612">
      <w:pPr>
        <w:outlineLvl w:val="0"/>
        <w:rPr>
          <w:bCs/>
          <w:lang w:val="it-IT"/>
        </w:rPr>
      </w:pPr>
    </w:p>
    <w:p w14:paraId="6DBC0B7B" w14:textId="77777777" w:rsidR="00972612" w:rsidRPr="006A2BF9" w:rsidRDefault="00972612" w:rsidP="00570B43">
      <w:pPr>
        <w:keepNext/>
        <w:keepLines/>
        <w:outlineLvl w:val="0"/>
        <w:rPr>
          <w:bCs/>
          <w:lang w:val="it-IT"/>
        </w:rPr>
      </w:pPr>
      <w:r w:rsidRPr="006A2BF9">
        <w:rPr>
          <w:bCs/>
          <w:lang w:val="it-IT"/>
        </w:rPr>
        <w:t>Sono state condotte analisi prespecificate della PFS, aventi tutte come data di cut-off il 29 settembre 2009. I risultati di queste analisi sono i seguenti:</w:t>
      </w:r>
    </w:p>
    <w:p w14:paraId="621164F8" w14:textId="77777777" w:rsidR="00972612" w:rsidRPr="006A2BF9" w:rsidRDefault="00972612" w:rsidP="00570B43">
      <w:pPr>
        <w:keepNext/>
        <w:keepLines/>
        <w:outlineLvl w:val="0"/>
        <w:rPr>
          <w:bCs/>
          <w:lang w:val="it-IT"/>
        </w:rPr>
      </w:pPr>
    </w:p>
    <w:p w14:paraId="505B5E87" w14:textId="77777777" w:rsidR="00972612" w:rsidRPr="00330A40" w:rsidRDefault="00380484" w:rsidP="00C65E97">
      <w:pPr>
        <w:keepNext/>
        <w:keepLines/>
        <w:ind w:left="567" w:hanging="567"/>
        <w:outlineLvl w:val="0"/>
        <w:rPr>
          <w:bCs/>
          <w:lang w:val="it-IT"/>
        </w:rPr>
      </w:pPr>
      <w:r w:rsidRPr="00330A40">
        <w:rPr>
          <w:bCs/>
          <w:lang w:val="it-IT"/>
        </w:rPr>
        <w:sym w:font="Symbol" w:char="F0B7"/>
      </w:r>
      <w:r w:rsidRPr="00330A40">
        <w:rPr>
          <w:bCs/>
          <w:lang w:val="it-IT"/>
        </w:rPr>
        <w:tab/>
      </w:r>
      <w:r w:rsidR="00B13BC0" w:rsidRPr="00330A40">
        <w:rPr>
          <w:bCs/>
          <w:lang w:val="it-IT"/>
        </w:rPr>
        <w:t xml:space="preserve">l’analisi </w:t>
      </w:r>
      <w:r w:rsidR="00972612" w:rsidRPr="00330A40">
        <w:rPr>
          <w:bCs/>
          <w:lang w:val="it-IT"/>
        </w:rPr>
        <w:t>della PFS</w:t>
      </w:r>
      <w:r w:rsidR="00444028" w:rsidRPr="00330A40">
        <w:rPr>
          <w:bCs/>
          <w:lang w:val="it-IT"/>
        </w:rPr>
        <w:t xml:space="preserve"> valutata da</w:t>
      </w:r>
      <w:r w:rsidR="00972612" w:rsidRPr="00330A40">
        <w:rPr>
          <w:bCs/>
          <w:lang w:val="it-IT"/>
        </w:rPr>
        <w:t xml:space="preserve">gli sperimentatori specificata nel protocollo (non </w:t>
      </w:r>
      <w:r w:rsidR="005C77B7" w:rsidRPr="00330A40">
        <w:rPr>
          <w:bCs/>
          <w:lang w:val="it-IT"/>
        </w:rPr>
        <w:t xml:space="preserve">censurando per </w:t>
      </w:r>
      <w:r w:rsidR="00972612" w:rsidRPr="00330A40">
        <w:rPr>
          <w:bCs/>
          <w:lang w:val="it-IT"/>
        </w:rPr>
        <w:t xml:space="preserve">la progressione definita </w:t>
      </w:r>
      <w:r w:rsidR="005C77B7" w:rsidRPr="00330A40">
        <w:rPr>
          <w:bCs/>
          <w:lang w:val="it-IT"/>
        </w:rPr>
        <w:t xml:space="preserve">in </w:t>
      </w:r>
      <w:r w:rsidR="00972612" w:rsidRPr="00330A40">
        <w:rPr>
          <w:bCs/>
          <w:lang w:val="it-IT"/>
        </w:rPr>
        <w:t>base dei v</w:t>
      </w:r>
      <w:r w:rsidR="00444028" w:rsidRPr="00330A40">
        <w:rPr>
          <w:bCs/>
          <w:lang w:val="it-IT"/>
        </w:rPr>
        <w:t xml:space="preserve">alori del marcatore tumorale CA </w:t>
      </w:r>
      <w:r w:rsidR="00972612" w:rsidRPr="00330A40">
        <w:rPr>
          <w:bCs/>
          <w:lang w:val="it-IT"/>
        </w:rPr>
        <w:t>125 e per la NPT) ha mostrato un hazard ratio stratificato pari a 0,71 (</w:t>
      </w:r>
      <w:r w:rsidR="00364D35" w:rsidRPr="00330A40">
        <w:rPr>
          <w:bCs/>
          <w:lang w:val="it-IT"/>
        </w:rPr>
        <w:t xml:space="preserve">IC </w:t>
      </w:r>
      <w:r w:rsidR="00831FDE">
        <w:rPr>
          <w:bCs/>
          <w:lang w:val="it-IT"/>
        </w:rPr>
        <w:t xml:space="preserve">al </w:t>
      </w:r>
      <w:r w:rsidR="00972612" w:rsidRPr="00330A40">
        <w:rPr>
          <w:bCs/>
          <w:lang w:val="it-IT"/>
        </w:rPr>
        <w:t>95%: 0,61</w:t>
      </w:r>
      <w:r w:rsidR="0028755D" w:rsidRPr="00330A40">
        <w:rPr>
          <w:bCs/>
          <w:lang w:val="it-IT"/>
        </w:rPr>
        <w:noBreakHyphen/>
      </w:r>
      <w:r w:rsidR="00972612" w:rsidRPr="00330A40">
        <w:rPr>
          <w:bCs/>
          <w:lang w:val="it-IT"/>
        </w:rPr>
        <w:t>0,83; test log</w:t>
      </w:r>
      <w:r w:rsidR="004C3C77" w:rsidRPr="00330A40">
        <w:rPr>
          <w:bCs/>
          <w:lang w:val="it-IT"/>
        </w:rPr>
        <w:t xml:space="preserve"> </w:t>
      </w:r>
      <w:r w:rsidR="00972612" w:rsidRPr="00330A40">
        <w:rPr>
          <w:bCs/>
          <w:lang w:val="it-IT"/>
        </w:rPr>
        <w:t>rank a 1 coda, valore di p</w:t>
      </w:r>
      <w:r w:rsidR="0028755D" w:rsidRPr="00330A40">
        <w:rPr>
          <w:bCs/>
          <w:lang w:val="it-IT"/>
        </w:rPr>
        <w:t> </w:t>
      </w:r>
      <w:r w:rsidR="00972612" w:rsidRPr="00330A40">
        <w:rPr>
          <w:bCs/>
          <w:lang w:val="it-IT"/>
        </w:rPr>
        <w:t>&lt;</w:t>
      </w:r>
      <w:r w:rsidR="0028755D" w:rsidRPr="00330A40">
        <w:rPr>
          <w:bCs/>
          <w:lang w:val="it-IT"/>
        </w:rPr>
        <w:t> </w:t>
      </w:r>
      <w:r w:rsidR="00972612" w:rsidRPr="00330A40">
        <w:rPr>
          <w:bCs/>
          <w:lang w:val="it-IT"/>
        </w:rPr>
        <w:t>0,0001) quando CPB15+ viene messo a confronto con CPP, con una PFS mediana di 10,4</w:t>
      </w:r>
      <w:r w:rsidR="00772EE7" w:rsidRPr="00330A40">
        <w:rPr>
          <w:bCs/>
          <w:lang w:val="it-IT"/>
        </w:rPr>
        <w:t> </w:t>
      </w:r>
      <w:r w:rsidR="00972612" w:rsidRPr="00330A40">
        <w:rPr>
          <w:bCs/>
          <w:lang w:val="it-IT"/>
        </w:rPr>
        <w:t>mesi nel braccio CPP e di 14,1</w:t>
      </w:r>
      <w:r w:rsidR="00772EE7" w:rsidRPr="00330A40">
        <w:rPr>
          <w:bCs/>
          <w:lang w:val="it-IT"/>
        </w:rPr>
        <w:t> </w:t>
      </w:r>
      <w:r w:rsidR="00972612" w:rsidRPr="00330A40">
        <w:rPr>
          <w:bCs/>
          <w:lang w:val="it-IT"/>
        </w:rPr>
        <w:t>mesi nel braccio CPB15+</w:t>
      </w:r>
    </w:p>
    <w:p w14:paraId="5C46321D" w14:textId="77777777" w:rsidR="00972612" w:rsidRPr="00330A40" w:rsidRDefault="00972612" w:rsidP="00C65E97">
      <w:pPr>
        <w:keepNext/>
        <w:keepLines/>
        <w:ind w:left="567" w:hanging="567"/>
        <w:outlineLvl w:val="0"/>
        <w:rPr>
          <w:bCs/>
          <w:lang w:val="it-IT"/>
        </w:rPr>
      </w:pPr>
    </w:p>
    <w:p w14:paraId="0BFD70E8" w14:textId="77777777" w:rsidR="00972612" w:rsidRPr="00330A40" w:rsidRDefault="00380484" w:rsidP="00C65E97">
      <w:pPr>
        <w:ind w:left="567" w:hanging="567"/>
        <w:outlineLvl w:val="0"/>
        <w:rPr>
          <w:bCs/>
          <w:lang w:val="it-IT"/>
        </w:rPr>
      </w:pPr>
      <w:r w:rsidRPr="00330A40">
        <w:rPr>
          <w:bCs/>
          <w:lang w:val="it-IT"/>
        </w:rPr>
        <w:sym w:font="Symbol" w:char="F0B7"/>
      </w:r>
      <w:r w:rsidRPr="00330A40">
        <w:rPr>
          <w:bCs/>
          <w:lang w:val="it-IT"/>
        </w:rPr>
        <w:tab/>
      </w:r>
      <w:r w:rsidR="00B13BC0" w:rsidRPr="00330A40">
        <w:rPr>
          <w:bCs/>
          <w:lang w:val="it-IT"/>
        </w:rPr>
        <w:t xml:space="preserve">l’analisi </w:t>
      </w:r>
      <w:r w:rsidR="00972612" w:rsidRPr="00330A40">
        <w:rPr>
          <w:bCs/>
          <w:lang w:val="it-IT"/>
        </w:rPr>
        <w:t>primaria della PFS valutata dagli sperimentatori (</w:t>
      </w:r>
      <w:r w:rsidR="005C77B7" w:rsidRPr="00330A40">
        <w:rPr>
          <w:bCs/>
          <w:lang w:val="it-IT"/>
        </w:rPr>
        <w:t xml:space="preserve">censurando per </w:t>
      </w:r>
      <w:r w:rsidR="00972612" w:rsidRPr="00330A40">
        <w:rPr>
          <w:bCs/>
          <w:lang w:val="it-IT"/>
        </w:rPr>
        <w:t xml:space="preserve">secondo la progressione definita in base ai valori del CA-125 e per la NPT) ha dimostrato un hazard ratio </w:t>
      </w:r>
      <w:r w:rsidR="007D713C" w:rsidRPr="00330A40">
        <w:rPr>
          <w:bCs/>
          <w:lang w:val="it-IT"/>
        </w:rPr>
        <w:t>stratificato pari a 0,62 (</w:t>
      </w:r>
      <w:r w:rsidR="00831FDE">
        <w:rPr>
          <w:bCs/>
          <w:lang w:val="it-IT"/>
        </w:rPr>
        <w:t xml:space="preserve">IC al </w:t>
      </w:r>
      <w:r w:rsidR="007D713C" w:rsidRPr="00330A40">
        <w:rPr>
          <w:bCs/>
          <w:lang w:val="it-IT"/>
        </w:rPr>
        <w:t>95%</w:t>
      </w:r>
      <w:r w:rsidR="00972612" w:rsidRPr="00330A40">
        <w:rPr>
          <w:bCs/>
          <w:lang w:val="it-IT"/>
        </w:rPr>
        <w:t>: 0,52</w:t>
      </w:r>
      <w:r w:rsidR="0028755D" w:rsidRPr="00330A40">
        <w:rPr>
          <w:bCs/>
          <w:lang w:val="it-IT"/>
        </w:rPr>
        <w:noBreakHyphen/>
      </w:r>
      <w:r w:rsidR="00972612" w:rsidRPr="00330A40">
        <w:rPr>
          <w:bCs/>
          <w:lang w:val="it-IT"/>
        </w:rPr>
        <w:t>0,75, test log</w:t>
      </w:r>
      <w:r w:rsidR="004C3C77" w:rsidRPr="00330A40">
        <w:rPr>
          <w:bCs/>
          <w:lang w:val="it-IT"/>
        </w:rPr>
        <w:t xml:space="preserve"> </w:t>
      </w:r>
      <w:r w:rsidR="00972612" w:rsidRPr="00330A40">
        <w:rPr>
          <w:bCs/>
          <w:lang w:val="it-IT"/>
        </w:rPr>
        <w:t>rank a 1 coda, valore di p</w:t>
      </w:r>
      <w:r w:rsidR="0028755D" w:rsidRPr="00330A40">
        <w:rPr>
          <w:bCs/>
          <w:lang w:val="it-IT"/>
        </w:rPr>
        <w:t> </w:t>
      </w:r>
      <w:r w:rsidR="00972612" w:rsidRPr="00330A40">
        <w:rPr>
          <w:bCs/>
          <w:lang w:val="it-IT"/>
        </w:rPr>
        <w:t>&lt;</w:t>
      </w:r>
      <w:r w:rsidR="0028755D" w:rsidRPr="00330A40">
        <w:rPr>
          <w:bCs/>
          <w:lang w:val="it-IT"/>
        </w:rPr>
        <w:t> </w:t>
      </w:r>
      <w:r w:rsidR="00972612" w:rsidRPr="00330A40">
        <w:rPr>
          <w:bCs/>
          <w:lang w:val="it-IT"/>
        </w:rPr>
        <w:t xml:space="preserve">0,0001) </w:t>
      </w:r>
      <w:r w:rsidR="00972612" w:rsidRPr="00330A40">
        <w:rPr>
          <w:bCs/>
          <w:lang w:val="it-IT"/>
        </w:rPr>
        <w:lastRenderedPageBreak/>
        <w:t>quando CPB15+ viene messo a confronto con CPP, con una PFS mediana di 12,0</w:t>
      </w:r>
      <w:r w:rsidR="00772EE7" w:rsidRPr="00330A40">
        <w:rPr>
          <w:bCs/>
          <w:lang w:val="it-IT"/>
        </w:rPr>
        <w:t> </w:t>
      </w:r>
      <w:r w:rsidR="00972612" w:rsidRPr="00330A40">
        <w:rPr>
          <w:bCs/>
          <w:lang w:val="it-IT"/>
        </w:rPr>
        <w:t>mesi nel braccio CPP e di</w:t>
      </w:r>
      <w:r w:rsidR="007D713C" w:rsidRPr="00330A40">
        <w:rPr>
          <w:bCs/>
          <w:lang w:val="it-IT"/>
        </w:rPr>
        <w:t xml:space="preserve"> 18,2</w:t>
      </w:r>
      <w:r w:rsidR="00772EE7" w:rsidRPr="00330A40">
        <w:rPr>
          <w:bCs/>
          <w:lang w:val="it-IT"/>
        </w:rPr>
        <w:t> </w:t>
      </w:r>
      <w:r w:rsidR="007D713C" w:rsidRPr="00330A40">
        <w:rPr>
          <w:bCs/>
          <w:lang w:val="it-IT"/>
        </w:rPr>
        <w:t>mesi nel braccio CPB15+</w:t>
      </w:r>
    </w:p>
    <w:p w14:paraId="14E13D1D" w14:textId="77777777" w:rsidR="00972612" w:rsidRPr="00330A40" w:rsidRDefault="00972612" w:rsidP="00C65E97">
      <w:pPr>
        <w:ind w:left="567" w:hanging="567"/>
        <w:outlineLvl w:val="0"/>
        <w:rPr>
          <w:bCs/>
          <w:lang w:val="it-IT"/>
        </w:rPr>
      </w:pPr>
    </w:p>
    <w:p w14:paraId="1FF24A4B" w14:textId="77777777" w:rsidR="00972612" w:rsidRPr="00330A40" w:rsidRDefault="00380484" w:rsidP="00C65E97">
      <w:pPr>
        <w:ind w:left="567" w:hanging="567"/>
        <w:outlineLvl w:val="0"/>
        <w:rPr>
          <w:bCs/>
          <w:lang w:val="it-IT"/>
        </w:rPr>
      </w:pPr>
      <w:r w:rsidRPr="00330A40">
        <w:rPr>
          <w:bCs/>
          <w:lang w:val="it-IT"/>
        </w:rPr>
        <w:sym w:font="Symbol" w:char="F0B7"/>
      </w:r>
      <w:r w:rsidRPr="00330A40">
        <w:rPr>
          <w:bCs/>
          <w:lang w:val="it-IT"/>
        </w:rPr>
        <w:tab/>
      </w:r>
      <w:r w:rsidR="00B13BC0" w:rsidRPr="00330A40">
        <w:rPr>
          <w:bCs/>
          <w:lang w:val="it-IT"/>
        </w:rPr>
        <w:t xml:space="preserve">l’analisi </w:t>
      </w:r>
      <w:r w:rsidR="00972612" w:rsidRPr="00330A40">
        <w:rPr>
          <w:bCs/>
          <w:lang w:val="it-IT"/>
        </w:rPr>
        <w:t>della PFS come determinato dal comitato di revisione indipendente (</w:t>
      </w:r>
      <w:r w:rsidR="005C77B7" w:rsidRPr="00330A40">
        <w:rPr>
          <w:bCs/>
          <w:lang w:val="it-IT"/>
        </w:rPr>
        <w:t xml:space="preserve">censurando </w:t>
      </w:r>
      <w:r w:rsidR="00972612" w:rsidRPr="00330A40">
        <w:rPr>
          <w:bCs/>
          <w:lang w:val="it-IT"/>
        </w:rPr>
        <w:t>per la NPT) ha dimostrato un hazard ratio stratificato pari a 0,62 (</w:t>
      </w:r>
      <w:r w:rsidR="005C77B7" w:rsidRPr="00330A40">
        <w:rPr>
          <w:bCs/>
          <w:lang w:val="it-IT"/>
        </w:rPr>
        <w:t xml:space="preserve">IC </w:t>
      </w:r>
      <w:r w:rsidR="00831FDE">
        <w:rPr>
          <w:bCs/>
          <w:lang w:val="it-IT"/>
        </w:rPr>
        <w:t xml:space="preserve">al </w:t>
      </w:r>
      <w:r w:rsidR="00972612" w:rsidRPr="00330A40">
        <w:rPr>
          <w:bCs/>
          <w:lang w:val="it-IT"/>
        </w:rPr>
        <w:t>95%: 0,50</w:t>
      </w:r>
      <w:r w:rsidR="0028755D" w:rsidRPr="00330A40">
        <w:rPr>
          <w:bCs/>
          <w:lang w:val="it-IT"/>
        </w:rPr>
        <w:noBreakHyphen/>
      </w:r>
      <w:r w:rsidR="00972612" w:rsidRPr="00330A40">
        <w:rPr>
          <w:bCs/>
          <w:lang w:val="it-IT"/>
        </w:rPr>
        <w:t>0,77, test log</w:t>
      </w:r>
      <w:r w:rsidR="004C3C77" w:rsidRPr="00330A40">
        <w:rPr>
          <w:bCs/>
          <w:lang w:val="it-IT"/>
        </w:rPr>
        <w:t xml:space="preserve"> </w:t>
      </w:r>
      <w:r w:rsidR="00972612" w:rsidRPr="00330A40">
        <w:rPr>
          <w:bCs/>
          <w:lang w:val="it-IT"/>
        </w:rPr>
        <w:t>rank a 1 coda, valore di p</w:t>
      </w:r>
      <w:r w:rsidR="0028755D" w:rsidRPr="00330A40">
        <w:rPr>
          <w:bCs/>
          <w:lang w:val="it-IT"/>
        </w:rPr>
        <w:t> </w:t>
      </w:r>
      <w:r w:rsidR="00972612" w:rsidRPr="00330A40">
        <w:rPr>
          <w:bCs/>
          <w:lang w:val="it-IT"/>
        </w:rPr>
        <w:t>&lt;</w:t>
      </w:r>
      <w:r w:rsidR="0028755D" w:rsidRPr="00330A40">
        <w:rPr>
          <w:bCs/>
          <w:lang w:val="it-IT"/>
        </w:rPr>
        <w:t> </w:t>
      </w:r>
      <w:r w:rsidR="00972612" w:rsidRPr="00330A40">
        <w:rPr>
          <w:bCs/>
          <w:lang w:val="it-IT"/>
        </w:rPr>
        <w:t>0,0001) quando CPB15+ viene messo a confronto con CPP, con una PFS mediana di 13,1 nel braccio CPP e 19,1</w:t>
      </w:r>
      <w:r w:rsidR="00772EE7" w:rsidRPr="00330A40">
        <w:rPr>
          <w:bCs/>
          <w:lang w:val="it-IT"/>
        </w:rPr>
        <w:t> </w:t>
      </w:r>
      <w:r w:rsidR="00972612" w:rsidRPr="00330A40">
        <w:rPr>
          <w:bCs/>
          <w:lang w:val="it-IT"/>
        </w:rPr>
        <w:t>mesi nel braccio CPB15+.</w:t>
      </w:r>
    </w:p>
    <w:p w14:paraId="2D18E109" w14:textId="77777777" w:rsidR="00972612" w:rsidRPr="00330A40" w:rsidRDefault="00972612" w:rsidP="00972612">
      <w:pPr>
        <w:outlineLvl w:val="0"/>
        <w:rPr>
          <w:bCs/>
          <w:lang w:val="it-IT"/>
        </w:rPr>
      </w:pPr>
    </w:p>
    <w:p w14:paraId="2E7DDC2E" w14:textId="77777777" w:rsidR="00972612" w:rsidRPr="006A2BF9" w:rsidRDefault="007D713C" w:rsidP="00972612">
      <w:pPr>
        <w:outlineLvl w:val="0"/>
        <w:rPr>
          <w:bCs/>
          <w:lang w:val="it-IT"/>
        </w:rPr>
      </w:pPr>
      <w:r w:rsidRPr="00330A40">
        <w:rPr>
          <w:bCs/>
          <w:lang w:val="it-IT"/>
        </w:rPr>
        <w:t xml:space="preserve">Le </w:t>
      </w:r>
      <w:r w:rsidR="00972612" w:rsidRPr="006A2BF9">
        <w:rPr>
          <w:bCs/>
          <w:lang w:val="it-IT"/>
        </w:rPr>
        <w:t xml:space="preserve">analisi della PFS per sottogruppi relative allo stadio di malattia ed alla chirurgia primaria </w:t>
      </w:r>
      <w:r w:rsidR="008122C2" w:rsidRPr="006A2BF9">
        <w:rPr>
          <w:bCs/>
          <w:lang w:val="it-IT"/>
        </w:rPr>
        <w:t>sono</w:t>
      </w:r>
      <w:r w:rsidR="00972612" w:rsidRPr="006A2BF9">
        <w:rPr>
          <w:bCs/>
          <w:lang w:val="it-IT"/>
        </w:rPr>
        <w:t xml:space="preserve"> </w:t>
      </w:r>
      <w:r w:rsidR="008122C2" w:rsidRPr="006A2BF9">
        <w:rPr>
          <w:bCs/>
          <w:lang w:val="it-IT"/>
        </w:rPr>
        <w:t xml:space="preserve">riportate </w:t>
      </w:r>
      <w:r w:rsidR="00972612" w:rsidRPr="006A2BF9">
        <w:rPr>
          <w:bCs/>
          <w:lang w:val="it-IT"/>
        </w:rPr>
        <w:t>nella tabella</w:t>
      </w:r>
      <w:r w:rsidR="00772EE7" w:rsidRPr="006A2BF9">
        <w:rPr>
          <w:bCs/>
          <w:lang w:val="it-IT"/>
        </w:rPr>
        <w:t> </w:t>
      </w:r>
      <w:r w:rsidR="00972612" w:rsidRPr="006A2BF9">
        <w:rPr>
          <w:bCs/>
          <w:lang w:val="it-IT"/>
        </w:rPr>
        <w:t>1</w:t>
      </w:r>
      <w:r w:rsidR="00BB195D" w:rsidRPr="006A2BF9">
        <w:rPr>
          <w:bCs/>
          <w:lang w:val="it-IT"/>
        </w:rPr>
        <w:t>7</w:t>
      </w:r>
      <w:r w:rsidR="00972612" w:rsidRPr="006A2BF9">
        <w:rPr>
          <w:bCs/>
          <w:lang w:val="it-IT"/>
        </w:rPr>
        <w:t xml:space="preserve">. Questi risultati confermano </w:t>
      </w:r>
      <w:r w:rsidRPr="006A2BF9">
        <w:rPr>
          <w:bCs/>
          <w:lang w:val="it-IT"/>
        </w:rPr>
        <w:t>la robustezza del</w:t>
      </w:r>
      <w:r w:rsidR="00972612" w:rsidRPr="006A2BF9">
        <w:rPr>
          <w:bCs/>
          <w:lang w:val="it-IT"/>
        </w:rPr>
        <w:t xml:space="preserve">l’analisi della PFS </w:t>
      </w:r>
      <w:r w:rsidRPr="006A2BF9">
        <w:rPr>
          <w:bCs/>
          <w:lang w:val="it-IT"/>
        </w:rPr>
        <w:t>come mostrato</w:t>
      </w:r>
      <w:r w:rsidR="00972612" w:rsidRPr="006A2BF9">
        <w:rPr>
          <w:bCs/>
          <w:lang w:val="it-IT"/>
        </w:rPr>
        <w:t xml:space="preserve"> </w:t>
      </w:r>
      <w:r w:rsidR="005C77B7" w:rsidRPr="006A2BF9">
        <w:rPr>
          <w:bCs/>
          <w:lang w:val="it-IT"/>
        </w:rPr>
        <w:t xml:space="preserve">nella </w:t>
      </w:r>
      <w:r w:rsidR="00972612" w:rsidRPr="006A2BF9">
        <w:rPr>
          <w:bCs/>
          <w:lang w:val="it-IT"/>
        </w:rPr>
        <w:t>tabella</w:t>
      </w:r>
      <w:r w:rsidR="00772EE7" w:rsidRPr="006A2BF9">
        <w:rPr>
          <w:bCs/>
          <w:lang w:val="it-IT"/>
        </w:rPr>
        <w:t> </w:t>
      </w:r>
      <w:r w:rsidR="00972612" w:rsidRPr="006A2BF9">
        <w:rPr>
          <w:bCs/>
          <w:lang w:val="it-IT"/>
        </w:rPr>
        <w:t>1</w:t>
      </w:r>
      <w:r w:rsidR="00BB195D" w:rsidRPr="006A2BF9">
        <w:rPr>
          <w:bCs/>
          <w:lang w:val="it-IT"/>
        </w:rPr>
        <w:t>6</w:t>
      </w:r>
      <w:r w:rsidR="00972612" w:rsidRPr="006A2BF9">
        <w:rPr>
          <w:bCs/>
          <w:lang w:val="it-IT"/>
        </w:rPr>
        <w:t xml:space="preserve">. </w:t>
      </w:r>
    </w:p>
    <w:p w14:paraId="2D74963F" w14:textId="77777777" w:rsidR="00972612" w:rsidRPr="006A2BF9" w:rsidRDefault="00972612" w:rsidP="00972612">
      <w:pPr>
        <w:outlineLvl w:val="0"/>
        <w:rPr>
          <w:bCs/>
          <w:lang w:val="it-IT"/>
        </w:rPr>
      </w:pPr>
    </w:p>
    <w:p w14:paraId="6CB4B7F0" w14:textId="77777777" w:rsidR="00972612" w:rsidRPr="006A2BF9" w:rsidRDefault="007D713C" w:rsidP="00972612">
      <w:pPr>
        <w:outlineLvl w:val="0"/>
        <w:rPr>
          <w:b/>
          <w:bCs/>
          <w:lang w:val="it-IT"/>
        </w:rPr>
      </w:pPr>
      <w:r w:rsidRPr="006A2BF9">
        <w:rPr>
          <w:b/>
          <w:bCs/>
          <w:lang w:val="it-IT"/>
        </w:rPr>
        <w:t>Tabella</w:t>
      </w:r>
      <w:r w:rsidR="00772EE7" w:rsidRPr="006A2BF9">
        <w:rPr>
          <w:b/>
          <w:bCs/>
          <w:lang w:val="it-IT"/>
        </w:rPr>
        <w:t> </w:t>
      </w:r>
      <w:r w:rsidRPr="006A2BF9">
        <w:rPr>
          <w:b/>
          <w:bCs/>
          <w:lang w:val="it-IT"/>
        </w:rPr>
        <w:t>1</w:t>
      </w:r>
      <w:r w:rsidR="00BB195D" w:rsidRPr="006A2BF9">
        <w:rPr>
          <w:b/>
          <w:bCs/>
          <w:lang w:val="it-IT"/>
        </w:rPr>
        <w:t>7</w:t>
      </w:r>
      <w:r w:rsidR="001A12ED" w:rsidRPr="006A2BF9">
        <w:rPr>
          <w:b/>
          <w:bCs/>
          <w:lang w:val="it-IT"/>
        </w:rPr>
        <w:t xml:space="preserve"> -</w:t>
      </w:r>
      <w:r w:rsidRPr="006A2BF9">
        <w:rPr>
          <w:b/>
          <w:bCs/>
          <w:lang w:val="it-IT"/>
        </w:rPr>
        <w:t xml:space="preserve"> </w:t>
      </w:r>
      <w:r w:rsidR="005C77B7" w:rsidRPr="006A2BF9">
        <w:rPr>
          <w:b/>
          <w:bCs/>
          <w:lang w:val="it-IT"/>
        </w:rPr>
        <w:t>R</w:t>
      </w:r>
      <w:r w:rsidRPr="006A2BF9">
        <w:rPr>
          <w:b/>
          <w:bCs/>
          <w:lang w:val="it-IT"/>
        </w:rPr>
        <w:t xml:space="preserve">isultati della </w:t>
      </w:r>
      <w:r w:rsidR="00972612" w:rsidRPr="006A2BF9">
        <w:rPr>
          <w:b/>
          <w:bCs/>
          <w:lang w:val="it-IT"/>
        </w:rPr>
        <w:t>PFS</w:t>
      </w:r>
      <w:r w:rsidR="00972612" w:rsidRPr="006A2BF9">
        <w:rPr>
          <w:b/>
          <w:bCs/>
          <w:vertAlign w:val="superscript"/>
          <w:lang w:val="it-IT"/>
        </w:rPr>
        <w:t>1</w:t>
      </w:r>
      <w:r w:rsidRPr="006A2BF9">
        <w:rPr>
          <w:b/>
          <w:bCs/>
          <w:lang w:val="it-IT"/>
        </w:rPr>
        <w:t xml:space="preserve"> </w:t>
      </w:r>
      <w:r w:rsidR="00972612" w:rsidRPr="006A2BF9">
        <w:rPr>
          <w:b/>
          <w:bCs/>
          <w:lang w:val="it-IT"/>
        </w:rPr>
        <w:t>in base allo stadio di mala</w:t>
      </w:r>
      <w:r w:rsidR="009B4D3B" w:rsidRPr="006A2BF9">
        <w:rPr>
          <w:b/>
          <w:bCs/>
          <w:lang w:val="it-IT"/>
        </w:rPr>
        <w:t>ttia ed alla chirurgia derivanti dallo</w:t>
      </w:r>
      <w:r w:rsidR="00972612" w:rsidRPr="006A2BF9">
        <w:rPr>
          <w:b/>
          <w:bCs/>
          <w:lang w:val="it-IT"/>
        </w:rPr>
        <w:t xml:space="preserve"> studio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3"/>
        <w:gridCol w:w="2089"/>
        <w:gridCol w:w="2089"/>
        <w:gridCol w:w="2090"/>
      </w:tblGrid>
      <w:tr w:rsidR="00972612" w:rsidRPr="006A2BF9" w14:paraId="0F20D18F" w14:textId="77777777" w:rsidTr="00C65E97">
        <w:tc>
          <w:tcPr>
            <w:tcW w:w="9207" w:type="dxa"/>
            <w:gridSpan w:val="4"/>
            <w:tcBorders>
              <w:top w:val="single" w:sz="4" w:space="0" w:color="auto"/>
              <w:left w:val="single" w:sz="4" w:space="0" w:color="auto"/>
              <w:bottom w:val="single" w:sz="6" w:space="0" w:color="000000"/>
              <w:right w:val="single" w:sz="4" w:space="0" w:color="auto"/>
            </w:tcBorders>
          </w:tcPr>
          <w:p w14:paraId="6C017635" w14:textId="77777777" w:rsidR="00972612" w:rsidRPr="006A2BF9" w:rsidRDefault="00972612" w:rsidP="00972612">
            <w:pPr>
              <w:outlineLvl w:val="0"/>
              <w:rPr>
                <w:bCs/>
                <w:sz w:val="20"/>
                <w:lang w:val="it-IT"/>
              </w:rPr>
            </w:pPr>
            <w:r w:rsidRPr="006A2BF9">
              <w:rPr>
                <w:bCs/>
                <w:sz w:val="20"/>
                <w:lang w:val="it-IT"/>
              </w:rPr>
              <w:t>Pazienti randomizzati in stadio</w:t>
            </w:r>
            <w:r w:rsidR="0028755D" w:rsidRPr="006A2BF9">
              <w:rPr>
                <w:bCs/>
                <w:sz w:val="20"/>
                <w:lang w:val="it-IT"/>
              </w:rPr>
              <w:t> </w:t>
            </w:r>
            <w:r w:rsidRPr="006A2BF9">
              <w:rPr>
                <w:bCs/>
                <w:sz w:val="20"/>
                <w:lang w:val="it-IT"/>
              </w:rPr>
              <w:t>III con resezione ottimale di malattia</w:t>
            </w:r>
            <w:r w:rsidRPr="006A2BF9">
              <w:rPr>
                <w:bCs/>
                <w:sz w:val="20"/>
                <w:vertAlign w:val="superscript"/>
                <w:lang w:val="it-IT"/>
              </w:rPr>
              <w:t xml:space="preserve"> 2,3</w:t>
            </w:r>
          </w:p>
        </w:tc>
      </w:tr>
      <w:tr w:rsidR="00972612" w:rsidRPr="006A2BF9" w14:paraId="716A4A14" w14:textId="77777777" w:rsidTr="00C65E97">
        <w:tc>
          <w:tcPr>
            <w:tcW w:w="2840" w:type="dxa"/>
            <w:tcBorders>
              <w:top w:val="nil"/>
              <w:left w:val="single" w:sz="4" w:space="0" w:color="auto"/>
              <w:bottom w:val="nil"/>
              <w:right w:val="single" w:sz="6" w:space="0" w:color="000000"/>
            </w:tcBorders>
          </w:tcPr>
          <w:p w14:paraId="791409A0" w14:textId="77777777" w:rsidR="00972612" w:rsidRPr="006A2BF9" w:rsidRDefault="00972612" w:rsidP="00972612">
            <w:pPr>
              <w:outlineLvl w:val="0"/>
              <w:rPr>
                <w:bCs/>
                <w:sz w:val="20"/>
                <w:lang w:val="it-IT"/>
              </w:rPr>
            </w:pPr>
          </w:p>
        </w:tc>
        <w:tc>
          <w:tcPr>
            <w:tcW w:w="2122" w:type="dxa"/>
            <w:tcBorders>
              <w:top w:val="nil"/>
              <w:left w:val="single" w:sz="6" w:space="0" w:color="000000"/>
              <w:bottom w:val="nil"/>
              <w:right w:val="single" w:sz="6" w:space="0" w:color="000000"/>
            </w:tcBorders>
            <w:vAlign w:val="center"/>
          </w:tcPr>
          <w:p w14:paraId="10C2458D" w14:textId="77777777" w:rsidR="00972612" w:rsidRPr="006A2BF9" w:rsidRDefault="00972612" w:rsidP="007D713C">
            <w:pPr>
              <w:jc w:val="center"/>
              <w:outlineLvl w:val="0"/>
              <w:rPr>
                <w:bCs/>
                <w:sz w:val="20"/>
                <w:lang w:val="it-IT"/>
              </w:rPr>
            </w:pPr>
            <w:r w:rsidRPr="006A2BF9">
              <w:rPr>
                <w:bCs/>
                <w:sz w:val="20"/>
                <w:lang w:val="it-IT"/>
              </w:rPr>
              <w:t>CPP</w:t>
            </w:r>
          </w:p>
          <w:p w14:paraId="07F2E09B" w14:textId="77777777" w:rsidR="00972612" w:rsidRPr="006A2BF9" w:rsidRDefault="00972612" w:rsidP="007D713C">
            <w:pPr>
              <w:jc w:val="center"/>
              <w:outlineLvl w:val="0"/>
              <w:rPr>
                <w:bCs/>
                <w:sz w:val="20"/>
                <w:lang w:val="it-IT"/>
              </w:rPr>
            </w:pPr>
            <w:r w:rsidRPr="006A2BF9">
              <w:rPr>
                <w:bCs/>
                <w:sz w:val="20"/>
                <w:lang w:val="it-IT"/>
              </w:rPr>
              <w:t>(n = 219)</w:t>
            </w:r>
          </w:p>
        </w:tc>
        <w:tc>
          <w:tcPr>
            <w:tcW w:w="2122" w:type="dxa"/>
            <w:tcBorders>
              <w:top w:val="nil"/>
              <w:left w:val="single" w:sz="6" w:space="0" w:color="000000"/>
              <w:bottom w:val="nil"/>
              <w:right w:val="single" w:sz="6" w:space="0" w:color="000000"/>
            </w:tcBorders>
            <w:vAlign w:val="center"/>
          </w:tcPr>
          <w:p w14:paraId="0B9F5E7F" w14:textId="77777777" w:rsidR="00972612" w:rsidRPr="006A2BF9" w:rsidRDefault="00972612" w:rsidP="007D713C">
            <w:pPr>
              <w:jc w:val="center"/>
              <w:outlineLvl w:val="0"/>
              <w:rPr>
                <w:bCs/>
                <w:sz w:val="20"/>
                <w:lang w:val="it-IT"/>
              </w:rPr>
            </w:pPr>
            <w:r w:rsidRPr="006A2BF9">
              <w:rPr>
                <w:bCs/>
                <w:sz w:val="20"/>
                <w:lang w:val="it-IT"/>
              </w:rPr>
              <w:t>CPB15</w:t>
            </w:r>
          </w:p>
          <w:p w14:paraId="7BF8ECD9" w14:textId="77777777" w:rsidR="00972612" w:rsidRPr="006A2BF9" w:rsidRDefault="00972612" w:rsidP="007D713C">
            <w:pPr>
              <w:jc w:val="center"/>
              <w:outlineLvl w:val="0"/>
              <w:rPr>
                <w:bCs/>
                <w:sz w:val="20"/>
                <w:lang w:val="it-IT"/>
              </w:rPr>
            </w:pPr>
            <w:r w:rsidRPr="006A2BF9">
              <w:rPr>
                <w:bCs/>
                <w:sz w:val="20"/>
                <w:lang w:val="it-IT"/>
              </w:rPr>
              <w:t>(n =</w:t>
            </w:r>
            <w:r w:rsidR="0028755D" w:rsidRPr="006A2BF9">
              <w:rPr>
                <w:bCs/>
                <w:sz w:val="20"/>
                <w:lang w:val="it-IT"/>
              </w:rPr>
              <w:t> </w:t>
            </w:r>
            <w:r w:rsidRPr="006A2BF9">
              <w:rPr>
                <w:bCs/>
                <w:sz w:val="20"/>
                <w:lang w:val="it-IT"/>
              </w:rPr>
              <w:t>204)</w:t>
            </w:r>
          </w:p>
        </w:tc>
        <w:tc>
          <w:tcPr>
            <w:tcW w:w="2123" w:type="dxa"/>
            <w:tcBorders>
              <w:top w:val="nil"/>
              <w:left w:val="single" w:sz="6" w:space="0" w:color="000000"/>
              <w:bottom w:val="nil"/>
              <w:right w:val="single" w:sz="4" w:space="0" w:color="auto"/>
            </w:tcBorders>
            <w:vAlign w:val="center"/>
          </w:tcPr>
          <w:p w14:paraId="17A34250" w14:textId="77777777" w:rsidR="00972612" w:rsidRPr="006A2BF9" w:rsidRDefault="00972612" w:rsidP="007D713C">
            <w:pPr>
              <w:jc w:val="center"/>
              <w:outlineLvl w:val="0"/>
              <w:rPr>
                <w:bCs/>
                <w:sz w:val="20"/>
                <w:vertAlign w:val="superscript"/>
                <w:lang w:val="it-IT"/>
              </w:rPr>
            </w:pPr>
            <w:r w:rsidRPr="006A2BF9">
              <w:rPr>
                <w:bCs/>
                <w:sz w:val="20"/>
                <w:lang w:val="it-IT"/>
              </w:rPr>
              <w:t>CPB15+</w:t>
            </w:r>
          </w:p>
          <w:p w14:paraId="6D33A5BE" w14:textId="77777777" w:rsidR="00972612" w:rsidRPr="006A2BF9" w:rsidRDefault="00972612" w:rsidP="007D713C">
            <w:pPr>
              <w:jc w:val="center"/>
              <w:outlineLvl w:val="0"/>
              <w:rPr>
                <w:bCs/>
                <w:sz w:val="20"/>
                <w:lang w:val="it-IT"/>
              </w:rPr>
            </w:pPr>
            <w:r w:rsidRPr="006A2BF9">
              <w:rPr>
                <w:bCs/>
                <w:sz w:val="20"/>
                <w:lang w:val="it-IT"/>
              </w:rPr>
              <w:t>(n =</w:t>
            </w:r>
            <w:r w:rsidR="0028755D" w:rsidRPr="006A2BF9">
              <w:rPr>
                <w:bCs/>
                <w:sz w:val="20"/>
                <w:lang w:val="it-IT"/>
              </w:rPr>
              <w:t> </w:t>
            </w:r>
            <w:r w:rsidRPr="006A2BF9">
              <w:rPr>
                <w:bCs/>
                <w:sz w:val="20"/>
                <w:lang w:val="it-IT"/>
              </w:rPr>
              <w:t>216)</w:t>
            </w:r>
          </w:p>
        </w:tc>
      </w:tr>
      <w:tr w:rsidR="00972612" w:rsidRPr="006A2BF9" w14:paraId="2D7EC4C7" w14:textId="77777777" w:rsidTr="00C65E97">
        <w:tc>
          <w:tcPr>
            <w:tcW w:w="2840" w:type="dxa"/>
            <w:tcBorders>
              <w:top w:val="nil"/>
              <w:left w:val="single" w:sz="4" w:space="0" w:color="auto"/>
              <w:bottom w:val="nil"/>
              <w:right w:val="single" w:sz="6" w:space="0" w:color="000000"/>
            </w:tcBorders>
          </w:tcPr>
          <w:p w14:paraId="15A8DC60" w14:textId="77777777" w:rsidR="00972612" w:rsidRPr="006A2BF9" w:rsidRDefault="00972612" w:rsidP="00972612">
            <w:pPr>
              <w:outlineLvl w:val="0"/>
              <w:rPr>
                <w:bCs/>
                <w:sz w:val="20"/>
                <w:lang w:val="it-IT"/>
              </w:rPr>
            </w:pPr>
            <w:r w:rsidRPr="006A2BF9">
              <w:rPr>
                <w:bCs/>
                <w:sz w:val="20"/>
                <w:lang w:val="it-IT"/>
              </w:rPr>
              <w:t>PFS mediana (mesi)</w:t>
            </w:r>
          </w:p>
        </w:tc>
        <w:tc>
          <w:tcPr>
            <w:tcW w:w="2122" w:type="dxa"/>
            <w:tcBorders>
              <w:top w:val="nil"/>
              <w:left w:val="single" w:sz="6" w:space="0" w:color="000000"/>
              <w:bottom w:val="nil"/>
              <w:right w:val="single" w:sz="6" w:space="0" w:color="000000"/>
            </w:tcBorders>
            <w:vAlign w:val="center"/>
          </w:tcPr>
          <w:p w14:paraId="0A1B1323" w14:textId="77777777" w:rsidR="00972612" w:rsidRPr="006A2BF9" w:rsidRDefault="00972612" w:rsidP="004475FD">
            <w:pPr>
              <w:jc w:val="center"/>
              <w:outlineLvl w:val="0"/>
              <w:rPr>
                <w:bCs/>
                <w:sz w:val="20"/>
                <w:lang w:val="it-IT"/>
              </w:rPr>
            </w:pPr>
            <w:r w:rsidRPr="006A2BF9">
              <w:rPr>
                <w:bCs/>
                <w:sz w:val="20"/>
                <w:lang w:val="it-IT"/>
              </w:rPr>
              <w:t>12</w:t>
            </w:r>
            <w:r w:rsidR="004475FD" w:rsidRPr="006A2BF9">
              <w:rPr>
                <w:bCs/>
                <w:sz w:val="20"/>
                <w:lang w:val="it-IT"/>
              </w:rPr>
              <w:t>,</w:t>
            </w:r>
            <w:r w:rsidRPr="006A2BF9">
              <w:rPr>
                <w:bCs/>
                <w:sz w:val="20"/>
                <w:lang w:val="it-IT"/>
              </w:rPr>
              <w:t>4</w:t>
            </w:r>
          </w:p>
        </w:tc>
        <w:tc>
          <w:tcPr>
            <w:tcW w:w="2122" w:type="dxa"/>
            <w:tcBorders>
              <w:top w:val="nil"/>
              <w:left w:val="single" w:sz="6" w:space="0" w:color="000000"/>
              <w:bottom w:val="nil"/>
              <w:right w:val="single" w:sz="6" w:space="0" w:color="000000"/>
            </w:tcBorders>
            <w:vAlign w:val="center"/>
          </w:tcPr>
          <w:p w14:paraId="4BB9EB66" w14:textId="77777777" w:rsidR="00972612" w:rsidRPr="006A2BF9" w:rsidRDefault="004475FD" w:rsidP="007D713C">
            <w:pPr>
              <w:jc w:val="center"/>
              <w:outlineLvl w:val="0"/>
              <w:rPr>
                <w:bCs/>
                <w:sz w:val="20"/>
                <w:lang w:val="it-IT"/>
              </w:rPr>
            </w:pPr>
            <w:r w:rsidRPr="006A2BF9">
              <w:rPr>
                <w:bCs/>
                <w:sz w:val="20"/>
                <w:lang w:val="it-IT"/>
              </w:rPr>
              <w:t>14,</w:t>
            </w:r>
            <w:r w:rsidR="00972612" w:rsidRPr="006A2BF9">
              <w:rPr>
                <w:bCs/>
                <w:sz w:val="20"/>
                <w:lang w:val="it-IT"/>
              </w:rPr>
              <w:t>3</w:t>
            </w:r>
          </w:p>
        </w:tc>
        <w:tc>
          <w:tcPr>
            <w:tcW w:w="2123" w:type="dxa"/>
            <w:tcBorders>
              <w:top w:val="nil"/>
              <w:left w:val="single" w:sz="6" w:space="0" w:color="000000"/>
              <w:bottom w:val="nil"/>
              <w:right w:val="single" w:sz="4" w:space="0" w:color="auto"/>
            </w:tcBorders>
            <w:vAlign w:val="center"/>
          </w:tcPr>
          <w:p w14:paraId="36887F0C" w14:textId="77777777" w:rsidR="00972612" w:rsidRPr="006A2BF9" w:rsidRDefault="004475FD" w:rsidP="007D713C">
            <w:pPr>
              <w:jc w:val="center"/>
              <w:outlineLvl w:val="0"/>
              <w:rPr>
                <w:bCs/>
                <w:sz w:val="20"/>
                <w:lang w:val="it-IT"/>
              </w:rPr>
            </w:pPr>
            <w:r w:rsidRPr="006A2BF9">
              <w:rPr>
                <w:bCs/>
                <w:sz w:val="20"/>
                <w:lang w:val="it-IT"/>
              </w:rPr>
              <w:t>17,</w:t>
            </w:r>
            <w:r w:rsidR="00972612" w:rsidRPr="006A2BF9">
              <w:rPr>
                <w:bCs/>
                <w:sz w:val="20"/>
                <w:lang w:val="it-IT"/>
              </w:rPr>
              <w:t>5</w:t>
            </w:r>
          </w:p>
        </w:tc>
      </w:tr>
      <w:tr w:rsidR="00972612" w:rsidRPr="006A2BF9" w14:paraId="3A923FDD" w14:textId="77777777" w:rsidTr="00C65E97">
        <w:tc>
          <w:tcPr>
            <w:tcW w:w="2840" w:type="dxa"/>
            <w:tcBorders>
              <w:top w:val="nil"/>
              <w:left w:val="single" w:sz="4" w:space="0" w:color="auto"/>
              <w:bottom w:val="nil"/>
              <w:right w:val="single" w:sz="6" w:space="0" w:color="000000"/>
            </w:tcBorders>
          </w:tcPr>
          <w:p w14:paraId="734FE2D4" w14:textId="77777777" w:rsidR="00972612" w:rsidRPr="00330A40" w:rsidRDefault="004475FD" w:rsidP="00972612">
            <w:pPr>
              <w:outlineLvl w:val="0"/>
              <w:rPr>
                <w:bCs/>
                <w:sz w:val="20"/>
                <w:lang w:val="it-IT"/>
              </w:rPr>
            </w:pPr>
            <w:r w:rsidRPr="000F0246">
              <w:rPr>
                <w:bCs/>
                <w:i/>
                <w:sz w:val="20"/>
                <w:lang w:val="it-IT"/>
              </w:rPr>
              <w:t>Hazard ratio</w:t>
            </w:r>
            <w:r w:rsidRPr="00330A40">
              <w:rPr>
                <w:bCs/>
                <w:sz w:val="20"/>
                <w:lang w:val="it-IT"/>
              </w:rPr>
              <w:t xml:space="preserve"> (</w:t>
            </w:r>
            <w:r w:rsidR="005C77B7" w:rsidRPr="00330A40">
              <w:rPr>
                <w:bCs/>
                <w:sz w:val="20"/>
                <w:lang w:val="it-IT"/>
              </w:rPr>
              <w:t>IC</w:t>
            </w:r>
            <w:r w:rsidR="00831FDE">
              <w:rPr>
                <w:bCs/>
                <w:sz w:val="20"/>
                <w:lang w:val="it-IT"/>
              </w:rPr>
              <w:t xml:space="preserve"> al</w:t>
            </w:r>
            <w:r w:rsidR="005C77B7" w:rsidRPr="00330A40">
              <w:rPr>
                <w:bCs/>
                <w:sz w:val="20"/>
                <w:lang w:val="it-IT"/>
              </w:rPr>
              <w:t xml:space="preserve"> </w:t>
            </w:r>
            <w:r w:rsidRPr="00330A40">
              <w:rPr>
                <w:bCs/>
                <w:sz w:val="20"/>
                <w:lang w:val="it-IT"/>
              </w:rPr>
              <w:t>95%</w:t>
            </w:r>
            <w:r w:rsidR="00972612" w:rsidRPr="00330A40">
              <w:rPr>
                <w:bCs/>
                <w:sz w:val="20"/>
                <w:lang w:val="it-IT"/>
              </w:rPr>
              <w:t>)</w:t>
            </w:r>
            <w:r w:rsidR="00972612" w:rsidRPr="00330A40">
              <w:rPr>
                <w:bCs/>
                <w:sz w:val="20"/>
                <w:vertAlign w:val="superscript"/>
                <w:lang w:val="it-IT"/>
              </w:rPr>
              <w:t>4</w:t>
            </w:r>
          </w:p>
        </w:tc>
        <w:tc>
          <w:tcPr>
            <w:tcW w:w="2122" w:type="dxa"/>
            <w:tcBorders>
              <w:top w:val="nil"/>
              <w:left w:val="single" w:sz="6" w:space="0" w:color="000000"/>
              <w:bottom w:val="nil"/>
              <w:right w:val="single" w:sz="6" w:space="0" w:color="000000"/>
            </w:tcBorders>
            <w:vAlign w:val="center"/>
          </w:tcPr>
          <w:p w14:paraId="5ABDC55E" w14:textId="77777777" w:rsidR="00972612" w:rsidRPr="00330A40" w:rsidRDefault="00972612" w:rsidP="007D713C">
            <w:pPr>
              <w:jc w:val="center"/>
              <w:outlineLvl w:val="0"/>
              <w:rPr>
                <w:bCs/>
                <w:sz w:val="20"/>
                <w:lang w:val="it-IT"/>
              </w:rPr>
            </w:pPr>
          </w:p>
        </w:tc>
        <w:tc>
          <w:tcPr>
            <w:tcW w:w="2122" w:type="dxa"/>
            <w:tcBorders>
              <w:top w:val="nil"/>
              <w:left w:val="single" w:sz="6" w:space="0" w:color="000000"/>
              <w:bottom w:val="nil"/>
              <w:right w:val="single" w:sz="6" w:space="0" w:color="000000"/>
            </w:tcBorders>
            <w:vAlign w:val="center"/>
          </w:tcPr>
          <w:p w14:paraId="3D4985C9" w14:textId="77777777" w:rsidR="00972612" w:rsidRPr="00330A40" w:rsidRDefault="004475FD" w:rsidP="007D713C">
            <w:pPr>
              <w:jc w:val="center"/>
              <w:outlineLvl w:val="0"/>
              <w:rPr>
                <w:bCs/>
                <w:sz w:val="20"/>
                <w:lang w:val="it-IT"/>
              </w:rPr>
            </w:pPr>
            <w:r w:rsidRPr="00330A40">
              <w:rPr>
                <w:bCs/>
                <w:sz w:val="20"/>
                <w:lang w:val="it-IT"/>
              </w:rPr>
              <w:t>0,</w:t>
            </w:r>
            <w:r w:rsidR="00972612" w:rsidRPr="00330A40">
              <w:rPr>
                <w:bCs/>
                <w:sz w:val="20"/>
                <w:lang w:val="it-IT"/>
              </w:rPr>
              <w:t>81</w:t>
            </w:r>
          </w:p>
          <w:p w14:paraId="489E334E" w14:textId="77777777" w:rsidR="00972612" w:rsidRPr="00330A40" w:rsidRDefault="00972612" w:rsidP="007D713C">
            <w:pPr>
              <w:jc w:val="center"/>
              <w:outlineLvl w:val="0"/>
              <w:rPr>
                <w:bCs/>
                <w:sz w:val="20"/>
                <w:lang w:val="it-IT"/>
              </w:rPr>
            </w:pPr>
            <w:r w:rsidRPr="00330A40">
              <w:rPr>
                <w:bCs/>
                <w:sz w:val="20"/>
                <w:lang w:val="it-IT"/>
              </w:rPr>
              <w:t>(0</w:t>
            </w:r>
            <w:r w:rsidR="004475FD" w:rsidRPr="00330A40">
              <w:rPr>
                <w:bCs/>
                <w:sz w:val="20"/>
                <w:lang w:val="it-IT"/>
              </w:rPr>
              <w:t>,</w:t>
            </w:r>
            <w:r w:rsidRPr="00330A40">
              <w:rPr>
                <w:bCs/>
                <w:sz w:val="20"/>
                <w:lang w:val="it-IT"/>
              </w:rPr>
              <w:t>62, 1</w:t>
            </w:r>
            <w:r w:rsidR="004475FD" w:rsidRPr="00330A40">
              <w:rPr>
                <w:bCs/>
                <w:sz w:val="20"/>
                <w:lang w:val="it-IT"/>
              </w:rPr>
              <w:t>,</w:t>
            </w:r>
            <w:r w:rsidRPr="00330A40">
              <w:rPr>
                <w:bCs/>
                <w:sz w:val="20"/>
                <w:lang w:val="it-IT"/>
              </w:rPr>
              <w:t>05)</w:t>
            </w:r>
          </w:p>
        </w:tc>
        <w:tc>
          <w:tcPr>
            <w:tcW w:w="2123" w:type="dxa"/>
            <w:tcBorders>
              <w:top w:val="nil"/>
              <w:left w:val="single" w:sz="6" w:space="0" w:color="000000"/>
              <w:bottom w:val="nil"/>
              <w:right w:val="single" w:sz="4" w:space="0" w:color="auto"/>
            </w:tcBorders>
            <w:vAlign w:val="center"/>
          </w:tcPr>
          <w:p w14:paraId="78231585" w14:textId="77777777" w:rsidR="00972612" w:rsidRPr="00330A40" w:rsidRDefault="00972612" w:rsidP="007D713C">
            <w:pPr>
              <w:jc w:val="center"/>
              <w:outlineLvl w:val="0"/>
              <w:rPr>
                <w:bCs/>
                <w:sz w:val="20"/>
                <w:lang w:val="it-IT"/>
              </w:rPr>
            </w:pPr>
            <w:r w:rsidRPr="00330A40">
              <w:rPr>
                <w:bCs/>
                <w:sz w:val="20"/>
                <w:lang w:val="it-IT"/>
              </w:rPr>
              <w:t>0</w:t>
            </w:r>
            <w:r w:rsidR="004475FD" w:rsidRPr="00330A40">
              <w:rPr>
                <w:bCs/>
                <w:sz w:val="20"/>
                <w:lang w:val="it-IT"/>
              </w:rPr>
              <w:t>,</w:t>
            </w:r>
            <w:r w:rsidRPr="00330A40">
              <w:rPr>
                <w:bCs/>
                <w:sz w:val="20"/>
                <w:lang w:val="it-IT"/>
              </w:rPr>
              <w:t>66</w:t>
            </w:r>
          </w:p>
          <w:p w14:paraId="74FD7584" w14:textId="77777777" w:rsidR="00972612" w:rsidRPr="006A2BF9" w:rsidRDefault="00972612" w:rsidP="007D713C">
            <w:pPr>
              <w:jc w:val="center"/>
              <w:outlineLvl w:val="0"/>
              <w:rPr>
                <w:bCs/>
                <w:sz w:val="20"/>
                <w:lang w:val="it-IT"/>
              </w:rPr>
            </w:pPr>
            <w:r w:rsidRPr="00330A40">
              <w:rPr>
                <w:bCs/>
                <w:sz w:val="20"/>
                <w:lang w:val="it-IT"/>
              </w:rPr>
              <w:t>(0</w:t>
            </w:r>
            <w:r w:rsidR="004475FD" w:rsidRPr="006A2BF9">
              <w:rPr>
                <w:bCs/>
                <w:sz w:val="20"/>
                <w:lang w:val="it-IT"/>
              </w:rPr>
              <w:t>,</w:t>
            </w:r>
            <w:r w:rsidRPr="006A2BF9">
              <w:rPr>
                <w:bCs/>
                <w:sz w:val="20"/>
                <w:lang w:val="it-IT"/>
              </w:rPr>
              <w:t>50, 0</w:t>
            </w:r>
            <w:r w:rsidR="004475FD" w:rsidRPr="006A2BF9">
              <w:rPr>
                <w:bCs/>
                <w:sz w:val="20"/>
                <w:lang w:val="it-IT"/>
              </w:rPr>
              <w:t>,</w:t>
            </w:r>
            <w:r w:rsidRPr="006A2BF9">
              <w:rPr>
                <w:bCs/>
                <w:sz w:val="20"/>
                <w:lang w:val="it-IT"/>
              </w:rPr>
              <w:t>86)</w:t>
            </w:r>
          </w:p>
        </w:tc>
      </w:tr>
      <w:tr w:rsidR="00972612" w:rsidRPr="006A2BF9" w14:paraId="45721AB5" w14:textId="77777777" w:rsidTr="00C65E97">
        <w:tc>
          <w:tcPr>
            <w:tcW w:w="9207" w:type="dxa"/>
            <w:gridSpan w:val="4"/>
            <w:tcBorders>
              <w:top w:val="single" w:sz="4" w:space="0" w:color="auto"/>
              <w:left w:val="single" w:sz="4" w:space="0" w:color="auto"/>
              <w:bottom w:val="single" w:sz="4" w:space="0" w:color="auto"/>
              <w:right w:val="single" w:sz="4" w:space="0" w:color="auto"/>
            </w:tcBorders>
          </w:tcPr>
          <w:p w14:paraId="17A8E551" w14:textId="77777777" w:rsidR="00972612" w:rsidRPr="006A2BF9" w:rsidRDefault="00972612" w:rsidP="004C3C77">
            <w:pPr>
              <w:outlineLvl w:val="0"/>
              <w:rPr>
                <w:bCs/>
                <w:sz w:val="20"/>
                <w:lang w:val="it-IT"/>
              </w:rPr>
            </w:pPr>
            <w:r w:rsidRPr="006A2BF9">
              <w:rPr>
                <w:bCs/>
                <w:sz w:val="20"/>
                <w:lang w:val="it-IT"/>
              </w:rPr>
              <w:t>Pazienti randomizzati in stadio</w:t>
            </w:r>
            <w:r w:rsidR="0028755D" w:rsidRPr="006A2BF9">
              <w:rPr>
                <w:bCs/>
                <w:sz w:val="20"/>
                <w:lang w:val="it-IT"/>
              </w:rPr>
              <w:t> </w:t>
            </w:r>
            <w:r w:rsidRPr="006A2BF9">
              <w:rPr>
                <w:bCs/>
                <w:sz w:val="20"/>
                <w:lang w:val="it-IT"/>
              </w:rPr>
              <w:t>III con resezione subottimale di malattia</w:t>
            </w:r>
            <w:r w:rsidRPr="006A2BF9">
              <w:rPr>
                <w:bCs/>
                <w:sz w:val="20"/>
                <w:vertAlign w:val="superscript"/>
                <w:lang w:val="it-IT"/>
              </w:rPr>
              <w:t>3</w:t>
            </w:r>
          </w:p>
        </w:tc>
      </w:tr>
      <w:tr w:rsidR="00972612" w:rsidRPr="006A2BF9" w14:paraId="6CD0F407" w14:textId="77777777" w:rsidTr="00C65E97">
        <w:tc>
          <w:tcPr>
            <w:tcW w:w="2840" w:type="dxa"/>
            <w:tcBorders>
              <w:top w:val="nil"/>
              <w:left w:val="single" w:sz="4" w:space="0" w:color="auto"/>
              <w:bottom w:val="nil"/>
              <w:right w:val="single" w:sz="6" w:space="0" w:color="000000"/>
            </w:tcBorders>
          </w:tcPr>
          <w:p w14:paraId="45777A21" w14:textId="77777777" w:rsidR="00972612" w:rsidRPr="006A2BF9" w:rsidRDefault="00972612" w:rsidP="00972612">
            <w:pPr>
              <w:outlineLvl w:val="0"/>
              <w:rPr>
                <w:bCs/>
                <w:sz w:val="20"/>
                <w:lang w:val="it-IT"/>
              </w:rPr>
            </w:pPr>
          </w:p>
        </w:tc>
        <w:tc>
          <w:tcPr>
            <w:tcW w:w="2122" w:type="dxa"/>
            <w:tcBorders>
              <w:top w:val="nil"/>
              <w:left w:val="single" w:sz="6" w:space="0" w:color="000000"/>
              <w:bottom w:val="nil"/>
              <w:right w:val="single" w:sz="6" w:space="0" w:color="000000"/>
            </w:tcBorders>
            <w:vAlign w:val="center"/>
          </w:tcPr>
          <w:p w14:paraId="13951ECE" w14:textId="77777777" w:rsidR="00972612" w:rsidRPr="006A2BF9" w:rsidRDefault="00972612" w:rsidP="007D713C">
            <w:pPr>
              <w:jc w:val="center"/>
              <w:outlineLvl w:val="0"/>
              <w:rPr>
                <w:bCs/>
                <w:sz w:val="20"/>
                <w:lang w:val="it-IT"/>
              </w:rPr>
            </w:pPr>
            <w:r w:rsidRPr="006A2BF9">
              <w:rPr>
                <w:bCs/>
                <w:sz w:val="20"/>
                <w:lang w:val="it-IT"/>
              </w:rPr>
              <w:t>CPP</w:t>
            </w:r>
          </w:p>
          <w:p w14:paraId="5ACB7E01" w14:textId="77777777" w:rsidR="00972612" w:rsidRPr="006A2BF9" w:rsidRDefault="00972612" w:rsidP="007D713C">
            <w:pPr>
              <w:jc w:val="center"/>
              <w:outlineLvl w:val="0"/>
              <w:rPr>
                <w:bCs/>
                <w:sz w:val="20"/>
                <w:lang w:val="it-IT"/>
              </w:rPr>
            </w:pPr>
            <w:r w:rsidRPr="006A2BF9">
              <w:rPr>
                <w:bCs/>
                <w:sz w:val="20"/>
                <w:lang w:val="it-IT"/>
              </w:rPr>
              <w:t>(n = 253)</w:t>
            </w:r>
          </w:p>
        </w:tc>
        <w:tc>
          <w:tcPr>
            <w:tcW w:w="2122" w:type="dxa"/>
            <w:tcBorders>
              <w:top w:val="nil"/>
              <w:left w:val="single" w:sz="6" w:space="0" w:color="000000"/>
              <w:bottom w:val="nil"/>
              <w:right w:val="single" w:sz="6" w:space="0" w:color="000000"/>
            </w:tcBorders>
            <w:vAlign w:val="center"/>
          </w:tcPr>
          <w:p w14:paraId="4BADDCE8" w14:textId="77777777" w:rsidR="00972612" w:rsidRPr="006A2BF9" w:rsidRDefault="00972612" w:rsidP="007D713C">
            <w:pPr>
              <w:jc w:val="center"/>
              <w:outlineLvl w:val="0"/>
              <w:rPr>
                <w:bCs/>
                <w:sz w:val="20"/>
                <w:lang w:val="it-IT"/>
              </w:rPr>
            </w:pPr>
            <w:r w:rsidRPr="006A2BF9">
              <w:rPr>
                <w:bCs/>
                <w:sz w:val="20"/>
                <w:lang w:val="it-IT"/>
              </w:rPr>
              <w:t>CPB15</w:t>
            </w:r>
          </w:p>
          <w:p w14:paraId="68008360" w14:textId="77777777" w:rsidR="00972612" w:rsidRPr="006A2BF9" w:rsidRDefault="00972612" w:rsidP="007D713C">
            <w:pPr>
              <w:jc w:val="center"/>
              <w:outlineLvl w:val="0"/>
              <w:rPr>
                <w:bCs/>
                <w:sz w:val="20"/>
                <w:lang w:val="it-IT"/>
              </w:rPr>
            </w:pPr>
            <w:r w:rsidRPr="006A2BF9">
              <w:rPr>
                <w:bCs/>
                <w:sz w:val="20"/>
                <w:lang w:val="it-IT"/>
              </w:rPr>
              <w:t>(n =</w:t>
            </w:r>
            <w:r w:rsidR="0028755D" w:rsidRPr="006A2BF9">
              <w:rPr>
                <w:bCs/>
                <w:sz w:val="20"/>
                <w:lang w:val="it-IT"/>
              </w:rPr>
              <w:t> </w:t>
            </w:r>
            <w:r w:rsidRPr="006A2BF9">
              <w:rPr>
                <w:bCs/>
                <w:sz w:val="20"/>
                <w:lang w:val="it-IT"/>
              </w:rPr>
              <w:t>256)</w:t>
            </w:r>
          </w:p>
        </w:tc>
        <w:tc>
          <w:tcPr>
            <w:tcW w:w="2123" w:type="dxa"/>
            <w:tcBorders>
              <w:top w:val="nil"/>
              <w:left w:val="single" w:sz="6" w:space="0" w:color="000000"/>
              <w:bottom w:val="nil"/>
              <w:right w:val="single" w:sz="4" w:space="0" w:color="auto"/>
            </w:tcBorders>
            <w:vAlign w:val="center"/>
          </w:tcPr>
          <w:p w14:paraId="76BCE492" w14:textId="77777777" w:rsidR="00972612" w:rsidRPr="006A2BF9" w:rsidRDefault="00972612" w:rsidP="007D713C">
            <w:pPr>
              <w:jc w:val="center"/>
              <w:outlineLvl w:val="0"/>
              <w:rPr>
                <w:bCs/>
                <w:sz w:val="20"/>
                <w:lang w:val="it-IT"/>
              </w:rPr>
            </w:pPr>
            <w:r w:rsidRPr="006A2BF9">
              <w:rPr>
                <w:bCs/>
                <w:sz w:val="20"/>
                <w:lang w:val="it-IT"/>
              </w:rPr>
              <w:t>CPB15+</w:t>
            </w:r>
          </w:p>
          <w:p w14:paraId="4799A80E" w14:textId="77777777" w:rsidR="00972612" w:rsidRPr="006A2BF9" w:rsidRDefault="00972612" w:rsidP="007D713C">
            <w:pPr>
              <w:jc w:val="center"/>
              <w:outlineLvl w:val="0"/>
              <w:rPr>
                <w:bCs/>
                <w:sz w:val="20"/>
                <w:lang w:val="it-IT"/>
              </w:rPr>
            </w:pPr>
            <w:r w:rsidRPr="006A2BF9">
              <w:rPr>
                <w:bCs/>
                <w:sz w:val="20"/>
                <w:lang w:val="it-IT"/>
              </w:rPr>
              <w:t>(n = 242)</w:t>
            </w:r>
          </w:p>
        </w:tc>
      </w:tr>
      <w:tr w:rsidR="00972612" w:rsidRPr="006A2BF9" w14:paraId="4F08E381" w14:textId="77777777" w:rsidTr="00C65E97">
        <w:tc>
          <w:tcPr>
            <w:tcW w:w="2840" w:type="dxa"/>
            <w:tcBorders>
              <w:top w:val="nil"/>
              <w:left w:val="single" w:sz="4" w:space="0" w:color="auto"/>
              <w:bottom w:val="nil"/>
              <w:right w:val="single" w:sz="6" w:space="0" w:color="000000"/>
            </w:tcBorders>
          </w:tcPr>
          <w:p w14:paraId="272EB3AB" w14:textId="77777777" w:rsidR="00972612" w:rsidRPr="006A2BF9" w:rsidRDefault="00972612" w:rsidP="00972612">
            <w:pPr>
              <w:outlineLvl w:val="0"/>
              <w:rPr>
                <w:bCs/>
                <w:sz w:val="20"/>
                <w:lang w:val="it-IT"/>
              </w:rPr>
            </w:pPr>
            <w:r w:rsidRPr="006A2BF9">
              <w:rPr>
                <w:bCs/>
                <w:sz w:val="20"/>
                <w:lang w:val="it-IT"/>
              </w:rPr>
              <w:t>PFS mediana (mesi)</w:t>
            </w:r>
          </w:p>
        </w:tc>
        <w:tc>
          <w:tcPr>
            <w:tcW w:w="2122" w:type="dxa"/>
            <w:tcBorders>
              <w:top w:val="nil"/>
              <w:left w:val="single" w:sz="6" w:space="0" w:color="000000"/>
              <w:bottom w:val="nil"/>
              <w:right w:val="single" w:sz="6" w:space="0" w:color="000000"/>
            </w:tcBorders>
            <w:vAlign w:val="center"/>
          </w:tcPr>
          <w:p w14:paraId="45AF7C2A" w14:textId="77777777" w:rsidR="00972612" w:rsidRPr="006A2BF9" w:rsidRDefault="00972612" w:rsidP="007D713C">
            <w:pPr>
              <w:jc w:val="center"/>
              <w:outlineLvl w:val="0"/>
              <w:rPr>
                <w:bCs/>
                <w:sz w:val="20"/>
                <w:lang w:val="it-IT"/>
              </w:rPr>
            </w:pPr>
            <w:r w:rsidRPr="006A2BF9">
              <w:rPr>
                <w:bCs/>
                <w:sz w:val="20"/>
                <w:lang w:val="it-IT"/>
              </w:rPr>
              <w:t>10</w:t>
            </w:r>
            <w:r w:rsidR="004475FD" w:rsidRPr="006A2BF9">
              <w:rPr>
                <w:bCs/>
                <w:sz w:val="20"/>
                <w:lang w:val="it-IT"/>
              </w:rPr>
              <w:t>,</w:t>
            </w:r>
            <w:r w:rsidRPr="006A2BF9">
              <w:rPr>
                <w:bCs/>
                <w:sz w:val="20"/>
                <w:lang w:val="it-IT"/>
              </w:rPr>
              <w:t>1</w:t>
            </w:r>
          </w:p>
        </w:tc>
        <w:tc>
          <w:tcPr>
            <w:tcW w:w="2122" w:type="dxa"/>
            <w:tcBorders>
              <w:top w:val="nil"/>
              <w:left w:val="single" w:sz="6" w:space="0" w:color="000000"/>
              <w:bottom w:val="nil"/>
              <w:right w:val="single" w:sz="6" w:space="0" w:color="000000"/>
            </w:tcBorders>
            <w:vAlign w:val="center"/>
          </w:tcPr>
          <w:p w14:paraId="783B3750" w14:textId="77777777" w:rsidR="00972612" w:rsidRPr="006A2BF9" w:rsidRDefault="00972612" w:rsidP="007D713C">
            <w:pPr>
              <w:jc w:val="center"/>
              <w:outlineLvl w:val="0"/>
              <w:rPr>
                <w:bCs/>
                <w:sz w:val="20"/>
                <w:lang w:val="it-IT"/>
              </w:rPr>
            </w:pPr>
            <w:r w:rsidRPr="006A2BF9">
              <w:rPr>
                <w:bCs/>
                <w:sz w:val="20"/>
                <w:lang w:val="it-IT"/>
              </w:rPr>
              <w:t>10</w:t>
            </w:r>
            <w:r w:rsidR="004475FD" w:rsidRPr="006A2BF9">
              <w:rPr>
                <w:bCs/>
                <w:sz w:val="20"/>
                <w:lang w:val="it-IT"/>
              </w:rPr>
              <w:t>,</w:t>
            </w:r>
            <w:r w:rsidRPr="006A2BF9">
              <w:rPr>
                <w:bCs/>
                <w:sz w:val="20"/>
                <w:lang w:val="it-IT"/>
              </w:rPr>
              <w:t>9</w:t>
            </w:r>
          </w:p>
        </w:tc>
        <w:tc>
          <w:tcPr>
            <w:tcW w:w="2123" w:type="dxa"/>
            <w:tcBorders>
              <w:top w:val="nil"/>
              <w:left w:val="single" w:sz="6" w:space="0" w:color="000000"/>
              <w:bottom w:val="nil"/>
              <w:right w:val="single" w:sz="4" w:space="0" w:color="auto"/>
            </w:tcBorders>
            <w:vAlign w:val="center"/>
          </w:tcPr>
          <w:p w14:paraId="12C5F306" w14:textId="77777777" w:rsidR="00972612" w:rsidRPr="006A2BF9" w:rsidRDefault="00972612" w:rsidP="007D713C">
            <w:pPr>
              <w:jc w:val="center"/>
              <w:outlineLvl w:val="0"/>
              <w:rPr>
                <w:bCs/>
                <w:sz w:val="20"/>
                <w:lang w:val="it-IT"/>
              </w:rPr>
            </w:pPr>
            <w:r w:rsidRPr="006A2BF9">
              <w:rPr>
                <w:bCs/>
                <w:sz w:val="20"/>
                <w:lang w:val="it-IT"/>
              </w:rPr>
              <w:t>13</w:t>
            </w:r>
            <w:r w:rsidR="004475FD" w:rsidRPr="006A2BF9">
              <w:rPr>
                <w:bCs/>
                <w:sz w:val="20"/>
                <w:lang w:val="it-IT"/>
              </w:rPr>
              <w:t>,</w:t>
            </w:r>
            <w:r w:rsidRPr="006A2BF9">
              <w:rPr>
                <w:bCs/>
                <w:sz w:val="20"/>
                <w:lang w:val="it-IT"/>
              </w:rPr>
              <w:t>9</w:t>
            </w:r>
          </w:p>
        </w:tc>
      </w:tr>
      <w:tr w:rsidR="00972612" w:rsidRPr="006A2BF9" w14:paraId="73521E43" w14:textId="77777777" w:rsidTr="00C65E97">
        <w:tc>
          <w:tcPr>
            <w:tcW w:w="2840" w:type="dxa"/>
            <w:tcBorders>
              <w:top w:val="nil"/>
              <w:left w:val="single" w:sz="4" w:space="0" w:color="auto"/>
              <w:bottom w:val="nil"/>
              <w:right w:val="single" w:sz="6" w:space="0" w:color="000000"/>
            </w:tcBorders>
          </w:tcPr>
          <w:p w14:paraId="230C99CA" w14:textId="77777777" w:rsidR="00972612" w:rsidRPr="00330A40" w:rsidRDefault="00972612" w:rsidP="005B60E3">
            <w:pPr>
              <w:outlineLvl w:val="0"/>
              <w:rPr>
                <w:bCs/>
                <w:sz w:val="20"/>
                <w:lang w:val="it-IT"/>
              </w:rPr>
            </w:pPr>
            <w:r w:rsidRPr="000F0246">
              <w:rPr>
                <w:bCs/>
                <w:i/>
                <w:sz w:val="20"/>
                <w:lang w:val="it-IT"/>
              </w:rPr>
              <w:t>Hazard ratio</w:t>
            </w:r>
            <w:r w:rsidRPr="00330A40">
              <w:rPr>
                <w:bCs/>
                <w:sz w:val="20"/>
                <w:lang w:val="it-IT"/>
              </w:rPr>
              <w:t xml:space="preserve"> (</w:t>
            </w:r>
            <w:r w:rsidR="005C77B7" w:rsidRPr="00330A40">
              <w:rPr>
                <w:bCs/>
                <w:sz w:val="20"/>
                <w:lang w:val="it-IT"/>
              </w:rPr>
              <w:t>IC</w:t>
            </w:r>
            <w:r w:rsidR="00831FDE">
              <w:rPr>
                <w:bCs/>
                <w:sz w:val="20"/>
                <w:lang w:val="it-IT"/>
              </w:rPr>
              <w:t xml:space="preserve"> al</w:t>
            </w:r>
            <w:r w:rsidR="005C77B7" w:rsidRPr="00330A40">
              <w:rPr>
                <w:bCs/>
                <w:sz w:val="20"/>
                <w:lang w:val="it-IT"/>
              </w:rPr>
              <w:t xml:space="preserve"> </w:t>
            </w:r>
            <w:r w:rsidRPr="00330A40">
              <w:rPr>
                <w:bCs/>
                <w:sz w:val="20"/>
                <w:lang w:val="it-IT"/>
              </w:rPr>
              <w:t>95%)</w:t>
            </w:r>
            <w:r w:rsidRPr="00330A40">
              <w:rPr>
                <w:bCs/>
                <w:sz w:val="20"/>
                <w:vertAlign w:val="superscript"/>
                <w:lang w:val="it-IT"/>
              </w:rPr>
              <w:t>4</w:t>
            </w:r>
          </w:p>
        </w:tc>
        <w:tc>
          <w:tcPr>
            <w:tcW w:w="2122" w:type="dxa"/>
            <w:tcBorders>
              <w:top w:val="nil"/>
              <w:left w:val="single" w:sz="6" w:space="0" w:color="000000"/>
              <w:bottom w:val="nil"/>
              <w:right w:val="single" w:sz="6" w:space="0" w:color="000000"/>
            </w:tcBorders>
            <w:vAlign w:val="center"/>
          </w:tcPr>
          <w:p w14:paraId="3574B0A0" w14:textId="77777777" w:rsidR="00972612" w:rsidRPr="00330A40" w:rsidRDefault="00972612" w:rsidP="007D713C">
            <w:pPr>
              <w:jc w:val="center"/>
              <w:outlineLvl w:val="0"/>
              <w:rPr>
                <w:bCs/>
                <w:sz w:val="20"/>
                <w:lang w:val="it-IT"/>
              </w:rPr>
            </w:pPr>
          </w:p>
        </w:tc>
        <w:tc>
          <w:tcPr>
            <w:tcW w:w="2122" w:type="dxa"/>
            <w:tcBorders>
              <w:top w:val="nil"/>
              <w:left w:val="single" w:sz="6" w:space="0" w:color="000000"/>
              <w:bottom w:val="nil"/>
              <w:right w:val="single" w:sz="6" w:space="0" w:color="000000"/>
            </w:tcBorders>
            <w:vAlign w:val="center"/>
          </w:tcPr>
          <w:p w14:paraId="58A8C696" w14:textId="77777777" w:rsidR="00972612" w:rsidRPr="00330A40" w:rsidRDefault="00972612" w:rsidP="007D713C">
            <w:pPr>
              <w:jc w:val="center"/>
              <w:outlineLvl w:val="0"/>
              <w:rPr>
                <w:bCs/>
                <w:sz w:val="20"/>
                <w:lang w:val="it-IT"/>
              </w:rPr>
            </w:pPr>
            <w:r w:rsidRPr="00330A40">
              <w:rPr>
                <w:bCs/>
                <w:sz w:val="20"/>
                <w:lang w:val="it-IT"/>
              </w:rPr>
              <w:t>0</w:t>
            </w:r>
            <w:r w:rsidR="004475FD" w:rsidRPr="00330A40">
              <w:rPr>
                <w:bCs/>
                <w:sz w:val="20"/>
                <w:lang w:val="it-IT"/>
              </w:rPr>
              <w:t>,</w:t>
            </w:r>
            <w:r w:rsidRPr="00330A40">
              <w:rPr>
                <w:bCs/>
                <w:sz w:val="20"/>
                <w:lang w:val="it-IT"/>
              </w:rPr>
              <w:t>93</w:t>
            </w:r>
          </w:p>
          <w:p w14:paraId="5DD747E0" w14:textId="77777777" w:rsidR="00972612" w:rsidRPr="00330A40" w:rsidRDefault="00972612" w:rsidP="007D713C">
            <w:pPr>
              <w:jc w:val="center"/>
              <w:outlineLvl w:val="0"/>
              <w:rPr>
                <w:bCs/>
                <w:sz w:val="20"/>
                <w:lang w:val="it-IT"/>
              </w:rPr>
            </w:pPr>
            <w:r w:rsidRPr="00330A40">
              <w:rPr>
                <w:bCs/>
                <w:sz w:val="20"/>
                <w:lang w:val="it-IT"/>
              </w:rPr>
              <w:t>(0</w:t>
            </w:r>
            <w:r w:rsidR="004475FD" w:rsidRPr="00330A40">
              <w:rPr>
                <w:bCs/>
                <w:sz w:val="20"/>
                <w:lang w:val="it-IT"/>
              </w:rPr>
              <w:t>,</w:t>
            </w:r>
            <w:r w:rsidRPr="00330A40">
              <w:rPr>
                <w:bCs/>
                <w:sz w:val="20"/>
                <w:lang w:val="it-IT"/>
              </w:rPr>
              <w:t>77, 1</w:t>
            </w:r>
            <w:r w:rsidR="004475FD" w:rsidRPr="00330A40">
              <w:rPr>
                <w:bCs/>
                <w:sz w:val="20"/>
                <w:lang w:val="it-IT"/>
              </w:rPr>
              <w:t>,</w:t>
            </w:r>
            <w:r w:rsidRPr="00330A40">
              <w:rPr>
                <w:bCs/>
                <w:sz w:val="20"/>
                <w:lang w:val="it-IT"/>
              </w:rPr>
              <w:t>14)</w:t>
            </w:r>
          </w:p>
        </w:tc>
        <w:tc>
          <w:tcPr>
            <w:tcW w:w="2123" w:type="dxa"/>
            <w:tcBorders>
              <w:top w:val="nil"/>
              <w:left w:val="single" w:sz="6" w:space="0" w:color="000000"/>
              <w:bottom w:val="nil"/>
              <w:right w:val="single" w:sz="4" w:space="0" w:color="auto"/>
            </w:tcBorders>
            <w:vAlign w:val="center"/>
          </w:tcPr>
          <w:p w14:paraId="26ED3EFC" w14:textId="77777777" w:rsidR="00972612" w:rsidRPr="00330A40" w:rsidRDefault="00972612" w:rsidP="007D713C">
            <w:pPr>
              <w:jc w:val="center"/>
              <w:outlineLvl w:val="0"/>
              <w:rPr>
                <w:bCs/>
                <w:sz w:val="20"/>
                <w:lang w:val="it-IT"/>
              </w:rPr>
            </w:pPr>
            <w:r w:rsidRPr="00330A40">
              <w:rPr>
                <w:bCs/>
                <w:sz w:val="20"/>
                <w:lang w:val="it-IT"/>
              </w:rPr>
              <w:t>0</w:t>
            </w:r>
            <w:r w:rsidR="004475FD" w:rsidRPr="00330A40">
              <w:rPr>
                <w:bCs/>
                <w:sz w:val="20"/>
                <w:lang w:val="it-IT"/>
              </w:rPr>
              <w:t>,</w:t>
            </w:r>
            <w:r w:rsidRPr="00330A40">
              <w:rPr>
                <w:bCs/>
                <w:sz w:val="20"/>
                <w:lang w:val="it-IT"/>
              </w:rPr>
              <w:t>78</w:t>
            </w:r>
          </w:p>
          <w:p w14:paraId="7695FE85" w14:textId="77777777" w:rsidR="00972612" w:rsidRPr="006A2BF9" w:rsidRDefault="00972612" w:rsidP="007D713C">
            <w:pPr>
              <w:jc w:val="center"/>
              <w:outlineLvl w:val="0"/>
              <w:rPr>
                <w:bCs/>
                <w:sz w:val="20"/>
                <w:lang w:val="it-IT"/>
              </w:rPr>
            </w:pPr>
            <w:r w:rsidRPr="00330A40">
              <w:rPr>
                <w:bCs/>
                <w:sz w:val="20"/>
                <w:lang w:val="it-IT"/>
              </w:rPr>
              <w:t>(0</w:t>
            </w:r>
            <w:r w:rsidR="004475FD" w:rsidRPr="006A2BF9">
              <w:rPr>
                <w:bCs/>
                <w:sz w:val="20"/>
                <w:lang w:val="it-IT"/>
              </w:rPr>
              <w:t>,</w:t>
            </w:r>
            <w:r w:rsidRPr="006A2BF9">
              <w:rPr>
                <w:bCs/>
                <w:sz w:val="20"/>
                <w:lang w:val="it-IT"/>
              </w:rPr>
              <w:t>63, 0</w:t>
            </w:r>
            <w:r w:rsidR="004475FD" w:rsidRPr="006A2BF9">
              <w:rPr>
                <w:bCs/>
                <w:sz w:val="20"/>
                <w:lang w:val="it-IT"/>
              </w:rPr>
              <w:t>,</w:t>
            </w:r>
            <w:r w:rsidRPr="006A2BF9">
              <w:rPr>
                <w:bCs/>
                <w:sz w:val="20"/>
                <w:lang w:val="it-IT"/>
              </w:rPr>
              <w:t>96)</w:t>
            </w:r>
          </w:p>
        </w:tc>
      </w:tr>
      <w:tr w:rsidR="00972612" w:rsidRPr="006A2BF9" w14:paraId="6AB5E096" w14:textId="77777777" w:rsidTr="00C65E97">
        <w:tc>
          <w:tcPr>
            <w:tcW w:w="9207" w:type="dxa"/>
            <w:gridSpan w:val="4"/>
            <w:tcBorders>
              <w:top w:val="single" w:sz="4" w:space="0" w:color="auto"/>
              <w:left w:val="single" w:sz="4" w:space="0" w:color="auto"/>
              <w:bottom w:val="single" w:sz="4" w:space="0" w:color="auto"/>
              <w:right w:val="single" w:sz="4" w:space="0" w:color="auto"/>
            </w:tcBorders>
          </w:tcPr>
          <w:p w14:paraId="305FEA8D" w14:textId="77777777" w:rsidR="00972612" w:rsidRPr="006A2BF9" w:rsidRDefault="00972612" w:rsidP="00972612">
            <w:pPr>
              <w:outlineLvl w:val="0"/>
              <w:rPr>
                <w:bCs/>
                <w:sz w:val="20"/>
                <w:lang w:val="it-IT"/>
              </w:rPr>
            </w:pPr>
            <w:r w:rsidRPr="006A2BF9">
              <w:rPr>
                <w:bCs/>
                <w:sz w:val="20"/>
                <w:lang w:val="it-IT"/>
              </w:rPr>
              <w:t>Pazienti randomizzati in stadio</w:t>
            </w:r>
            <w:r w:rsidR="0028755D" w:rsidRPr="006A2BF9">
              <w:rPr>
                <w:bCs/>
                <w:sz w:val="20"/>
                <w:lang w:val="it-IT"/>
              </w:rPr>
              <w:t> </w:t>
            </w:r>
            <w:r w:rsidRPr="006A2BF9">
              <w:rPr>
                <w:bCs/>
                <w:sz w:val="20"/>
                <w:lang w:val="it-IT"/>
              </w:rPr>
              <w:t>IV</w:t>
            </w:r>
            <w:r w:rsidR="005C77B7" w:rsidRPr="006A2BF9">
              <w:rPr>
                <w:bCs/>
                <w:sz w:val="20"/>
                <w:lang w:val="it-IT"/>
              </w:rPr>
              <w:t xml:space="preserve"> di malattia</w:t>
            </w:r>
          </w:p>
        </w:tc>
      </w:tr>
      <w:tr w:rsidR="00972612" w:rsidRPr="006A2BF9" w14:paraId="66C3AC5E" w14:textId="77777777" w:rsidTr="00C65E97">
        <w:tc>
          <w:tcPr>
            <w:tcW w:w="2840" w:type="dxa"/>
            <w:tcBorders>
              <w:top w:val="nil"/>
              <w:left w:val="single" w:sz="4" w:space="0" w:color="auto"/>
              <w:bottom w:val="nil"/>
              <w:right w:val="single" w:sz="6" w:space="0" w:color="000000"/>
            </w:tcBorders>
          </w:tcPr>
          <w:p w14:paraId="5E75D1A0" w14:textId="77777777" w:rsidR="00972612" w:rsidRPr="006A2BF9" w:rsidRDefault="00972612" w:rsidP="00972612">
            <w:pPr>
              <w:outlineLvl w:val="0"/>
              <w:rPr>
                <w:bCs/>
                <w:sz w:val="20"/>
                <w:lang w:val="it-IT"/>
              </w:rPr>
            </w:pPr>
          </w:p>
        </w:tc>
        <w:tc>
          <w:tcPr>
            <w:tcW w:w="2122" w:type="dxa"/>
            <w:tcBorders>
              <w:top w:val="nil"/>
              <w:left w:val="single" w:sz="6" w:space="0" w:color="000000"/>
              <w:bottom w:val="nil"/>
              <w:right w:val="single" w:sz="6" w:space="0" w:color="000000"/>
            </w:tcBorders>
            <w:vAlign w:val="center"/>
          </w:tcPr>
          <w:p w14:paraId="68F7DFFB" w14:textId="77777777" w:rsidR="00972612" w:rsidRPr="006A2BF9" w:rsidRDefault="00972612" w:rsidP="007D713C">
            <w:pPr>
              <w:jc w:val="center"/>
              <w:outlineLvl w:val="0"/>
              <w:rPr>
                <w:bCs/>
                <w:sz w:val="20"/>
                <w:lang w:val="it-IT"/>
              </w:rPr>
            </w:pPr>
            <w:r w:rsidRPr="006A2BF9">
              <w:rPr>
                <w:bCs/>
                <w:sz w:val="20"/>
                <w:lang w:val="it-IT"/>
              </w:rPr>
              <w:t>CPP</w:t>
            </w:r>
            <w:r w:rsidRPr="006A2BF9">
              <w:rPr>
                <w:bCs/>
                <w:sz w:val="20"/>
                <w:lang w:val="it-IT"/>
              </w:rPr>
              <w:br/>
              <w:t>(n =</w:t>
            </w:r>
            <w:r w:rsidR="0028755D" w:rsidRPr="006A2BF9">
              <w:rPr>
                <w:bCs/>
                <w:sz w:val="20"/>
                <w:lang w:val="it-IT"/>
              </w:rPr>
              <w:t> </w:t>
            </w:r>
            <w:r w:rsidRPr="006A2BF9">
              <w:rPr>
                <w:bCs/>
                <w:sz w:val="20"/>
                <w:lang w:val="it-IT"/>
              </w:rPr>
              <w:t>153)</w:t>
            </w:r>
          </w:p>
        </w:tc>
        <w:tc>
          <w:tcPr>
            <w:tcW w:w="2122" w:type="dxa"/>
            <w:tcBorders>
              <w:top w:val="nil"/>
              <w:left w:val="single" w:sz="6" w:space="0" w:color="000000"/>
              <w:bottom w:val="nil"/>
              <w:right w:val="single" w:sz="6" w:space="0" w:color="000000"/>
            </w:tcBorders>
            <w:vAlign w:val="center"/>
          </w:tcPr>
          <w:p w14:paraId="08589FDD" w14:textId="77777777" w:rsidR="00972612" w:rsidRPr="006A2BF9" w:rsidRDefault="00972612" w:rsidP="007D713C">
            <w:pPr>
              <w:jc w:val="center"/>
              <w:outlineLvl w:val="0"/>
              <w:rPr>
                <w:bCs/>
                <w:sz w:val="20"/>
                <w:lang w:val="it-IT"/>
              </w:rPr>
            </w:pPr>
            <w:r w:rsidRPr="006A2BF9">
              <w:rPr>
                <w:bCs/>
                <w:sz w:val="20"/>
                <w:lang w:val="it-IT"/>
              </w:rPr>
              <w:t>CPB15</w:t>
            </w:r>
            <w:r w:rsidRPr="006A2BF9">
              <w:rPr>
                <w:bCs/>
                <w:sz w:val="20"/>
                <w:lang w:val="it-IT"/>
              </w:rPr>
              <w:br/>
              <w:t>(n =</w:t>
            </w:r>
            <w:r w:rsidR="0028755D" w:rsidRPr="006A2BF9">
              <w:rPr>
                <w:bCs/>
                <w:sz w:val="20"/>
                <w:lang w:val="it-IT"/>
              </w:rPr>
              <w:t> </w:t>
            </w:r>
            <w:r w:rsidRPr="006A2BF9">
              <w:rPr>
                <w:bCs/>
                <w:sz w:val="20"/>
                <w:lang w:val="it-IT"/>
              </w:rPr>
              <w:t>165)</w:t>
            </w:r>
          </w:p>
        </w:tc>
        <w:tc>
          <w:tcPr>
            <w:tcW w:w="2123" w:type="dxa"/>
            <w:tcBorders>
              <w:top w:val="nil"/>
              <w:left w:val="single" w:sz="6" w:space="0" w:color="000000"/>
              <w:bottom w:val="nil"/>
              <w:right w:val="single" w:sz="4" w:space="0" w:color="auto"/>
            </w:tcBorders>
            <w:vAlign w:val="center"/>
          </w:tcPr>
          <w:p w14:paraId="4AF9A88B" w14:textId="77777777" w:rsidR="00972612" w:rsidRPr="006A2BF9" w:rsidRDefault="00972612" w:rsidP="007D713C">
            <w:pPr>
              <w:jc w:val="center"/>
              <w:outlineLvl w:val="0"/>
              <w:rPr>
                <w:bCs/>
                <w:sz w:val="20"/>
                <w:lang w:val="it-IT"/>
              </w:rPr>
            </w:pPr>
            <w:r w:rsidRPr="006A2BF9">
              <w:rPr>
                <w:bCs/>
                <w:sz w:val="20"/>
                <w:lang w:val="it-IT"/>
              </w:rPr>
              <w:t>CPB15+</w:t>
            </w:r>
            <w:r w:rsidRPr="006A2BF9">
              <w:rPr>
                <w:bCs/>
                <w:sz w:val="20"/>
                <w:lang w:val="it-IT"/>
              </w:rPr>
              <w:br/>
              <w:t>(n =</w:t>
            </w:r>
            <w:r w:rsidR="0028755D" w:rsidRPr="006A2BF9">
              <w:rPr>
                <w:bCs/>
                <w:sz w:val="20"/>
                <w:lang w:val="it-IT"/>
              </w:rPr>
              <w:t> </w:t>
            </w:r>
            <w:r w:rsidRPr="006A2BF9">
              <w:rPr>
                <w:bCs/>
                <w:sz w:val="20"/>
                <w:lang w:val="it-IT"/>
              </w:rPr>
              <w:t>165)</w:t>
            </w:r>
          </w:p>
        </w:tc>
      </w:tr>
      <w:tr w:rsidR="00972612" w:rsidRPr="006A2BF9" w14:paraId="61C907EF" w14:textId="77777777" w:rsidTr="00C65E97">
        <w:tc>
          <w:tcPr>
            <w:tcW w:w="2840" w:type="dxa"/>
            <w:tcBorders>
              <w:top w:val="nil"/>
              <w:left w:val="single" w:sz="4" w:space="0" w:color="auto"/>
              <w:bottom w:val="nil"/>
              <w:right w:val="single" w:sz="6" w:space="0" w:color="000000"/>
            </w:tcBorders>
          </w:tcPr>
          <w:p w14:paraId="7BB8841C" w14:textId="77777777" w:rsidR="00972612" w:rsidRPr="006A2BF9" w:rsidRDefault="00972612" w:rsidP="00972612">
            <w:pPr>
              <w:outlineLvl w:val="0"/>
              <w:rPr>
                <w:bCs/>
                <w:sz w:val="20"/>
                <w:lang w:val="it-IT"/>
              </w:rPr>
            </w:pPr>
            <w:r w:rsidRPr="006A2BF9">
              <w:rPr>
                <w:bCs/>
                <w:sz w:val="20"/>
                <w:lang w:val="it-IT"/>
              </w:rPr>
              <w:t>PFS mediana (mesi)</w:t>
            </w:r>
          </w:p>
        </w:tc>
        <w:tc>
          <w:tcPr>
            <w:tcW w:w="2122" w:type="dxa"/>
            <w:tcBorders>
              <w:top w:val="nil"/>
              <w:left w:val="single" w:sz="6" w:space="0" w:color="000000"/>
              <w:bottom w:val="nil"/>
              <w:right w:val="single" w:sz="6" w:space="0" w:color="000000"/>
            </w:tcBorders>
            <w:vAlign w:val="center"/>
          </w:tcPr>
          <w:p w14:paraId="70B130F0" w14:textId="77777777" w:rsidR="00972612" w:rsidRPr="006A2BF9" w:rsidRDefault="00972612" w:rsidP="007D713C">
            <w:pPr>
              <w:jc w:val="center"/>
              <w:outlineLvl w:val="0"/>
              <w:rPr>
                <w:bCs/>
                <w:sz w:val="20"/>
                <w:lang w:val="it-IT"/>
              </w:rPr>
            </w:pPr>
            <w:r w:rsidRPr="006A2BF9">
              <w:rPr>
                <w:bCs/>
                <w:sz w:val="20"/>
                <w:lang w:val="it-IT"/>
              </w:rPr>
              <w:t>9</w:t>
            </w:r>
            <w:r w:rsidR="004475FD" w:rsidRPr="006A2BF9">
              <w:rPr>
                <w:bCs/>
                <w:sz w:val="20"/>
                <w:lang w:val="it-IT"/>
              </w:rPr>
              <w:t>,</w:t>
            </w:r>
            <w:r w:rsidRPr="006A2BF9">
              <w:rPr>
                <w:bCs/>
                <w:sz w:val="20"/>
                <w:lang w:val="it-IT"/>
              </w:rPr>
              <w:t>5</w:t>
            </w:r>
          </w:p>
        </w:tc>
        <w:tc>
          <w:tcPr>
            <w:tcW w:w="2122" w:type="dxa"/>
            <w:tcBorders>
              <w:top w:val="nil"/>
              <w:left w:val="single" w:sz="6" w:space="0" w:color="000000"/>
              <w:bottom w:val="nil"/>
              <w:right w:val="single" w:sz="6" w:space="0" w:color="000000"/>
            </w:tcBorders>
            <w:vAlign w:val="center"/>
          </w:tcPr>
          <w:p w14:paraId="58AF5050" w14:textId="77777777" w:rsidR="00972612" w:rsidRPr="006A2BF9" w:rsidRDefault="00972612" w:rsidP="007D713C">
            <w:pPr>
              <w:jc w:val="center"/>
              <w:outlineLvl w:val="0"/>
              <w:rPr>
                <w:bCs/>
                <w:sz w:val="20"/>
                <w:lang w:val="it-IT"/>
              </w:rPr>
            </w:pPr>
            <w:r w:rsidRPr="006A2BF9">
              <w:rPr>
                <w:bCs/>
                <w:sz w:val="20"/>
                <w:lang w:val="it-IT"/>
              </w:rPr>
              <w:t>10</w:t>
            </w:r>
            <w:r w:rsidR="004475FD" w:rsidRPr="006A2BF9">
              <w:rPr>
                <w:bCs/>
                <w:sz w:val="20"/>
                <w:lang w:val="it-IT"/>
              </w:rPr>
              <w:t>,</w:t>
            </w:r>
            <w:r w:rsidRPr="006A2BF9">
              <w:rPr>
                <w:bCs/>
                <w:sz w:val="20"/>
                <w:lang w:val="it-IT"/>
              </w:rPr>
              <w:t>4</w:t>
            </w:r>
          </w:p>
        </w:tc>
        <w:tc>
          <w:tcPr>
            <w:tcW w:w="2123" w:type="dxa"/>
            <w:tcBorders>
              <w:top w:val="nil"/>
              <w:left w:val="single" w:sz="6" w:space="0" w:color="000000"/>
              <w:bottom w:val="nil"/>
              <w:right w:val="single" w:sz="4" w:space="0" w:color="auto"/>
            </w:tcBorders>
            <w:vAlign w:val="center"/>
          </w:tcPr>
          <w:p w14:paraId="58A8E0E8" w14:textId="77777777" w:rsidR="00972612" w:rsidRPr="006A2BF9" w:rsidRDefault="00972612" w:rsidP="007D713C">
            <w:pPr>
              <w:jc w:val="center"/>
              <w:outlineLvl w:val="0"/>
              <w:rPr>
                <w:bCs/>
                <w:sz w:val="20"/>
                <w:lang w:val="it-IT"/>
              </w:rPr>
            </w:pPr>
            <w:r w:rsidRPr="006A2BF9">
              <w:rPr>
                <w:bCs/>
                <w:sz w:val="20"/>
                <w:lang w:val="it-IT"/>
              </w:rPr>
              <w:t>12</w:t>
            </w:r>
            <w:r w:rsidR="004475FD" w:rsidRPr="006A2BF9">
              <w:rPr>
                <w:bCs/>
                <w:sz w:val="20"/>
                <w:lang w:val="it-IT"/>
              </w:rPr>
              <w:t>,</w:t>
            </w:r>
            <w:r w:rsidRPr="006A2BF9">
              <w:rPr>
                <w:bCs/>
                <w:sz w:val="20"/>
                <w:lang w:val="it-IT"/>
              </w:rPr>
              <w:t>8</w:t>
            </w:r>
          </w:p>
        </w:tc>
      </w:tr>
      <w:tr w:rsidR="00972612" w:rsidRPr="006A2BF9" w14:paraId="5560F3BF" w14:textId="77777777" w:rsidTr="00C65E97">
        <w:tc>
          <w:tcPr>
            <w:tcW w:w="2840" w:type="dxa"/>
            <w:tcBorders>
              <w:top w:val="nil"/>
              <w:left w:val="single" w:sz="4" w:space="0" w:color="auto"/>
              <w:bottom w:val="single" w:sz="4" w:space="0" w:color="auto"/>
              <w:right w:val="single" w:sz="6" w:space="0" w:color="000000"/>
            </w:tcBorders>
          </w:tcPr>
          <w:p w14:paraId="78424BFD" w14:textId="77777777" w:rsidR="00972612" w:rsidRPr="00330A40" w:rsidRDefault="004475FD" w:rsidP="00330A40">
            <w:pPr>
              <w:outlineLvl w:val="0"/>
              <w:rPr>
                <w:bCs/>
                <w:szCs w:val="22"/>
                <w:lang w:val="it-IT"/>
              </w:rPr>
            </w:pPr>
            <w:r w:rsidRPr="000F0246">
              <w:rPr>
                <w:bCs/>
                <w:i/>
                <w:szCs w:val="22"/>
                <w:lang w:val="it-IT"/>
              </w:rPr>
              <w:t xml:space="preserve">Hazard </w:t>
            </w:r>
            <w:r w:rsidR="00330A40">
              <w:rPr>
                <w:bCs/>
                <w:i/>
                <w:szCs w:val="22"/>
                <w:lang w:val="it-IT"/>
              </w:rPr>
              <w:t>r</w:t>
            </w:r>
            <w:r w:rsidR="00330A40" w:rsidRPr="000F0246">
              <w:rPr>
                <w:bCs/>
                <w:i/>
                <w:szCs w:val="22"/>
                <w:lang w:val="it-IT"/>
              </w:rPr>
              <w:t>atio</w:t>
            </w:r>
            <w:r w:rsidR="00330A40" w:rsidRPr="00330A40">
              <w:rPr>
                <w:bCs/>
                <w:szCs w:val="22"/>
                <w:lang w:val="it-IT"/>
              </w:rPr>
              <w:t xml:space="preserve"> </w:t>
            </w:r>
            <w:r w:rsidRPr="00330A40">
              <w:rPr>
                <w:bCs/>
                <w:szCs w:val="22"/>
                <w:lang w:val="it-IT"/>
              </w:rPr>
              <w:t>(</w:t>
            </w:r>
            <w:r w:rsidR="005C77B7" w:rsidRPr="00330A40">
              <w:rPr>
                <w:bCs/>
                <w:szCs w:val="22"/>
                <w:lang w:val="it-IT"/>
              </w:rPr>
              <w:t>IC</w:t>
            </w:r>
            <w:r w:rsidR="00831FDE">
              <w:rPr>
                <w:bCs/>
                <w:szCs w:val="22"/>
                <w:lang w:val="it-IT"/>
              </w:rPr>
              <w:t xml:space="preserve"> al</w:t>
            </w:r>
            <w:r w:rsidR="005C77B7" w:rsidRPr="00330A40">
              <w:rPr>
                <w:bCs/>
                <w:szCs w:val="22"/>
                <w:lang w:val="it-IT"/>
              </w:rPr>
              <w:t xml:space="preserve"> </w:t>
            </w:r>
            <w:r w:rsidRPr="00330A40">
              <w:rPr>
                <w:bCs/>
                <w:szCs w:val="22"/>
                <w:lang w:val="it-IT"/>
              </w:rPr>
              <w:t>95%</w:t>
            </w:r>
            <w:r w:rsidR="00972612" w:rsidRPr="00330A40">
              <w:rPr>
                <w:bCs/>
                <w:szCs w:val="22"/>
                <w:lang w:val="it-IT"/>
              </w:rPr>
              <w:t>)</w:t>
            </w:r>
            <w:r w:rsidR="00972612" w:rsidRPr="00330A40">
              <w:rPr>
                <w:bCs/>
                <w:szCs w:val="22"/>
                <w:vertAlign w:val="superscript"/>
                <w:lang w:val="it-IT"/>
              </w:rPr>
              <w:t>4</w:t>
            </w:r>
          </w:p>
        </w:tc>
        <w:tc>
          <w:tcPr>
            <w:tcW w:w="2122" w:type="dxa"/>
            <w:tcBorders>
              <w:top w:val="nil"/>
              <w:left w:val="single" w:sz="6" w:space="0" w:color="000000"/>
              <w:bottom w:val="single" w:sz="4" w:space="0" w:color="auto"/>
              <w:right w:val="single" w:sz="6" w:space="0" w:color="000000"/>
            </w:tcBorders>
            <w:vAlign w:val="center"/>
          </w:tcPr>
          <w:p w14:paraId="226A25E5" w14:textId="77777777" w:rsidR="00972612" w:rsidRPr="00330A40" w:rsidRDefault="00972612" w:rsidP="007D713C">
            <w:pPr>
              <w:jc w:val="center"/>
              <w:outlineLvl w:val="0"/>
              <w:rPr>
                <w:bCs/>
                <w:szCs w:val="22"/>
                <w:lang w:val="it-IT"/>
              </w:rPr>
            </w:pPr>
          </w:p>
        </w:tc>
        <w:tc>
          <w:tcPr>
            <w:tcW w:w="2122" w:type="dxa"/>
            <w:tcBorders>
              <w:top w:val="nil"/>
              <w:left w:val="single" w:sz="6" w:space="0" w:color="000000"/>
              <w:bottom w:val="single" w:sz="4" w:space="0" w:color="auto"/>
              <w:right w:val="single" w:sz="6" w:space="0" w:color="000000"/>
            </w:tcBorders>
            <w:vAlign w:val="center"/>
          </w:tcPr>
          <w:p w14:paraId="5D3C74C4" w14:textId="77777777" w:rsidR="00972612" w:rsidRPr="00330A40" w:rsidRDefault="00972612" w:rsidP="007D713C">
            <w:pPr>
              <w:jc w:val="center"/>
              <w:outlineLvl w:val="0"/>
              <w:rPr>
                <w:bCs/>
                <w:szCs w:val="22"/>
                <w:lang w:val="it-IT"/>
              </w:rPr>
            </w:pPr>
            <w:r w:rsidRPr="00330A40">
              <w:rPr>
                <w:bCs/>
                <w:szCs w:val="22"/>
                <w:lang w:val="it-IT"/>
              </w:rPr>
              <w:t>0</w:t>
            </w:r>
            <w:r w:rsidR="004475FD" w:rsidRPr="00330A40">
              <w:rPr>
                <w:bCs/>
                <w:szCs w:val="22"/>
                <w:lang w:val="it-IT"/>
              </w:rPr>
              <w:t>,</w:t>
            </w:r>
            <w:r w:rsidRPr="00330A40">
              <w:rPr>
                <w:bCs/>
                <w:szCs w:val="22"/>
                <w:lang w:val="it-IT"/>
              </w:rPr>
              <w:t>90</w:t>
            </w:r>
          </w:p>
          <w:p w14:paraId="73587458" w14:textId="77777777" w:rsidR="00972612" w:rsidRPr="00330A40" w:rsidRDefault="00972612" w:rsidP="007D713C">
            <w:pPr>
              <w:jc w:val="center"/>
              <w:outlineLvl w:val="0"/>
              <w:rPr>
                <w:bCs/>
                <w:szCs w:val="22"/>
                <w:lang w:val="it-IT"/>
              </w:rPr>
            </w:pPr>
            <w:r w:rsidRPr="00330A40">
              <w:rPr>
                <w:bCs/>
                <w:szCs w:val="22"/>
                <w:lang w:val="it-IT"/>
              </w:rPr>
              <w:t>(0</w:t>
            </w:r>
            <w:r w:rsidR="004475FD" w:rsidRPr="00330A40">
              <w:rPr>
                <w:bCs/>
                <w:szCs w:val="22"/>
                <w:lang w:val="it-IT"/>
              </w:rPr>
              <w:t>,</w:t>
            </w:r>
            <w:r w:rsidRPr="00330A40">
              <w:rPr>
                <w:bCs/>
                <w:szCs w:val="22"/>
                <w:lang w:val="it-IT"/>
              </w:rPr>
              <w:t>70, 1</w:t>
            </w:r>
            <w:r w:rsidR="004475FD" w:rsidRPr="00330A40">
              <w:rPr>
                <w:bCs/>
                <w:szCs w:val="22"/>
                <w:lang w:val="it-IT"/>
              </w:rPr>
              <w:t>,</w:t>
            </w:r>
            <w:r w:rsidRPr="00330A40">
              <w:rPr>
                <w:bCs/>
                <w:szCs w:val="22"/>
                <w:lang w:val="it-IT"/>
              </w:rPr>
              <w:t>16)</w:t>
            </w:r>
          </w:p>
        </w:tc>
        <w:tc>
          <w:tcPr>
            <w:tcW w:w="2123" w:type="dxa"/>
            <w:tcBorders>
              <w:top w:val="nil"/>
              <w:left w:val="single" w:sz="6" w:space="0" w:color="000000"/>
              <w:bottom w:val="single" w:sz="4" w:space="0" w:color="auto"/>
              <w:right w:val="single" w:sz="4" w:space="0" w:color="auto"/>
            </w:tcBorders>
            <w:vAlign w:val="center"/>
          </w:tcPr>
          <w:p w14:paraId="23743873" w14:textId="77777777" w:rsidR="00972612" w:rsidRPr="00330A40" w:rsidRDefault="00972612" w:rsidP="007D713C">
            <w:pPr>
              <w:jc w:val="center"/>
              <w:outlineLvl w:val="0"/>
              <w:rPr>
                <w:bCs/>
                <w:szCs w:val="22"/>
                <w:lang w:val="it-IT"/>
              </w:rPr>
            </w:pPr>
            <w:r w:rsidRPr="00330A40">
              <w:rPr>
                <w:bCs/>
                <w:szCs w:val="22"/>
                <w:lang w:val="it-IT"/>
              </w:rPr>
              <w:t>0</w:t>
            </w:r>
            <w:r w:rsidR="004475FD" w:rsidRPr="00330A40">
              <w:rPr>
                <w:bCs/>
                <w:szCs w:val="22"/>
                <w:lang w:val="it-IT"/>
              </w:rPr>
              <w:t>,</w:t>
            </w:r>
            <w:r w:rsidRPr="00330A40">
              <w:rPr>
                <w:bCs/>
                <w:szCs w:val="22"/>
                <w:lang w:val="it-IT"/>
              </w:rPr>
              <w:t>64</w:t>
            </w:r>
          </w:p>
          <w:p w14:paraId="3CA65D95" w14:textId="77777777" w:rsidR="00972612" w:rsidRPr="006A2BF9" w:rsidRDefault="00972612" w:rsidP="007D713C">
            <w:pPr>
              <w:jc w:val="center"/>
              <w:outlineLvl w:val="0"/>
              <w:rPr>
                <w:bCs/>
                <w:szCs w:val="22"/>
                <w:lang w:val="it-IT"/>
              </w:rPr>
            </w:pPr>
            <w:r w:rsidRPr="00330A40">
              <w:rPr>
                <w:bCs/>
                <w:szCs w:val="22"/>
                <w:lang w:val="it-IT"/>
              </w:rPr>
              <w:t>(0</w:t>
            </w:r>
            <w:r w:rsidR="004475FD" w:rsidRPr="006A2BF9">
              <w:rPr>
                <w:bCs/>
                <w:szCs w:val="22"/>
                <w:lang w:val="it-IT"/>
              </w:rPr>
              <w:t>,</w:t>
            </w:r>
            <w:r w:rsidRPr="006A2BF9">
              <w:rPr>
                <w:bCs/>
                <w:szCs w:val="22"/>
                <w:lang w:val="it-IT"/>
              </w:rPr>
              <w:t>49, 0</w:t>
            </w:r>
            <w:r w:rsidR="004475FD" w:rsidRPr="006A2BF9">
              <w:rPr>
                <w:bCs/>
                <w:szCs w:val="22"/>
                <w:lang w:val="it-IT"/>
              </w:rPr>
              <w:t>,</w:t>
            </w:r>
            <w:r w:rsidRPr="006A2BF9">
              <w:rPr>
                <w:bCs/>
                <w:szCs w:val="22"/>
                <w:lang w:val="it-IT"/>
              </w:rPr>
              <w:t>82)</w:t>
            </w:r>
          </w:p>
        </w:tc>
      </w:tr>
    </w:tbl>
    <w:p w14:paraId="0373BF55" w14:textId="77777777" w:rsidR="004475FD" w:rsidRPr="006A2BF9" w:rsidRDefault="00972612" w:rsidP="00972612">
      <w:pPr>
        <w:outlineLvl w:val="0"/>
        <w:rPr>
          <w:bCs/>
          <w:sz w:val="20"/>
          <w:lang w:val="it-IT"/>
        </w:rPr>
      </w:pPr>
      <w:r w:rsidRPr="006A2BF9">
        <w:rPr>
          <w:bCs/>
          <w:sz w:val="20"/>
          <w:vertAlign w:val="superscript"/>
          <w:lang w:val="it-IT"/>
        </w:rPr>
        <w:t>1 </w:t>
      </w:r>
      <w:r w:rsidR="004475FD" w:rsidRPr="006A2BF9">
        <w:rPr>
          <w:bCs/>
          <w:sz w:val="20"/>
          <w:lang w:val="it-IT"/>
        </w:rPr>
        <w:t xml:space="preserve">Analisi della PFS valutata </w:t>
      </w:r>
      <w:r w:rsidR="001F498F" w:rsidRPr="006A2BF9">
        <w:rPr>
          <w:bCs/>
          <w:sz w:val="20"/>
          <w:lang w:val="it-IT"/>
        </w:rPr>
        <w:t>dallo sperimentatore</w:t>
      </w:r>
      <w:r w:rsidR="004475FD" w:rsidRPr="006A2BF9">
        <w:rPr>
          <w:bCs/>
          <w:sz w:val="20"/>
          <w:lang w:val="it-IT"/>
        </w:rPr>
        <w:t xml:space="preserve"> in base ai parametri GOG specificati dal protocollo (pazienti non </w:t>
      </w:r>
      <w:r w:rsidR="005C77B7" w:rsidRPr="006A2BF9">
        <w:rPr>
          <w:bCs/>
          <w:sz w:val="20"/>
          <w:lang w:val="it-IT"/>
        </w:rPr>
        <w:t xml:space="preserve">censurate </w:t>
      </w:r>
      <w:r w:rsidR="004C3C77" w:rsidRPr="006A2BF9">
        <w:rPr>
          <w:bCs/>
          <w:sz w:val="20"/>
          <w:lang w:val="it-IT"/>
        </w:rPr>
        <w:t>né</w:t>
      </w:r>
      <w:r w:rsidR="004475FD" w:rsidRPr="006A2BF9">
        <w:rPr>
          <w:bCs/>
          <w:sz w:val="20"/>
          <w:lang w:val="it-IT"/>
        </w:rPr>
        <w:t>, per progressione definita in base al CA 125 né per NPT</w:t>
      </w:r>
      <w:r w:rsidR="005C77B7" w:rsidRPr="006A2BF9">
        <w:rPr>
          <w:bCs/>
          <w:sz w:val="20"/>
          <w:lang w:val="it-IT"/>
        </w:rPr>
        <w:t xml:space="preserve"> prima della progressione della malattia</w:t>
      </w:r>
      <w:r w:rsidR="004475FD" w:rsidRPr="006A2BF9">
        <w:rPr>
          <w:bCs/>
          <w:sz w:val="20"/>
          <w:lang w:val="it-IT"/>
        </w:rPr>
        <w:t xml:space="preserve">) </w:t>
      </w:r>
      <w:r w:rsidR="009B4D3B" w:rsidRPr="006A2BF9">
        <w:rPr>
          <w:bCs/>
          <w:sz w:val="20"/>
          <w:lang w:val="it-IT"/>
        </w:rPr>
        <w:t xml:space="preserve">con </w:t>
      </w:r>
      <w:r w:rsidR="004475FD" w:rsidRPr="006A2BF9">
        <w:rPr>
          <w:bCs/>
          <w:sz w:val="20"/>
          <w:lang w:val="it-IT"/>
        </w:rPr>
        <w:t xml:space="preserve">cut-off </w:t>
      </w:r>
      <w:r w:rsidR="009B4D3B" w:rsidRPr="006A2BF9">
        <w:rPr>
          <w:bCs/>
          <w:sz w:val="20"/>
          <w:lang w:val="it-IT"/>
        </w:rPr>
        <w:t xml:space="preserve">dei dati </w:t>
      </w:r>
      <w:r w:rsidR="004475FD" w:rsidRPr="006A2BF9">
        <w:rPr>
          <w:bCs/>
          <w:sz w:val="20"/>
          <w:lang w:val="it-IT"/>
        </w:rPr>
        <w:t xml:space="preserve">al 25 </w:t>
      </w:r>
      <w:r w:rsidR="00CC12DE" w:rsidRPr="006A2BF9">
        <w:rPr>
          <w:bCs/>
          <w:sz w:val="20"/>
          <w:lang w:val="it-IT"/>
        </w:rPr>
        <w:t xml:space="preserve">febbraio </w:t>
      </w:r>
      <w:r w:rsidR="004475FD" w:rsidRPr="006A2BF9">
        <w:rPr>
          <w:bCs/>
          <w:sz w:val="20"/>
          <w:lang w:val="it-IT"/>
        </w:rPr>
        <w:t>2010.</w:t>
      </w:r>
    </w:p>
    <w:p w14:paraId="0A7FC44C" w14:textId="77777777" w:rsidR="00972612" w:rsidRPr="006A2BF9" w:rsidRDefault="00972612" w:rsidP="00972612">
      <w:pPr>
        <w:outlineLvl w:val="0"/>
        <w:rPr>
          <w:bCs/>
          <w:sz w:val="20"/>
          <w:lang w:val="it-IT"/>
        </w:rPr>
      </w:pPr>
      <w:r w:rsidRPr="006A2BF9">
        <w:rPr>
          <w:bCs/>
          <w:sz w:val="20"/>
          <w:vertAlign w:val="superscript"/>
          <w:lang w:val="it-IT"/>
        </w:rPr>
        <w:t>2 </w:t>
      </w:r>
      <w:r w:rsidR="005C77B7" w:rsidRPr="006A2BF9">
        <w:rPr>
          <w:bCs/>
          <w:sz w:val="20"/>
          <w:lang w:val="it-IT"/>
        </w:rPr>
        <w:t>Con r</w:t>
      </w:r>
      <w:r w:rsidRPr="006A2BF9">
        <w:rPr>
          <w:bCs/>
          <w:sz w:val="20"/>
          <w:lang w:val="it-IT"/>
        </w:rPr>
        <w:t>esiduo di malattia</w:t>
      </w:r>
      <w:r w:rsidR="005C77B7" w:rsidRPr="006A2BF9">
        <w:rPr>
          <w:bCs/>
          <w:sz w:val="20"/>
          <w:lang w:val="it-IT"/>
        </w:rPr>
        <w:t xml:space="preserve"> macroscopico</w:t>
      </w:r>
    </w:p>
    <w:p w14:paraId="629A55B9" w14:textId="0D3FFA92" w:rsidR="00972612" w:rsidRPr="006A2BF9" w:rsidRDefault="00972612" w:rsidP="00972612">
      <w:pPr>
        <w:outlineLvl w:val="0"/>
        <w:rPr>
          <w:bCs/>
          <w:sz w:val="20"/>
          <w:lang w:val="it-IT"/>
        </w:rPr>
      </w:pPr>
      <w:r w:rsidRPr="006A2BF9">
        <w:rPr>
          <w:bCs/>
          <w:sz w:val="20"/>
          <w:vertAlign w:val="superscript"/>
          <w:lang w:val="it-IT"/>
        </w:rPr>
        <w:t>3 </w:t>
      </w:r>
      <w:r w:rsidR="005C77B7" w:rsidRPr="006A2BF9">
        <w:rPr>
          <w:bCs/>
          <w:sz w:val="20"/>
          <w:lang w:val="it-IT"/>
        </w:rPr>
        <w:t>Il</w:t>
      </w:r>
      <w:r w:rsidR="00AA5AAE" w:rsidRPr="006A2BF9">
        <w:rPr>
          <w:bCs/>
          <w:sz w:val="20"/>
          <w:lang w:val="it-IT"/>
        </w:rPr>
        <w:t xml:space="preserve"> </w:t>
      </w:r>
      <w:r w:rsidR="004475FD" w:rsidRPr="006A2BF9">
        <w:rPr>
          <w:bCs/>
          <w:sz w:val="20"/>
          <w:lang w:val="it-IT"/>
        </w:rPr>
        <w:t>3,</w:t>
      </w:r>
      <w:r w:rsidRPr="006A2BF9">
        <w:rPr>
          <w:bCs/>
          <w:sz w:val="20"/>
          <w:lang w:val="it-IT"/>
        </w:rPr>
        <w:t xml:space="preserve">7% di tutti pazienti randomizzati era in </w:t>
      </w:r>
      <w:r w:rsidR="000A793E">
        <w:rPr>
          <w:bCs/>
          <w:sz w:val="20"/>
          <w:lang w:val="it-IT"/>
        </w:rPr>
        <w:t>s</w:t>
      </w:r>
      <w:r w:rsidRPr="006A2BF9">
        <w:rPr>
          <w:bCs/>
          <w:sz w:val="20"/>
          <w:lang w:val="it-IT"/>
        </w:rPr>
        <w:t>tadio</w:t>
      </w:r>
      <w:r w:rsidR="0028755D" w:rsidRPr="006A2BF9">
        <w:rPr>
          <w:bCs/>
          <w:sz w:val="20"/>
          <w:lang w:val="it-IT"/>
        </w:rPr>
        <w:t> </w:t>
      </w:r>
      <w:r w:rsidRPr="006A2BF9">
        <w:rPr>
          <w:bCs/>
          <w:sz w:val="20"/>
          <w:lang w:val="it-IT"/>
        </w:rPr>
        <w:t>IIIB</w:t>
      </w:r>
      <w:r w:rsidR="005C77B7" w:rsidRPr="006A2BF9">
        <w:rPr>
          <w:bCs/>
          <w:sz w:val="20"/>
          <w:lang w:val="it-IT"/>
        </w:rPr>
        <w:t xml:space="preserve"> di malattia</w:t>
      </w:r>
    </w:p>
    <w:p w14:paraId="55D78A4C" w14:textId="77777777" w:rsidR="00972612" w:rsidRPr="006A2BF9" w:rsidRDefault="00972612" w:rsidP="00972612">
      <w:pPr>
        <w:outlineLvl w:val="0"/>
        <w:rPr>
          <w:bCs/>
          <w:sz w:val="20"/>
          <w:lang w:val="it-IT"/>
        </w:rPr>
      </w:pPr>
      <w:r w:rsidRPr="006A2BF9" w:rsidDel="00C25EA6">
        <w:rPr>
          <w:bCs/>
          <w:sz w:val="20"/>
          <w:vertAlign w:val="superscript"/>
          <w:lang w:val="it-IT"/>
        </w:rPr>
        <w:t>4</w:t>
      </w:r>
      <w:r w:rsidRPr="006A2BF9">
        <w:rPr>
          <w:bCs/>
          <w:sz w:val="20"/>
          <w:vertAlign w:val="superscript"/>
          <w:lang w:val="it-IT"/>
        </w:rPr>
        <w:t> </w:t>
      </w:r>
      <w:r w:rsidRPr="006A2BF9">
        <w:rPr>
          <w:bCs/>
          <w:sz w:val="20"/>
          <w:lang w:val="it-IT"/>
        </w:rPr>
        <w:t>Relativamente al braccio di controllo</w:t>
      </w:r>
    </w:p>
    <w:p w14:paraId="48E17B9F" w14:textId="77777777" w:rsidR="00972612" w:rsidRPr="006A2BF9" w:rsidRDefault="00972612" w:rsidP="00972612">
      <w:pPr>
        <w:outlineLvl w:val="0"/>
        <w:rPr>
          <w:bCs/>
          <w:lang w:val="it-IT"/>
        </w:rPr>
      </w:pPr>
    </w:p>
    <w:p w14:paraId="0D505FD3" w14:textId="77777777" w:rsidR="00972612" w:rsidRPr="006A2BF9" w:rsidRDefault="00972612" w:rsidP="00972612">
      <w:pPr>
        <w:outlineLvl w:val="0"/>
        <w:rPr>
          <w:bCs/>
          <w:i/>
          <w:lang w:val="it-IT"/>
        </w:rPr>
      </w:pPr>
      <w:r w:rsidRPr="006A2BF9">
        <w:rPr>
          <w:bCs/>
          <w:i/>
          <w:lang w:val="it-IT"/>
        </w:rPr>
        <w:t>BO17707 (ICON7)</w:t>
      </w:r>
    </w:p>
    <w:p w14:paraId="5F78EC0E" w14:textId="77777777" w:rsidR="00972612" w:rsidRPr="006A2BF9" w:rsidRDefault="00972612" w:rsidP="00972612">
      <w:pPr>
        <w:outlineLvl w:val="0"/>
        <w:rPr>
          <w:bCs/>
          <w:lang w:val="it-IT"/>
        </w:rPr>
      </w:pPr>
      <w:r w:rsidRPr="006A2BF9">
        <w:rPr>
          <w:bCs/>
          <w:lang w:val="it-IT"/>
        </w:rPr>
        <w:t>BO17707 è uno studio di fase</w:t>
      </w:r>
      <w:r w:rsidR="00772EE7" w:rsidRPr="006A2BF9">
        <w:rPr>
          <w:bCs/>
          <w:lang w:val="it-IT"/>
        </w:rPr>
        <w:t> </w:t>
      </w:r>
      <w:r w:rsidRPr="006A2BF9">
        <w:rPr>
          <w:bCs/>
          <w:lang w:val="it-IT"/>
        </w:rPr>
        <w:t xml:space="preserve">III, a due bracci, multicentrico, randomizzato, controllato, in aperto che ha lo scopo di valutare l’effetto dell’aggiunta di </w:t>
      </w:r>
      <w:r w:rsidR="00772EE7" w:rsidRPr="006A2BF9">
        <w:rPr>
          <w:szCs w:val="22"/>
          <w:lang w:val="it-IT"/>
        </w:rPr>
        <w:t>bevacizumab</w:t>
      </w:r>
      <w:r w:rsidR="00772EE7" w:rsidRPr="006A2BF9" w:rsidDel="00772EE7">
        <w:rPr>
          <w:bCs/>
          <w:lang w:val="it-IT"/>
        </w:rPr>
        <w:t xml:space="preserve"> </w:t>
      </w:r>
      <w:r w:rsidR="004475FD" w:rsidRPr="006A2BF9">
        <w:rPr>
          <w:bCs/>
          <w:lang w:val="it-IT"/>
        </w:rPr>
        <w:t>a carboplatino e paclitaxel,</w:t>
      </w:r>
      <w:r w:rsidRPr="006A2BF9">
        <w:rPr>
          <w:bCs/>
          <w:lang w:val="it-IT"/>
        </w:rPr>
        <w:t xml:space="preserve"> dopo intervento chirurgico, in pazienti con </w:t>
      </w:r>
      <w:r w:rsidR="00CC12DE" w:rsidRPr="006A2BF9">
        <w:rPr>
          <w:bCs/>
          <w:lang w:val="it-IT"/>
        </w:rPr>
        <w:t xml:space="preserve">cancro </w:t>
      </w:r>
      <w:r w:rsidRPr="006A2BF9">
        <w:rPr>
          <w:bCs/>
          <w:lang w:val="it-IT"/>
        </w:rPr>
        <w:t>epiteliale</w:t>
      </w:r>
      <w:r w:rsidR="00CC12DE" w:rsidRPr="006A2BF9">
        <w:rPr>
          <w:bCs/>
          <w:lang w:val="it-IT"/>
        </w:rPr>
        <w:t xml:space="preserve"> dell’ovaio</w:t>
      </w:r>
      <w:r w:rsidRPr="006A2BF9">
        <w:rPr>
          <w:bCs/>
          <w:lang w:val="it-IT"/>
        </w:rPr>
        <w:t xml:space="preserve">, </w:t>
      </w:r>
      <w:r w:rsidR="00CC12DE" w:rsidRPr="006A2BF9">
        <w:rPr>
          <w:bCs/>
          <w:lang w:val="it-IT"/>
        </w:rPr>
        <w:t xml:space="preserve">cancro della tuba </w:t>
      </w:r>
      <w:r w:rsidRPr="006A2BF9">
        <w:rPr>
          <w:bCs/>
          <w:lang w:val="it-IT"/>
        </w:rPr>
        <w:t xml:space="preserve">di </w:t>
      </w:r>
      <w:r w:rsidR="00CF262D" w:rsidRPr="006A2BF9">
        <w:rPr>
          <w:bCs/>
          <w:lang w:val="it-IT"/>
        </w:rPr>
        <w:t>F</w:t>
      </w:r>
      <w:r w:rsidRPr="006A2BF9">
        <w:rPr>
          <w:bCs/>
          <w:lang w:val="it-IT"/>
        </w:rPr>
        <w:t xml:space="preserve">alloppio o </w:t>
      </w:r>
      <w:r w:rsidR="00CC12DE" w:rsidRPr="006A2BF9">
        <w:rPr>
          <w:bCs/>
          <w:lang w:val="it-IT"/>
        </w:rPr>
        <w:t xml:space="preserve">cancro </w:t>
      </w:r>
      <w:r w:rsidRPr="006A2BF9">
        <w:rPr>
          <w:bCs/>
          <w:lang w:val="it-IT"/>
        </w:rPr>
        <w:t>peritoneal</w:t>
      </w:r>
      <w:r w:rsidR="001349C9" w:rsidRPr="006A2BF9">
        <w:rPr>
          <w:bCs/>
          <w:lang w:val="it-IT"/>
        </w:rPr>
        <w:t>e primario in stadio</w:t>
      </w:r>
      <w:r w:rsidR="00772EE7" w:rsidRPr="006A2BF9">
        <w:rPr>
          <w:bCs/>
          <w:lang w:val="it-IT"/>
        </w:rPr>
        <w:t> </w:t>
      </w:r>
      <w:r w:rsidR="001349C9" w:rsidRPr="006A2BF9">
        <w:rPr>
          <w:bCs/>
          <w:lang w:val="it-IT"/>
        </w:rPr>
        <w:t>I o</w:t>
      </w:r>
      <w:r w:rsidR="00772EE7" w:rsidRPr="006A2BF9">
        <w:rPr>
          <w:bCs/>
          <w:lang w:val="it-IT"/>
        </w:rPr>
        <w:t> </w:t>
      </w:r>
      <w:r w:rsidR="001349C9" w:rsidRPr="006A2BF9">
        <w:rPr>
          <w:bCs/>
          <w:lang w:val="it-IT"/>
        </w:rPr>
        <w:t xml:space="preserve">IIA secondo </w:t>
      </w:r>
      <w:r w:rsidRPr="006A2BF9">
        <w:rPr>
          <w:bCs/>
          <w:lang w:val="it-IT"/>
        </w:rPr>
        <w:t>la classificazione FIGO (</w:t>
      </w:r>
      <w:r w:rsidR="00ED451F" w:rsidRPr="006A2BF9">
        <w:rPr>
          <w:bCs/>
          <w:lang w:val="it-IT"/>
        </w:rPr>
        <w:t>G</w:t>
      </w:r>
      <w:r w:rsidRPr="006A2BF9">
        <w:rPr>
          <w:bCs/>
          <w:lang w:val="it-IT"/>
        </w:rPr>
        <w:t>rado</w:t>
      </w:r>
      <w:r w:rsidR="00772EE7" w:rsidRPr="006A2BF9">
        <w:rPr>
          <w:bCs/>
          <w:lang w:val="it-IT"/>
        </w:rPr>
        <w:t> </w:t>
      </w:r>
      <w:r w:rsidRPr="006A2BF9">
        <w:rPr>
          <w:bCs/>
          <w:lang w:val="it-IT"/>
        </w:rPr>
        <w:t>3 o sottotipo istologico a cellule chiare; n</w:t>
      </w:r>
      <w:r w:rsidR="0028755D" w:rsidRPr="006A2BF9">
        <w:rPr>
          <w:bCs/>
          <w:lang w:val="it-IT"/>
        </w:rPr>
        <w:t> </w:t>
      </w:r>
      <w:r w:rsidRPr="006A2BF9">
        <w:rPr>
          <w:bCs/>
          <w:lang w:val="it-IT"/>
        </w:rPr>
        <w:t>=</w:t>
      </w:r>
      <w:r w:rsidR="0028755D" w:rsidRPr="006A2BF9">
        <w:rPr>
          <w:bCs/>
          <w:lang w:val="it-IT"/>
        </w:rPr>
        <w:t> </w:t>
      </w:r>
      <w:r w:rsidRPr="006A2BF9">
        <w:rPr>
          <w:bCs/>
          <w:lang w:val="it-IT"/>
        </w:rPr>
        <w:t>142), o stadio</w:t>
      </w:r>
      <w:r w:rsidR="0028755D" w:rsidRPr="006A2BF9">
        <w:rPr>
          <w:bCs/>
          <w:lang w:val="it-IT"/>
        </w:rPr>
        <w:t> </w:t>
      </w:r>
      <w:r w:rsidRPr="006A2BF9">
        <w:rPr>
          <w:bCs/>
          <w:lang w:val="it-IT"/>
        </w:rPr>
        <w:t>IIB</w:t>
      </w:r>
      <w:r w:rsidR="0028755D" w:rsidRPr="006A2BF9">
        <w:rPr>
          <w:bCs/>
          <w:lang w:val="it-IT"/>
        </w:rPr>
        <w:noBreakHyphen/>
      </w:r>
      <w:r w:rsidR="001349C9" w:rsidRPr="006A2BF9">
        <w:rPr>
          <w:bCs/>
          <w:lang w:val="it-IT"/>
        </w:rPr>
        <w:t xml:space="preserve">IV secondo </w:t>
      </w:r>
      <w:r w:rsidRPr="006A2BF9">
        <w:rPr>
          <w:bCs/>
          <w:lang w:val="it-IT"/>
        </w:rPr>
        <w:t xml:space="preserve">la classificazione FIGO (tutti i </w:t>
      </w:r>
      <w:r w:rsidR="00ED451F" w:rsidRPr="006A2BF9">
        <w:rPr>
          <w:bCs/>
          <w:lang w:val="it-IT"/>
        </w:rPr>
        <w:t>G</w:t>
      </w:r>
      <w:r w:rsidRPr="006A2BF9">
        <w:rPr>
          <w:bCs/>
          <w:lang w:val="it-IT"/>
        </w:rPr>
        <w:t>radi e tutti i tipi istologici, n</w:t>
      </w:r>
      <w:r w:rsidR="0028755D" w:rsidRPr="006A2BF9">
        <w:rPr>
          <w:bCs/>
          <w:lang w:val="it-IT"/>
        </w:rPr>
        <w:t> </w:t>
      </w:r>
      <w:r w:rsidRPr="006A2BF9">
        <w:rPr>
          <w:bCs/>
          <w:lang w:val="it-IT"/>
        </w:rPr>
        <w:t>=</w:t>
      </w:r>
      <w:r w:rsidR="0028755D" w:rsidRPr="006A2BF9">
        <w:rPr>
          <w:bCs/>
          <w:lang w:val="it-IT"/>
        </w:rPr>
        <w:t> </w:t>
      </w:r>
      <w:r w:rsidRPr="006A2BF9">
        <w:rPr>
          <w:bCs/>
          <w:lang w:val="it-IT"/>
        </w:rPr>
        <w:t>1386)</w:t>
      </w:r>
      <w:r w:rsidR="00ED451F" w:rsidRPr="006A2BF9">
        <w:rPr>
          <w:bCs/>
          <w:lang w:val="it-IT"/>
        </w:rPr>
        <w:t xml:space="preserve"> </w:t>
      </w:r>
      <w:r w:rsidR="00ED451F" w:rsidRPr="006A2BF9">
        <w:rPr>
          <w:lang w:val="it-IT"/>
        </w:rPr>
        <w:t>(NCI-CTCAE v.3)</w:t>
      </w:r>
      <w:r w:rsidRPr="006A2BF9">
        <w:rPr>
          <w:bCs/>
          <w:lang w:val="it-IT"/>
        </w:rPr>
        <w:t>.</w:t>
      </w:r>
      <w:r w:rsidR="0086135E" w:rsidRPr="006A2BF9">
        <w:rPr>
          <w:bCs/>
          <w:lang w:val="it-IT"/>
        </w:rPr>
        <w:t xml:space="preserve"> </w:t>
      </w:r>
      <w:r w:rsidR="005D7100">
        <w:rPr>
          <w:bCs/>
          <w:lang w:val="it-IT"/>
        </w:rPr>
        <w:t>L</w:t>
      </w:r>
      <w:r w:rsidR="00993C47" w:rsidRPr="006A2BF9">
        <w:rPr>
          <w:bCs/>
          <w:lang w:val="it-IT"/>
        </w:rPr>
        <w:t>a classificazione FIGO del 1988 è stata usata i</w:t>
      </w:r>
      <w:r w:rsidR="0086135E" w:rsidRPr="006A2BF9">
        <w:rPr>
          <w:bCs/>
          <w:lang w:val="it-IT"/>
        </w:rPr>
        <w:t>n questa sperimentazione.</w:t>
      </w:r>
    </w:p>
    <w:p w14:paraId="3D04BD16" w14:textId="77777777" w:rsidR="00B47AC4" w:rsidRPr="006A2BF9" w:rsidRDefault="00B47AC4" w:rsidP="00972612">
      <w:pPr>
        <w:outlineLvl w:val="0"/>
        <w:rPr>
          <w:bCs/>
          <w:lang w:val="it-IT"/>
        </w:rPr>
      </w:pPr>
    </w:p>
    <w:p w14:paraId="79D6D353" w14:textId="77777777" w:rsidR="00972612" w:rsidRPr="006A2BF9" w:rsidRDefault="00972612" w:rsidP="00972612">
      <w:pPr>
        <w:outlineLvl w:val="0"/>
        <w:rPr>
          <w:bCs/>
          <w:lang w:val="it-IT"/>
        </w:rPr>
      </w:pPr>
      <w:r w:rsidRPr="006A2BF9">
        <w:rPr>
          <w:bCs/>
          <w:lang w:val="it-IT"/>
        </w:rPr>
        <w:t xml:space="preserve">Dallo studio sono state escluse le pazienti che erano state precedentemente trattate con bevacizumab o terapia antineoplastica per </w:t>
      </w:r>
      <w:r w:rsidR="00772EC7" w:rsidRPr="006A2BF9">
        <w:rPr>
          <w:bCs/>
          <w:lang w:val="it-IT"/>
        </w:rPr>
        <w:t>cancro dell’ovaio</w:t>
      </w:r>
      <w:r w:rsidRPr="006A2BF9">
        <w:rPr>
          <w:bCs/>
          <w:lang w:val="it-IT"/>
        </w:rPr>
        <w:t xml:space="preserve"> (ad esempio chemioterapia, terapia con anticorpi monoclonali, terapia con inibitori delle tirosinchinasi o terapia ormonale) o </w:t>
      </w:r>
      <w:r w:rsidR="005C77B7" w:rsidRPr="006A2BF9">
        <w:rPr>
          <w:bCs/>
          <w:lang w:val="it-IT"/>
        </w:rPr>
        <w:t xml:space="preserve">pazienti </w:t>
      </w:r>
      <w:r w:rsidRPr="006A2BF9">
        <w:rPr>
          <w:bCs/>
          <w:lang w:val="it-IT"/>
        </w:rPr>
        <w:t>che avevano precedentemente ricevuto un trattamento radiotera</w:t>
      </w:r>
      <w:r w:rsidR="004475FD" w:rsidRPr="006A2BF9">
        <w:rPr>
          <w:bCs/>
          <w:lang w:val="it-IT"/>
        </w:rPr>
        <w:t>pico dell’addome o della pelvi.</w:t>
      </w:r>
    </w:p>
    <w:p w14:paraId="41760B4B" w14:textId="77777777" w:rsidR="00972612" w:rsidRPr="006A2BF9" w:rsidRDefault="00972612" w:rsidP="00972612">
      <w:pPr>
        <w:outlineLvl w:val="0"/>
        <w:rPr>
          <w:bCs/>
          <w:lang w:val="it-IT"/>
        </w:rPr>
      </w:pPr>
    </w:p>
    <w:p w14:paraId="689C04B3" w14:textId="77777777" w:rsidR="00972612" w:rsidRPr="006A2BF9" w:rsidRDefault="00972612" w:rsidP="00972612">
      <w:pPr>
        <w:outlineLvl w:val="0"/>
        <w:rPr>
          <w:bCs/>
          <w:lang w:val="it-IT"/>
        </w:rPr>
      </w:pPr>
      <w:r w:rsidRPr="006A2BF9">
        <w:rPr>
          <w:bCs/>
          <w:lang w:val="it-IT"/>
        </w:rPr>
        <w:t>Un totale di 1528</w:t>
      </w:r>
      <w:r w:rsidR="00772EE7" w:rsidRPr="006A2BF9">
        <w:rPr>
          <w:bCs/>
          <w:lang w:val="it-IT"/>
        </w:rPr>
        <w:t> </w:t>
      </w:r>
      <w:r w:rsidRPr="006A2BF9">
        <w:rPr>
          <w:bCs/>
          <w:lang w:val="it-IT"/>
        </w:rPr>
        <w:t>pazienti è stato randomizzato, in ra</w:t>
      </w:r>
      <w:r w:rsidR="004475FD" w:rsidRPr="006A2BF9">
        <w:rPr>
          <w:bCs/>
          <w:lang w:val="it-IT"/>
        </w:rPr>
        <w:t xml:space="preserve">pporti uguali, </w:t>
      </w:r>
      <w:r w:rsidRPr="006A2BF9">
        <w:rPr>
          <w:bCs/>
          <w:lang w:val="it-IT"/>
        </w:rPr>
        <w:t>nei seguenti due bracci:</w:t>
      </w:r>
    </w:p>
    <w:p w14:paraId="446D39AB" w14:textId="77777777" w:rsidR="00972612" w:rsidRPr="006A2BF9" w:rsidRDefault="00972612" w:rsidP="004475FD">
      <w:pPr>
        <w:ind w:left="851"/>
        <w:outlineLvl w:val="0"/>
        <w:rPr>
          <w:bCs/>
          <w:lang w:val="it-IT"/>
        </w:rPr>
      </w:pPr>
    </w:p>
    <w:p w14:paraId="2D4A2B84" w14:textId="77777777" w:rsidR="00972612" w:rsidRPr="00330A40" w:rsidRDefault="00DF4567" w:rsidP="00C65E97">
      <w:pPr>
        <w:ind w:left="567" w:hanging="567"/>
        <w:outlineLvl w:val="0"/>
        <w:rPr>
          <w:bCs/>
          <w:lang w:val="it-IT"/>
        </w:rPr>
      </w:pPr>
      <w:r w:rsidRPr="00330A40">
        <w:rPr>
          <w:bCs/>
          <w:lang w:val="it-IT"/>
        </w:rPr>
        <w:sym w:font="Symbol" w:char="F0B7"/>
      </w:r>
      <w:r w:rsidRPr="00330A40">
        <w:rPr>
          <w:bCs/>
          <w:lang w:val="it-IT"/>
        </w:rPr>
        <w:tab/>
      </w:r>
      <w:r w:rsidR="00772EC7" w:rsidRPr="00330A40">
        <w:rPr>
          <w:bCs/>
          <w:lang w:val="it-IT"/>
        </w:rPr>
        <w:t xml:space="preserve">braccio </w:t>
      </w:r>
      <w:r w:rsidR="00972612" w:rsidRPr="00330A40">
        <w:rPr>
          <w:bCs/>
          <w:lang w:val="it-IT"/>
        </w:rPr>
        <w:t xml:space="preserve">CP: </w:t>
      </w:r>
      <w:r w:rsidR="00772EE7" w:rsidRPr="00330A40">
        <w:rPr>
          <w:bCs/>
          <w:lang w:val="it-IT"/>
        </w:rPr>
        <w:t>c</w:t>
      </w:r>
      <w:r w:rsidR="00972612" w:rsidRPr="00330A40">
        <w:rPr>
          <w:bCs/>
          <w:lang w:val="it-IT"/>
        </w:rPr>
        <w:t>arboplatino (AUC 6) e paclitaxel (175 mg/m</w:t>
      </w:r>
      <w:r w:rsidR="00972612" w:rsidRPr="00330A40">
        <w:rPr>
          <w:bCs/>
          <w:vertAlign w:val="superscript"/>
          <w:lang w:val="it-IT"/>
        </w:rPr>
        <w:t>2</w:t>
      </w:r>
      <w:r w:rsidR="00972612" w:rsidRPr="00330A40">
        <w:rPr>
          <w:bCs/>
          <w:lang w:val="it-IT"/>
        </w:rPr>
        <w:t>) per 6</w:t>
      </w:r>
      <w:r w:rsidR="00772EE7" w:rsidRPr="00330A40">
        <w:rPr>
          <w:bCs/>
          <w:lang w:val="it-IT"/>
        </w:rPr>
        <w:t> </w:t>
      </w:r>
      <w:r w:rsidR="00972612" w:rsidRPr="00330A40">
        <w:rPr>
          <w:bCs/>
          <w:lang w:val="it-IT"/>
        </w:rPr>
        <w:t xml:space="preserve">cicli </w:t>
      </w:r>
      <w:r w:rsidR="005C77B7" w:rsidRPr="00330A40">
        <w:rPr>
          <w:bCs/>
          <w:lang w:val="it-IT"/>
        </w:rPr>
        <w:t xml:space="preserve">della durata di </w:t>
      </w:r>
      <w:r w:rsidR="00972612" w:rsidRPr="00330A40">
        <w:rPr>
          <w:bCs/>
          <w:lang w:val="it-IT"/>
        </w:rPr>
        <w:t>3</w:t>
      </w:r>
      <w:r w:rsidR="00772EE7" w:rsidRPr="00330A40">
        <w:rPr>
          <w:bCs/>
          <w:lang w:val="it-IT"/>
        </w:rPr>
        <w:t> </w:t>
      </w:r>
      <w:r w:rsidR="00972612" w:rsidRPr="00330A40">
        <w:rPr>
          <w:bCs/>
          <w:lang w:val="it-IT"/>
        </w:rPr>
        <w:t>settimane</w:t>
      </w:r>
    </w:p>
    <w:p w14:paraId="11742AFE" w14:textId="77777777" w:rsidR="00972612" w:rsidRPr="006A2BF9" w:rsidRDefault="00DF4567" w:rsidP="00C65E97">
      <w:pPr>
        <w:ind w:left="567" w:hanging="567"/>
        <w:outlineLvl w:val="0"/>
        <w:rPr>
          <w:bCs/>
          <w:lang w:val="it-IT"/>
        </w:rPr>
      </w:pPr>
      <w:r w:rsidRPr="00330A40">
        <w:rPr>
          <w:bCs/>
          <w:lang w:val="it-IT"/>
        </w:rPr>
        <w:sym w:font="Symbol" w:char="F0B7"/>
      </w:r>
      <w:r w:rsidRPr="00330A40">
        <w:rPr>
          <w:bCs/>
          <w:lang w:val="it-IT"/>
        </w:rPr>
        <w:tab/>
      </w:r>
      <w:r w:rsidR="00772EC7" w:rsidRPr="00330A40">
        <w:rPr>
          <w:bCs/>
          <w:lang w:val="it-IT"/>
        </w:rPr>
        <w:t xml:space="preserve">braccio </w:t>
      </w:r>
      <w:r w:rsidR="00972612" w:rsidRPr="00330A40">
        <w:rPr>
          <w:bCs/>
          <w:lang w:val="it-IT"/>
        </w:rPr>
        <w:t xml:space="preserve">CPB7.5+: </w:t>
      </w:r>
      <w:r w:rsidR="00772EE7" w:rsidRPr="00330A40">
        <w:rPr>
          <w:bCs/>
          <w:lang w:val="it-IT"/>
        </w:rPr>
        <w:t>c</w:t>
      </w:r>
      <w:r w:rsidR="00972612" w:rsidRPr="00330A40">
        <w:rPr>
          <w:bCs/>
          <w:lang w:val="it-IT"/>
        </w:rPr>
        <w:t>arboplatino (AUC 6) e paclitaxel (175 mg/m</w:t>
      </w:r>
      <w:r w:rsidR="00972612" w:rsidRPr="00330A40">
        <w:rPr>
          <w:bCs/>
          <w:vertAlign w:val="superscript"/>
          <w:lang w:val="it-IT"/>
        </w:rPr>
        <w:t>2</w:t>
      </w:r>
      <w:r w:rsidR="00972612" w:rsidRPr="00330A40">
        <w:rPr>
          <w:bCs/>
          <w:lang w:val="it-IT"/>
        </w:rPr>
        <w:t>) per 6</w:t>
      </w:r>
      <w:r w:rsidR="00772EE7" w:rsidRPr="00330A40">
        <w:rPr>
          <w:bCs/>
          <w:lang w:val="it-IT"/>
        </w:rPr>
        <w:t> </w:t>
      </w:r>
      <w:r w:rsidR="00972612" w:rsidRPr="00330A40">
        <w:rPr>
          <w:bCs/>
          <w:lang w:val="it-IT"/>
        </w:rPr>
        <w:t>cicli ogn</w:t>
      </w:r>
      <w:r w:rsidR="001349C9" w:rsidRPr="00330A40">
        <w:rPr>
          <w:bCs/>
          <w:lang w:val="it-IT"/>
        </w:rPr>
        <w:t>i 3</w:t>
      </w:r>
      <w:r w:rsidR="00772EE7" w:rsidRPr="00330A40">
        <w:rPr>
          <w:bCs/>
          <w:lang w:val="it-IT"/>
        </w:rPr>
        <w:t> </w:t>
      </w:r>
      <w:r w:rsidR="001349C9" w:rsidRPr="00330A40">
        <w:rPr>
          <w:bCs/>
          <w:lang w:val="it-IT"/>
        </w:rPr>
        <w:t xml:space="preserve">settimane in </w:t>
      </w:r>
      <w:r w:rsidR="003A32A4" w:rsidRPr="00330A40">
        <w:rPr>
          <w:bCs/>
          <w:lang w:val="it-IT"/>
        </w:rPr>
        <w:t xml:space="preserve">associazione </w:t>
      </w:r>
      <w:r w:rsidR="001349C9" w:rsidRPr="00330A40">
        <w:rPr>
          <w:bCs/>
          <w:lang w:val="it-IT"/>
        </w:rPr>
        <w:t>a</w:t>
      </w:r>
      <w:r w:rsidR="00972612" w:rsidRPr="00330A40">
        <w:rPr>
          <w:bCs/>
          <w:lang w:val="it-IT"/>
        </w:rPr>
        <w:t xml:space="preserve"> </w:t>
      </w:r>
      <w:r w:rsidR="00772EE7" w:rsidRPr="00330A40">
        <w:rPr>
          <w:szCs w:val="22"/>
          <w:lang w:val="it-IT"/>
        </w:rPr>
        <w:t>bevacizumab</w:t>
      </w:r>
      <w:r w:rsidR="00772EE7" w:rsidRPr="00330A40" w:rsidDel="00772EE7">
        <w:rPr>
          <w:bCs/>
          <w:lang w:val="it-IT"/>
        </w:rPr>
        <w:t xml:space="preserve"> </w:t>
      </w:r>
      <w:r w:rsidR="00972612" w:rsidRPr="00330A40">
        <w:rPr>
          <w:bCs/>
          <w:lang w:val="it-IT"/>
        </w:rPr>
        <w:t>(7,5 mg/kg q3w) fino a 12 mesi</w:t>
      </w:r>
      <w:r w:rsidR="001349C9" w:rsidRPr="00330A40">
        <w:rPr>
          <w:bCs/>
          <w:lang w:val="it-IT"/>
        </w:rPr>
        <w:t xml:space="preserve"> (l</w:t>
      </w:r>
      <w:r w:rsidR="00972612" w:rsidRPr="00330A40">
        <w:rPr>
          <w:bCs/>
          <w:lang w:val="it-IT"/>
        </w:rPr>
        <w:t xml:space="preserve">a somministrazione di </w:t>
      </w:r>
      <w:r w:rsidR="00772EE7" w:rsidRPr="00330A40">
        <w:rPr>
          <w:szCs w:val="22"/>
          <w:lang w:val="it-IT"/>
        </w:rPr>
        <w:lastRenderedPageBreak/>
        <w:t>bevacizumab</w:t>
      </w:r>
      <w:r w:rsidR="00772EE7" w:rsidRPr="00330A40" w:rsidDel="00772EE7">
        <w:rPr>
          <w:bCs/>
          <w:lang w:val="it-IT"/>
        </w:rPr>
        <w:t xml:space="preserve"> </w:t>
      </w:r>
      <w:r w:rsidR="00972612" w:rsidRPr="00330A40">
        <w:rPr>
          <w:bCs/>
          <w:lang w:val="it-IT"/>
        </w:rPr>
        <w:t xml:space="preserve">è iniziata dal 2° ciclo di chemioterapia se il trattamento è stato iniziato </w:t>
      </w:r>
      <w:r w:rsidR="005C77B7" w:rsidRPr="00330A40">
        <w:rPr>
          <w:bCs/>
          <w:lang w:val="it-IT"/>
        </w:rPr>
        <w:t>entro</w:t>
      </w:r>
      <w:r w:rsidR="00972612" w:rsidRPr="006A2BF9">
        <w:rPr>
          <w:bCs/>
          <w:lang w:val="it-IT"/>
        </w:rPr>
        <w:t xml:space="preserve"> 4</w:t>
      </w:r>
      <w:r w:rsidR="00772EE7" w:rsidRPr="006A2BF9">
        <w:rPr>
          <w:bCs/>
          <w:lang w:val="it-IT"/>
        </w:rPr>
        <w:t> </w:t>
      </w:r>
      <w:r w:rsidR="00972612" w:rsidRPr="006A2BF9">
        <w:rPr>
          <w:bCs/>
          <w:lang w:val="it-IT"/>
        </w:rPr>
        <w:t xml:space="preserve">settimane dall’intervento chirurgico o dal 1° ciclo se il trattamento è stato iniziato </w:t>
      </w:r>
      <w:r w:rsidR="005C77B7" w:rsidRPr="006A2BF9">
        <w:rPr>
          <w:bCs/>
          <w:lang w:val="it-IT"/>
        </w:rPr>
        <w:t xml:space="preserve">oltre </w:t>
      </w:r>
      <w:r w:rsidR="00972612" w:rsidRPr="006A2BF9">
        <w:rPr>
          <w:bCs/>
          <w:lang w:val="it-IT"/>
        </w:rPr>
        <w:t>4</w:t>
      </w:r>
      <w:r w:rsidR="00772EE7" w:rsidRPr="006A2BF9">
        <w:rPr>
          <w:bCs/>
          <w:lang w:val="it-IT"/>
        </w:rPr>
        <w:t> </w:t>
      </w:r>
      <w:r w:rsidR="00972612" w:rsidRPr="006A2BF9">
        <w:rPr>
          <w:bCs/>
          <w:lang w:val="it-IT"/>
        </w:rPr>
        <w:t>settimane dopo l'intervento chirurgico).</w:t>
      </w:r>
    </w:p>
    <w:p w14:paraId="30A2030E" w14:textId="77777777" w:rsidR="00972612" w:rsidRPr="006A2BF9" w:rsidRDefault="00972612" w:rsidP="00972612">
      <w:pPr>
        <w:outlineLvl w:val="0"/>
        <w:rPr>
          <w:bCs/>
          <w:lang w:val="it-IT"/>
        </w:rPr>
      </w:pPr>
    </w:p>
    <w:p w14:paraId="525BED14" w14:textId="40F72D51" w:rsidR="00972612" w:rsidRPr="006A2BF9" w:rsidRDefault="00972612" w:rsidP="00972612">
      <w:pPr>
        <w:outlineLvl w:val="0"/>
        <w:rPr>
          <w:bCs/>
          <w:lang w:val="it-IT"/>
        </w:rPr>
      </w:pPr>
      <w:r w:rsidRPr="006A2BF9">
        <w:rPr>
          <w:bCs/>
          <w:lang w:val="it-IT"/>
        </w:rPr>
        <w:t>La maggior parte delle pazienti incluse nello studio era di razza bian</w:t>
      </w:r>
      <w:r w:rsidR="001349C9" w:rsidRPr="006A2BF9">
        <w:rPr>
          <w:bCs/>
          <w:lang w:val="it-IT"/>
        </w:rPr>
        <w:t xml:space="preserve">ca caucasica (96%), </w:t>
      </w:r>
      <w:r w:rsidRPr="006A2BF9">
        <w:rPr>
          <w:bCs/>
          <w:lang w:val="it-IT"/>
        </w:rPr>
        <w:t>l’età mediana era di 57</w:t>
      </w:r>
      <w:r w:rsidR="00772EE7" w:rsidRPr="006A2BF9">
        <w:rPr>
          <w:bCs/>
          <w:lang w:val="it-IT"/>
        </w:rPr>
        <w:t> </w:t>
      </w:r>
      <w:r w:rsidR="004475FD" w:rsidRPr="006A2BF9">
        <w:rPr>
          <w:bCs/>
          <w:lang w:val="it-IT"/>
        </w:rPr>
        <w:t xml:space="preserve">anni in entrambi i </w:t>
      </w:r>
      <w:r w:rsidR="001349C9" w:rsidRPr="006A2BF9">
        <w:rPr>
          <w:bCs/>
          <w:lang w:val="it-IT"/>
        </w:rPr>
        <w:t xml:space="preserve">bracci di trattamento, </w:t>
      </w:r>
      <w:r w:rsidRPr="006A2BF9">
        <w:rPr>
          <w:bCs/>
          <w:lang w:val="it-IT"/>
        </w:rPr>
        <w:t xml:space="preserve">il 25% delle pazienti avevano un’età </w:t>
      </w:r>
      <w:r w:rsidR="001349C9" w:rsidRPr="006A2BF9">
        <w:rPr>
          <w:bCs/>
          <w:lang w:val="it-IT"/>
        </w:rPr>
        <w:t>uguale o superiore a 65</w:t>
      </w:r>
      <w:r w:rsidR="00772EE7" w:rsidRPr="006A2BF9">
        <w:rPr>
          <w:bCs/>
          <w:lang w:val="it-IT"/>
        </w:rPr>
        <w:t> </w:t>
      </w:r>
      <w:r w:rsidR="001349C9" w:rsidRPr="006A2BF9">
        <w:rPr>
          <w:bCs/>
          <w:lang w:val="it-IT"/>
        </w:rPr>
        <w:t>anni e circa il 50% del</w:t>
      </w:r>
      <w:r w:rsidRPr="006A2BF9">
        <w:rPr>
          <w:bCs/>
          <w:lang w:val="it-IT"/>
        </w:rPr>
        <w:t xml:space="preserve">le pazienti presentava, secondo </w:t>
      </w:r>
      <w:r w:rsidR="001349C9" w:rsidRPr="006A2BF9">
        <w:rPr>
          <w:bCs/>
          <w:lang w:val="it-IT"/>
        </w:rPr>
        <w:t>la scala ECOG, un PS pari a 1 e</w:t>
      </w:r>
      <w:r w:rsidRPr="006A2BF9">
        <w:rPr>
          <w:bCs/>
          <w:lang w:val="it-IT"/>
        </w:rPr>
        <w:t xml:space="preserve"> il 7</w:t>
      </w:r>
      <w:r w:rsidR="001349C9" w:rsidRPr="006A2BF9">
        <w:rPr>
          <w:bCs/>
          <w:lang w:val="it-IT"/>
        </w:rPr>
        <w:t xml:space="preserve">% delle pazienti, in ciascun </w:t>
      </w:r>
      <w:r w:rsidRPr="006A2BF9">
        <w:rPr>
          <w:bCs/>
          <w:lang w:val="it-IT"/>
        </w:rPr>
        <w:t>bracci</w:t>
      </w:r>
      <w:r w:rsidR="001349C9" w:rsidRPr="006A2BF9">
        <w:rPr>
          <w:bCs/>
          <w:lang w:val="it-IT"/>
        </w:rPr>
        <w:t>o di trattamento</w:t>
      </w:r>
      <w:r w:rsidRPr="006A2BF9">
        <w:rPr>
          <w:bCs/>
          <w:lang w:val="it-IT"/>
        </w:rPr>
        <w:t xml:space="preserve">, presentava un valore di </w:t>
      </w:r>
      <w:r w:rsidR="005C77B7" w:rsidRPr="006A2BF9">
        <w:rPr>
          <w:bCs/>
          <w:lang w:val="it-IT"/>
        </w:rPr>
        <w:t xml:space="preserve">ECOG </w:t>
      </w:r>
      <w:r w:rsidRPr="006A2BF9">
        <w:rPr>
          <w:bCs/>
          <w:lang w:val="it-IT"/>
        </w:rPr>
        <w:t>PS pari a 2. La maggior parte delle pazient</w:t>
      </w:r>
      <w:r w:rsidR="001349C9" w:rsidRPr="006A2BF9">
        <w:rPr>
          <w:bCs/>
          <w:lang w:val="it-IT"/>
        </w:rPr>
        <w:t>i aveva una diagnosi di EOC (87,7%) seguito da PPC (6,</w:t>
      </w:r>
      <w:r w:rsidRPr="006A2BF9">
        <w:rPr>
          <w:bCs/>
          <w:lang w:val="it-IT"/>
        </w:rPr>
        <w:t>9%) e FTC (3</w:t>
      </w:r>
      <w:r w:rsidR="001349C9" w:rsidRPr="006A2BF9">
        <w:rPr>
          <w:bCs/>
          <w:lang w:val="it-IT"/>
        </w:rPr>
        <w:t>,</w:t>
      </w:r>
      <w:r w:rsidR="00262E1A" w:rsidRPr="006A2BF9">
        <w:rPr>
          <w:bCs/>
          <w:lang w:val="it-IT"/>
        </w:rPr>
        <w:t>7%) o un’</w:t>
      </w:r>
      <w:r w:rsidRPr="006A2BF9">
        <w:rPr>
          <w:bCs/>
          <w:lang w:val="it-IT"/>
        </w:rPr>
        <w:t>istologia mista (1</w:t>
      </w:r>
      <w:r w:rsidR="001349C9" w:rsidRPr="006A2BF9">
        <w:rPr>
          <w:bCs/>
          <w:lang w:val="it-IT"/>
        </w:rPr>
        <w:t>,</w:t>
      </w:r>
      <w:r w:rsidRPr="006A2BF9">
        <w:rPr>
          <w:bCs/>
          <w:lang w:val="it-IT"/>
        </w:rPr>
        <w:t>7%). La maggior parte delle pazienti era in stadio</w:t>
      </w:r>
      <w:r w:rsidR="0028755D" w:rsidRPr="006A2BF9">
        <w:rPr>
          <w:bCs/>
          <w:lang w:val="it-IT"/>
        </w:rPr>
        <w:t> </w:t>
      </w:r>
      <w:r w:rsidRPr="006A2BF9">
        <w:rPr>
          <w:bCs/>
          <w:lang w:val="it-IT"/>
        </w:rPr>
        <w:t xml:space="preserve">III </w:t>
      </w:r>
      <w:r w:rsidR="00262E1A" w:rsidRPr="006A2BF9">
        <w:rPr>
          <w:bCs/>
          <w:lang w:val="it-IT"/>
        </w:rPr>
        <w:t xml:space="preserve">secondo la classificazione FIGO </w:t>
      </w:r>
      <w:r w:rsidRPr="006A2BF9">
        <w:rPr>
          <w:bCs/>
          <w:lang w:val="it-IT"/>
        </w:rPr>
        <w:t>(68% in entrambi) seguito dallo stadio</w:t>
      </w:r>
      <w:r w:rsidR="0028755D" w:rsidRPr="006A2BF9">
        <w:rPr>
          <w:bCs/>
          <w:lang w:val="it-IT"/>
        </w:rPr>
        <w:t> </w:t>
      </w:r>
      <w:r w:rsidRPr="006A2BF9">
        <w:rPr>
          <w:bCs/>
          <w:lang w:val="it-IT"/>
        </w:rPr>
        <w:t>IV</w:t>
      </w:r>
      <w:r w:rsidR="00262E1A" w:rsidRPr="006A2BF9">
        <w:rPr>
          <w:bCs/>
          <w:lang w:val="it-IT"/>
        </w:rPr>
        <w:t xml:space="preserve"> secondo la classificazione FIGO</w:t>
      </w:r>
      <w:r w:rsidRPr="006A2BF9">
        <w:rPr>
          <w:bCs/>
          <w:lang w:val="it-IT"/>
        </w:rPr>
        <w:t xml:space="preserve"> (13% e 14%), </w:t>
      </w:r>
      <w:r w:rsidR="000A793E">
        <w:rPr>
          <w:bCs/>
          <w:lang w:val="it-IT"/>
        </w:rPr>
        <w:t>s</w:t>
      </w:r>
      <w:r w:rsidRPr="006A2BF9">
        <w:rPr>
          <w:bCs/>
          <w:lang w:val="it-IT"/>
        </w:rPr>
        <w:t>tadio</w:t>
      </w:r>
      <w:r w:rsidR="0028755D" w:rsidRPr="006A2BF9">
        <w:rPr>
          <w:bCs/>
          <w:lang w:val="it-IT"/>
        </w:rPr>
        <w:t> </w:t>
      </w:r>
      <w:r w:rsidRPr="006A2BF9">
        <w:rPr>
          <w:bCs/>
          <w:lang w:val="it-IT"/>
        </w:rPr>
        <w:t xml:space="preserve">II </w:t>
      </w:r>
      <w:r w:rsidR="00262E1A" w:rsidRPr="006A2BF9">
        <w:rPr>
          <w:bCs/>
          <w:lang w:val="it-IT"/>
        </w:rPr>
        <w:t xml:space="preserve">secondo la classificazione FIGO </w:t>
      </w:r>
      <w:r w:rsidRPr="006A2BF9">
        <w:rPr>
          <w:bCs/>
          <w:lang w:val="it-IT"/>
        </w:rPr>
        <w:t xml:space="preserve">(10% e 11%) e </w:t>
      </w:r>
      <w:r w:rsidR="000A793E">
        <w:rPr>
          <w:bCs/>
          <w:lang w:val="it-IT"/>
        </w:rPr>
        <w:t>s</w:t>
      </w:r>
      <w:r w:rsidRPr="006A2BF9">
        <w:rPr>
          <w:bCs/>
          <w:lang w:val="it-IT"/>
        </w:rPr>
        <w:t>tadio</w:t>
      </w:r>
      <w:r w:rsidR="0028755D" w:rsidRPr="006A2BF9">
        <w:rPr>
          <w:bCs/>
          <w:lang w:val="it-IT"/>
        </w:rPr>
        <w:t> </w:t>
      </w:r>
      <w:r w:rsidRPr="006A2BF9">
        <w:rPr>
          <w:bCs/>
          <w:lang w:val="it-IT"/>
        </w:rPr>
        <w:t xml:space="preserve">I </w:t>
      </w:r>
      <w:r w:rsidR="00262E1A" w:rsidRPr="006A2BF9">
        <w:rPr>
          <w:bCs/>
          <w:lang w:val="it-IT"/>
        </w:rPr>
        <w:t xml:space="preserve">secondo la classificazione di FIGO </w:t>
      </w:r>
      <w:r w:rsidRPr="006A2BF9">
        <w:rPr>
          <w:bCs/>
          <w:lang w:val="it-IT"/>
        </w:rPr>
        <w:t>(9% e 7%). La maggior parte delle pazienti in ciascun braccio di trattamento (74% e 71%) aveva una</w:t>
      </w:r>
      <w:r w:rsidR="00262E1A" w:rsidRPr="006A2BF9">
        <w:rPr>
          <w:bCs/>
          <w:lang w:val="it-IT"/>
        </w:rPr>
        <w:t xml:space="preserve"> diagnosi iniziale di</w:t>
      </w:r>
      <w:r w:rsidRPr="006A2BF9">
        <w:rPr>
          <w:bCs/>
          <w:lang w:val="it-IT"/>
        </w:rPr>
        <w:t xml:space="preserve"> neoplasia scarsamente differenziata (Grado</w:t>
      </w:r>
      <w:r w:rsidR="00047446" w:rsidRPr="006A2BF9">
        <w:rPr>
          <w:bCs/>
          <w:lang w:val="it-IT"/>
        </w:rPr>
        <w:t> </w:t>
      </w:r>
      <w:r w:rsidRPr="006A2BF9">
        <w:rPr>
          <w:bCs/>
          <w:lang w:val="it-IT"/>
        </w:rPr>
        <w:t>3)</w:t>
      </w:r>
      <w:r w:rsidR="00D616E7" w:rsidRPr="006A2BF9">
        <w:rPr>
          <w:bCs/>
          <w:lang w:val="it-IT"/>
        </w:rPr>
        <w:t xml:space="preserve">. </w:t>
      </w:r>
      <w:r w:rsidRPr="006A2BF9">
        <w:rPr>
          <w:bCs/>
          <w:lang w:val="it-IT"/>
        </w:rPr>
        <w:t>L’incidenza dei sottotipi istologici di EOC era simile nei diversi bracci</w:t>
      </w:r>
      <w:r w:rsidR="00262E1A" w:rsidRPr="006A2BF9">
        <w:rPr>
          <w:bCs/>
          <w:lang w:val="it-IT"/>
        </w:rPr>
        <w:t xml:space="preserve"> di trattamento</w:t>
      </w:r>
      <w:r w:rsidRPr="006A2BF9">
        <w:rPr>
          <w:bCs/>
          <w:lang w:val="it-IT"/>
        </w:rPr>
        <w:t>; il 69% delle pazienti di ciascun braccio era affetta da adenocarcinoma di tipo sieroso.</w:t>
      </w:r>
    </w:p>
    <w:p w14:paraId="2BA2EC90" w14:textId="77777777" w:rsidR="00972612" w:rsidRPr="006A2BF9" w:rsidRDefault="00972612" w:rsidP="00972612">
      <w:pPr>
        <w:outlineLvl w:val="0"/>
        <w:rPr>
          <w:bCs/>
          <w:lang w:val="it-IT"/>
        </w:rPr>
      </w:pPr>
    </w:p>
    <w:p w14:paraId="245A110D" w14:textId="77777777" w:rsidR="00972612" w:rsidRPr="006A2BF9" w:rsidRDefault="00972612" w:rsidP="00972612">
      <w:pPr>
        <w:outlineLvl w:val="0"/>
        <w:rPr>
          <w:bCs/>
          <w:lang w:val="it-IT"/>
        </w:rPr>
      </w:pPr>
      <w:r w:rsidRPr="006A2BF9">
        <w:rPr>
          <w:bCs/>
          <w:lang w:val="it-IT"/>
        </w:rPr>
        <w:t>L’</w:t>
      </w:r>
      <w:r w:rsidRPr="006A2BF9">
        <w:rPr>
          <w:bCs/>
          <w:i/>
          <w:lang w:val="it-IT"/>
        </w:rPr>
        <w:t>endpoint</w:t>
      </w:r>
      <w:r w:rsidRPr="006A2BF9">
        <w:rPr>
          <w:bCs/>
          <w:lang w:val="it-IT"/>
        </w:rPr>
        <w:t xml:space="preserve"> primario era la PFS, valutata dallo sperimentatore utilizzando RECIST.</w:t>
      </w:r>
    </w:p>
    <w:p w14:paraId="2E4CF72A" w14:textId="77777777" w:rsidR="00972612" w:rsidRPr="006A2BF9" w:rsidRDefault="00972612" w:rsidP="00972612">
      <w:pPr>
        <w:outlineLvl w:val="0"/>
        <w:rPr>
          <w:bCs/>
          <w:lang w:val="it-IT"/>
        </w:rPr>
      </w:pPr>
    </w:p>
    <w:p w14:paraId="59B2DF1F" w14:textId="77777777" w:rsidR="00972612" w:rsidRPr="006A2BF9" w:rsidRDefault="00972612" w:rsidP="00972612">
      <w:pPr>
        <w:outlineLvl w:val="0"/>
        <w:rPr>
          <w:bCs/>
          <w:lang w:val="it-IT"/>
        </w:rPr>
      </w:pPr>
      <w:r w:rsidRPr="006A2BF9">
        <w:rPr>
          <w:bCs/>
          <w:lang w:val="it-IT"/>
        </w:rPr>
        <w:t>Lo studio ha raggiunto l’obiettivo primario in termini di miglioramento della PFS. Rispetto alle pazienti trattate con la sola chemioterapia (carboplatino e paclitaxel)</w:t>
      </w:r>
      <w:r w:rsidR="00262E1A" w:rsidRPr="006A2BF9">
        <w:rPr>
          <w:bCs/>
          <w:lang w:val="it-IT"/>
        </w:rPr>
        <w:t xml:space="preserve"> </w:t>
      </w:r>
      <w:r w:rsidRPr="006A2BF9">
        <w:rPr>
          <w:bCs/>
          <w:lang w:val="it-IT"/>
        </w:rPr>
        <w:t>in prima linea, le pazienti a cui è stato somministrato bevacizumab alla dose di 7,5 mg/</w:t>
      </w:r>
      <w:r w:rsidRPr="00ED70C3">
        <w:rPr>
          <w:bCs/>
          <w:lang w:val="it-IT"/>
        </w:rPr>
        <w:t xml:space="preserve">kg q3w in </w:t>
      </w:r>
      <w:r w:rsidRPr="00330A40">
        <w:rPr>
          <w:bCs/>
          <w:lang w:val="it-IT"/>
        </w:rPr>
        <w:t xml:space="preserve">associazione </w:t>
      </w:r>
      <w:r w:rsidR="00436C24" w:rsidRPr="00330A40">
        <w:rPr>
          <w:bCs/>
          <w:lang w:val="it-IT"/>
        </w:rPr>
        <w:t>a</w:t>
      </w:r>
      <w:r w:rsidRPr="00330A40">
        <w:rPr>
          <w:bCs/>
          <w:lang w:val="it-IT"/>
        </w:rPr>
        <w:t xml:space="preserve"> chemioterapia e che hanno continuato ad assumere bevacizumab fino a </w:t>
      </w:r>
      <w:r w:rsidR="00262E1A" w:rsidRPr="00330A40">
        <w:rPr>
          <w:bCs/>
          <w:lang w:val="it-IT"/>
        </w:rPr>
        <w:t>18 cicli</w:t>
      </w:r>
      <w:r w:rsidRPr="00330A40">
        <w:rPr>
          <w:bCs/>
          <w:lang w:val="it-IT"/>
        </w:rPr>
        <w:t xml:space="preserve"> h</w:t>
      </w:r>
      <w:r w:rsidR="00262E1A" w:rsidRPr="00330A40">
        <w:rPr>
          <w:bCs/>
          <w:lang w:val="it-IT"/>
        </w:rPr>
        <w:t xml:space="preserve">anno mostrato un miglioramento </w:t>
      </w:r>
      <w:r w:rsidRPr="00330A40">
        <w:rPr>
          <w:bCs/>
          <w:lang w:val="it-IT"/>
        </w:rPr>
        <w:t>statisticamente significativo della</w:t>
      </w:r>
      <w:r w:rsidR="00262E1A" w:rsidRPr="006A2BF9">
        <w:rPr>
          <w:bCs/>
          <w:lang w:val="it-IT"/>
        </w:rPr>
        <w:t xml:space="preserve"> </w:t>
      </w:r>
      <w:r w:rsidRPr="006A2BF9">
        <w:rPr>
          <w:bCs/>
          <w:lang w:val="it-IT"/>
        </w:rPr>
        <w:t>PFS.</w:t>
      </w:r>
    </w:p>
    <w:p w14:paraId="3E26926F" w14:textId="77777777" w:rsidR="00972612" w:rsidRPr="006A2BF9" w:rsidRDefault="00972612" w:rsidP="00972612">
      <w:pPr>
        <w:outlineLvl w:val="0"/>
        <w:rPr>
          <w:bCs/>
          <w:lang w:val="it-IT"/>
        </w:rPr>
      </w:pPr>
    </w:p>
    <w:p w14:paraId="68CC94EC" w14:textId="77777777" w:rsidR="00972612" w:rsidRPr="006A2BF9" w:rsidRDefault="00972612" w:rsidP="00972612">
      <w:pPr>
        <w:outlineLvl w:val="0"/>
        <w:rPr>
          <w:bCs/>
          <w:lang w:val="it-IT"/>
        </w:rPr>
      </w:pPr>
      <w:r w:rsidRPr="006A2BF9">
        <w:rPr>
          <w:bCs/>
          <w:lang w:val="it-IT"/>
        </w:rPr>
        <w:t xml:space="preserve">I risultati di questo studio sono riassunti nella </w:t>
      </w:r>
      <w:r w:rsidR="005C77B7" w:rsidRPr="006A2BF9">
        <w:rPr>
          <w:bCs/>
          <w:lang w:val="it-IT"/>
        </w:rPr>
        <w:t>t</w:t>
      </w:r>
      <w:r w:rsidRPr="006A2BF9">
        <w:rPr>
          <w:bCs/>
          <w:lang w:val="it-IT"/>
        </w:rPr>
        <w:t>abella</w:t>
      </w:r>
      <w:r w:rsidR="00047446" w:rsidRPr="006A2BF9">
        <w:rPr>
          <w:bCs/>
          <w:lang w:val="it-IT"/>
        </w:rPr>
        <w:t> </w:t>
      </w:r>
      <w:r w:rsidRPr="006A2BF9">
        <w:rPr>
          <w:bCs/>
          <w:lang w:val="it-IT"/>
        </w:rPr>
        <w:t>1</w:t>
      </w:r>
      <w:r w:rsidR="00BB195D" w:rsidRPr="006A2BF9">
        <w:rPr>
          <w:bCs/>
          <w:lang w:val="it-IT"/>
        </w:rPr>
        <w:t>8</w:t>
      </w:r>
      <w:r w:rsidRPr="006A2BF9">
        <w:rPr>
          <w:bCs/>
          <w:lang w:val="it-IT"/>
        </w:rPr>
        <w:t>.</w:t>
      </w:r>
    </w:p>
    <w:p w14:paraId="0B7A1175" w14:textId="77777777" w:rsidR="00972612" w:rsidRPr="006A2BF9" w:rsidRDefault="00972612" w:rsidP="00972612">
      <w:pPr>
        <w:outlineLvl w:val="0"/>
        <w:rPr>
          <w:bCs/>
          <w:lang w:val="it-IT"/>
        </w:rPr>
      </w:pPr>
    </w:p>
    <w:p w14:paraId="64FC624F" w14:textId="77777777" w:rsidR="00972612" w:rsidRPr="006A2BF9" w:rsidRDefault="00972612" w:rsidP="0093184F">
      <w:pPr>
        <w:keepNext/>
        <w:keepLines/>
        <w:outlineLvl w:val="0"/>
        <w:rPr>
          <w:b/>
          <w:bCs/>
          <w:lang w:val="it-IT"/>
        </w:rPr>
      </w:pPr>
      <w:r w:rsidRPr="006A2BF9">
        <w:rPr>
          <w:b/>
          <w:bCs/>
          <w:lang w:val="it-IT"/>
        </w:rPr>
        <w:t>Tabella</w:t>
      </w:r>
      <w:r w:rsidR="00047446" w:rsidRPr="006A2BF9">
        <w:rPr>
          <w:b/>
          <w:bCs/>
          <w:lang w:val="it-IT"/>
        </w:rPr>
        <w:t> </w:t>
      </w:r>
      <w:r w:rsidRPr="006A2BF9">
        <w:rPr>
          <w:b/>
          <w:bCs/>
          <w:lang w:val="it-IT"/>
        </w:rPr>
        <w:t>1</w:t>
      </w:r>
      <w:r w:rsidR="00BB195D" w:rsidRPr="006A2BF9">
        <w:rPr>
          <w:b/>
          <w:bCs/>
          <w:lang w:val="it-IT"/>
        </w:rPr>
        <w:t>8</w:t>
      </w:r>
      <w:r w:rsidRPr="006A2BF9">
        <w:rPr>
          <w:b/>
          <w:bCs/>
          <w:lang w:val="it-IT"/>
        </w:rPr>
        <w:t xml:space="preserve"> </w:t>
      </w:r>
      <w:r w:rsidRPr="006A2BF9">
        <w:rPr>
          <w:b/>
          <w:bCs/>
          <w:lang w:val="it-IT"/>
        </w:rPr>
        <w:tab/>
        <w:t>Risultati di efficacia dallo studio 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1"/>
        <w:gridCol w:w="3020"/>
        <w:gridCol w:w="3020"/>
      </w:tblGrid>
      <w:tr w:rsidR="00972612" w:rsidRPr="006A2BF9" w14:paraId="5D4E78AD" w14:textId="77777777" w:rsidTr="00C65E97">
        <w:tc>
          <w:tcPr>
            <w:tcW w:w="9207" w:type="dxa"/>
            <w:gridSpan w:val="3"/>
            <w:tcBorders>
              <w:top w:val="single" w:sz="4" w:space="0" w:color="auto"/>
              <w:left w:val="single" w:sz="4" w:space="0" w:color="auto"/>
              <w:bottom w:val="single" w:sz="6" w:space="0" w:color="000000"/>
              <w:right w:val="single" w:sz="4" w:space="0" w:color="auto"/>
            </w:tcBorders>
            <w:shd w:val="clear" w:color="auto" w:fill="auto"/>
          </w:tcPr>
          <w:p w14:paraId="4154625E" w14:textId="77777777" w:rsidR="00972612" w:rsidRPr="006A2BF9" w:rsidRDefault="00972612" w:rsidP="006F17A6">
            <w:pPr>
              <w:keepNext/>
              <w:keepLines/>
              <w:outlineLvl w:val="0"/>
              <w:rPr>
                <w:bCs/>
                <w:sz w:val="20"/>
                <w:lang w:val="it-IT"/>
              </w:rPr>
            </w:pPr>
            <w:r w:rsidRPr="006A2BF9">
              <w:rPr>
                <w:bCs/>
                <w:sz w:val="20"/>
                <w:lang w:val="it-IT"/>
              </w:rPr>
              <w:t>Sopravvivenza libera da progressione</w:t>
            </w:r>
          </w:p>
        </w:tc>
      </w:tr>
      <w:tr w:rsidR="00972612" w:rsidRPr="006A2BF9" w14:paraId="61F56B15" w14:textId="77777777" w:rsidTr="00C65E97">
        <w:tc>
          <w:tcPr>
            <w:tcW w:w="3069" w:type="dxa"/>
            <w:tcBorders>
              <w:top w:val="single" w:sz="6" w:space="0" w:color="000000"/>
              <w:left w:val="single" w:sz="4" w:space="0" w:color="auto"/>
            </w:tcBorders>
            <w:shd w:val="clear" w:color="auto" w:fill="auto"/>
          </w:tcPr>
          <w:p w14:paraId="26787E75" w14:textId="77777777" w:rsidR="00972612" w:rsidRPr="006A2BF9" w:rsidRDefault="00972612" w:rsidP="006F17A6">
            <w:pPr>
              <w:keepNext/>
              <w:keepLines/>
              <w:outlineLvl w:val="0"/>
              <w:rPr>
                <w:bCs/>
                <w:sz w:val="20"/>
                <w:lang w:val="it-IT"/>
              </w:rPr>
            </w:pPr>
          </w:p>
        </w:tc>
        <w:tc>
          <w:tcPr>
            <w:tcW w:w="3069" w:type="dxa"/>
            <w:tcBorders>
              <w:top w:val="single" w:sz="6" w:space="0" w:color="000000"/>
            </w:tcBorders>
            <w:shd w:val="clear" w:color="auto" w:fill="auto"/>
          </w:tcPr>
          <w:p w14:paraId="779820C6" w14:textId="77777777" w:rsidR="00972612" w:rsidRPr="006A2BF9" w:rsidRDefault="00972612" w:rsidP="006F17A6">
            <w:pPr>
              <w:keepNext/>
              <w:keepLines/>
              <w:jc w:val="center"/>
              <w:outlineLvl w:val="0"/>
              <w:rPr>
                <w:bCs/>
                <w:sz w:val="20"/>
                <w:lang w:val="it-IT"/>
              </w:rPr>
            </w:pPr>
          </w:p>
        </w:tc>
        <w:tc>
          <w:tcPr>
            <w:tcW w:w="3069" w:type="dxa"/>
            <w:tcBorders>
              <w:top w:val="single" w:sz="6" w:space="0" w:color="000000"/>
              <w:right w:val="single" w:sz="4" w:space="0" w:color="auto"/>
            </w:tcBorders>
            <w:shd w:val="clear" w:color="auto" w:fill="auto"/>
          </w:tcPr>
          <w:p w14:paraId="222E36B4" w14:textId="77777777" w:rsidR="00972612" w:rsidRPr="006A2BF9" w:rsidRDefault="00972612" w:rsidP="006F17A6">
            <w:pPr>
              <w:keepNext/>
              <w:keepLines/>
              <w:jc w:val="center"/>
              <w:outlineLvl w:val="0"/>
              <w:rPr>
                <w:bCs/>
                <w:sz w:val="20"/>
                <w:lang w:val="it-IT"/>
              </w:rPr>
            </w:pPr>
          </w:p>
        </w:tc>
      </w:tr>
      <w:tr w:rsidR="00972612" w:rsidRPr="006A2BF9" w14:paraId="079F809D" w14:textId="77777777" w:rsidTr="00C65E97">
        <w:tc>
          <w:tcPr>
            <w:tcW w:w="3069" w:type="dxa"/>
            <w:tcBorders>
              <w:left w:val="single" w:sz="4" w:space="0" w:color="auto"/>
            </w:tcBorders>
            <w:shd w:val="clear" w:color="auto" w:fill="auto"/>
          </w:tcPr>
          <w:p w14:paraId="1F1A00B6" w14:textId="77777777" w:rsidR="00972612" w:rsidRPr="006A2BF9" w:rsidRDefault="00972612" w:rsidP="006F17A6">
            <w:pPr>
              <w:keepNext/>
              <w:keepLines/>
              <w:outlineLvl w:val="0"/>
              <w:rPr>
                <w:bCs/>
                <w:sz w:val="20"/>
                <w:lang w:val="it-IT"/>
              </w:rPr>
            </w:pPr>
          </w:p>
        </w:tc>
        <w:tc>
          <w:tcPr>
            <w:tcW w:w="3069" w:type="dxa"/>
            <w:shd w:val="clear" w:color="auto" w:fill="auto"/>
          </w:tcPr>
          <w:p w14:paraId="439A182A" w14:textId="77777777" w:rsidR="00972612" w:rsidRPr="006A2BF9" w:rsidRDefault="00972612" w:rsidP="006F17A6">
            <w:pPr>
              <w:keepNext/>
              <w:keepLines/>
              <w:jc w:val="center"/>
              <w:outlineLvl w:val="0"/>
              <w:rPr>
                <w:bCs/>
                <w:sz w:val="20"/>
                <w:lang w:val="it-IT"/>
              </w:rPr>
            </w:pPr>
            <w:r w:rsidRPr="006A2BF9">
              <w:rPr>
                <w:bCs/>
                <w:sz w:val="20"/>
                <w:lang w:val="it-IT"/>
              </w:rPr>
              <w:t>CP</w:t>
            </w:r>
            <w:r w:rsidRPr="006A2BF9">
              <w:rPr>
                <w:bCs/>
                <w:sz w:val="20"/>
                <w:lang w:val="it-IT"/>
              </w:rPr>
              <w:br/>
              <w:t>(n =</w:t>
            </w:r>
            <w:r w:rsidR="009B4D3B" w:rsidRPr="006A2BF9">
              <w:rPr>
                <w:bCs/>
                <w:sz w:val="20"/>
                <w:lang w:val="it-IT"/>
              </w:rPr>
              <w:t> </w:t>
            </w:r>
            <w:r w:rsidRPr="006A2BF9">
              <w:rPr>
                <w:bCs/>
                <w:sz w:val="20"/>
                <w:lang w:val="it-IT"/>
              </w:rPr>
              <w:t>764)</w:t>
            </w:r>
          </w:p>
        </w:tc>
        <w:tc>
          <w:tcPr>
            <w:tcW w:w="3069" w:type="dxa"/>
            <w:tcBorders>
              <w:right w:val="single" w:sz="4" w:space="0" w:color="auto"/>
            </w:tcBorders>
            <w:shd w:val="clear" w:color="auto" w:fill="auto"/>
          </w:tcPr>
          <w:p w14:paraId="099DD921" w14:textId="77777777" w:rsidR="00972612" w:rsidRPr="006A2BF9" w:rsidDel="005123C6" w:rsidRDefault="00972612" w:rsidP="006F17A6">
            <w:pPr>
              <w:keepNext/>
              <w:keepLines/>
              <w:jc w:val="center"/>
              <w:outlineLvl w:val="0"/>
              <w:rPr>
                <w:bCs/>
                <w:sz w:val="20"/>
                <w:lang w:val="it-IT"/>
              </w:rPr>
            </w:pPr>
            <w:r w:rsidRPr="006A2BF9">
              <w:rPr>
                <w:bCs/>
                <w:sz w:val="20"/>
                <w:lang w:val="it-IT"/>
              </w:rPr>
              <w:t>CPB7.5+</w:t>
            </w:r>
            <w:r w:rsidRPr="006A2BF9">
              <w:rPr>
                <w:bCs/>
                <w:sz w:val="20"/>
                <w:lang w:val="it-IT"/>
              </w:rPr>
              <w:br/>
              <w:t>(n =</w:t>
            </w:r>
            <w:r w:rsidR="009B4D3B" w:rsidRPr="006A2BF9">
              <w:rPr>
                <w:bCs/>
                <w:sz w:val="20"/>
                <w:lang w:val="it-IT"/>
              </w:rPr>
              <w:t> </w:t>
            </w:r>
            <w:r w:rsidRPr="006A2BF9">
              <w:rPr>
                <w:bCs/>
                <w:sz w:val="20"/>
                <w:lang w:val="it-IT"/>
              </w:rPr>
              <w:t>764</w:t>
            </w:r>
            <w:r w:rsidRPr="006A2BF9">
              <w:rPr>
                <w:bCs/>
                <w:iCs/>
                <w:sz w:val="20"/>
                <w:lang w:val="it-IT"/>
              </w:rPr>
              <w:t>)</w:t>
            </w:r>
          </w:p>
        </w:tc>
      </w:tr>
      <w:tr w:rsidR="00972612" w:rsidRPr="006A2BF9" w14:paraId="55B2271B" w14:textId="77777777" w:rsidTr="00C65E97">
        <w:tc>
          <w:tcPr>
            <w:tcW w:w="3069" w:type="dxa"/>
            <w:tcBorders>
              <w:left w:val="single" w:sz="4" w:space="0" w:color="auto"/>
            </w:tcBorders>
            <w:shd w:val="clear" w:color="auto" w:fill="auto"/>
          </w:tcPr>
          <w:p w14:paraId="0D15AE4D" w14:textId="77777777" w:rsidR="00972612" w:rsidRPr="006A2BF9" w:rsidRDefault="00972612" w:rsidP="006F17A6">
            <w:pPr>
              <w:keepNext/>
              <w:keepLines/>
              <w:outlineLvl w:val="0"/>
              <w:rPr>
                <w:bCs/>
                <w:sz w:val="20"/>
                <w:vertAlign w:val="superscript"/>
                <w:lang w:val="it-IT"/>
              </w:rPr>
            </w:pPr>
            <w:r w:rsidRPr="006A2BF9">
              <w:rPr>
                <w:bCs/>
                <w:sz w:val="20"/>
                <w:lang w:val="it-IT"/>
              </w:rPr>
              <w:t>PFS mediana (mesi)</w:t>
            </w:r>
            <w:r w:rsidRPr="006A2BF9">
              <w:rPr>
                <w:bCs/>
                <w:sz w:val="20"/>
                <w:vertAlign w:val="superscript"/>
                <w:lang w:val="it-IT"/>
              </w:rPr>
              <w:t xml:space="preserve"> 2</w:t>
            </w:r>
          </w:p>
        </w:tc>
        <w:tc>
          <w:tcPr>
            <w:tcW w:w="3069" w:type="dxa"/>
            <w:shd w:val="clear" w:color="auto" w:fill="auto"/>
          </w:tcPr>
          <w:p w14:paraId="13CC7A58" w14:textId="77777777" w:rsidR="00972612" w:rsidRPr="006A2BF9" w:rsidRDefault="00972612" w:rsidP="006F17A6">
            <w:pPr>
              <w:keepNext/>
              <w:keepLines/>
              <w:jc w:val="center"/>
              <w:outlineLvl w:val="0"/>
              <w:rPr>
                <w:bCs/>
                <w:sz w:val="20"/>
                <w:lang w:val="it-IT"/>
              </w:rPr>
            </w:pPr>
            <w:r w:rsidRPr="006A2BF9">
              <w:rPr>
                <w:bCs/>
                <w:sz w:val="20"/>
                <w:lang w:val="it-IT"/>
              </w:rPr>
              <w:t>16,9</w:t>
            </w:r>
          </w:p>
        </w:tc>
        <w:tc>
          <w:tcPr>
            <w:tcW w:w="3069" w:type="dxa"/>
            <w:tcBorders>
              <w:right w:val="single" w:sz="4" w:space="0" w:color="auto"/>
            </w:tcBorders>
            <w:shd w:val="clear" w:color="auto" w:fill="auto"/>
          </w:tcPr>
          <w:p w14:paraId="267E488E" w14:textId="77777777" w:rsidR="00972612" w:rsidRPr="006A2BF9" w:rsidRDefault="00972612" w:rsidP="006F17A6">
            <w:pPr>
              <w:keepNext/>
              <w:keepLines/>
              <w:jc w:val="center"/>
              <w:outlineLvl w:val="0"/>
              <w:rPr>
                <w:bCs/>
                <w:sz w:val="20"/>
                <w:lang w:val="it-IT"/>
              </w:rPr>
            </w:pPr>
            <w:r w:rsidRPr="006A2BF9">
              <w:rPr>
                <w:bCs/>
                <w:sz w:val="20"/>
                <w:lang w:val="it-IT"/>
              </w:rPr>
              <w:t>19,3</w:t>
            </w:r>
          </w:p>
        </w:tc>
      </w:tr>
      <w:tr w:rsidR="00972612" w:rsidRPr="006A2BF9" w14:paraId="12CBCCB0" w14:textId="77777777" w:rsidTr="00C65E97">
        <w:tc>
          <w:tcPr>
            <w:tcW w:w="3069" w:type="dxa"/>
            <w:tcBorders>
              <w:left w:val="single" w:sz="4" w:space="0" w:color="auto"/>
              <w:bottom w:val="single" w:sz="6" w:space="0" w:color="000000"/>
            </w:tcBorders>
            <w:shd w:val="clear" w:color="auto" w:fill="auto"/>
          </w:tcPr>
          <w:p w14:paraId="2E932781" w14:textId="77777777" w:rsidR="00972612" w:rsidRPr="00330A40" w:rsidRDefault="00972612" w:rsidP="006F17A6">
            <w:pPr>
              <w:keepNext/>
              <w:keepLines/>
              <w:outlineLvl w:val="0"/>
              <w:rPr>
                <w:bCs/>
                <w:sz w:val="20"/>
                <w:lang w:val="it-IT"/>
              </w:rPr>
            </w:pPr>
            <w:r w:rsidRPr="000F0246">
              <w:rPr>
                <w:bCs/>
                <w:i/>
                <w:sz w:val="20"/>
                <w:lang w:val="it-IT"/>
              </w:rPr>
              <w:t>Hazard ratio</w:t>
            </w:r>
            <w:r w:rsidRPr="00330A40">
              <w:rPr>
                <w:bCs/>
                <w:sz w:val="20"/>
                <w:lang w:val="it-IT"/>
              </w:rPr>
              <w:t xml:space="preserve"> [</w:t>
            </w:r>
            <w:r w:rsidR="005C77B7" w:rsidRPr="00330A40">
              <w:rPr>
                <w:bCs/>
                <w:sz w:val="20"/>
                <w:lang w:val="it-IT"/>
              </w:rPr>
              <w:t xml:space="preserve">IC </w:t>
            </w:r>
            <w:r w:rsidR="00831FDE">
              <w:rPr>
                <w:bCs/>
                <w:sz w:val="20"/>
                <w:lang w:val="it-IT"/>
              </w:rPr>
              <w:t xml:space="preserve">al </w:t>
            </w:r>
            <w:r w:rsidRPr="00330A40">
              <w:rPr>
                <w:bCs/>
                <w:sz w:val="20"/>
                <w:lang w:val="it-IT"/>
              </w:rPr>
              <w:t>95%]</w:t>
            </w:r>
            <w:r w:rsidRPr="00330A40">
              <w:rPr>
                <w:bCs/>
                <w:sz w:val="20"/>
                <w:vertAlign w:val="superscript"/>
                <w:lang w:val="it-IT"/>
              </w:rPr>
              <w:t xml:space="preserve"> 2</w:t>
            </w:r>
          </w:p>
        </w:tc>
        <w:tc>
          <w:tcPr>
            <w:tcW w:w="6138" w:type="dxa"/>
            <w:gridSpan w:val="2"/>
            <w:tcBorders>
              <w:bottom w:val="single" w:sz="6" w:space="0" w:color="000000"/>
              <w:right w:val="single" w:sz="4" w:space="0" w:color="auto"/>
            </w:tcBorders>
            <w:shd w:val="clear" w:color="auto" w:fill="auto"/>
          </w:tcPr>
          <w:p w14:paraId="5E5F3A88" w14:textId="77777777" w:rsidR="00972612" w:rsidRPr="00330A40" w:rsidRDefault="00972612" w:rsidP="006F17A6">
            <w:pPr>
              <w:keepNext/>
              <w:keepLines/>
              <w:jc w:val="center"/>
              <w:outlineLvl w:val="0"/>
              <w:rPr>
                <w:bCs/>
                <w:sz w:val="20"/>
                <w:lang w:val="it-IT"/>
              </w:rPr>
            </w:pPr>
            <w:r w:rsidRPr="00330A40">
              <w:rPr>
                <w:bCs/>
                <w:sz w:val="20"/>
                <w:lang w:val="it-IT"/>
              </w:rPr>
              <w:t>0,86 [0,75; 0,98]</w:t>
            </w:r>
          </w:p>
          <w:p w14:paraId="065555DE" w14:textId="77777777" w:rsidR="00972612" w:rsidRPr="00330A40" w:rsidRDefault="00972612" w:rsidP="006F17A6">
            <w:pPr>
              <w:keepNext/>
              <w:keepLines/>
              <w:jc w:val="center"/>
              <w:outlineLvl w:val="0"/>
              <w:rPr>
                <w:bCs/>
                <w:sz w:val="20"/>
                <w:lang w:val="it-IT"/>
              </w:rPr>
            </w:pPr>
            <w:r w:rsidRPr="00330A40">
              <w:rPr>
                <w:bCs/>
                <w:sz w:val="20"/>
                <w:lang w:val="it-IT"/>
              </w:rPr>
              <w:t>(valore di p</w:t>
            </w:r>
            <w:r w:rsidR="0028755D" w:rsidRPr="00330A40">
              <w:rPr>
                <w:bCs/>
                <w:sz w:val="20"/>
                <w:lang w:val="it-IT"/>
              </w:rPr>
              <w:t> </w:t>
            </w:r>
            <w:r w:rsidRPr="00330A40">
              <w:rPr>
                <w:bCs/>
                <w:sz w:val="20"/>
                <w:lang w:val="it-IT"/>
              </w:rPr>
              <w:t>= 0,0185)</w:t>
            </w:r>
          </w:p>
        </w:tc>
      </w:tr>
      <w:tr w:rsidR="00972612" w:rsidRPr="006A2BF9" w14:paraId="3465FD26" w14:textId="77777777" w:rsidTr="00C65E97">
        <w:tc>
          <w:tcPr>
            <w:tcW w:w="9207" w:type="dxa"/>
            <w:gridSpan w:val="3"/>
            <w:tcBorders>
              <w:top w:val="single" w:sz="6" w:space="0" w:color="000000"/>
              <w:left w:val="single" w:sz="4" w:space="0" w:color="auto"/>
              <w:bottom w:val="single" w:sz="6" w:space="0" w:color="000000"/>
              <w:right w:val="single" w:sz="4" w:space="0" w:color="auto"/>
            </w:tcBorders>
            <w:shd w:val="clear" w:color="auto" w:fill="auto"/>
          </w:tcPr>
          <w:p w14:paraId="2F7847C4" w14:textId="77777777" w:rsidR="00972612" w:rsidRPr="006A2BF9" w:rsidRDefault="00972612" w:rsidP="006F17A6">
            <w:pPr>
              <w:keepNext/>
              <w:keepLines/>
              <w:outlineLvl w:val="0"/>
              <w:rPr>
                <w:bCs/>
                <w:sz w:val="20"/>
                <w:lang w:val="it-IT"/>
              </w:rPr>
            </w:pPr>
            <w:r w:rsidRPr="006A2BF9">
              <w:rPr>
                <w:bCs/>
                <w:sz w:val="20"/>
                <w:lang w:val="it-IT"/>
              </w:rPr>
              <w:t xml:space="preserve">Tasso di risposta obiettiva </w:t>
            </w:r>
            <w:r w:rsidRPr="006A2BF9">
              <w:rPr>
                <w:bCs/>
                <w:sz w:val="20"/>
                <w:vertAlign w:val="superscript"/>
                <w:lang w:val="it-IT"/>
              </w:rPr>
              <w:t>1</w:t>
            </w:r>
          </w:p>
        </w:tc>
      </w:tr>
      <w:tr w:rsidR="00972612" w:rsidRPr="006A2BF9" w14:paraId="2050A2BC" w14:textId="77777777" w:rsidTr="00C65E97">
        <w:tc>
          <w:tcPr>
            <w:tcW w:w="3069" w:type="dxa"/>
            <w:tcBorders>
              <w:top w:val="single" w:sz="6" w:space="0" w:color="000000"/>
              <w:left w:val="single" w:sz="4" w:space="0" w:color="auto"/>
            </w:tcBorders>
            <w:shd w:val="clear" w:color="auto" w:fill="auto"/>
          </w:tcPr>
          <w:p w14:paraId="47AD7791" w14:textId="77777777" w:rsidR="00972612" w:rsidRPr="006A2BF9" w:rsidRDefault="00972612" w:rsidP="006F17A6">
            <w:pPr>
              <w:keepNext/>
              <w:keepLines/>
              <w:outlineLvl w:val="0"/>
              <w:rPr>
                <w:bCs/>
                <w:sz w:val="20"/>
                <w:lang w:val="it-IT"/>
              </w:rPr>
            </w:pPr>
          </w:p>
        </w:tc>
        <w:tc>
          <w:tcPr>
            <w:tcW w:w="3069" w:type="dxa"/>
            <w:tcBorders>
              <w:top w:val="single" w:sz="6" w:space="0" w:color="000000"/>
            </w:tcBorders>
            <w:shd w:val="clear" w:color="auto" w:fill="auto"/>
          </w:tcPr>
          <w:p w14:paraId="64D0CA91" w14:textId="77777777" w:rsidR="00972612" w:rsidRPr="006A2BF9" w:rsidRDefault="00972612" w:rsidP="006F17A6">
            <w:pPr>
              <w:keepNext/>
              <w:keepLines/>
              <w:jc w:val="center"/>
              <w:outlineLvl w:val="0"/>
              <w:rPr>
                <w:bCs/>
                <w:sz w:val="20"/>
                <w:lang w:val="it-IT"/>
              </w:rPr>
            </w:pPr>
            <w:r w:rsidRPr="006A2BF9">
              <w:rPr>
                <w:bCs/>
                <w:sz w:val="20"/>
                <w:lang w:val="it-IT"/>
              </w:rPr>
              <w:t>CP</w:t>
            </w:r>
            <w:r w:rsidRPr="006A2BF9">
              <w:rPr>
                <w:bCs/>
                <w:sz w:val="20"/>
                <w:lang w:val="it-IT"/>
              </w:rPr>
              <w:br/>
              <w:t>(n = 277)</w:t>
            </w:r>
          </w:p>
        </w:tc>
        <w:tc>
          <w:tcPr>
            <w:tcW w:w="3069" w:type="dxa"/>
            <w:tcBorders>
              <w:top w:val="single" w:sz="6" w:space="0" w:color="000000"/>
              <w:right w:val="single" w:sz="4" w:space="0" w:color="auto"/>
            </w:tcBorders>
            <w:shd w:val="clear" w:color="auto" w:fill="auto"/>
          </w:tcPr>
          <w:p w14:paraId="38F81529" w14:textId="77777777" w:rsidR="00972612" w:rsidRPr="006A2BF9" w:rsidRDefault="00972612" w:rsidP="006F17A6">
            <w:pPr>
              <w:keepNext/>
              <w:keepLines/>
              <w:jc w:val="center"/>
              <w:outlineLvl w:val="0"/>
              <w:rPr>
                <w:bCs/>
                <w:sz w:val="20"/>
                <w:lang w:val="it-IT"/>
              </w:rPr>
            </w:pPr>
            <w:r w:rsidRPr="006A2BF9">
              <w:rPr>
                <w:bCs/>
                <w:sz w:val="20"/>
                <w:lang w:val="it-IT"/>
              </w:rPr>
              <w:t>CPB7.5+</w:t>
            </w:r>
            <w:r w:rsidRPr="006A2BF9">
              <w:rPr>
                <w:bCs/>
                <w:sz w:val="20"/>
                <w:lang w:val="it-IT"/>
              </w:rPr>
              <w:br/>
              <w:t>(n = 272)</w:t>
            </w:r>
          </w:p>
        </w:tc>
      </w:tr>
      <w:tr w:rsidR="00972612" w:rsidRPr="006A2BF9" w14:paraId="710D01F0" w14:textId="77777777" w:rsidTr="00C65E97">
        <w:tc>
          <w:tcPr>
            <w:tcW w:w="3069" w:type="dxa"/>
            <w:tcBorders>
              <w:left w:val="single" w:sz="4" w:space="0" w:color="auto"/>
            </w:tcBorders>
            <w:shd w:val="clear" w:color="auto" w:fill="auto"/>
          </w:tcPr>
          <w:p w14:paraId="507FBBCC" w14:textId="77777777" w:rsidR="00972612" w:rsidRPr="006A2BF9" w:rsidRDefault="00972612" w:rsidP="006F17A6">
            <w:pPr>
              <w:keepNext/>
              <w:keepLines/>
              <w:outlineLvl w:val="0"/>
              <w:rPr>
                <w:bCs/>
                <w:sz w:val="20"/>
                <w:lang w:val="it-IT"/>
              </w:rPr>
            </w:pPr>
            <w:r w:rsidRPr="006A2BF9">
              <w:rPr>
                <w:bCs/>
                <w:sz w:val="20"/>
                <w:lang w:val="it-IT"/>
              </w:rPr>
              <w:t>Tasso di risposta</w:t>
            </w:r>
          </w:p>
        </w:tc>
        <w:tc>
          <w:tcPr>
            <w:tcW w:w="3069" w:type="dxa"/>
            <w:shd w:val="clear" w:color="auto" w:fill="auto"/>
          </w:tcPr>
          <w:p w14:paraId="4F544F1C" w14:textId="77777777" w:rsidR="00972612" w:rsidRPr="006A2BF9" w:rsidRDefault="00972612" w:rsidP="006F17A6">
            <w:pPr>
              <w:keepNext/>
              <w:keepLines/>
              <w:jc w:val="center"/>
              <w:outlineLvl w:val="0"/>
              <w:rPr>
                <w:bCs/>
                <w:sz w:val="20"/>
                <w:lang w:val="it-IT"/>
              </w:rPr>
            </w:pPr>
            <w:r w:rsidRPr="006A2BF9">
              <w:rPr>
                <w:bCs/>
                <w:sz w:val="20"/>
                <w:lang w:val="it-IT"/>
              </w:rPr>
              <w:t>54,9%</w:t>
            </w:r>
          </w:p>
        </w:tc>
        <w:tc>
          <w:tcPr>
            <w:tcW w:w="3069" w:type="dxa"/>
            <w:tcBorders>
              <w:right w:val="single" w:sz="4" w:space="0" w:color="auto"/>
            </w:tcBorders>
            <w:shd w:val="clear" w:color="auto" w:fill="auto"/>
          </w:tcPr>
          <w:p w14:paraId="706BC261" w14:textId="77777777" w:rsidR="00972612" w:rsidRPr="006A2BF9" w:rsidRDefault="00972612" w:rsidP="006F17A6">
            <w:pPr>
              <w:keepNext/>
              <w:keepLines/>
              <w:jc w:val="center"/>
              <w:outlineLvl w:val="0"/>
              <w:rPr>
                <w:bCs/>
                <w:sz w:val="20"/>
                <w:lang w:val="it-IT"/>
              </w:rPr>
            </w:pPr>
            <w:r w:rsidRPr="006A2BF9">
              <w:rPr>
                <w:bCs/>
                <w:sz w:val="20"/>
                <w:lang w:val="it-IT"/>
              </w:rPr>
              <w:t>64,7%</w:t>
            </w:r>
          </w:p>
        </w:tc>
      </w:tr>
      <w:tr w:rsidR="00972612" w:rsidRPr="006A2BF9" w14:paraId="04949A84" w14:textId="77777777" w:rsidTr="00C65E97">
        <w:tc>
          <w:tcPr>
            <w:tcW w:w="3069" w:type="dxa"/>
            <w:tcBorders>
              <w:left w:val="single" w:sz="4" w:space="0" w:color="auto"/>
              <w:bottom w:val="single" w:sz="6" w:space="0" w:color="000000"/>
            </w:tcBorders>
            <w:shd w:val="clear" w:color="auto" w:fill="auto"/>
          </w:tcPr>
          <w:p w14:paraId="1B105A63" w14:textId="77777777" w:rsidR="00972612" w:rsidRPr="006A2BF9" w:rsidRDefault="00972612" w:rsidP="006F17A6">
            <w:pPr>
              <w:keepNext/>
              <w:keepLines/>
              <w:outlineLvl w:val="0"/>
              <w:rPr>
                <w:bCs/>
                <w:sz w:val="20"/>
                <w:lang w:val="it-IT"/>
              </w:rPr>
            </w:pPr>
          </w:p>
        </w:tc>
        <w:tc>
          <w:tcPr>
            <w:tcW w:w="6138" w:type="dxa"/>
            <w:gridSpan w:val="2"/>
            <w:tcBorders>
              <w:bottom w:val="single" w:sz="6" w:space="0" w:color="000000"/>
              <w:right w:val="single" w:sz="4" w:space="0" w:color="auto"/>
            </w:tcBorders>
            <w:shd w:val="clear" w:color="auto" w:fill="auto"/>
          </w:tcPr>
          <w:p w14:paraId="5D6847BA" w14:textId="77777777" w:rsidR="00972612" w:rsidRPr="006A2BF9" w:rsidRDefault="00972612" w:rsidP="006F17A6">
            <w:pPr>
              <w:keepNext/>
              <w:keepLines/>
              <w:jc w:val="center"/>
              <w:outlineLvl w:val="0"/>
              <w:rPr>
                <w:bCs/>
                <w:sz w:val="20"/>
                <w:lang w:val="it-IT"/>
              </w:rPr>
            </w:pPr>
            <w:r w:rsidRPr="006A2BF9">
              <w:rPr>
                <w:bCs/>
                <w:sz w:val="20"/>
                <w:lang w:val="it-IT"/>
              </w:rPr>
              <w:t>(valore di p</w:t>
            </w:r>
            <w:r w:rsidR="0028755D" w:rsidRPr="006A2BF9">
              <w:rPr>
                <w:bCs/>
                <w:sz w:val="20"/>
                <w:lang w:val="it-IT"/>
              </w:rPr>
              <w:t> </w:t>
            </w:r>
            <w:r w:rsidRPr="006A2BF9">
              <w:rPr>
                <w:bCs/>
                <w:sz w:val="20"/>
                <w:lang w:val="it-IT"/>
              </w:rPr>
              <w:t>=</w:t>
            </w:r>
            <w:r w:rsidR="0028755D" w:rsidRPr="006A2BF9">
              <w:rPr>
                <w:bCs/>
                <w:sz w:val="20"/>
                <w:lang w:val="it-IT"/>
              </w:rPr>
              <w:t> </w:t>
            </w:r>
            <w:r w:rsidRPr="006A2BF9">
              <w:rPr>
                <w:bCs/>
                <w:sz w:val="20"/>
                <w:lang w:val="it-IT"/>
              </w:rPr>
              <w:t>0,0188)</w:t>
            </w:r>
          </w:p>
        </w:tc>
      </w:tr>
      <w:tr w:rsidR="00972612" w:rsidRPr="006A2BF9" w14:paraId="7EAD0E0F" w14:textId="77777777" w:rsidTr="00C65E97">
        <w:tc>
          <w:tcPr>
            <w:tcW w:w="9207" w:type="dxa"/>
            <w:gridSpan w:val="3"/>
            <w:tcBorders>
              <w:top w:val="single" w:sz="6" w:space="0" w:color="000000"/>
              <w:left w:val="single" w:sz="4" w:space="0" w:color="auto"/>
              <w:bottom w:val="single" w:sz="6" w:space="0" w:color="000000"/>
              <w:right w:val="single" w:sz="4" w:space="0" w:color="auto"/>
            </w:tcBorders>
            <w:shd w:val="clear" w:color="auto" w:fill="auto"/>
          </w:tcPr>
          <w:p w14:paraId="53F87BAA" w14:textId="77777777" w:rsidR="00972612" w:rsidRPr="006A2BF9" w:rsidRDefault="00972612" w:rsidP="006F17A6">
            <w:pPr>
              <w:keepNext/>
              <w:keepLines/>
              <w:outlineLvl w:val="0"/>
              <w:rPr>
                <w:bCs/>
                <w:sz w:val="20"/>
                <w:lang w:val="it-IT"/>
              </w:rPr>
            </w:pPr>
            <w:r w:rsidRPr="006A2BF9">
              <w:rPr>
                <w:bCs/>
                <w:sz w:val="20"/>
                <w:lang w:val="it-IT"/>
              </w:rPr>
              <w:t>Sopravvivenza globale</w:t>
            </w:r>
            <w:r w:rsidRPr="006A2BF9">
              <w:rPr>
                <w:bCs/>
                <w:sz w:val="20"/>
                <w:vertAlign w:val="superscript"/>
                <w:lang w:val="it-IT"/>
              </w:rPr>
              <w:t>3</w:t>
            </w:r>
          </w:p>
        </w:tc>
      </w:tr>
      <w:tr w:rsidR="008F1157" w:rsidRPr="006A2BF9" w14:paraId="03A61DF5" w14:textId="77777777" w:rsidTr="00C65E97">
        <w:tc>
          <w:tcPr>
            <w:tcW w:w="3069" w:type="dxa"/>
            <w:tcBorders>
              <w:top w:val="single" w:sz="6" w:space="0" w:color="000000"/>
              <w:left w:val="single" w:sz="4" w:space="0" w:color="auto"/>
            </w:tcBorders>
            <w:shd w:val="clear" w:color="auto" w:fill="auto"/>
          </w:tcPr>
          <w:p w14:paraId="50014577" w14:textId="77777777" w:rsidR="008F1157" w:rsidRPr="006A2BF9" w:rsidRDefault="008F1157" w:rsidP="006F17A6">
            <w:pPr>
              <w:keepNext/>
              <w:keepLines/>
              <w:outlineLvl w:val="0"/>
              <w:rPr>
                <w:bCs/>
                <w:sz w:val="20"/>
                <w:lang w:val="it-IT"/>
              </w:rPr>
            </w:pPr>
          </w:p>
        </w:tc>
        <w:tc>
          <w:tcPr>
            <w:tcW w:w="3069" w:type="dxa"/>
            <w:tcBorders>
              <w:top w:val="single" w:sz="6" w:space="0" w:color="000000"/>
            </w:tcBorders>
            <w:shd w:val="clear" w:color="auto" w:fill="auto"/>
          </w:tcPr>
          <w:p w14:paraId="5BD2D559" w14:textId="77777777" w:rsidR="008F1157" w:rsidRPr="006A2BF9" w:rsidRDefault="008F1157" w:rsidP="006F17A6">
            <w:pPr>
              <w:keepNext/>
              <w:keepLines/>
              <w:jc w:val="center"/>
              <w:outlineLvl w:val="0"/>
              <w:rPr>
                <w:bCs/>
                <w:sz w:val="20"/>
                <w:lang w:val="it-IT"/>
              </w:rPr>
            </w:pPr>
            <w:r w:rsidRPr="006A2BF9">
              <w:rPr>
                <w:bCs/>
                <w:sz w:val="20"/>
                <w:lang w:val="it-IT"/>
              </w:rPr>
              <w:t>CP</w:t>
            </w:r>
            <w:r w:rsidRPr="006A2BF9">
              <w:rPr>
                <w:bCs/>
                <w:sz w:val="20"/>
                <w:lang w:val="it-IT"/>
              </w:rPr>
              <w:br/>
              <w:t>(n = 764)</w:t>
            </w:r>
          </w:p>
        </w:tc>
        <w:tc>
          <w:tcPr>
            <w:tcW w:w="3069" w:type="dxa"/>
            <w:tcBorders>
              <w:top w:val="single" w:sz="6" w:space="0" w:color="000000"/>
              <w:right w:val="single" w:sz="4" w:space="0" w:color="auto"/>
            </w:tcBorders>
            <w:shd w:val="clear" w:color="auto" w:fill="auto"/>
          </w:tcPr>
          <w:p w14:paraId="424F9F7C" w14:textId="77777777" w:rsidR="008F1157" w:rsidRPr="006A2BF9" w:rsidRDefault="008F1157" w:rsidP="006F17A6">
            <w:pPr>
              <w:keepNext/>
              <w:keepLines/>
              <w:jc w:val="center"/>
              <w:outlineLvl w:val="0"/>
              <w:rPr>
                <w:bCs/>
                <w:sz w:val="20"/>
                <w:lang w:val="it-IT"/>
              </w:rPr>
            </w:pPr>
            <w:r w:rsidRPr="006A2BF9">
              <w:rPr>
                <w:bCs/>
                <w:sz w:val="20"/>
                <w:lang w:val="it-IT"/>
              </w:rPr>
              <w:t>CPB7.5+</w:t>
            </w:r>
            <w:r w:rsidRPr="006A2BF9">
              <w:rPr>
                <w:bCs/>
                <w:sz w:val="20"/>
                <w:lang w:val="it-IT"/>
              </w:rPr>
              <w:br/>
              <w:t>(n = 764</w:t>
            </w:r>
            <w:r w:rsidRPr="006A2BF9">
              <w:rPr>
                <w:bCs/>
                <w:iCs/>
                <w:sz w:val="20"/>
                <w:lang w:val="it-IT"/>
              </w:rPr>
              <w:t>)</w:t>
            </w:r>
          </w:p>
        </w:tc>
      </w:tr>
      <w:tr w:rsidR="008F1157" w:rsidRPr="006A2BF9" w14:paraId="0BD59606" w14:textId="77777777" w:rsidTr="00C65E97">
        <w:tc>
          <w:tcPr>
            <w:tcW w:w="3069" w:type="dxa"/>
            <w:tcBorders>
              <w:left w:val="single" w:sz="4" w:space="0" w:color="auto"/>
            </w:tcBorders>
            <w:shd w:val="clear" w:color="auto" w:fill="auto"/>
          </w:tcPr>
          <w:p w14:paraId="16D8058A" w14:textId="77777777" w:rsidR="008F1157" w:rsidRPr="006A2BF9" w:rsidRDefault="008F1157" w:rsidP="006F17A6">
            <w:pPr>
              <w:keepNext/>
              <w:keepLines/>
              <w:outlineLvl w:val="0"/>
              <w:rPr>
                <w:bCs/>
                <w:sz w:val="20"/>
                <w:lang w:val="it-IT"/>
              </w:rPr>
            </w:pPr>
            <w:r w:rsidRPr="006A2BF9">
              <w:rPr>
                <w:bCs/>
                <w:sz w:val="20"/>
                <w:lang w:val="it-IT"/>
              </w:rPr>
              <w:t>Mediana (mesi)</w:t>
            </w:r>
          </w:p>
        </w:tc>
        <w:tc>
          <w:tcPr>
            <w:tcW w:w="3069" w:type="dxa"/>
            <w:shd w:val="clear" w:color="auto" w:fill="auto"/>
          </w:tcPr>
          <w:p w14:paraId="7859482F" w14:textId="77777777" w:rsidR="008F1157" w:rsidRPr="006A2BF9" w:rsidRDefault="00D616E7" w:rsidP="006F17A6">
            <w:pPr>
              <w:keepNext/>
              <w:keepLines/>
              <w:jc w:val="center"/>
              <w:outlineLvl w:val="0"/>
              <w:rPr>
                <w:bCs/>
                <w:sz w:val="20"/>
                <w:lang w:val="it-IT"/>
              </w:rPr>
            </w:pPr>
            <w:r w:rsidRPr="006A2BF9">
              <w:rPr>
                <w:bCs/>
                <w:sz w:val="20"/>
                <w:lang w:val="it-IT"/>
              </w:rPr>
              <w:t>58,0</w:t>
            </w:r>
          </w:p>
        </w:tc>
        <w:tc>
          <w:tcPr>
            <w:tcW w:w="3069" w:type="dxa"/>
            <w:tcBorders>
              <w:right w:val="single" w:sz="4" w:space="0" w:color="auto"/>
            </w:tcBorders>
            <w:shd w:val="clear" w:color="auto" w:fill="auto"/>
          </w:tcPr>
          <w:p w14:paraId="1433371A" w14:textId="77777777" w:rsidR="008F1157" w:rsidRPr="006A2BF9" w:rsidRDefault="00D616E7" w:rsidP="006F17A6">
            <w:pPr>
              <w:keepNext/>
              <w:keepLines/>
              <w:jc w:val="center"/>
              <w:outlineLvl w:val="0"/>
              <w:rPr>
                <w:bCs/>
                <w:sz w:val="20"/>
                <w:lang w:val="it-IT"/>
              </w:rPr>
            </w:pPr>
            <w:r w:rsidRPr="006A2BF9">
              <w:rPr>
                <w:bCs/>
                <w:sz w:val="20"/>
                <w:lang w:val="it-IT"/>
              </w:rPr>
              <w:t>57,4</w:t>
            </w:r>
          </w:p>
        </w:tc>
      </w:tr>
      <w:tr w:rsidR="008F1157" w:rsidRPr="006A2BF9" w14:paraId="054D94B5" w14:textId="77777777" w:rsidTr="00C65E97">
        <w:tc>
          <w:tcPr>
            <w:tcW w:w="3069" w:type="dxa"/>
            <w:tcBorders>
              <w:left w:val="single" w:sz="4" w:space="0" w:color="auto"/>
              <w:bottom w:val="single" w:sz="4" w:space="0" w:color="auto"/>
            </w:tcBorders>
            <w:shd w:val="clear" w:color="auto" w:fill="auto"/>
          </w:tcPr>
          <w:p w14:paraId="1BE912CA" w14:textId="77777777" w:rsidR="008F1157" w:rsidRPr="00330A40" w:rsidRDefault="008F1157" w:rsidP="006F17A6">
            <w:pPr>
              <w:keepNext/>
              <w:keepLines/>
              <w:outlineLvl w:val="0"/>
              <w:rPr>
                <w:bCs/>
                <w:sz w:val="20"/>
                <w:lang w:val="it-IT"/>
              </w:rPr>
            </w:pPr>
            <w:r w:rsidRPr="000F0246">
              <w:rPr>
                <w:bCs/>
                <w:i/>
                <w:sz w:val="20"/>
                <w:lang w:val="it-IT"/>
              </w:rPr>
              <w:t>Hazard ratio</w:t>
            </w:r>
            <w:r w:rsidRPr="00330A40">
              <w:rPr>
                <w:bCs/>
                <w:sz w:val="20"/>
                <w:lang w:val="it-IT"/>
              </w:rPr>
              <w:t xml:space="preserve"> [</w:t>
            </w:r>
            <w:r w:rsidR="005C77B7" w:rsidRPr="00330A40">
              <w:rPr>
                <w:bCs/>
                <w:sz w:val="20"/>
                <w:lang w:val="it-IT"/>
              </w:rPr>
              <w:t xml:space="preserve">IC </w:t>
            </w:r>
            <w:r w:rsidR="00831FDE">
              <w:rPr>
                <w:bCs/>
                <w:sz w:val="20"/>
                <w:lang w:val="it-IT"/>
              </w:rPr>
              <w:t xml:space="preserve">al </w:t>
            </w:r>
            <w:r w:rsidRPr="00330A40">
              <w:rPr>
                <w:bCs/>
                <w:sz w:val="20"/>
                <w:lang w:val="it-IT"/>
              </w:rPr>
              <w:t>95%]</w:t>
            </w:r>
          </w:p>
        </w:tc>
        <w:tc>
          <w:tcPr>
            <w:tcW w:w="6138" w:type="dxa"/>
            <w:gridSpan w:val="2"/>
            <w:tcBorders>
              <w:bottom w:val="single" w:sz="4" w:space="0" w:color="auto"/>
              <w:right w:val="single" w:sz="4" w:space="0" w:color="auto"/>
            </w:tcBorders>
            <w:shd w:val="clear" w:color="auto" w:fill="auto"/>
          </w:tcPr>
          <w:p w14:paraId="5782821C" w14:textId="77777777" w:rsidR="008F1157" w:rsidRPr="00330A40" w:rsidRDefault="008F1157" w:rsidP="006F17A6">
            <w:pPr>
              <w:keepNext/>
              <w:keepLines/>
              <w:jc w:val="center"/>
              <w:outlineLvl w:val="0"/>
              <w:rPr>
                <w:bCs/>
                <w:sz w:val="20"/>
                <w:lang w:val="it-IT"/>
              </w:rPr>
            </w:pPr>
            <w:r w:rsidRPr="00330A40">
              <w:rPr>
                <w:bCs/>
                <w:sz w:val="20"/>
                <w:lang w:val="it-IT"/>
              </w:rPr>
              <w:t>0,</w:t>
            </w:r>
            <w:r w:rsidR="00D616E7" w:rsidRPr="00330A40">
              <w:rPr>
                <w:bCs/>
                <w:sz w:val="20"/>
                <w:lang w:val="it-IT"/>
              </w:rPr>
              <w:t>99 [0,85; 1,15</w:t>
            </w:r>
            <w:r w:rsidRPr="00330A40">
              <w:rPr>
                <w:bCs/>
                <w:sz w:val="20"/>
                <w:lang w:val="it-IT"/>
              </w:rPr>
              <w:t>]</w:t>
            </w:r>
          </w:p>
          <w:p w14:paraId="44C644E3" w14:textId="77777777" w:rsidR="008F1157" w:rsidRPr="00330A40" w:rsidRDefault="00D616E7" w:rsidP="006F17A6">
            <w:pPr>
              <w:keepNext/>
              <w:keepLines/>
              <w:jc w:val="center"/>
              <w:outlineLvl w:val="0"/>
              <w:rPr>
                <w:bCs/>
                <w:sz w:val="20"/>
                <w:lang w:val="it-IT"/>
              </w:rPr>
            </w:pPr>
            <w:r w:rsidRPr="00330A40">
              <w:rPr>
                <w:bCs/>
                <w:sz w:val="20"/>
                <w:lang w:val="it-IT"/>
              </w:rPr>
              <w:t>(valore di p</w:t>
            </w:r>
            <w:r w:rsidR="0028755D" w:rsidRPr="00330A40">
              <w:rPr>
                <w:bCs/>
                <w:sz w:val="20"/>
                <w:lang w:val="it-IT"/>
              </w:rPr>
              <w:t> </w:t>
            </w:r>
            <w:r w:rsidRPr="00330A40">
              <w:rPr>
                <w:bCs/>
                <w:sz w:val="20"/>
                <w:lang w:val="it-IT"/>
              </w:rPr>
              <w:t>=</w:t>
            </w:r>
            <w:r w:rsidR="0028755D" w:rsidRPr="00330A40">
              <w:rPr>
                <w:bCs/>
                <w:sz w:val="20"/>
                <w:lang w:val="it-IT"/>
              </w:rPr>
              <w:t> </w:t>
            </w:r>
            <w:r w:rsidRPr="00330A40">
              <w:rPr>
                <w:bCs/>
                <w:sz w:val="20"/>
                <w:lang w:val="it-IT"/>
              </w:rPr>
              <w:t>0,8910</w:t>
            </w:r>
            <w:r w:rsidR="008F1157" w:rsidRPr="00330A40">
              <w:rPr>
                <w:bCs/>
                <w:sz w:val="20"/>
                <w:lang w:val="it-IT"/>
              </w:rPr>
              <w:t>)</w:t>
            </w:r>
          </w:p>
        </w:tc>
      </w:tr>
    </w:tbl>
    <w:p w14:paraId="0C4E87DF" w14:textId="77777777" w:rsidR="008F1157" w:rsidRPr="006A2BF9" w:rsidRDefault="008F1157" w:rsidP="006F17A6">
      <w:pPr>
        <w:keepNext/>
        <w:keepLines/>
        <w:outlineLvl w:val="0"/>
        <w:rPr>
          <w:bCs/>
          <w:sz w:val="20"/>
          <w:lang w:val="it-IT"/>
        </w:rPr>
      </w:pPr>
      <w:r w:rsidRPr="006A2BF9">
        <w:rPr>
          <w:bCs/>
          <w:sz w:val="20"/>
          <w:vertAlign w:val="superscript"/>
          <w:lang w:val="it-IT"/>
        </w:rPr>
        <w:t>1</w:t>
      </w:r>
      <w:r w:rsidRPr="006A2BF9">
        <w:rPr>
          <w:bCs/>
          <w:sz w:val="20"/>
          <w:lang w:val="it-IT"/>
        </w:rPr>
        <w:t xml:space="preserve"> In pazienti con patologia misurabile al basale.</w:t>
      </w:r>
    </w:p>
    <w:p w14:paraId="3BBF3E9E" w14:textId="77777777" w:rsidR="008F1157" w:rsidRPr="006A2BF9" w:rsidRDefault="008F1157" w:rsidP="006F17A6">
      <w:pPr>
        <w:keepNext/>
        <w:keepLines/>
        <w:outlineLvl w:val="0"/>
        <w:rPr>
          <w:bCs/>
          <w:sz w:val="20"/>
          <w:lang w:val="it-IT"/>
        </w:rPr>
      </w:pPr>
      <w:r w:rsidRPr="006A2BF9">
        <w:rPr>
          <w:bCs/>
          <w:sz w:val="20"/>
          <w:vertAlign w:val="superscript"/>
          <w:lang w:val="it-IT"/>
        </w:rPr>
        <w:t>2</w:t>
      </w:r>
      <w:r w:rsidRPr="006A2BF9">
        <w:rPr>
          <w:bCs/>
          <w:sz w:val="20"/>
          <w:lang w:val="it-IT"/>
        </w:rPr>
        <w:t xml:space="preserve"> </w:t>
      </w:r>
      <w:r w:rsidR="005C77B7" w:rsidRPr="006A2BF9">
        <w:rPr>
          <w:bCs/>
          <w:sz w:val="20"/>
          <w:lang w:val="it-IT"/>
        </w:rPr>
        <w:t>A</w:t>
      </w:r>
      <w:r w:rsidRPr="006A2BF9">
        <w:rPr>
          <w:bCs/>
          <w:sz w:val="20"/>
          <w:lang w:val="it-IT"/>
        </w:rPr>
        <w:t>nalisi della PFS</w:t>
      </w:r>
      <w:r w:rsidR="005C77B7" w:rsidRPr="006A2BF9">
        <w:rPr>
          <w:bCs/>
          <w:sz w:val="20"/>
          <w:lang w:val="it-IT"/>
        </w:rPr>
        <w:t xml:space="preserve"> valutata dallo sperimentatore</w:t>
      </w:r>
      <w:r w:rsidRPr="006A2BF9">
        <w:rPr>
          <w:bCs/>
          <w:sz w:val="20"/>
          <w:lang w:val="it-IT"/>
        </w:rPr>
        <w:t xml:space="preserve"> con cut-off dei dati al 30 </w:t>
      </w:r>
      <w:r w:rsidR="00416C93" w:rsidRPr="006A2BF9">
        <w:rPr>
          <w:bCs/>
          <w:sz w:val="20"/>
          <w:lang w:val="it-IT"/>
        </w:rPr>
        <w:t xml:space="preserve">novembre </w:t>
      </w:r>
      <w:r w:rsidRPr="006A2BF9">
        <w:rPr>
          <w:bCs/>
          <w:sz w:val="20"/>
          <w:lang w:val="it-IT"/>
        </w:rPr>
        <w:t>2010.</w:t>
      </w:r>
    </w:p>
    <w:p w14:paraId="32D20D9D" w14:textId="77777777" w:rsidR="00972612" w:rsidRPr="006A2BF9" w:rsidRDefault="008F1157" w:rsidP="00D616E7">
      <w:pPr>
        <w:keepNext/>
        <w:keepLines/>
        <w:outlineLvl w:val="0"/>
        <w:rPr>
          <w:bCs/>
          <w:sz w:val="20"/>
          <w:lang w:val="it-IT"/>
        </w:rPr>
      </w:pPr>
      <w:r w:rsidRPr="006A2BF9">
        <w:rPr>
          <w:bCs/>
          <w:sz w:val="20"/>
          <w:vertAlign w:val="superscript"/>
          <w:lang w:val="it-IT"/>
        </w:rPr>
        <w:t>3</w:t>
      </w:r>
      <w:r w:rsidRPr="006A2BF9">
        <w:rPr>
          <w:bCs/>
          <w:sz w:val="20"/>
          <w:lang w:val="it-IT"/>
        </w:rPr>
        <w:t xml:space="preserve"> </w:t>
      </w:r>
      <w:r w:rsidR="00D616E7" w:rsidRPr="006A2BF9">
        <w:rPr>
          <w:bCs/>
          <w:sz w:val="20"/>
          <w:lang w:val="it-IT"/>
        </w:rPr>
        <w:t>L</w:t>
      </w:r>
      <w:r w:rsidR="00194F5C" w:rsidRPr="009A1D3A">
        <w:rPr>
          <w:sz w:val="20"/>
          <w:lang w:val="es-ES"/>
        </w:rPr>
        <w:t>’</w:t>
      </w:r>
      <w:r w:rsidR="00D616E7" w:rsidRPr="006A2BF9">
        <w:rPr>
          <w:bCs/>
          <w:sz w:val="20"/>
          <w:lang w:val="it-IT"/>
        </w:rPr>
        <w:t xml:space="preserve">analisi finale della </w:t>
      </w:r>
      <w:r w:rsidR="00062D61">
        <w:rPr>
          <w:bCs/>
          <w:sz w:val="20"/>
          <w:lang w:val="it-IT"/>
        </w:rPr>
        <w:t>OS</w:t>
      </w:r>
      <w:r w:rsidR="00D616E7" w:rsidRPr="006A2BF9">
        <w:rPr>
          <w:bCs/>
          <w:sz w:val="20"/>
          <w:lang w:val="it-IT"/>
        </w:rPr>
        <w:t xml:space="preserve"> è stata effettuata </w:t>
      </w:r>
      <w:r w:rsidR="00340523" w:rsidRPr="006A2BF9">
        <w:rPr>
          <w:bCs/>
          <w:sz w:val="20"/>
          <w:lang w:val="it-IT"/>
        </w:rPr>
        <w:t>con il</w:t>
      </w:r>
      <w:r w:rsidR="00D616E7" w:rsidRPr="006A2BF9">
        <w:rPr>
          <w:bCs/>
          <w:sz w:val="20"/>
          <w:lang w:val="it-IT"/>
        </w:rPr>
        <w:t xml:space="preserve"> cut-off de</w:t>
      </w:r>
      <w:r w:rsidR="00340523" w:rsidRPr="006A2BF9">
        <w:rPr>
          <w:bCs/>
          <w:sz w:val="20"/>
          <w:lang w:val="it-IT"/>
        </w:rPr>
        <w:t>i dati a</w:t>
      </w:r>
      <w:r w:rsidR="00D616E7" w:rsidRPr="006A2BF9">
        <w:rPr>
          <w:bCs/>
          <w:sz w:val="20"/>
          <w:lang w:val="it-IT"/>
        </w:rPr>
        <w:t xml:space="preserve">l 31 </w:t>
      </w:r>
      <w:r w:rsidR="00416C93" w:rsidRPr="006A2BF9">
        <w:rPr>
          <w:bCs/>
          <w:sz w:val="20"/>
          <w:lang w:val="it-IT"/>
        </w:rPr>
        <w:t xml:space="preserve">marzo </w:t>
      </w:r>
      <w:r w:rsidR="00D616E7" w:rsidRPr="006A2BF9">
        <w:rPr>
          <w:bCs/>
          <w:sz w:val="20"/>
          <w:lang w:val="it-IT"/>
        </w:rPr>
        <w:t>2013, quando il 46,7% dei pazienti era decedut</w:t>
      </w:r>
      <w:r w:rsidR="00340523" w:rsidRPr="006A2BF9">
        <w:rPr>
          <w:bCs/>
          <w:sz w:val="20"/>
          <w:lang w:val="it-IT"/>
        </w:rPr>
        <w:t>o</w:t>
      </w:r>
      <w:r w:rsidR="00D616E7" w:rsidRPr="006A2BF9">
        <w:rPr>
          <w:bCs/>
          <w:sz w:val="20"/>
          <w:lang w:val="it-IT"/>
        </w:rPr>
        <w:t>.</w:t>
      </w:r>
    </w:p>
    <w:p w14:paraId="3F610E30" w14:textId="77777777" w:rsidR="00D616E7" w:rsidRPr="006A2BF9" w:rsidRDefault="00D616E7" w:rsidP="00D616E7">
      <w:pPr>
        <w:keepNext/>
        <w:keepLines/>
        <w:outlineLvl w:val="0"/>
        <w:rPr>
          <w:bCs/>
          <w:lang w:val="it-IT"/>
        </w:rPr>
      </w:pPr>
    </w:p>
    <w:p w14:paraId="096A0C3A" w14:textId="77777777" w:rsidR="00972612" w:rsidRPr="00330A40" w:rsidRDefault="00972612" w:rsidP="00972612">
      <w:pPr>
        <w:outlineLvl w:val="0"/>
        <w:rPr>
          <w:bCs/>
          <w:lang w:val="it-IT"/>
        </w:rPr>
      </w:pPr>
      <w:r w:rsidRPr="006A2BF9">
        <w:rPr>
          <w:bCs/>
          <w:lang w:val="it-IT"/>
        </w:rPr>
        <w:t xml:space="preserve">L’analisi primaria della PFS valutata dallo sperimentatore con cut-off dei dati risalente al 28 </w:t>
      </w:r>
      <w:r w:rsidR="00047446" w:rsidRPr="006A2BF9">
        <w:rPr>
          <w:bCs/>
          <w:lang w:val="it-IT"/>
        </w:rPr>
        <w:t>f</w:t>
      </w:r>
      <w:r w:rsidRPr="006A2BF9">
        <w:rPr>
          <w:bCs/>
          <w:lang w:val="it-IT"/>
        </w:rPr>
        <w:t>ebbraio 2010</w:t>
      </w:r>
      <w:r w:rsidR="009B4D3B" w:rsidRPr="006A2BF9">
        <w:rPr>
          <w:bCs/>
          <w:lang w:val="it-IT"/>
        </w:rPr>
        <w:t xml:space="preserve"> ha mostrato un </w:t>
      </w:r>
      <w:r w:rsidRPr="000F0246">
        <w:rPr>
          <w:bCs/>
          <w:i/>
          <w:lang w:val="it-IT"/>
        </w:rPr>
        <w:t>hazard ratio</w:t>
      </w:r>
      <w:r w:rsidRPr="00330A40">
        <w:rPr>
          <w:bCs/>
          <w:lang w:val="it-IT"/>
        </w:rPr>
        <w:t xml:space="preserve"> non stratificato pari a 0,79 (IC</w:t>
      </w:r>
      <w:r w:rsidR="00416C93" w:rsidRPr="00330A40">
        <w:rPr>
          <w:bCs/>
          <w:lang w:val="it-IT"/>
        </w:rPr>
        <w:t xml:space="preserve"> </w:t>
      </w:r>
      <w:r w:rsidR="00831FDE">
        <w:rPr>
          <w:bCs/>
          <w:lang w:val="it-IT"/>
        </w:rPr>
        <w:t xml:space="preserve">al </w:t>
      </w:r>
      <w:r w:rsidR="00416C93" w:rsidRPr="00330A40">
        <w:rPr>
          <w:bCs/>
          <w:lang w:val="it-IT"/>
        </w:rPr>
        <w:t>95%</w:t>
      </w:r>
      <w:r w:rsidRPr="00330A40">
        <w:rPr>
          <w:bCs/>
          <w:lang w:val="it-IT"/>
        </w:rPr>
        <w:t>: 0,68-0,91, test log-rank a 2</w:t>
      </w:r>
      <w:r w:rsidR="00047446" w:rsidRPr="00330A40">
        <w:rPr>
          <w:bCs/>
          <w:lang w:val="it-IT"/>
        </w:rPr>
        <w:t> </w:t>
      </w:r>
      <w:r w:rsidRPr="00330A40">
        <w:rPr>
          <w:bCs/>
          <w:lang w:val="it-IT"/>
        </w:rPr>
        <w:t>code, valore di p</w:t>
      </w:r>
      <w:r w:rsidR="0028755D" w:rsidRPr="00330A40">
        <w:rPr>
          <w:bCs/>
          <w:lang w:val="it-IT"/>
        </w:rPr>
        <w:t> </w:t>
      </w:r>
      <w:r w:rsidRPr="00330A40">
        <w:rPr>
          <w:bCs/>
          <w:lang w:val="it-IT"/>
        </w:rPr>
        <w:t>0,0010) con una PFS mediana di 16,0</w:t>
      </w:r>
      <w:r w:rsidR="0028755D" w:rsidRPr="00330A40">
        <w:rPr>
          <w:bCs/>
          <w:lang w:val="it-IT"/>
        </w:rPr>
        <w:t> </w:t>
      </w:r>
      <w:r w:rsidRPr="00330A40">
        <w:rPr>
          <w:bCs/>
          <w:lang w:val="it-IT"/>
        </w:rPr>
        <w:t>mesi nel braccio CP e di 18,3</w:t>
      </w:r>
      <w:r w:rsidR="00047446" w:rsidRPr="00330A40">
        <w:rPr>
          <w:bCs/>
          <w:lang w:val="it-IT"/>
        </w:rPr>
        <w:t> </w:t>
      </w:r>
      <w:r w:rsidRPr="00330A40">
        <w:rPr>
          <w:bCs/>
          <w:lang w:val="it-IT"/>
        </w:rPr>
        <w:t>mesi nel braccio CPB7.5+.</w:t>
      </w:r>
    </w:p>
    <w:p w14:paraId="4463B6CE" w14:textId="77777777" w:rsidR="00972612" w:rsidRPr="00330A40" w:rsidRDefault="00972612" w:rsidP="00972612">
      <w:pPr>
        <w:outlineLvl w:val="0"/>
        <w:rPr>
          <w:bCs/>
          <w:lang w:val="it-IT"/>
        </w:rPr>
      </w:pPr>
    </w:p>
    <w:p w14:paraId="4068DD58" w14:textId="77777777" w:rsidR="00972612" w:rsidRPr="006A2BF9" w:rsidRDefault="00972612" w:rsidP="00972612">
      <w:pPr>
        <w:outlineLvl w:val="0"/>
        <w:rPr>
          <w:bCs/>
          <w:lang w:val="it-IT"/>
        </w:rPr>
      </w:pPr>
      <w:r w:rsidRPr="00330A40">
        <w:rPr>
          <w:bCs/>
          <w:lang w:val="it-IT"/>
        </w:rPr>
        <w:t>L’</w:t>
      </w:r>
      <w:r w:rsidR="009B4D3B" w:rsidRPr="00330A40">
        <w:rPr>
          <w:bCs/>
          <w:lang w:val="it-IT"/>
        </w:rPr>
        <w:t>a</w:t>
      </w:r>
      <w:r w:rsidRPr="00330A40">
        <w:rPr>
          <w:bCs/>
          <w:lang w:val="it-IT"/>
        </w:rPr>
        <w:t xml:space="preserve">nalisi della PFS per sottogruppi relativi allo stadio di malattia ed alla chirurgia primaria è </w:t>
      </w:r>
      <w:r w:rsidR="008122C2" w:rsidRPr="00330A40">
        <w:rPr>
          <w:bCs/>
          <w:lang w:val="it-IT"/>
        </w:rPr>
        <w:t xml:space="preserve">riportata </w:t>
      </w:r>
      <w:r w:rsidRPr="00330A40">
        <w:rPr>
          <w:bCs/>
          <w:lang w:val="it-IT"/>
        </w:rPr>
        <w:t>nella tabella</w:t>
      </w:r>
      <w:r w:rsidR="00047446" w:rsidRPr="00330A40">
        <w:rPr>
          <w:bCs/>
          <w:lang w:val="it-IT"/>
        </w:rPr>
        <w:t> </w:t>
      </w:r>
      <w:r w:rsidRPr="00330A40">
        <w:rPr>
          <w:bCs/>
          <w:lang w:val="it-IT"/>
        </w:rPr>
        <w:t>1</w:t>
      </w:r>
      <w:r w:rsidR="00BB195D" w:rsidRPr="00330A40">
        <w:rPr>
          <w:bCs/>
          <w:lang w:val="it-IT"/>
        </w:rPr>
        <w:t>9</w:t>
      </w:r>
      <w:r w:rsidRPr="00330A40">
        <w:rPr>
          <w:bCs/>
          <w:lang w:val="it-IT"/>
        </w:rPr>
        <w:t>. Questi risultati con</w:t>
      </w:r>
      <w:r w:rsidR="009B4D3B" w:rsidRPr="00330A40">
        <w:rPr>
          <w:bCs/>
          <w:lang w:val="it-IT"/>
        </w:rPr>
        <w:t>fermano la robustezza del</w:t>
      </w:r>
      <w:r w:rsidRPr="00330A40">
        <w:rPr>
          <w:bCs/>
          <w:lang w:val="it-IT"/>
        </w:rPr>
        <w:t xml:space="preserve">l’analisi della PFS </w:t>
      </w:r>
      <w:r w:rsidR="009B4D3B" w:rsidRPr="00330A40">
        <w:rPr>
          <w:bCs/>
          <w:lang w:val="it-IT"/>
        </w:rPr>
        <w:t>come riportato</w:t>
      </w:r>
      <w:r w:rsidRPr="00330A40">
        <w:rPr>
          <w:bCs/>
          <w:lang w:val="it-IT"/>
        </w:rPr>
        <w:t xml:space="preserve"> </w:t>
      </w:r>
      <w:r w:rsidR="00340523" w:rsidRPr="00330A40">
        <w:rPr>
          <w:bCs/>
          <w:lang w:val="it-IT"/>
        </w:rPr>
        <w:t xml:space="preserve">nella </w:t>
      </w:r>
      <w:r w:rsidRPr="006A2BF9">
        <w:rPr>
          <w:bCs/>
          <w:lang w:val="it-IT"/>
        </w:rPr>
        <w:t>tabella</w:t>
      </w:r>
      <w:r w:rsidR="00047446" w:rsidRPr="006A2BF9">
        <w:rPr>
          <w:bCs/>
          <w:lang w:val="it-IT"/>
        </w:rPr>
        <w:t> </w:t>
      </w:r>
      <w:r w:rsidRPr="006A2BF9">
        <w:rPr>
          <w:bCs/>
          <w:lang w:val="it-IT"/>
        </w:rPr>
        <w:t>1</w:t>
      </w:r>
      <w:r w:rsidR="00BB195D" w:rsidRPr="006A2BF9">
        <w:rPr>
          <w:bCs/>
          <w:lang w:val="it-IT"/>
        </w:rPr>
        <w:t>8</w:t>
      </w:r>
      <w:r w:rsidRPr="006A2BF9">
        <w:rPr>
          <w:bCs/>
          <w:lang w:val="it-IT"/>
        </w:rPr>
        <w:t>.</w:t>
      </w:r>
    </w:p>
    <w:p w14:paraId="12005103" w14:textId="77777777" w:rsidR="00972612" w:rsidRPr="006A2BF9" w:rsidRDefault="00972612" w:rsidP="00972612">
      <w:pPr>
        <w:outlineLvl w:val="0"/>
        <w:rPr>
          <w:bCs/>
          <w:lang w:val="it-IT"/>
        </w:rPr>
      </w:pPr>
    </w:p>
    <w:p w14:paraId="3130A3FA" w14:textId="77777777" w:rsidR="00972612" w:rsidRPr="006A2BF9" w:rsidRDefault="00972612" w:rsidP="00972612">
      <w:pPr>
        <w:outlineLvl w:val="0"/>
        <w:rPr>
          <w:b/>
          <w:bCs/>
          <w:lang w:val="it-IT"/>
        </w:rPr>
      </w:pPr>
      <w:r w:rsidRPr="006A2BF9">
        <w:rPr>
          <w:b/>
          <w:bCs/>
          <w:lang w:val="it-IT"/>
        </w:rPr>
        <w:t>Tabella</w:t>
      </w:r>
      <w:r w:rsidR="00047446" w:rsidRPr="006A2BF9">
        <w:rPr>
          <w:b/>
          <w:bCs/>
          <w:lang w:val="it-IT"/>
        </w:rPr>
        <w:t> </w:t>
      </w:r>
      <w:r w:rsidRPr="006A2BF9">
        <w:rPr>
          <w:b/>
          <w:bCs/>
          <w:lang w:val="it-IT"/>
        </w:rPr>
        <w:t>1</w:t>
      </w:r>
      <w:r w:rsidR="00BB195D" w:rsidRPr="006A2BF9">
        <w:rPr>
          <w:b/>
          <w:bCs/>
          <w:lang w:val="it-IT"/>
        </w:rPr>
        <w:t>9</w:t>
      </w:r>
      <w:r w:rsidRPr="006A2BF9">
        <w:rPr>
          <w:b/>
          <w:bCs/>
          <w:lang w:val="it-IT"/>
        </w:rPr>
        <w:t xml:space="preserve"> </w:t>
      </w:r>
      <w:r w:rsidR="001A12ED" w:rsidRPr="006A2BF9">
        <w:rPr>
          <w:b/>
          <w:bCs/>
          <w:lang w:val="it-IT"/>
        </w:rPr>
        <w:t xml:space="preserve">- </w:t>
      </w:r>
      <w:r w:rsidR="00340523" w:rsidRPr="006A2BF9">
        <w:rPr>
          <w:b/>
          <w:bCs/>
          <w:lang w:val="it-IT"/>
        </w:rPr>
        <w:t>R</w:t>
      </w:r>
      <w:r w:rsidR="009B4D3B" w:rsidRPr="006A2BF9">
        <w:rPr>
          <w:b/>
          <w:bCs/>
          <w:lang w:val="it-IT"/>
        </w:rPr>
        <w:t xml:space="preserve">isultati della </w:t>
      </w:r>
      <w:r w:rsidRPr="006A2BF9">
        <w:rPr>
          <w:b/>
          <w:bCs/>
          <w:lang w:val="it-IT"/>
        </w:rPr>
        <w:t>PFS</w:t>
      </w:r>
      <w:r w:rsidRPr="006A2BF9">
        <w:rPr>
          <w:b/>
          <w:bCs/>
          <w:vertAlign w:val="superscript"/>
          <w:lang w:val="it-IT"/>
        </w:rPr>
        <w:t>1</w:t>
      </w:r>
      <w:r w:rsidR="009B4D3B" w:rsidRPr="006A2BF9">
        <w:rPr>
          <w:b/>
          <w:bCs/>
          <w:lang w:val="it-IT"/>
        </w:rPr>
        <w:t xml:space="preserve"> in base stadio di malattia e alla chirurgia derivanti dallo s</w:t>
      </w:r>
      <w:r w:rsidRPr="006A2BF9">
        <w:rPr>
          <w:b/>
          <w:bCs/>
          <w:lang w:val="it-IT"/>
        </w:rPr>
        <w:t>tudio BO17707 (ICON7)</w:t>
      </w:r>
    </w:p>
    <w:tbl>
      <w:tblPr>
        <w:tblW w:w="481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59"/>
        <w:gridCol w:w="2750"/>
        <w:gridCol w:w="3208"/>
      </w:tblGrid>
      <w:tr w:rsidR="00972612" w:rsidRPr="006A2BF9" w14:paraId="16560CC8" w14:textId="77777777" w:rsidTr="00C65E97">
        <w:tc>
          <w:tcPr>
            <w:tcW w:w="8857" w:type="dxa"/>
            <w:gridSpan w:val="3"/>
            <w:tcBorders>
              <w:top w:val="single" w:sz="4" w:space="0" w:color="auto"/>
              <w:left w:val="single" w:sz="4" w:space="0" w:color="auto"/>
              <w:bottom w:val="single" w:sz="6" w:space="0" w:color="000000"/>
              <w:right w:val="single" w:sz="4" w:space="0" w:color="auto"/>
            </w:tcBorders>
          </w:tcPr>
          <w:p w14:paraId="320F7707" w14:textId="77777777" w:rsidR="00972612" w:rsidRPr="006A2BF9" w:rsidRDefault="00972612" w:rsidP="00972612">
            <w:pPr>
              <w:outlineLvl w:val="0"/>
              <w:rPr>
                <w:bCs/>
                <w:sz w:val="20"/>
                <w:lang w:val="it-IT"/>
              </w:rPr>
            </w:pPr>
            <w:r w:rsidRPr="006A2BF9">
              <w:rPr>
                <w:bCs/>
                <w:sz w:val="20"/>
                <w:lang w:val="it-IT"/>
              </w:rPr>
              <w:t>Pazienti randomi</w:t>
            </w:r>
            <w:r w:rsidR="00340523" w:rsidRPr="006A2BF9">
              <w:rPr>
                <w:bCs/>
                <w:sz w:val="20"/>
                <w:lang w:val="it-IT"/>
              </w:rPr>
              <w:t>z</w:t>
            </w:r>
            <w:r w:rsidRPr="006A2BF9">
              <w:rPr>
                <w:bCs/>
                <w:sz w:val="20"/>
                <w:lang w:val="it-IT"/>
              </w:rPr>
              <w:t>zati in stadio</w:t>
            </w:r>
            <w:r w:rsidR="00993D6F" w:rsidRPr="006A2BF9">
              <w:rPr>
                <w:bCs/>
                <w:sz w:val="20"/>
                <w:lang w:val="it-IT"/>
              </w:rPr>
              <w:t> </w:t>
            </w:r>
            <w:r w:rsidRPr="006A2BF9">
              <w:rPr>
                <w:bCs/>
                <w:sz w:val="20"/>
                <w:lang w:val="it-IT"/>
              </w:rPr>
              <w:t>III con resezione ottimale di malattia</w:t>
            </w:r>
            <w:r w:rsidRPr="006A2BF9">
              <w:rPr>
                <w:bCs/>
                <w:sz w:val="20"/>
                <w:vertAlign w:val="superscript"/>
                <w:lang w:val="it-IT"/>
              </w:rPr>
              <w:t xml:space="preserve"> 2,3</w:t>
            </w:r>
          </w:p>
        </w:tc>
      </w:tr>
      <w:tr w:rsidR="00972612" w:rsidRPr="006A2BF9" w14:paraId="149420D3" w14:textId="77777777" w:rsidTr="00C65E97">
        <w:tc>
          <w:tcPr>
            <w:tcW w:w="2803" w:type="dxa"/>
            <w:tcBorders>
              <w:top w:val="nil"/>
              <w:left w:val="single" w:sz="4" w:space="0" w:color="auto"/>
              <w:bottom w:val="nil"/>
              <w:right w:val="single" w:sz="6" w:space="0" w:color="000000"/>
            </w:tcBorders>
          </w:tcPr>
          <w:p w14:paraId="7E3501D6" w14:textId="77777777" w:rsidR="00972612" w:rsidRPr="006A2BF9" w:rsidRDefault="00972612" w:rsidP="00972612">
            <w:pPr>
              <w:outlineLvl w:val="0"/>
              <w:rPr>
                <w:bCs/>
                <w:sz w:val="20"/>
                <w:lang w:val="it-IT"/>
              </w:rPr>
            </w:pPr>
          </w:p>
        </w:tc>
        <w:tc>
          <w:tcPr>
            <w:tcW w:w="2794" w:type="dxa"/>
            <w:tcBorders>
              <w:top w:val="nil"/>
              <w:left w:val="single" w:sz="6" w:space="0" w:color="000000"/>
              <w:bottom w:val="nil"/>
              <w:right w:val="single" w:sz="6" w:space="0" w:color="000000"/>
            </w:tcBorders>
            <w:vAlign w:val="center"/>
          </w:tcPr>
          <w:p w14:paraId="52945CE3" w14:textId="77777777" w:rsidR="00972612" w:rsidRPr="006A2BF9" w:rsidRDefault="00972612" w:rsidP="00BA5FFD">
            <w:pPr>
              <w:jc w:val="center"/>
              <w:outlineLvl w:val="0"/>
              <w:rPr>
                <w:bCs/>
                <w:sz w:val="20"/>
                <w:lang w:val="it-IT"/>
              </w:rPr>
            </w:pPr>
            <w:r w:rsidRPr="006A2BF9">
              <w:rPr>
                <w:bCs/>
                <w:sz w:val="20"/>
                <w:lang w:val="it-IT"/>
              </w:rPr>
              <w:t>CP</w:t>
            </w:r>
          </w:p>
          <w:p w14:paraId="20BC4AE8" w14:textId="77777777" w:rsidR="00972612" w:rsidRPr="006A2BF9" w:rsidRDefault="00972612" w:rsidP="00BA5FFD">
            <w:pPr>
              <w:jc w:val="center"/>
              <w:outlineLvl w:val="0"/>
              <w:rPr>
                <w:bCs/>
                <w:sz w:val="20"/>
                <w:lang w:val="it-IT"/>
              </w:rPr>
            </w:pPr>
            <w:r w:rsidRPr="006A2BF9">
              <w:rPr>
                <w:bCs/>
                <w:sz w:val="20"/>
                <w:lang w:val="it-IT"/>
              </w:rPr>
              <w:t>(n = 368)</w:t>
            </w:r>
          </w:p>
        </w:tc>
        <w:tc>
          <w:tcPr>
            <w:tcW w:w="3260" w:type="dxa"/>
            <w:tcBorders>
              <w:top w:val="nil"/>
              <w:left w:val="single" w:sz="6" w:space="0" w:color="000000"/>
              <w:bottom w:val="nil"/>
              <w:right w:val="single" w:sz="4" w:space="0" w:color="auto"/>
            </w:tcBorders>
            <w:vAlign w:val="center"/>
          </w:tcPr>
          <w:p w14:paraId="729262F8" w14:textId="77777777" w:rsidR="00972612" w:rsidRPr="006A2BF9" w:rsidRDefault="00972612" w:rsidP="00BA5FFD">
            <w:pPr>
              <w:jc w:val="center"/>
              <w:outlineLvl w:val="0"/>
              <w:rPr>
                <w:bCs/>
                <w:sz w:val="20"/>
                <w:lang w:val="it-IT"/>
              </w:rPr>
            </w:pPr>
            <w:r w:rsidRPr="006A2BF9">
              <w:rPr>
                <w:bCs/>
                <w:sz w:val="20"/>
                <w:lang w:val="it-IT"/>
              </w:rPr>
              <w:t>CPB7.5+</w:t>
            </w:r>
          </w:p>
          <w:p w14:paraId="74EBC93D" w14:textId="77777777" w:rsidR="00972612" w:rsidRPr="006A2BF9" w:rsidRDefault="00972612" w:rsidP="00BA5FFD">
            <w:pPr>
              <w:jc w:val="center"/>
              <w:outlineLvl w:val="0"/>
              <w:rPr>
                <w:bCs/>
                <w:sz w:val="20"/>
                <w:lang w:val="it-IT"/>
              </w:rPr>
            </w:pPr>
            <w:r w:rsidRPr="006A2BF9">
              <w:rPr>
                <w:bCs/>
                <w:sz w:val="20"/>
                <w:lang w:val="it-IT"/>
              </w:rPr>
              <w:t>(n =</w:t>
            </w:r>
            <w:r w:rsidR="00993D6F" w:rsidRPr="006A2BF9">
              <w:rPr>
                <w:bCs/>
                <w:sz w:val="20"/>
                <w:lang w:val="it-IT"/>
              </w:rPr>
              <w:t> </w:t>
            </w:r>
            <w:r w:rsidRPr="006A2BF9">
              <w:rPr>
                <w:bCs/>
                <w:sz w:val="20"/>
                <w:lang w:val="it-IT"/>
              </w:rPr>
              <w:t>383)</w:t>
            </w:r>
          </w:p>
        </w:tc>
      </w:tr>
      <w:tr w:rsidR="00972612" w:rsidRPr="006A2BF9" w14:paraId="2BBAE6D6" w14:textId="77777777" w:rsidTr="00C65E97">
        <w:tc>
          <w:tcPr>
            <w:tcW w:w="2803" w:type="dxa"/>
            <w:tcBorders>
              <w:top w:val="nil"/>
              <w:left w:val="single" w:sz="4" w:space="0" w:color="auto"/>
              <w:bottom w:val="nil"/>
              <w:right w:val="single" w:sz="6" w:space="0" w:color="000000"/>
            </w:tcBorders>
          </w:tcPr>
          <w:p w14:paraId="11BBF547" w14:textId="77777777" w:rsidR="00972612" w:rsidRPr="006A2BF9" w:rsidRDefault="00972612" w:rsidP="00972612">
            <w:pPr>
              <w:outlineLvl w:val="0"/>
              <w:rPr>
                <w:bCs/>
                <w:sz w:val="20"/>
                <w:lang w:val="it-IT"/>
              </w:rPr>
            </w:pPr>
            <w:r w:rsidRPr="006A2BF9">
              <w:rPr>
                <w:bCs/>
                <w:sz w:val="20"/>
                <w:lang w:val="it-IT"/>
              </w:rPr>
              <w:t>PFS mediana (mesi)</w:t>
            </w:r>
          </w:p>
        </w:tc>
        <w:tc>
          <w:tcPr>
            <w:tcW w:w="2794" w:type="dxa"/>
            <w:tcBorders>
              <w:top w:val="nil"/>
              <w:left w:val="single" w:sz="6" w:space="0" w:color="000000"/>
              <w:bottom w:val="nil"/>
              <w:right w:val="single" w:sz="6" w:space="0" w:color="000000"/>
            </w:tcBorders>
            <w:vAlign w:val="center"/>
          </w:tcPr>
          <w:p w14:paraId="72BD683A" w14:textId="77777777" w:rsidR="00972612" w:rsidRPr="006A2BF9" w:rsidRDefault="00BA5FFD" w:rsidP="00BA5FFD">
            <w:pPr>
              <w:jc w:val="center"/>
              <w:outlineLvl w:val="0"/>
              <w:rPr>
                <w:bCs/>
                <w:sz w:val="20"/>
                <w:lang w:val="it-IT"/>
              </w:rPr>
            </w:pPr>
            <w:r w:rsidRPr="006A2BF9">
              <w:rPr>
                <w:bCs/>
                <w:sz w:val="20"/>
                <w:lang w:val="it-IT"/>
              </w:rPr>
              <w:t>17,</w:t>
            </w:r>
            <w:r w:rsidR="00972612" w:rsidRPr="006A2BF9">
              <w:rPr>
                <w:bCs/>
                <w:sz w:val="20"/>
                <w:lang w:val="it-IT"/>
              </w:rPr>
              <w:t>7</w:t>
            </w:r>
          </w:p>
        </w:tc>
        <w:tc>
          <w:tcPr>
            <w:tcW w:w="3260" w:type="dxa"/>
            <w:tcBorders>
              <w:top w:val="nil"/>
              <w:left w:val="single" w:sz="6" w:space="0" w:color="000000"/>
              <w:bottom w:val="nil"/>
              <w:right w:val="single" w:sz="4" w:space="0" w:color="auto"/>
            </w:tcBorders>
            <w:vAlign w:val="center"/>
          </w:tcPr>
          <w:p w14:paraId="67546531" w14:textId="77777777" w:rsidR="00972612" w:rsidRPr="006A2BF9" w:rsidRDefault="00972612" w:rsidP="00BA5FFD">
            <w:pPr>
              <w:jc w:val="center"/>
              <w:outlineLvl w:val="0"/>
              <w:rPr>
                <w:bCs/>
                <w:sz w:val="20"/>
                <w:lang w:val="it-IT"/>
              </w:rPr>
            </w:pPr>
            <w:r w:rsidRPr="006A2BF9">
              <w:rPr>
                <w:bCs/>
                <w:sz w:val="20"/>
                <w:lang w:val="it-IT"/>
              </w:rPr>
              <w:t>19</w:t>
            </w:r>
            <w:r w:rsidR="00BA5FFD" w:rsidRPr="006A2BF9">
              <w:rPr>
                <w:bCs/>
                <w:sz w:val="20"/>
                <w:lang w:val="it-IT"/>
              </w:rPr>
              <w:t>,</w:t>
            </w:r>
            <w:r w:rsidRPr="006A2BF9">
              <w:rPr>
                <w:bCs/>
                <w:sz w:val="20"/>
                <w:lang w:val="it-IT"/>
              </w:rPr>
              <w:t>3</w:t>
            </w:r>
          </w:p>
        </w:tc>
      </w:tr>
      <w:tr w:rsidR="00972612" w:rsidRPr="006A2BF9" w14:paraId="1DA6D999" w14:textId="77777777" w:rsidTr="00C65E97">
        <w:tc>
          <w:tcPr>
            <w:tcW w:w="2803" w:type="dxa"/>
            <w:tcBorders>
              <w:top w:val="nil"/>
              <w:left w:val="single" w:sz="4" w:space="0" w:color="auto"/>
              <w:bottom w:val="nil"/>
              <w:right w:val="single" w:sz="6" w:space="0" w:color="000000"/>
            </w:tcBorders>
          </w:tcPr>
          <w:p w14:paraId="3C367802" w14:textId="77777777" w:rsidR="00972612" w:rsidRPr="00330A40" w:rsidRDefault="00972612" w:rsidP="00340523">
            <w:pPr>
              <w:outlineLvl w:val="0"/>
              <w:rPr>
                <w:bCs/>
                <w:sz w:val="20"/>
                <w:lang w:val="it-IT"/>
              </w:rPr>
            </w:pPr>
            <w:r w:rsidRPr="000F0246">
              <w:rPr>
                <w:bCs/>
                <w:i/>
                <w:sz w:val="20"/>
                <w:lang w:val="it-IT"/>
              </w:rPr>
              <w:t>Hazard ratio</w:t>
            </w:r>
            <w:r w:rsidRPr="00330A40">
              <w:rPr>
                <w:bCs/>
                <w:sz w:val="20"/>
                <w:lang w:val="it-IT"/>
              </w:rPr>
              <w:t xml:space="preserve"> (</w:t>
            </w:r>
            <w:r w:rsidR="00340523" w:rsidRPr="00330A40">
              <w:rPr>
                <w:bCs/>
                <w:sz w:val="20"/>
                <w:lang w:val="it-IT"/>
              </w:rPr>
              <w:t>IC</w:t>
            </w:r>
            <w:r w:rsidR="00831FDE">
              <w:rPr>
                <w:bCs/>
                <w:sz w:val="20"/>
                <w:lang w:val="it-IT"/>
              </w:rPr>
              <w:t xml:space="preserve"> al</w:t>
            </w:r>
            <w:r w:rsidR="00340523" w:rsidRPr="00330A40">
              <w:rPr>
                <w:bCs/>
                <w:sz w:val="20"/>
                <w:lang w:val="it-IT"/>
              </w:rPr>
              <w:t xml:space="preserve"> </w:t>
            </w:r>
            <w:r w:rsidRPr="00330A40">
              <w:rPr>
                <w:bCs/>
                <w:sz w:val="20"/>
                <w:lang w:val="it-IT"/>
              </w:rPr>
              <w:t>95%) </w:t>
            </w:r>
            <w:r w:rsidRPr="00330A40">
              <w:rPr>
                <w:bCs/>
                <w:sz w:val="20"/>
                <w:vertAlign w:val="superscript"/>
                <w:lang w:val="it-IT"/>
              </w:rPr>
              <w:t>4</w:t>
            </w:r>
          </w:p>
        </w:tc>
        <w:tc>
          <w:tcPr>
            <w:tcW w:w="2794" w:type="dxa"/>
            <w:tcBorders>
              <w:top w:val="nil"/>
              <w:left w:val="single" w:sz="6" w:space="0" w:color="000000"/>
              <w:bottom w:val="nil"/>
              <w:right w:val="single" w:sz="6" w:space="0" w:color="000000"/>
            </w:tcBorders>
            <w:vAlign w:val="center"/>
          </w:tcPr>
          <w:p w14:paraId="10A6BD85" w14:textId="77777777" w:rsidR="00972612" w:rsidRPr="00330A40" w:rsidRDefault="00972612" w:rsidP="00BA5FFD">
            <w:pPr>
              <w:jc w:val="center"/>
              <w:outlineLvl w:val="0"/>
              <w:rPr>
                <w:bCs/>
                <w:sz w:val="20"/>
                <w:lang w:val="it-IT"/>
              </w:rPr>
            </w:pPr>
          </w:p>
        </w:tc>
        <w:tc>
          <w:tcPr>
            <w:tcW w:w="3260" w:type="dxa"/>
            <w:tcBorders>
              <w:top w:val="nil"/>
              <w:left w:val="single" w:sz="6" w:space="0" w:color="000000"/>
              <w:bottom w:val="nil"/>
              <w:right w:val="single" w:sz="4" w:space="0" w:color="auto"/>
            </w:tcBorders>
            <w:vAlign w:val="center"/>
          </w:tcPr>
          <w:p w14:paraId="67C15428" w14:textId="77777777" w:rsidR="00972612" w:rsidRPr="00330A40" w:rsidRDefault="00BA5FFD" w:rsidP="00BA5FFD">
            <w:pPr>
              <w:jc w:val="center"/>
              <w:outlineLvl w:val="0"/>
              <w:rPr>
                <w:bCs/>
                <w:sz w:val="20"/>
                <w:lang w:val="it-IT"/>
              </w:rPr>
            </w:pPr>
            <w:r w:rsidRPr="00330A40">
              <w:rPr>
                <w:bCs/>
                <w:sz w:val="20"/>
                <w:lang w:val="it-IT"/>
              </w:rPr>
              <w:t>0,</w:t>
            </w:r>
            <w:r w:rsidR="00972612" w:rsidRPr="00330A40">
              <w:rPr>
                <w:bCs/>
                <w:sz w:val="20"/>
                <w:lang w:val="it-IT"/>
              </w:rPr>
              <w:t>89</w:t>
            </w:r>
          </w:p>
          <w:p w14:paraId="7EC66F40" w14:textId="77777777" w:rsidR="00972612" w:rsidRPr="00330A40" w:rsidRDefault="00BA5FFD" w:rsidP="00BA5FFD">
            <w:pPr>
              <w:jc w:val="center"/>
              <w:outlineLvl w:val="0"/>
              <w:rPr>
                <w:bCs/>
                <w:sz w:val="20"/>
                <w:lang w:val="it-IT"/>
              </w:rPr>
            </w:pPr>
            <w:r w:rsidRPr="00330A40">
              <w:rPr>
                <w:bCs/>
                <w:sz w:val="20"/>
                <w:lang w:val="it-IT"/>
              </w:rPr>
              <w:t>(0,</w:t>
            </w:r>
            <w:r w:rsidR="00972612" w:rsidRPr="00330A40">
              <w:rPr>
                <w:bCs/>
                <w:sz w:val="20"/>
                <w:lang w:val="it-IT"/>
              </w:rPr>
              <w:t>74</w:t>
            </w:r>
            <w:r w:rsidR="00E14086" w:rsidRPr="00330A40">
              <w:rPr>
                <w:bCs/>
                <w:sz w:val="20"/>
                <w:lang w:val="it-IT"/>
              </w:rPr>
              <w:t>;</w:t>
            </w:r>
            <w:r w:rsidR="00972612" w:rsidRPr="00330A40">
              <w:rPr>
                <w:bCs/>
                <w:sz w:val="20"/>
                <w:lang w:val="it-IT"/>
              </w:rPr>
              <w:t xml:space="preserve"> 1</w:t>
            </w:r>
            <w:r w:rsidRPr="00330A40">
              <w:rPr>
                <w:bCs/>
                <w:sz w:val="20"/>
                <w:lang w:val="it-IT"/>
              </w:rPr>
              <w:t>,</w:t>
            </w:r>
            <w:r w:rsidR="00972612" w:rsidRPr="00330A40">
              <w:rPr>
                <w:bCs/>
                <w:sz w:val="20"/>
                <w:lang w:val="it-IT"/>
              </w:rPr>
              <w:t>07)</w:t>
            </w:r>
          </w:p>
        </w:tc>
      </w:tr>
      <w:tr w:rsidR="00972612" w:rsidRPr="006A2BF9" w14:paraId="1DA8F44C" w14:textId="77777777" w:rsidTr="00C65E97">
        <w:tc>
          <w:tcPr>
            <w:tcW w:w="8857" w:type="dxa"/>
            <w:gridSpan w:val="3"/>
            <w:tcBorders>
              <w:top w:val="single" w:sz="4" w:space="0" w:color="auto"/>
              <w:left w:val="single" w:sz="4" w:space="0" w:color="auto"/>
              <w:bottom w:val="single" w:sz="4" w:space="0" w:color="auto"/>
              <w:right w:val="single" w:sz="4" w:space="0" w:color="auto"/>
            </w:tcBorders>
          </w:tcPr>
          <w:p w14:paraId="24F67310" w14:textId="77777777" w:rsidR="00972612" w:rsidRPr="006A2BF9" w:rsidRDefault="00972612" w:rsidP="00972612">
            <w:pPr>
              <w:outlineLvl w:val="0"/>
              <w:rPr>
                <w:bCs/>
                <w:sz w:val="20"/>
                <w:lang w:val="it-IT"/>
              </w:rPr>
            </w:pPr>
            <w:r w:rsidRPr="006A2BF9">
              <w:rPr>
                <w:bCs/>
                <w:sz w:val="20"/>
                <w:lang w:val="it-IT"/>
              </w:rPr>
              <w:t>Pazienti randomizzati in stadio</w:t>
            </w:r>
            <w:r w:rsidR="00993D6F" w:rsidRPr="006A2BF9">
              <w:rPr>
                <w:bCs/>
                <w:sz w:val="20"/>
                <w:lang w:val="it-IT"/>
              </w:rPr>
              <w:t> </w:t>
            </w:r>
            <w:r w:rsidRPr="006A2BF9">
              <w:rPr>
                <w:bCs/>
                <w:sz w:val="20"/>
                <w:lang w:val="it-IT"/>
              </w:rPr>
              <w:t>III con resezione subottimale di malattia</w:t>
            </w:r>
            <w:r w:rsidRPr="006A2BF9">
              <w:rPr>
                <w:bCs/>
                <w:sz w:val="20"/>
                <w:vertAlign w:val="superscript"/>
                <w:lang w:val="it-IT"/>
              </w:rPr>
              <w:t>3</w:t>
            </w:r>
          </w:p>
        </w:tc>
      </w:tr>
      <w:tr w:rsidR="00972612" w:rsidRPr="006A2BF9" w14:paraId="24A378B7" w14:textId="77777777" w:rsidTr="00C65E97">
        <w:tc>
          <w:tcPr>
            <w:tcW w:w="2803" w:type="dxa"/>
            <w:tcBorders>
              <w:top w:val="nil"/>
              <w:left w:val="single" w:sz="4" w:space="0" w:color="auto"/>
              <w:bottom w:val="nil"/>
              <w:right w:val="single" w:sz="6" w:space="0" w:color="000000"/>
            </w:tcBorders>
          </w:tcPr>
          <w:p w14:paraId="75B0C606" w14:textId="77777777" w:rsidR="00972612" w:rsidRPr="006A2BF9" w:rsidRDefault="00972612" w:rsidP="00972612">
            <w:pPr>
              <w:outlineLvl w:val="0"/>
              <w:rPr>
                <w:bCs/>
                <w:sz w:val="20"/>
                <w:lang w:val="it-IT"/>
              </w:rPr>
            </w:pPr>
          </w:p>
        </w:tc>
        <w:tc>
          <w:tcPr>
            <w:tcW w:w="2794" w:type="dxa"/>
            <w:tcBorders>
              <w:top w:val="nil"/>
              <w:left w:val="single" w:sz="6" w:space="0" w:color="000000"/>
              <w:bottom w:val="nil"/>
              <w:right w:val="single" w:sz="6" w:space="0" w:color="000000"/>
            </w:tcBorders>
            <w:vAlign w:val="center"/>
          </w:tcPr>
          <w:p w14:paraId="19A9B9C9" w14:textId="77777777" w:rsidR="00972612" w:rsidRPr="006A2BF9" w:rsidRDefault="00972612" w:rsidP="00BA5FFD">
            <w:pPr>
              <w:jc w:val="center"/>
              <w:outlineLvl w:val="0"/>
              <w:rPr>
                <w:bCs/>
                <w:sz w:val="20"/>
                <w:lang w:val="it-IT"/>
              </w:rPr>
            </w:pPr>
            <w:r w:rsidRPr="006A2BF9">
              <w:rPr>
                <w:bCs/>
                <w:sz w:val="20"/>
                <w:lang w:val="it-IT"/>
              </w:rPr>
              <w:t>CP</w:t>
            </w:r>
          </w:p>
          <w:p w14:paraId="1F491330" w14:textId="77777777" w:rsidR="00972612" w:rsidRPr="006A2BF9" w:rsidRDefault="00972612" w:rsidP="00BA5FFD">
            <w:pPr>
              <w:jc w:val="center"/>
              <w:outlineLvl w:val="0"/>
              <w:rPr>
                <w:bCs/>
                <w:sz w:val="20"/>
                <w:lang w:val="it-IT"/>
              </w:rPr>
            </w:pPr>
            <w:r w:rsidRPr="006A2BF9">
              <w:rPr>
                <w:bCs/>
                <w:sz w:val="20"/>
                <w:lang w:val="it-IT"/>
              </w:rPr>
              <w:t>(n = 154)</w:t>
            </w:r>
          </w:p>
        </w:tc>
        <w:tc>
          <w:tcPr>
            <w:tcW w:w="3260" w:type="dxa"/>
            <w:tcBorders>
              <w:top w:val="nil"/>
              <w:left w:val="single" w:sz="6" w:space="0" w:color="000000"/>
              <w:bottom w:val="nil"/>
              <w:right w:val="single" w:sz="4" w:space="0" w:color="auto"/>
            </w:tcBorders>
            <w:vAlign w:val="center"/>
          </w:tcPr>
          <w:p w14:paraId="5171D0A2" w14:textId="77777777" w:rsidR="00972612" w:rsidRPr="006A2BF9" w:rsidRDefault="00972612" w:rsidP="00BA5FFD">
            <w:pPr>
              <w:jc w:val="center"/>
              <w:outlineLvl w:val="0"/>
              <w:rPr>
                <w:bCs/>
                <w:sz w:val="20"/>
                <w:lang w:val="it-IT"/>
              </w:rPr>
            </w:pPr>
            <w:r w:rsidRPr="006A2BF9">
              <w:rPr>
                <w:bCs/>
                <w:sz w:val="20"/>
                <w:lang w:val="it-IT"/>
              </w:rPr>
              <w:t>CPB7</w:t>
            </w:r>
            <w:r w:rsidR="00BA5FFD" w:rsidRPr="006A2BF9">
              <w:rPr>
                <w:bCs/>
                <w:sz w:val="20"/>
                <w:lang w:val="it-IT"/>
              </w:rPr>
              <w:t>.</w:t>
            </w:r>
            <w:r w:rsidRPr="006A2BF9">
              <w:rPr>
                <w:bCs/>
                <w:sz w:val="20"/>
                <w:lang w:val="it-IT"/>
              </w:rPr>
              <w:t>5+</w:t>
            </w:r>
          </w:p>
          <w:p w14:paraId="165DB989" w14:textId="77777777" w:rsidR="00972612" w:rsidRPr="006A2BF9" w:rsidRDefault="00972612" w:rsidP="00BA5FFD">
            <w:pPr>
              <w:jc w:val="center"/>
              <w:outlineLvl w:val="0"/>
              <w:rPr>
                <w:bCs/>
                <w:sz w:val="20"/>
                <w:lang w:val="it-IT"/>
              </w:rPr>
            </w:pPr>
            <w:r w:rsidRPr="006A2BF9">
              <w:rPr>
                <w:bCs/>
                <w:sz w:val="20"/>
                <w:lang w:val="it-IT"/>
              </w:rPr>
              <w:t>(n =</w:t>
            </w:r>
            <w:r w:rsidR="00993D6F" w:rsidRPr="006A2BF9">
              <w:rPr>
                <w:bCs/>
                <w:sz w:val="20"/>
                <w:lang w:val="it-IT"/>
              </w:rPr>
              <w:t> </w:t>
            </w:r>
            <w:r w:rsidRPr="006A2BF9">
              <w:rPr>
                <w:bCs/>
                <w:sz w:val="20"/>
                <w:lang w:val="it-IT"/>
              </w:rPr>
              <w:t>140)</w:t>
            </w:r>
          </w:p>
        </w:tc>
      </w:tr>
      <w:tr w:rsidR="00972612" w:rsidRPr="006A2BF9" w14:paraId="484B5BE7" w14:textId="77777777" w:rsidTr="00C65E97">
        <w:tc>
          <w:tcPr>
            <w:tcW w:w="2803" w:type="dxa"/>
            <w:tcBorders>
              <w:top w:val="nil"/>
              <w:left w:val="single" w:sz="4" w:space="0" w:color="auto"/>
              <w:bottom w:val="nil"/>
              <w:right w:val="single" w:sz="6" w:space="0" w:color="000000"/>
            </w:tcBorders>
          </w:tcPr>
          <w:p w14:paraId="2E5AC3F2" w14:textId="77777777" w:rsidR="00972612" w:rsidRPr="006A2BF9" w:rsidRDefault="00972612" w:rsidP="00972612">
            <w:pPr>
              <w:outlineLvl w:val="0"/>
              <w:rPr>
                <w:bCs/>
                <w:sz w:val="20"/>
                <w:lang w:val="it-IT"/>
              </w:rPr>
            </w:pPr>
            <w:r w:rsidRPr="006A2BF9">
              <w:rPr>
                <w:bCs/>
                <w:sz w:val="20"/>
                <w:lang w:val="it-IT"/>
              </w:rPr>
              <w:t>PFS mediana (mesi)</w:t>
            </w:r>
          </w:p>
        </w:tc>
        <w:tc>
          <w:tcPr>
            <w:tcW w:w="2794" w:type="dxa"/>
            <w:tcBorders>
              <w:top w:val="nil"/>
              <w:left w:val="single" w:sz="6" w:space="0" w:color="000000"/>
              <w:bottom w:val="nil"/>
              <w:right w:val="single" w:sz="6" w:space="0" w:color="000000"/>
            </w:tcBorders>
            <w:vAlign w:val="center"/>
          </w:tcPr>
          <w:p w14:paraId="6B1BEEFB" w14:textId="77777777" w:rsidR="00972612" w:rsidRPr="006A2BF9" w:rsidRDefault="00972612" w:rsidP="00BA5FFD">
            <w:pPr>
              <w:jc w:val="center"/>
              <w:outlineLvl w:val="0"/>
              <w:rPr>
                <w:bCs/>
                <w:sz w:val="20"/>
                <w:lang w:val="it-IT"/>
              </w:rPr>
            </w:pPr>
            <w:r w:rsidRPr="006A2BF9">
              <w:rPr>
                <w:bCs/>
                <w:sz w:val="20"/>
                <w:lang w:val="it-IT"/>
              </w:rPr>
              <w:t>10</w:t>
            </w:r>
            <w:r w:rsidR="00BA5FFD" w:rsidRPr="006A2BF9">
              <w:rPr>
                <w:bCs/>
                <w:sz w:val="20"/>
                <w:lang w:val="it-IT"/>
              </w:rPr>
              <w:t>,</w:t>
            </w:r>
            <w:r w:rsidRPr="006A2BF9">
              <w:rPr>
                <w:bCs/>
                <w:sz w:val="20"/>
                <w:lang w:val="it-IT"/>
              </w:rPr>
              <w:t>1</w:t>
            </w:r>
          </w:p>
        </w:tc>
        <w:tc>
          <w:tcPr>
            <w:tcW w:w="3260" w:type="dxa"/>
            <w:tcBorders>
              <w:top w:val="nil"/>
              <w:left w:val="single" w:sz="6" w:space="0" w:color="000000"/>
              <w:bottom w:val="nil"/>
              <w:right w:val="single" w:sz="4" w:space="0" w:color="auto"/>
            </w:tcBorders>
            <w:vAlign w:val="center"/>
          </w:tcPr>
          <w:p w14:paraId="29AC0BBF" w14:textId="77777777" w:rsidR="00972612" w:rsidRPr="006A2BF9" w:rsidRDefault="00972612" w:rsidP="00BA5FFD">
            <w:pPr>
              <w:jc w:val="center"/>
              <w:outlineLvl w:val="0"/>
              <w:rPr>
                <w:bCs/>
                <w:sz w:val="20"/>
                <w:lang w:val="it-IT"/>
              </w:rPr>
            </w:pPr>
            <w:r w:rsidRPr="006A2BF9">
              <w:rPr>
                <w:bCs/>
                <w:sz w:val="20"/>
                <w:lang w:val="it-IT"/>
              </w:rPr>
              <w:t>16</w:t>
            </w:r>
            <w:r w:rsidR="00BA5FFD" w:rsidRPr="006A2BF9">
              <w:rPr>
                <w:bCs/>
                <w:sz w:val="20"/>
                <w:lang w:val="it-IT"/>
              </w:rPr>
              <w:t>,</w:t>
            </w:r>
            <w:r w:rsidRPr="006A2BF9">
              <w:rPr>
                <w:bCs/>
                <w:sz w:val="20"/>
                <w:lang w:val="it-IT"/>
              </w:rPr>
              <w:t>9</w:t>
            </w:r>
          </w:p>
        </w:tc>
      </w:tr>
      <w:tr w:rsidR="00972612" w:rsidRPr="006A2BF9" w14:paraId="41F21011" w14:textId="77777777" w:rsidTr="00C65E97">
        <w:tc>
          <w:tcPr>
            <w:tcW w:w="2803" w:type="dxa"/>
            <w:tcBorders>
              <w:top w:val="nil"/>
              <w:left w:val="single" w:sz="4" w:space="0" w:color="auto"/>
              <w:bottom w:val="nil"/>
              <w:right w:val="single" w:sz="6" w:space="0" w:color="000000"/>
            </w:tcBorders>
          </w:tcPr>
          <w:p w14:paraId="0E118BA1" w14:textId="77777777" w:rsidR="00972612" w:rsidRPr="00330A40" w:rsidRDefault="00972612" w:rsidP="00BA5FFD">
            <w:pPr>
              <w:outlineLvl w:val="0"/>
              <w:rPr>
                <w:bCs/>
                <w:sz w:val="20"/>
                <w:lang w:val="it-IT"/>
              </w:rPr>
            </w:pPr>
            <w:r w:rsidRPr="000F0246">
              <w:rPr>
                <w:bCs/>
                <w:i/>
                <w:sz w:val="20"/>
                <w:lang w:val="it-IT"/>
              </w:rPr>
              <w:t>Hazard ratio</w:t>
            </w:r>
            <w:r w:rsidRPr="00330A40">
              <w:rPr>
                <w:bCs/>
                <w:sz w:val="20"/>
                <w:lang w:val="it-IT"/>
              </w:rPr>
              <w:t xml:space="preserve"> (</w:t>
            </w:r>
            <w:r w:rsidR="00340523" w:rsidRPr="00330A40">
              <w:rPr>
                <w:bCs/>
                <w:sz w:val="20"/>
                <w:lang w:val="it-IT"/>
              </w:rPr>
              <w:t xml:space="preserve">IC </w:t>
            </w:r>
            <w:r w:rsidR="00831FDE">
              <w:rPr>
                <w:bCs/>
                <w:sz w:val="20"/>
                <w:lang w:val="it-IT"/>
              </w:rPr>
              <w:t xml:space="preserve">al </w:t>
            </w:r>
            <w:r w:rsidRPr="00330A40">
              <w:rPr>
                <w:bCs/>
                <w:sz w:val="20"/>
                <w:lang w:val="it-IT"/>
              </w:rPr>
              <w:t>95%)</w:t>
            </w:r>
            <w:r w:rsidRPr="00330A40">
              <w:rPr>
                <w:bCs/>
                <w:sz w:val="20"/>
                <w:vertAlign w:val="superscript"/>
                <w:lang w:val="it-IT"/>
              </w:rPr>
              <w:t>4</w:t>
            </w:r>
          </w:p>
        </w:tc>
        <w:tc>
          <w:tcPr>
            <w:tcW w:w="2794" w:type="dxa"/>
            <w:tcBorders>
              <w:top w:val="nil"/>
              <w:left w:val="single" w:sz="6" w:space="0" w:color="000000"/>
              <w:bottom w:val="nil"/>
              <w:right w:val="single" w:sz="6" w:space="0" w:color="000000"/>
            </w:tcBorders>
            <w:vAlign w:val="center"/>
          </w:tcPr>
          <w:p w14:paraId="522669BE" w14:textId="77777777" w:rsidR="00972612" w:rsidRPr="00330A40" w:rsidRDefault="00972612" w:rsidP="00BA5FFD">
            <w:pPr>
              <w:jc w:val="center"/>
              <w:outlineLvl w:val="0"/>
              <w:rPr>
                <w:bCs/>
                <w:sz w:val="20"/>
                <w:lang w:val="it-IT"/>
              </w:rPr>
            </w:pPr>
          </w:p>
        </w:tc>
        <w:tc>
          <w:tcPr>
            <w:tcW w:w="3260" w:type="dxa"/>
            <w:tcBorders>
              <w:top w:val="nil"/>
              <w:left w:val="single" w:sz="6" w:space="0" w:color="000000"/>
              <w:bottom w:val="nil"/>
              <w:right w:val="single" w:sz="4" w:space="0" w:color="auto"/>
            </w:tcBorders>
            <w:vAlign w:val="center"/>
          </w:tcPr>
          <w:p w14:paraId="26B37817" w14:textId="77777777" w:rsidR="00972612" w:rsidRPr="00330A40" w:rsidRDefault="00972612" w:rsidP="00BA5FFD">
            <w:pPr>
              <w:jc w:val="center"/>
              <w:outlineLvl w:val="0"/>
              <w:rPr>
                <w:bCs/>
                <w:sz w:val="20"/>
                <w:lang w:val="it-IT"/>
              </w:rPr>
            </w:pPr>
            <w:r w:rsidRPr="00330A40">
              <w:rPr>
                <w:bCs/>
                <w:sz w:val="20"/>
                <w:lang w:val="it-IT"/>
              </w:rPr>
              <w:t>0</w:t>
            </w:r>
            <w:r w:rsidR="00BA5FFD" w:rsidRPr="00330A40">
              <w:rPr>
                <w:bCs/>
                <w:sz w:val="20"/>
                <w:lang w:val="it-IT"/>
              </w:rPr>
              <w:t>,</w:t>
            </w:r>
            <w:r w:rsidRPr="00330A40">
              <w:rPr>
                <w:bCs/>
                <w:sz w:val="20"/>
                <w:lang w:val="it-IT"/>
              </w:rPr>
              <w:t>67</w:t>
            </w:r>
          </w:p>
          <w:p w14:paraId="4E12CA92" w14:textId="77777777" w:rsidR="00972612" w:rsidRPr="00330A40" w:rsidRDefault="00972612" w:rsidP="00BA5FFD">
            <w:pPr>
              <w:jc w:val="center"/>
              <w:outlineLvl w:val="0"/>
              <w:rPr>
                <w:bCs/>
                <w:sz w:val="20"/>
                <w:lang w:val="it-IT"/>
              </w:rPr>
            </w:pPr>
            <w:r w:rsidRPr="00330A40">
              <w:rPr>
                <w:bCs/>
                <w:sz w:val="20"/>
                <w:lang w:val="it-IT"/>
              </w:rPr>
              <w:t>(0</w:t>
            </w:r>
            <w:r w:rsidR="00BA5FFD" w:rsidRPr="00330A40">
              <w:rPr>
                <w:bCs/>
                <w:sz w:val="20"/>
                <w:lang w:val="it-IT"/>
              </w:rPr>
              <w:t>,</w:t>
            </w:r>
            <w:r w:rsidRPr="00330A40">
              <w:rPr>
                <w:bCs/>
                <w:sz w:val="20"/>
                <w:lang w:val="it-IT"/>
              </w:rPr>
              <w:t>52</w:t>
            </w:r>
            <w:r w:rsidR="00AA5AAE" w:rsidRPr="00330A40">
              <w:rPr>
                <w:bCs/>
                <w:sz w:val="20"/>
                <w:lang w:val="it-IT"/>
              </w:rPr>
              <w:t>;</w:t>
            </w:r>
            <w:r w:rsidR="00E14086" w:rsidRPr="00330A40">
              <w:rPr>
                <w:bCs/>
                <w:sz w:val="20"/>
                <w:lang w:val="it-IT"/>
              </w:rPr>
              <w:t xml:space="preserve"> </w:t>
            </w:r>
            <w:r w:rsidRPr="00330A40">
              <w:rPr>
                <w:bCs/>
                <w:sz w:val="20"/>
                <w:lang w:val="it-IT"/>
              </w:rPr>
              <w:t>0</w:t>
            </w:r>
            <w:r w:rsidR="00BA5FFD" w:rsidRPr="00330A40">
              <w:rPr>
                <w:bCs/>
                <w:sz w:val="20"/>
                <w:lang w:val="it-IT"/>
              </w:rPr>
              <w:t>,</w:t>
            </w:r>
            <w:r w:rsidRPr="00330A40">
              <w:rPr>
                <w:bCs/>
                <w:sz w:val="20"/>
                <w:lang w:val="it-IT"/>
              </w:rPr>
              <w:t>87)</w:t>
            </w:r>
          </w:p>
        </w:tc>
      </w:tr>
      <w:tr w:rsidR="00972612" w:rsidRPr="006A2BF9" w14:paraId="24159B3C" w14:textId="77777777" w:rsidTr="00C65E97">
        <w:tc>
          <w:tcPr>
            <w:tcW w:w="8857" w:type="dxa"/>
            <w:gridSpan w:val="3"/>
            <w:tcBorders>
              <w:top w:val="single" w:sz="4" w:space="0" w:color="auto"/>
              <w:left w:val="single" w:sz="4" w:space="0" w:color="auto"/>
              <w:bottom w:val="single" w:sz="4" w:space="0" w:color="auto"/>
              <w:right w:val="single" w:sz="4" w:space="0" w:color="auto"/>
            </w:tcBorders>
          </w:tcPr>
          <w:p w14:paraId="7E5F2B85" w14:textId="77777777" w:rsidR="00972612" w:rsidRPr="006A2BF9" w:rsidRDefault="00972612" w:rsidP="00972612">
            <w:pPr>
              <w:outlineLvl w:val="0"/>
              <w:rPr>
                <w:bCs/>
                <w:sz w:val="20"/>
                <w:lang w:val="it-IT"/>
              </w:rPr>
            </w:pPr>
            <w:r w:rsidRPr="006A2BF9">
              <w:rPr>
                <w:bCs/>
                <w:sz w:val="20"/>
                <w:lang w:val="it-IT"/>
              </w:rPr>
              <w:t>Pazienti randomizzati in stadio</w:t>
            </w:r>
            <w:r w:rsidR="00993D6F" w:rsidRPr="006A2BF9">
              <w:rPr>
                <w:bCs/>
                <w:sz w:val="20"/>
                <w:lang w:val="it-IT"/>
              </w:rPr>
              <w:t> </w:t>
            </w:r>
            <w:r w:rsidRPr="006A2BF9">
              <w:rPr>
                <w:bCs/>
                <w:sz w:val="20"/>
                <w:lang w:val="it-IT"/>
              </w:rPr>
              <w:t>IV di malattia</w:t>
            </w:r>
          </w:p>
        </w:tc>
      </w:tr>
      <w:tr w:rsidR="00972612" w:rsidRPr="006A2BF9" w14:paraId="7095AFF3" w14:textId="77777777" w:rsidTr="00C65E97">
        <w:tc>
          <w:tcPr>
            <w:tcW w:w="2803" w:type="dxa"/>
            <w:tcBorders>
              <w:top w:val="nil"/>
              <w:left w:val="single" w:sz="4" w:space="0" w:color="auto"/>
              <w:bottom w:val="nil"/>
              <w:right w:val="single" w:sz="6" w:space="0" w:color="000000"/>
            </w:tcBorders>
          </w:tcPr>
          <w:p w14:paraId="6BF10178" w14:textId="77777777" w:rsidR="00972612" w:rsidRPr="006A2BF9" w:rsidRDefault="00972612" w:rsidP="00972612">
            <w:pPr>
              <w:outlineLvl w:val="0"/>
              <w:rPr>
                <w:bCs/>
                <w:sz w:val="20"/>
                <w:lang w:val="it-IT"/>
              </w:rPr>
            </w:pPr>
          </w:p>
        </w:tc>
        <w:tc>
          <w:tcPr>
            <w:tcW w:w="2794" w:type="dxa"/>
            <w:tcBorders>
              <w:top w:val="nil"/>
              <w:left w:val="single" w:sz="6" w:space="0" w:color="000000"/>
              <w:bottom w:val="nil"/>
              <w:right w:val="single" w:sz="6" w:space="0" w:color="000000"/>
            </w:tcBorders>
            <w:vAlign w:val="center"/>
          </w:tcPr>
          <w:p w14:paraId="17D24D09" w14:textId="77777777" w:rsidR="00972612" w:rsidRPr="006A2BF9" w:rsidRDefault="00BA5FFD" w:rsidP="00BA5FFD">
            <w:pPr>
              <w:jc w:val="center"/>
              <w:outlineLvl w:val="0"/>
              <w:rPr>
                <w:bCs/>
                <w:sz w:val="20"/>
                <w:lang w:val="it-IT"/>
              </w:rPr>
            </w:pPr>
            <w:r w:rsidRPr="006A2BF9">
              <w:rPr>
                <w:bCs/>
                <w:sz w:val="20"/>
                <w:lang w:val="it-IT"/>
              </w:rPr>
              <w:t>CP</w:t>
            </w:r>
            <w:r w:rsidRPr="006A2BF9">
              <w:rPr>
                <w:bCs/>
                <w:sz w:val="20"/>
                <w:lang w:val="it-IT"/>
              </w:rPr>
              <w:br/>
              <w:t>(n = </w:t>
            </w:r>
            <w:r w:rsidR="00972612" w:rsidRPr="006A2BF9">
              <w:rPr>
                <w:bCs/>
                <w:sz w:val="20"/>
                <w:lang w:val="it-IT"/>
              </w:rPr>
              <w:t>97)</w:t>
            </w:r>
          </w:p>
        </w:tc>
        <w:tc>
          <w:tcPr>
            <w:tcW w:w="3260" w:type="dxa"/>
            <w:tcBorders>
              <w:top w:val="nil"/>
              <w:left w:val="single" w:sz="6" w:space="0" w:color="000000"/>
              <w:bottom w:val="nil"/>
              <w:right w:val="single" w:sz="4" w:space="0" w:color="auto"/>
            </w:tcBorders>
            <w:vAlign w:val="center"/>
          </w:tcPr>
          <w:p w14:paraId="79E2103B" w14:textId="77777777" w:rsidR="00972612" w:rsidRPr="006A2BF9" w:rsidRDefault="00972612" w:rsidP="00BA5FFD">
            <w:pPr>
              <w:jc w:val="center"/>
              <w:outlineLvl w:val="0"/>
              <w:rPr>
                <w:bCs/>
                <w:sz w:val="20"/>
                <w:lang w:val="it-IT"/>
              </w:rPr>
            </w:pPr>
            <w:r w:rsidRPr="006A2BF9">
              <w:rPr>
                <w:bCs/>
                <w:sz w:val="20"/>
                <w:lang w:val="it-IT"/>
              </w:rPr>
              <w:t>CPB7</w:t>
            </w:r>
            <w:r w:rsidR="00BA5FFD" w:rsidRPr="006A2BF9">
              <w:rPr>
                <w:bCs/>
                <w:sz w:val="20"/>
                <w:lang w:val="it-IT"/>
              </w:rPr>
              <w:t>.5+</w:t>
            </w:r>
            <w:r w:rsidR="00BA5FFD" w:rsidRPr="006A2BF9">
              <w:rPr>
                <w:bCs/>
                <w:sz w:val="20"/>
                <w:lang w:val="it-IT"/>
              </w:rPr>
              <w:br/>
              <w:t>(n = </w:t>
            </w:r>
            <w:r w:rsidRPr="006A2BF9">
              <w:rPr>
                <w:bCs/>
                <w:sz w:val="20"/>
                <w:lang w:val="it-IT"/>
              </w:rPr>
              <w:t>104)</w:t>
            </w:r>
          </w:p>
        </w:tc>
      </w:tr>
      <w:tr w:rsidR="00972612" w:rsidRPr="006A2BF9" w14:paraId="23712C07" w14:textId="77777777" w:rsidTr="00C65E97">
        <w:tc>
          <w:tcPr>
            <w:tcW w:w="2803" w:type="dxa"/>
            <w:tcBorders>
              <w:top w:val="nil"/>
              <w:left w:val="single" w:sz="4" w:space="0" w:color="auto"/>
              <w:bottom w:val="nil"/>
              <w:right w:val="single" w:sz="6" w:space="0" w:color="000000"/>
            </w:tcBorders>
          </w:tcPr>
          <w:p w14:paraId="398BFBAF" w14:textId="77777777" w:rsidR="00972612" w:rsidRPr="006A2BF9" w:rsidRDefault="00972612" w:rsidP="00972612">
            <w:pPr>
              <w:outlineLvl w:val="0"/>
              <w:rPr>
                <w:bCs/>
                <w:sz w:val="20"/>
                <w:lang w:val="it-IT"/>
              </w:rPr>
            </w:pPr>
            <w:r w:rsidRPr="006A2BF9">
              <w:rPr>
                <w:bCs/>
                <w:sz w:val="20"/>
                <w:lang w:val="it-IT"/>
              </w:rPr>
              <w:t>PFS mediana (mesi)</w:t>
            </w:r>
          </w:p>
        </w:tc>
        <w:tc>
          <w:tcPr>
            <w:tcW w:w="2794" w:type="dxa"/>
            <w:tcBorders>
              <w:top w:val="nil"/>
              <w:left w:val="single" w:sz="6" w:space="0" w:color="000000"/>
              <w:bottom w:val="nil"/>
              <w:right w:val="single" w:sz="6" w:space="0" w:color="000000"/>
            </w:tcBorders>
            <w:vAlign w:val="center"/>
          </w:tcPr>
          <w:p w14:paraId="4A432C89" w14:textId="77777777" w:rsidR="00972612" w:rsidRPr="006A2BF9" w:rsidRDefault="00972612" w:rsidP="00BA5FFD">
            <w:pPr>
              <w:jc w:val="center"/>
              <w:outlineLvl w:val="0"/>
              <w:rPr>
                <w:bCs/>
                <w:sz w:val="20"/>
                <w:lang w:val="it-IT"/>
              </w:rPr>
            </w:pPr>
            <w:r w:rsidRPr="006A2BF9">
              <w:rPr>
                <w:bCs/>
                <w:sz w:val="20"/>
                <w:lang w:val="it-IT"/>
              </w:rPr>
              <w:t>10</w:t>
            </w:r>
            <w:r w:rsidR="00BA5FFD" w:rsidRPr="006A2BF9">
              <w:rPr>
                <w:bCs/>
                <w:sz w:val="20"/>
                <w:lang w:val="it-IT"/>
              </w:rPr>
              <w:t>,</w:t>
            </w:r>
            <w:r w:rsidRPr="006A2BF9">
              <w:rPr>
                <w:bCs/>
                <w:sz w:val="20"/>
                <w:lang w:val="it-IT"/>
              </w:rPr>
              <w:t>1</w:t>
            </w:r>
          </w:p>
        </w:tc>
        <w:tc>
          <w:tcPr>
            <w:tcW w:w="3260" w:type="dxa"/>
            <w:tcBorders>
              <w:top w:val="nil"/>
              <w:left w:val="single" w:sz="6" w:space="0" w:color="000000"/>
              <w:bottom w:val="nil"/>
              <w:right w:val="single" w:sz="4" w:space="0" w:color="auto"/>
            </w:tcBorders>
            <w:vAlign w:val="center"/>
          </w:tcPr>
          <w:p w14:paraId="0E1053F2" w14:textId="77777777" w:rsidR="00972612" w:rsidRPr="006A2BF9" w:rsidRDefault="00972612" w:rsidP="00BA5FFD">
            <w:pPr>
              <w:jc w:val="center"/>
              <w:outlineLvl w:val="0"/>
              <w:rPr>
                <w:bCs/>
                <w:sz w:val="20"/>
                <w:lang w:val="it-IT"/>
              </w:rPr>
            </w:pPr>
            <w:r w:rsidRPr="006A2BF9">
              <w:rPr>
                <w:bCs/>
                <w:sz w:val="20"/>
                <w:lang w:val="it-IT"/>
              </w:rPr>
              <w:t>13</w:t>
            </w:r>
            <w:r w:rsidR="00BA5FFD" w:rsidRPr="006A2BF9">
              <w:rPr>
                <w:bCs/>
                <w:sz w:val="20"/>
                <w:lang w:val="it-IT"/>
              </w:rPr>
              <w:t>,</w:t>
            </w:r>
            <w:r w:rsidRPr="006A2BF9">
              <w:rPr>
                <w:bCs/>
                <w:sz w:val="20"/>
                <w:lang w:val="it-IT"/>
              </w:rPr>
              <w:t>5</w:t>
            </w:r>
          </w:p>
        </w:tc>
      </w:tr>
      <w:tr w:rsidR="00972612" w:rsidRPr="006A2BF9" w14:paraId="441218A1" w14:textId="77777777" w:rsidTr="00C65E97">
        <w:tc>
          <w:tcPr>
            <w:tcW w:w="2803" w:type="dxa"/>
            <w:tcBorders>
              <w:top w:val="nil"/>
              <w:left w:val="single" w:sz="4" w:space="0" w:color="auto"/>
              <w:bottom w:val="single" w:sz="4" w:space="0" w:color="auto"/>
              <w:right w:val="single" w:sz="6" w:space="0" w:color="000000"/>
            </w:tcBorders>
          </w:tcPr>
          <w:p w14:paraId="47B2DC76" w14:textId="77777777" w:rsidR="00972612" w:rsidRPr="00330A40" w:rsidRDefault="00BA5FFD" w:rsidP="00972612">
            <w:pPr>
              <w:outlineLvl w:val="0"/>
              <w:rPr>
                <w:bCs/>
                <w:sz w:val="20"/>
                <w:lang w:val="it-IT"/>
              </w:rPr>
            </w:pPr>
            <w:r w:rsidRPr="006A2BF9">
              <w:rPr>
                <w:bCs/>
                <w:sz w:val="20"/>
                <w:lang w:val="it-IT"/>
              </w:rPr>
              <w:t xml:space="preserve">Hazard </w:t>
            </w:r>
            <w:r w:rsidR="00340523" w:rsidRPr="006A2BF9">
              <w:rPr>
                <w:bCs/>
                <w:sz w:val="20"/>
                <w:lang w:val="it-IT"/>
              </w:rPr>
              <w:t>r</w:t>
            </w:r>
            <w:r w:rsidRPr="006A2BF9">
              <w:rPr>
                <w:bCs/>
                <w:sz w:val="20"/>
                <w:lang w:val="it-IT"/>
              </w:rPr>
              <w:t>atio (</w:t>
            </w:r>
            <w:r w:rsidR="00340523" w:rsidRPr="006A2BF9">
              <w:rPr>
                <w:bCs/>
                <w:sz w:val="20"/>
                <w:lang w:val="it-IT"/>
              </w:rPr>
              <w:t xml:space="preserve">IC </w:t>
            </w:r>
            <w:r w:rsidR="00831FDE">
              <w:rPr>
                <w:bCs/>
                <w:sz w:val="20"/>
                <w:lang w:val="it-IT"/>
              </w:rPr>
              <w:t xml:space="preserve">al </w:t>
            </w:r>
            <w:r w:rsidRPr="00330A40">
              <w:rPr>
                <w:bCs/>
                <w:sz w:val="20"/>
                <w:lang w:val="it-IT"/>
              </w:rPr>
              <w:t>95%</w:t>
            </w:r>
            <w:r w:rsidR="00972612" w:rsidRPr="00330A40">
              <w:rPr>
                <w:bCs/>
                <w:sz w:val="20"/>
                <w:lang w:val="it-IT"/>
              </w:rPr>
              <w:t>)</w:t>
            </w:r>
            <w:r w:rsidR="00972612" w:rsidRPr="00330A40">
              <w:rPr>
                <w:bCs/>
                <w:sz w:val="20"/>
                <w:vertAlign w:val="superscript"/>
                <w:lang w:val="it-IT"/>
              </w:rPr>
              <w:t>4</w:t>
            </w:r>
          </w:p>
        </w:tc>
        <w:tc>
          <w:tcPr>
            <w:tcW w:w="2794" w:type="dxa"/>
            <w:tcBorders>
              <w:top w:val="nil"/>
              <w:left w:val="single" w:sz="6" w:space="0" w:color="000000"/>
              <w:bottom w:val="single" w:sz="4" w:space="0" w:color="auto"/>
              <w:right w:val="single" w:sz="6" w:space="0" w:color="000000"/>
            </w:tcBorders>
            <w:vAlign w:val="center"/>
          </w:tcPr>
          <w:p w14:paraId="33C0857E" w14:textId="77777777" w:rsidR="00972612" w:rsidRPr="00330A40" w:rsidRDefault="00972612" w:rsidP="00BA5FFD">
            <w:pPr>
              <w:jc w:val="center"/>
              <w:outlineLvl w:val="0"/>
              <w:rPr>
                <w:bCs/>
                <w:sz w:val="20"/>
                <w:lang w:val="it-IT"/>
              </w:rPr>
            </w:pPr>
          </w:p>
        </w:tc>
        <w:tc>
          <w:tcPr>
            <w:tcW w:w="3260" w:type="dxa"/>
            <w:tcBorders>
              <w:top w:val="nil"/>
              <w:left w:val="single" w:sz="6" w:space="0" w:color="000000"/>
              <w:bottom w:val="single" w:sz="4" w:space="0" w:color="auto"/>
              <w:right w:val="single" w:sz="4" w:space="0" w:color="auto"/>
            </w:tcBorders>
            <w:vAlign w:val="center"/>
          </w:tcPr>
          <w:p w14:paraId="7BCDF874" w14:textId="77777777" w:rsidR="00972612" w:rsidRPr="00330A40" w:rsidRDefault="00972612" w:rsidP="00BA5FFD">
            <w:pPr>
              <w:jc w:val="center"/>
              <w:outlineLvl w:val="0"/>
              <w:rPr>
                <w:bCs/>
                <w:sz w:val="20"/>
                <w:lang w:val="it-IT"/>
              </w:rPr>
            </w:pPr>
            <w:r w:rsidRPr="00330A40">
              <w:rPr>
                <w:bCs/>
                <w:sz w:val="20"/>
                <w:lang w:val="it-IT"/>
              </w:rPr>
              <w:t>0</w:t>
            </w:r>
            <w:r w:rsidR="00BA5FFD" w:rsidRPr="00330A40">
              <w:rPr>
                <w:bCs/>
                <w:sz w:val="20"/>
                <w:lang w:val="it-IT"/>
              </w:rPr>
              <w:t>,</w:t>
            </w:r>
            <w:r w:rsidRPr="00330A40">
              <w:rPr>
                <w:bCs/>
                <w:sz w:val="20"/>
                <w:lang w:val="it-IT"/>
              </w:rPr>
              <w:t>74</w:t>
            </w:r>
          </w:p>
          <w:p w14:paraId="27C1777F" w14:textId="77777777" w:rsidR="00972612" w:rsidRPr="00330A40" w:rsidRDefault="00972612" w:rsidP="00BA5FFD">
            <w:pPr>
              <w:jc w:val="center"/>
              <w:outlineLvl w:val="0"/>
              <w:rPr>
                <w:bCs/>
                <w:sz w:val="20"/>
                <w:lang w:val="it-IT"/>
              </w:rPr>
            </w:pPr>
            <w:r w:rsidRPr="00330A40">
              <w:rPr>
                <w:bCs/>
                <w:sz w:val="20"/>
                <w:lang w:val="it-IT"/>
              </w:rPr>
              <w:t>(0</w:t>
            </w:r>
            <w:r w:rsidR="00BA5FFD" w:rsidRPr="00330A40">
              <w:rPr>
                <w:bCs/>
                <w:sz w:val="20"/>
                <w:lang w:val="it-IT"/>
              </w:rPr>
              <w:t>,</w:t>
            </w:r>
            <w:r w:rsidRPr="00330A40">
              <w:rPr>
                <w:bCs/>
                <w:sz w:val="20"/>
                <w:lang w:val="it-IT"/>
              </w:rPr>
              <w:t>55</w:t>
            </w:r>
            <w:r w:rsidR="00AA5AAE" w:rsidRPr="00330A40">
              <w:rPr>
                <w:bCs/>
                <w:sz w:val="20"/>
                <w:lang w:val="it-IT"/>
              </w:rPr>
              <w:t>;</w:t>
            </w:r>
            <w:r w:rsidR="00E14086" w:rsidRPr="00330A40">
              <w:rPr>
                <w:bCs/>
                <w:sz w:val="20"/>
                <w:lang w:val="it-IT"/>
              </w:rPr>
              <w:t xml:space="preserve"> </w:t>
            </w:r>
            <w:r w:rsidRPr="00330A40">
              <w:rPr>
                <w:bCs/>
                <w:sz w:val="20"/>
                <w:lang w:val="it-IT"/>
              </w:rPr>
              <w:t>1</w:t>
            </w:r>
            <w:r w:rsidR="00BA5FFD" w:rsidRPr="00330A40">
              <w:rPr>
                <w:bCs/>
                <w:sz w:val="20"/>
                <w:lang w:val="it-IT"/>
              </w:rPr>
              <w:t>,</w:t>
            </w:r>
            <w:r w:rsidRPr="00330A40">
              <w:rPr>
                <w:bCs/>
                <w:sz w:val="20"/>
                <w:lang w:val="it-IT"/>
              </w:rPr>
              <w:t>01)</w:t>
            </w:r>
          </w:p>
        </w:tc>
      </w:tr>
    </w:tbl>
    <w:p w14:paraId="0547BBFF" w14:textId="77777777" w:rsidR="00972612" w:rsidRPr="006A2BF9" w:rsidRDefault="00972612" w:rsidP="00972612">
      <w:pPr>
        <w:outlineLvl w:val="0"/>
        <w:rPr>
          <w:bCs/>
          <w:sz w:val="20"/>
          <w:lang w:val="it-IT"/>
        </w:rPr>
      </w:pPr>
      <w:r w:rsidRPr="006A2BF9">
        <w:rPr>
          <w:bCs/>
          <w:sz w:val="20"/>
          <w:vertAlign w:val="superscript"/>
          <w:lang w:val="it-IT"/>
        </w:rPr>
        <w:t>1</w:t>
      </w:r>
      <w:r w:rsidRPr="006A2BF9">
        <w:rPr>
          <w:b/>
          <w:bCs/>
          <w:sz w:val="20"/>
          <w:vertAlign w:val="superscript"/>
          <w:lang w:val="it-IT"/>
        </w:rPr>
        <w:t xml:space="preserve"> </w:t>
      </w:r>
      <w:r w:rsidRPr="006A2BF9">
        <w:rPr>
          <w:bCs/>
          <w:sz w:val="20"/>
          <w:lang w:val="it-IT"/>
        </w:rPr>
        <w:t xml:space="preserve">Analisi della PFS </w:t>
      </w:r>
      <w:r w:rsidR="00BA5FFD" w:rsidRPr="006A2BF9">
        <w:rPr>
          <w:bCs/>
          <w:sz w:val="20"/>
          <w:lang w:val="it-IT"/>
        </w:rPr>
        <w:t>valutata dallo sperimentatore</w:t>
      </w:r>
      <w:r w:rsidRPr="006A2BF9">
        <w:rPr>
          <w:bCs/>
          <w:sz w:val="20"/>
          <w:lang w:val="it-IT"/>
        </w:rPr>
        <w:t xml:space="preserve"> con cut-off </w:t>
      </w:r>
      <w:r w:rsidR="00BA5FFD" w:rsidRPr="006A2BF9">
        <w:rPr>
          <w:bCs/>
          <w:sz w:val="20"/>
          <w:lang w:val="it-IT"/>
        </w:rPr>
        <w:t xml:space="preserve">dei dati al 30 </w:t>
      </w:r>
      <w:r w:rsidR="00416C93" w:rsidRPr="006A2BF9">
        <w:rPr>
          <w:bCs/>
          <w:sz w:val="20"/>
          <w:lang w:val="it-IT"/>
        </w:rPr>
        <w:t xml:space="preserve">novembre </w:t>
      </w:r>
      <w:r w:rsidRPr="006A2BF9">
        <w:rPr>
          <w:bCs/>
          <w:sz w:val="20"/>
          <w:lang w:val="it-IT"/>
        </w:rPr>
        <w:t>2010.</w:t>
      </w:r>
    </w:p>
    <w:p w14:paraId="2C03E182" w14:textId="77777777" w:rsidR="00972612" w:rsidRPr="006A2BF9" w:rsidRDefault="00972612" w:rsidP="00972612">
      <w:pPr>
        <w:outlineLvl w:val="0"/>
        <w:rPr>
          <w:bCs/>
          <w:sz w:val="20"/>
          <w:lang w:val="it-IT"/>
        </w:rPr>
      </w:pPr>
      <w:r w:rsidRPr="006A2BF9">
        <w:rPr>
          <w:bCs/>
          <w:sz w:val="20"/>
          <w:vertAlign w:val="superscript"/>
          <w:lang w:val="it-IT"/>
        </w:rPr>
        <w:t>2 </w:t>
      </w:r>
      <w:r w:rsidRPr="006A2BF9">
        <w:rPr>
          <w:bCs/>
          <w:sz w:val="20"/>
          <w:lang w:val="it-IT"/>
        </w:rPr>
        <w:t>Con o senza residuo di malattia macroscopico</w:t>
      </w:r>
    </w:p>
    <w:p w14:paraId="2BEEF0B9" w14:textId="77777777" w:rsidR="00972612" w:rsidRPr="006A2BF9" w:rsidRDefault="00972612" w:rsidP="00972612">
      <w:pPr>
        <w:outlineLvl w:val="0"/>
        <w:rPr>
          <w:bCs/>
          <w:sz w:val="20"/>
          <w:lang w:val="it-IT"/>
        </w:rPr>
      </w:pPr>
      <w:r w:rsidRPr="006A2BF9">
        <w:rPr>
          <w:bCs/>
          <w:sz w:val="20"/>
          <w:vertAlign w:val="superscript"/>
          <w:lang w:val="it-IT"/>
        </w:rPr>
        <w:t>3</w:t>
      </w:r>
      <w:r w:rsidR="00BA5FFD" w:rsidRPr="006A2BF9">
        <w:rPr>
          <w:bCs/>
          <w:sz w:val="20"/>
          <w:lang w:val="it-IT"/>
        </w:rPr>
        <w:t xml:space="preserve"> </w:t>
      </w:r>
      <w:r w:rsidR="00340523" w:rsidRPr="006A2BF9">
        <w:rPr>
          <w:bCs/>
          <w:sz w:val="20"/>
          <w:lang w:val="it-IT"/>
        </w:rPr>
        <w:t xml:space="preserve">Il </w:t>
      </w:r>
      <w:r w:rsidR="00BA5FFD" w:rsidRPr="006A2BF9">
        <w:rPr>
          <w:bCs/>
          <w:sz w:val="20"/>
          <w:lang w:val="it-IT"/>
        </w:rPr>
        <w:t>5,8% di tutti i</w:t>
      </w:r>
      <w:r w:rsidRPr="006A2BF9">
        <w:rPr>
          <w:bCs/>
          <w:sz w:val="20"/>
          <w:lang w:val="it-IT"/>
        </w:rPr>
        <w:t xml:space="preserve"> pazienti era in stadio</w:t>
      </w:r>
      <w:r w:rsidR="00993D6F" w:rsidRPr="006A2BF9">
        <w:rPr>
          <w:bCs/>
          <w:sz w:val="20"/>
          <w:lang w:val="it-IT"/>
        </w:rPr>
        <w:t> </w:t>
      </w:r>
      <w:r w:rsidRPr="006A2BF9">
        <w:rPr>
          <w:bCs/>
          <w:sz w:val="20"/>
          <w:lang w:val="it-IT"/>
        </w:rPr>
        <w:t>IIIB di malattia</w:t>
      </w:r>
    </w:p>
    <w:p w14:paraId="0895C167" w14:textId="77777777" w:rsidR="00972612" w:rsidRPr="006A2BF9" w:rsidRDefault="00972612" w:rsidP="009C0666">
      <w:pPr>
        <w:outlineLvl w:val="0"/>
        <w:rPr>
          <w:bCs/>
          <w:sz w:val="20"/>
          <w:lang w:val="it-IT"/>
        </w:rPr>
      </w:pPr>
      <w:r w:rsidRPr="006A2BF9">
        <w:rPr>
          <w:bCs/>
          <w:sz w:val="20"/>
          <w:vertAlign w:val="superscript"/>
          <w:lang w:val="it-IT"/>
        </w:rPr>
        <w:t>4 </w:t>
      </w:r>
      <w:r w:rsidRPr="006A2BF9">
        <w:rPr>
          <w:bCs/>
          <w:sz w:val="20"/>
          <w:lang w:val="it-IT"/>
        </w:rPr>
        <w:t>Relativamente al braccio di controllo</w:t>
      </w:r>
    </w:p>
    <w:p w14:paraId="742937E0" w14:textId="77777777" w:rsidR="00CB05AE" w:rsidRPr="006A2BF9" w:rsidRDefault="00CB05AE" w:rsidP="009C0666">
      <w:pPr>
        <w:rPr>
          <w:lang w:val="it-IT"/>
        </w:rPr>
      </w:pPr>
    </w:p>
    <w:p w14:paraId="6C5173B3" w14:textId="77777777" w:rsidR="00E14791" w:rsidRPr="006A2BF9" w:rsidRDefault="00416C93" w:rsidP="00E14791">
      <w:pPr>
        <w:keepNext/>
        <w:keepLines/>
        <w:rPr>
          <w:i/>
          <w:lang w:val="it-IT"/>
        </w:rPr>
      </w:pPr>
      <w:r w:rsidRPr="006A2BF9">
        <w:rPr>
          <w:i/>
          <w:lang w:val="it-IT"/>
        </w:rPr>
        <w:t>Cancro dell’ovaio</w:t>
      </w:r>
      <w:r w:rsidR="00E14791" w:rsidRPr="006A2BF9">
        <w:rPr>
          <w:i/>
          <w:lang w:val="it-IT"/>
        </w:rPr>
        <w:t xml:space="preserve"> </w:t>
      </w:r>
      <w:r w:rsidR="00056058" w:rsidRPr="006A2BF9">
        <w:rPr>
          <w:i/>
          <w:lang w:val="it-IT"/>
        </w:rPr>
        <w:t xml:space="preserve">in </w:t>
      </w:r>
      <w:r w:rsidR="009444B8" w:rsidRPr="006A2BF9">
        <w:rPr>
          <w:i/>
          <w:lang w:val="it-IT"/>
        </w:rPr>
        <w:t>recidiv</w:t>
      </w:r>
      <w:r w:rsidR="00056058" w:rsidRPr="006A2BF9">
        <w:rPr>
          <w:i/>
          <w:lang w:val="it-IT"/>
        </w:rPr>
        <w:t>a</w:t>
      </w:r>
    </w:p>
    <w:p w14:paraId="0BD08674" w14:textId="77777777" w:rsidR="008E3703" w:rsidRPr="006A2BF9" w:rsidRDefault="008E3703" w:rsidP="00E14791">
      <w:pPr>
        <w:keepNext/>
        <w:keepLines/>
        <w:rPr>
          <w:i/>
          <w:lang w:val="it-IT"/>
        </w:rPr>
      </w:pPr>
    </w:p>
    <w:p w14:paraId="59C2BD52" w14:textId="77777777" w:rsidR="008E3703" w:rsidRPr="006A2BF9" w:rsidRDefault="008E3703" w:rsidP="008E3703">
      <w:pPr>
        <w:keepNext/>
        <w:keepLines/>
        <w:rPr>
          <w:lang w:val="it-IT"/>
        </w:rPr>
      </w:pPr>
      <w:r w:rsidRPr="006A2BF9">
        <w:rPr>
          <w:lang w:val="it-IT"/>
        </w:rPr>
        <w:t xml:space="preserve">La sicurezza e l’efficacia di </w:t>
      </w:r>
      <w:r w:rsidR="00047446" w:rsidRPr="006A2BF9">
        <w:rPr>
          <w:szCs w:val="22"/>
          <w:lang w:val="it-IT"/>
        </w:rPr>
        <w:t>bevacizumab</w:t>
      </w:r>
      <w:r w:rsidR="00047446" w:rsidRPr="006A2BF9" w:rsidDel="00047446">
        <w:rPr>
          <w:lang w:val="it-IT"/>
        </w:rPr>
        <w:t xml:space="preserve"> </w:t>
      </w:r>
      <w:r w:rsidRPr="006A2BF9">
        <w:rPr>
          <w:lang w:val="it-IT"/>
        </w:rPr>
        <w:t xml:space="preserve">nel trattamento della recidiva di </w:t>
      </w:r>
      <w:r w:rsidR="00900FB8" w:rsidRPr="006A2BF9">
        <w:rPr>
          <w:lang w:val="it-IT"/>
        </w:rPr>
        <w:t>cancro</w:t>
      </w:r>
      <w:r w:rsidRPr="006A2BF9">
        <w:rPr>
          <w:lang w:val="it-IT"/>
        </w:rPr>
        <w:t xml:space="preserve"> epiteliale</w:t>
      </w:r>
      <w:r w:rsidR="00900FB8" w:rsidRPr="006A2BF9">
        <w:rPr>
          <w:lang w:val="it-IT"/>
        </w:rPr>
        <w:t xml:space="preserve"> dell’ovaio</w:t>
      </w:r>
      <w:r w:rsidRPr="006A2BF9">
        <w:rPr>
          <w:lang w:val="it-IT"/>
        </w:rPr>
        <w:t xml:space="preserve">, </w:t>
      </w:r>
      <w:r w:rsidR="00900FB8" w:rsidRPr="006A2BF9">
        <w:rPr>
          <w:lang w:val="it-IT"/>
        </w:rPr>
        <w:t xml:space="preserve">cancro della tuba </w:t>
      </w:r>
      <w:r w:rsidRPr="006A2BF9">
        <w:rPr>
          <w:lang w:val="it-IT"/>
        </w:rPr>
        <w:t xml:space="preserve">di </w:t>
      </w:r>
      <w:r w:rsidR="00685491" w:rsidRPr="006A2BF9">
        <w:rPr>
          <w:lang w:val="it-IT"/>
        </w:rPr>
        <w:t>F</w:t>
      </w:r>
      <w:r w:rsidRPr="006A2BF9">
        <w:rPr>
          <w:lang w:val="it-IT"/>
        </w:rPr>
        <w:t xml:space="preserve">alloppio o </w:t>
      </w:r>
      <w:r w:rsidR="00900FB8" w:rsidRPr="006A2BF9">
        <w:rPr>
          <w:lang w:val="it-IT"/>
        </w:rPr>
        <w:t xml:space="preserve">cancro </w:t>
      </w:r>
      <w:r w:rsidRPr="006A2BF9">
        <w:rPr>
          <w:lang w:val="it-IT"/>
        </w:rPr>
        <w:t xml:space="preserve">peritoneale primario sono state studiate in </w:t>
      </w:r>
      <w:r w:rsidR="0086135E" w:rsidRPr="006A2BF9">
        <w:rPr>
          <w:lang w:val="it-IT"/>
        </w:rPr>
        <w:t xml:space="preserve">tre </w:t>
      </w:r>
      <w:r w:rsidRPr="006A2BF9">
        <w:rPr>
          <w:lang w:val="it-IT"/>
        </w:rPr>
        <w:t>studi di fase</w:t>
      </w:r>
      <w:r w:rsidR="00993D6F" w:rsidRPr="006A2BF9">
        <w:rPr>
          <w:lang w:val="it-IT"/>
        </w:rPr>
        <w:t> </w:t>
      </w:r>
      <w:r w:rsidRPr="006A2BF9">
        <w:rPr>
          <w:lang w:val="it-IT"/>
        </w:rPr>
        <w:t xml:space="preserve">III </w:t>
      </w:r>
      <w:r w:rsidRPr="006A2BF9">
        <w:rPr>
          <w:rFonts w:eastAsia="PMingLiU"/>
          <w:lang w:val="it-IT" w:eastAsia="zh-CN"/>
        </w:rPr>
        <w:t>(AVF4095g</w:t>
      </w:r>
      <w:r w:rsidR="0086135E" w:rsidRPr="006A2BF9">
        <w:rPr>
          <w:rFonts w:eastAsia="PMingLiU"/>
          <w:lang w:val="it-IT" w:eastAsia="zh-CN"/>
        </w:rPr>
        <w:t>,</w:t>
      </w:r>
      <w:r w:rsidRPr="006A2BF9">
        <w:rPr>
          <w:rFonts w:eastAsia="PMingLiU"/>
          <w:lang w:val="it-IT" w:eastAsia="zh-CN"/>
        </w:rPr>
        <w:t xml:space="preserve"> MO22224</w:t>
      </w:r>
      <w:r w:rsidR="0086135E" w:rsidRPr="006A2BF9">
        <w:rPr>
          <w:rFonts w:eastAsia="PMingLiU"/>
          <w:lang w:val="it-IT" w:eastAsia="zh-CN"/>
        </w:rPr>
        <w:t xml:space="preserve"> e GOG-0213</w:t>
      </w:r>
      <w:r w:rsidRPr="006A2BF9">
        <w:rPr>
          <w:rFonts w:eastAsia="PMingLiU"/>
          <w:lang w:val="it-IT" w:eastAsia="zh-CN"/>
        </w:rPr>
        <w:t>) con diversi regimi chemioterapici e popolazioni di pazienti.</w:t>
      </w:r>
    </w:p>
    <w:p w14:paraId="1EE5E0F0" w14:textId="77777777" w:rsidR="008E3703" w:rsidRPr="006A2BF9" w:rsidRDefault="008E3703" w:rsidP="008E3703">
      <w:pPr>
        <w:rPr>
          <w:rFonts w:eastAsia="PMingLiU"/>
          <w:lang w:val="it-IT" w:eastAsia="zh-CN"/>
        </w:rPr>
      </w:pPr>
    </w:p>
    <w:p w14:paraId="73F30B1C" w14:textId="77777777" w:rsidR="008E3703" w:rsidRPr="006A2BF9" w:rsidRDefault="008E3703" w:rsidP="008E3703">
      <w:pPr>
        <w:ind w:left="567" w:hanging="567"/>
        <w:rPr>
          <w:szCs w:val="22"/>
          <w:lang w:val="it-IT"/>
        </w:rPr>
      </w:pPr>
      <w:r w:rsidRPr="006A2BF9">
        <w:rPr>
          <w:szCs w:val="22"/>
          <w:lang w:val="it-IT"/>
        </w:rPr>
        <w:t>•</w:t>
      </w:r>
      <w:r w:rsidRPr="006A2BF9">
        <w:rPr>
          <w:szCs w:val="22"/>
          <w:lang w:val="it-IT"/>
        </w:rPr>
        <w:tab/>
        <w:t xml:space="preserve">Lo studio AVF4095g ha valutato l’efficacia e la sicurezza di bevacizumab in </w:t>
      </w:r>
      <w:r w:rsidR="00EB669A" w:rsidRPr="006A2BF9">
        <w:rPr>
          <w:szCs w:val="22"/>
          <w:lang w:val="it-IT"/>
        </w:rPr>
        <w:t>associazione</w:t>
      </w:r>
      <w:r w:rsidR="00B12396" w:rsidRPr="006A2BF9">
        <w:rPr>
          <w:szCs w:val="22"/>
          <w:lang w:val="it-IT"/>
        </w:rPr>
        <w:t xml:space="preserve"> </w:t>
      </w:r>
      <w:r w:rsidR="00BD2745" w:rsidRPr="006A2BF9">
        <w:rPr>
          <w:szCs w:val="22"/>
          <w:lang w:val="it-IT"/>
        </w:rPr>
        <w:t xml:space="preserve">a </w:t>
      </w:r>
      <w:r w:rsidRPr="006A2BF9">
        <w:rPr>
          <w:szCs w:val="22"/>
          <w:lang w:val="it-IT"/>
        </w:rPr>
        <w:t>carboplatino e gemcitabina</w:t>
      </w:r>
      <w:r w:rsidR="0086135E" w:rsidRPr="006A2BF9">
        <w:rPr>
          <w:szCs w:val="22"/>
          <w:lang w:val="it-IT"/>
        </w:rPr>
        <w:t xml:space="preserve"> seguiti da bevacizumab in monoterapia</w:t>
      </w:r>
      <w:r w:rsidRPr="006A2BF9">
        <w:rPr>
          <w:szCs w:val="22"/>
          <w:lang w:val="it-IT"/>
        </w:rPr>
        <w:t xml:space="preserve"> ne</w:t>
      </w:r>
      <w:r w:rsidR="00CA630B" w:rsidRPr="006A2BF9">
        <w:rPr>
          <w:szCs w:val="22"/>
          <w:lang w:val="it-IT"/>
        </w:rPr>
        <w:t>lle</w:t>
      </w:r>
      <w:r w:rsidRPr="006A2BF9">
        <w:rPr>
          <w:szCs w:val="22"/>
          <w:lang w:val="it-IT"/>
        </w:rPr>
        <w:t xml:space="preserve"> pazienti con recidiva di </w:t>
      </w:r>
      <w:r w:rsidR="00BD2745" w:rsidRPr="006A2BF9">
        <w:rPr>
          <w:szCs w:val="22"/>
          <w:lang w:val="it-IT"/>
        </w:rPr>
        <w:t xml:space="preserve">cancro </w:t>
      </w:r>
      <w:r w:rsidRPr="006A2BF9">
        <w:rPr>
          <w:szCs w:val="22"/>
          <w:lang w:val="it-IT"/>
        </w:rPr>
        <w:t>epiteliale</w:t>
      </w:r>
      <w:r w:rsidR="00BD2745" w:rsidRPr="006A2BF9">
        <w:rPr>
          <w:szCs w:val="22"/>
          <w:lang w:val="it-IT"/>
        </w:rPr>
        <w:t xml:space="preserve"> dell’ovaio</w:t>
      </w:r>
      <w:r w:rsidRPr="006A2BF9">
        <w:rPr>
          <w:szCs w:val="22"/>
          <w:lang w:val="it-IT"/>
        </w:rPr>
        <w:t xml:space="preserve">, </w:t>
      </w:r>
      <w:r w:rsidR="00BD2745" w:rsidRPr="006A2BF9">
        <w:rPr>
          <w:szCs w:val="22"/>
          <w:lang w:val="it-IT"/>
        </w:rPr>
        <w:t xml:space="preserve">cancro della tuba </w:t>
      </w:r>
      <w:r w:rsidRPr="006A2BF9">
        <w:rPr>
          <w:szCs w:val="22"/>
          <w:lang w:val="it-IT"/>
        </w:rPr>
        <w:t xml:space="preserve">di </w:t>
      </w:r>
      <w:r w:rsidR="00522349" w:rsidRPr="006A2BF9">
        <w:rPr>
          <w:szCs w:val="22"/>
          <w:lang w:val="it-IT"/>
        </w:rPr>
        <w:t>F</w:t>
      </w:r>
      <w:r w:rsidRPr="006A2BF9">
        <w:rPr>
          <w:szCs w:val="22"/>
          <w:lang w:val="it-IT"/>
        </w:rPr>
        <w:t xml:space="preserve">alloppio o </w:t>
      </w:r>
      <w:r w:rsidR="00BD2745" w:rsidRPr="006A2BF9">
        <w:rPr>
          <w:szCs w:val="22"/>
          <w:lang w:val="it-IT"/>
        </w:rPr>
        <w:t xml:space="preserve">cancro </w:t>
      </w:r>
      <w:r w:rsidRPr="006A2BF9">
        <w:rPr>
          <w:szCs w:val="22"/>
          <w:lang w:val="it-IT"/>
        </w:rPr>
        <w:t>peritoneale primario platino-sensibil</w:t>
      </w:r>
      <w:r w:rsidR="003815BC" w:rsidRPr="006A2BF9">
        <w:rPr>
          <w:szCs w:val="22"/>
          <w:lang w:val="it-IT"/>
        </w:rPr>
        <w:t>i</w:t>
      </w:r>
      <w:r w:rsidRPr="006A2BF9">
        <w:rPr>
          <w:szCs w:val="22"/>
          <w:lang w:val="it-IT"/>
        </w:rPr>
        <w:t>.</w:t>
      </w:r>
    </w:p>
    <w:p w14:paraId="4DFE2CA7" w14:textId="77777777" w:rsidR="0086135E" w:rsidRPr="006A2BF9" w:rsidRDefault="0086135E" w:rsidP="008E3703">
      <w:pPr>
        <w:ind w:left="567" w:hanging="567"/>
        <w:rPr>
          <w:szCs w:val="22"/>
          <w:lang w:val="it-IT"/>
        </w:rPr>
      </w:pPr>
      <w:r w:rsidRPr="006A2BF9">
        <w:rPr>
          <w:szCs w:val="22"/>
          <w:lang w:val="it-IT"/>
        </w:rPr>
        <w:t>•</w:t>
      </w:r>
      <w:r w:rsidRPr="006A2BF9">
        <w:rPr>
          <w:szCs w:val="22"/>
          <w:lang w:val="it-IT"/>
        </w:rPr>
        <w:tab/>
        <w:t xml:space="preserve">Lo studio GOG-0213 ha valutato l’efficacia e la sicurezza di bevacizumab in associazione </w:t>
      </w:r>
      <w:r w:rsidR="00BD2745" w:rsidRPr="006A2BF9">
        <w:rPr>
          <w:szCs w:val="22"/>
          <w:lang w:val="it-IT"/>
        </w:rPr>
        <w:t xml:space="preserve">a </w:t>
      </w:r>
      <w:r w:rsidRPr="006A2BF9">
        <w:rPr>
          <w:szCs w:val="22"/>
          <w:lang w:val="it-IT"/>
        </w:rPr>
        <w:t xml:space="preserve">carboplatino e paclitaxel seguiti da bevacizumab in monoterapia nelle pazienti con recidiva di </w:t>
      </w:r>
      <w:r w:rsidR="00BD2745" w:rsidRPr="006A2BF9">
        <w:rPr>
          <w:szCs w:val="22"/>
          <w:lang w:val="it-IT"/>
        </w:rPr>
        <w:t>cancro</w:t>
      </w:r>
      <w:r w:rsidRPr="006A2BF9">
        <w:rPr>
          <w:szCs w:val="22"/>
          <w:lang w:val="it-IT"/>
        </w:rPr>
        <w:t xml:space="preserve"> epiteliale</w:t>
      </w:r>
      <w:r w:rsidR="00BD2745" w:rsidRPr="006A2BF9">
        <w:rPr>
          <w:szCs w:val="22"/>
          <w:lang w:val="it-IT"/>
        </w:rPr>
        <w:t xml:space="preserve"> dell’ovaio</w:t>
      </w:r>
      <w:r w:rsidRPr="006A2BF9">
        <w:rPr>
          <w:szCs w:val="22"/>
          <w:lang w:val="it-IT"/>
        </w:rPr>
        <w:t xml:space="preserve">, </w:t>
      </w:r>
      <w:r w:rsidR="00BD2745" w:rsidRPr="006A2BF9">
        <w:rPr>
          <w:szCs w:val="22"/>
          <w:lang w:val="it-IT"/>
        </w:rPr>
        <w:t xml:space="preserve">cancro della tuba </w:t>
      </w:r>
      <w:r w:rsidRPr="006A2BF9">
        <w:rPr>
          <w:szCs w:val="22"/>
          <w:lang w:val="it-IT"/>
        </w:rPr>
        <w:t xml:space="preserve">di </w:t>
      </w:r>
      <w:r w:rsidR="00522349" w:rsidRPr="006A2BF9">
        <w:rPr>
          <w:szCs w:val="22"/>
          <w:lang w:val="it-IT"/>
        </w:rPr>
        <w:t>F</w:t>
      </w:r>
      <w:r w:rsidRPr="006A2BF9">
        <w:rPr>
          <w:szCs w:val="22"/>
          <w:lang w:val="it-IT"/>
        </w:rPr>
        <w:t xml:space="preserve">alloppio o </w:t>
      </w:r>
      <w:r w:rsidR="00BD2745" w:rsidRPr="006A2BF9">
        <w:rPr>
          <w:szCs w:val="22"/>
          <w:lang w:val="it-IT"/>
        </w:rPr>
        <w:t xml:space="preserve">cancro </w:t>
      </w:r>
      <w:r w:rsidRPr="006A2BF9">
        <w:rPr>
          <w:szCs w:val="22"/>
          <w:lang w:val="it-IT"/>
        </w:rPr>
        <w:t>peritoneale primario platino-sensibili.</w:t>
      </w:r>
    </w:p>
    <w:p w14:paraId="2B03E9B2" w14:textId="77777777" w:rsidR="008E3703" w:rsidRPr="006A2BF9" w:rsidRDefault="008E3703" w:rsidP="008E3703">
      <w:pPr>
        <w:ind w:left="567" w:hanging="567"/>
        <w:rPr>
          <w:szCs w:val="22"/>
          <w:lang w:val="it-IT"/>
        </w:rPr>
      </w:pPr>
      <w:r w:rsidRPr="006A2BF9">
        <w:rPr>
          <w:szCs w:val="22"/>
          <w:lang w:val="it-IT"/>
        </w:rPr>
        <w:t>•</w:t>
      </w:r>
      <w:r w:rsidRPr="006A2BF9">
        <w:rPr>
          <w:szCs w:val="22"/>
          <w:lang w:val="it-IT"/>
        </w:rPr>
        <w:tab/>
        <w:t xml:space="preserve">Lo studio MO22224 ha valutato l’efficacia e la sicurezza di bevacizumab in </w:t>
      </w:r>
      <w:r w:rsidR="00B12396" w:rsidRPr="006A2BF9">
        <w:rPr>
          <w:szCs w:val="22"/>
          <w:lang w:val="it-IT"/>
        </w:rPr>
        <w:t xml:space="preserve">associazione </w:t>
      </w:r>
      <w:r w:rsidR="00BD2745" w:rsidRPr="006A2BF9">
        <w:rPr>
          <w:szCs w:val="22"/>
          <w:lang w:val="it-IT"/>
        </w:rPr>
        <w:t xml:space="preserve">a </w:t>
      </w:r>
      <w:r w:rsidRPr="006A2BF9">
        <w:rPr>
          <w:szCs w:val="22"/>
          <w:lang w:val="it-IT"/>
        </w:rPr>
        <w:t>paclitaxel, topotecan o doxorubicina liposomiale pegilata ne</w:t>
      </w:r>
      <w:r w:rsidR="00CA630B" w:rsidRPr="006A2BF9">
        <w:rPr>
          <w:szCs w:val="22"/>
          <w:lang w:val="it-IT"/>
        </w:rPr>
        <w:t>lle</w:t>
      </w:r>
      <w:r w:rsidRPr="006A2BF9">
        <w:rPr>
          <w:szCs w:val="22"/>
          <w:lang w:val="it-IT"/>
        </w:rPr>
        <w:t xml:space="preserve"> pazienti con recidiva di </w:t>
      </w:r>
      <w:r w:rsidR="00BD2745" w:rsidRPr="006A2BF9">
        <w:rPr>
          <w:szCs w:val="22"/>
          <w:lang w:val="it-IT"/>
        </w:rPr>
        <w:t xml:space="preserve">cancro </w:t>
      </w:r>
      <w:r w:rsidRPr="006A2BF9">
        <w:rPr>
          <w:szCs w:val="22"/>
          <w:lang w:val="it-IT"/>
        </w:rPr>
        <w:t>epiteliale</w:t>
      </w:r>
      <w:r w:rsidR="00BD2745" w:rsidRPr="006A2BF9">
        <w:rPr>
          <w:szCs w:val="22"/>
          <w:lang w:val="it-IT"/>
        </w:rPr>
        <w:t xml:space="preserve"> dell’ovaio</w:t>
      </w:r>
      <w:r w:rsidRPr="006A2BF9">
        <w:rPr>
          <w:szCs w:val="22"/>
          <w:lang w:val="it-IT"/>
        </w:rPr>
        <w:t xml:space="preserve">, </w:t>
      </w:r>
      <w:r w:rsidR="00BD2745" w:rsidRPr="006A2BF9">
        <w:rPr>
          <w:szCs w:val="22"/>
          <w:lang w:val="it-IT"/>
        </w:rPr>
        <w:t xml:space="preserve">cancro della tuba </w:t>
      </w:r>
      <w:r w:rsidRPr="006A2BF9">
        <w:rPr>
          <w:szCs w:val="22"/>
          <w:lang w:val="it-IT"/>
        </w:rPr>
        <w:t xml:space="preserve">di </w:t>
      </w:r>
      <w:r w:rsidR="00522349" w:rsidRPr="006A2BF9">
        <w:rPr>
          <w:szCs w:val="22"/>
          <w:lang w:val="it-IT"/>
        </w:rPr>
        <w:t>F</w:t>
      </w:r>
      <w:r w:rsidRPr="006A2BF9">
        <w:rPr>
          <w:szCs w:val="22"/>
          <w:lang w:val="it-IT"/>
        </w:rPr>
        <w:t xml:space="preserve">alloppio o </w:t>
      </w:r>
      <w:r w:rsidR="00BD2745" w:rsidRPr="006A2BF9">
        <w:rPr>
          <w:szCs w:val="22"/>
          <w:lang w:val="it-IT"/>
        </w:rPr>
        <w:t xml:space="preserve">cancro </w:t>
      </w:r>
      <w:r w:rsidRPr="006A2BF9">
        <w:rPr>
          <w:szCs w:val="22"/>
          <w:lang w:val="it-IT"/>
        </w:rPr>
        <w:t>peritoneale primario platino-resistent</w:t>
      </w:r>
      <w:r w:rsidR="003815BC" w:rsidRPr="006A2BF9">
        <w:rPr>
          <w:szCs w:val="22"/>
          <w:lang w:val="it-IT"/>
        </w:rPr>
        <w:t>i</w:t>
      </w:r>
      <w:r w:rsidRPr="006A2BF9">
        <w:rPr>
          <w:szCs w:val="22"/>
          <w:lang w:val="it-IT"/>
        </w:rPr>
        <w:t>.</w:t>
      </w:r>
    </w:p>
    <w:p w14:paraId="50292223" w14:textId="77777777" w:rsidR="008E3703" w:rsidRPr="006A2BF9" w:rsidRDefault="008E3703" w:rsidP="00E14791">
      <w:pPr>
        <w:keepNext/>
        <w:keepLines/>
        <w:rPr>
          <w:i/>
          <w:lang w:val="it-IT"/>
        </w:rPr>
      </w:pPr>
    </w:p>
    <w:p w14:paraId="550F75B3" w14:textId="77777777" w:rsidR="00E14791" w:rsidRPr="006A2BF9" w:rsidRDefault="00E14791" w:rsidP="00E14791">
      <w:pPr>
        <w:keepNext/>
        <w:keepLines/>
        <w:rPr>
          <w:i/>
          <w:lang w:val="it-IT"/>
        </w:rPr>
      </w:pPr>
      <w:r w:rsidRPr="006A2BF9">
        <w:rPr>
          <w:i/>
          <w:lang w:val="it-IT"/>
        </w:rPr>
        <w:t>AVF4095g</w:t>
      </w:r>
    </w:p>
    <w:p w14:paraId="4D233DD3" w14:textId="77777777" w:rsidR="00E14791" w:rsidRPr="006A2BF9" w:rsidRDefault="00250C7E" w:rsidP="00E14791">
      <w:pPr>
        <w:keepNext/>
        <w:keepLines/>
        <w:rPr>
          <w:lang w:val="it-IT"/>
        </w:rPr>
      </w:pPr>
      <w:r w:rsidRPr="006A2BF9">
        <w:rPr>
          <w:lang w:val="it-IT"/>
        </w:rPr>
        <w:t>Lo studio randomizzato di fase</w:t>
      </w:r>
      <w:r w:rsidR="00047446" w:rsidRPr="006A2BF9">
        <w:rPr>
          <w:lang w:val="it-IT"/>
        </w:rPr>
        <w:t> </w:t>
      </w:r>
      <w:r w:rsidRPr="006A2BF9">
        <w:rPr>
          <w:lang w:val="it-IT"/>
        </w:rPr>
        <w:t xml:space="preserve">III, </w:t>
      </w:r>
      <w:r w:rsidR="00340523" w:rsidRPr="006A2BF9">
        <w:rPr>
          <w:lang w:val="it-IT"/>
        </w:rPr>
        <w:t xml:space="preserve">in </w:t>
      </w:r>
      <w:r w:rsidRPr="006A2BF9">
        <w:rPr>
          <w:lang w:val="it-IT"/>
        </w:rPr>
        <w:t xml:space="preserve">doppio cieco, controllato con placebo (AVF4095g) ha </w:t>
      </w:r>
      <w:r w:rsidR="00742EAE" w:rsidRPr="006A2BF9">
        <w:rPr>
          <w:lang w:val="it-IT"/>
        </w:rPr>
        <w:t>valutat</w:t>
      </w:r>
      <w:r w:rsidRPr="006A2BF9">
        <w:rPr>
          <w:lang w:val="it-IT"/>
        </w:rPr>
        <w:t>o</w:t>
      </w:r>
      <w:r w:rsidR="00742EAE" w:rsidRPr="006A2BF9">
        <w:rPr>
          <w:lang w:val="it-IT"/>
        </w:rPr>
        <w:t xml:space="preserve"> la</w:t>
      </w:r>
      <w:r w:rsidR="00E14791" w:rsidRPr="006A2BF9">
        <w:rPr>
          <w:lang w:val="it-IT"/>
        </w:rPr>
        <w:t xml:space="preserve"> sicurezza e l</w:t>
      </w:r>
      <w:r w:rsidR="00047446" w:rsidRPr="006A2BF9">
        <w:rPr>
          <w:lang w:val="it-IT"/>
        </w:rPr>
        <w:t>’</w:t>
      </w:r>
      <w:r w:rsidR="00E14791" w:rsidRPr="006A2BF9">
        <w:rPr>
          <w:lang w:val="it-IT"/>
        </w:rPr>
        <w:t xml:space="preserve">efficacia di </w:t>
      </w:r>
      <w:r w:rsidR="00047446" w:rsidRPr="006A2BF9">
        <w:rPr>
          <w:szCs w:val="22"/>
          <w:lang w:val="it-IT"/>
        </w:rPr>
        <w:t>bevacizumab</w:t>
      </w:r>
      <w:r w:rsidR="00047446" w:rsidRPr="006A2BF9" w:rsidDel="00047446">
        <w:rPr>
          <w:lang w:val="it-IT"/>
        </w:rPr>
        <w:t xml:space="preserve"> </w:t>
      </w:r>
      <w:r w:rsidR="00E14791" w:rsidRPr="006A2BF9">
        <w:rPr>
          <w:lang w:val="it-IT"/>
        </w:rPr>
        <w:t>nel trattamento di pazienti con</w:t>
      </w:r>
      <w:r w:rsidRPr="006A2BF9">
        <w:rPr>
          <w:lang w:val="it-IT"/>
        </w:rPr>
        <w:t xml:space="preserve"> recidiva di malattia </w:t>
      </w:r>
      <w:r w:rsidR="00B11091" w:rsidRPr="006A2BF9">
        <w:rPr>
          <w:lang w:val="it-IT"/>
        </w:rPr>
        <w:t>platino-sensibile</w:t>
      </w:r>
      <w:r w:rsidRPr="006A2BF9">
        <w:rPr>
          <w:lang w:val="it-IT"/>
        </w:rPr>
        <w:t xml:space="preserve"> di </w:t>
      </w:r>
      <w:r w:rsidR="00A9410F" w:rsidRPr="006A2BF9">
        <w:rPr>
          <w:lang w:val="it-IT"/>
        </w:rPr>
        <w:t>cancro</w:t>
      </w:r>
      <w:r w:rsidR="00B11091" w:rsidRPr="006A2BF9">
        <w:rPr>
          <w:lang w:val="it-IT"/>
        </w:rPr>
        <w:t xml:space="preserve"> epiteliale</w:t>
      </w:r>
      <w:r w:rsidR="00A9410F" w:rsidRPr="006A2BF9">
        <w:rPr>
          <w:lang w:val="it-IT"/>
        </w:rPr>
        <w:t xml:space="preserve"> dell’ovaio</w:t>
      </w:r>
      <w:r w:rsidR="009444B8" w:rsidRPr="006A2BF9">
        <w:rPr>
          <w:lang w:val="it-IT"/>
        </w:rPr>
        <w:t xml:space="preserve">, </w:t>
      </w:r>
      <w:r w:rsidR="00A9410F" w:rsidRPr="006A2BF9">
        <w:rPr>
          <w:lang w:val="it-IT"/>
        </w:rPr>
        <w:t xml:space="preserve">cancro della tuba </w:t>
      </w:r>
      <w:r w:rsidR="009444B8" w:rsidRPr="006A2BF9">
        <w:rPr>
          <w:lang w:val="it-IT"/>
        </w:rPr>
        <w:t xml:space="preserve">di </w:t>
      </w:r>
      <w:r w:rsidR="00522349" w:rsidRPr="006A2BF9">
        <w:rPr>
          <w:lang w:val="it-IT"/>
        </w:rPr>
        <w:t>F</w:t>
      </w:r>
      <w:r w:rsidR="009444B8" w:rsidRPr="006A2BF9">
        <w:rPr>
          <w:lang w:val="it-IT"/>
        </w:rPr>
        <w:t>alloppio</w:t>
      </w:r>
      <w:r w:rsidR="00E14791" w:rsidRPr="006A2BF9">
        <w:rPr>
          <w:lang w:val="it-IT"/>
        </w:rPr>
        <w:t xml:space="preserve"> o ne</w:t>
      </w:r>
      <w:r w:rsidR="006B5DC7" w:rsidRPr="006A2BF9">
        <w:rPr>
          <w:lang w:val="it-IT"/>
        </w:rPr>
        <w:t xml:space="preserve">l </w:t>
      </w:r>
      <w:r w:rsidR="00A9410F" w:rsidRPr="006A2BF9">
        <w:rPr>
          <w:lang w:val="it-IT"/>
        </w:rPr>
        <w:t xml:space="preserve">cancro </w:t>
      </w:r>
      <w:r w:rsidR="006B5DC7" w:rsidRPr="006A2BF9">
        <w:rPr>
          <w:lang w:val="it-IT"/>
        </w:rPr>
        <w:t>peritoneale</w:t>
      </w:r>
      <w:r w:rsidR="009444B8" w:rsidRPr="006A2BF9">
        <w:rPr>
          <w:lang w:val="it-IT"/>
        </w:rPr>
        <w:t xml:space="preserve"> primari</w:t>
      </w:r>
      <w:r w:rsidR="00B11091" w:rsidRPr="006A2BF9">
        <w:rPr>
          <w:lang w:val="it-IT"/>
        </w:rPr>
        <w:t>o</w:t>
      </w:r>
      <w:r w:rsidR="009444B8" w:rsidRPr="006A2BF9">
        <w:rPr>
          <w:lang w:val="it-IT"/>
        </w:rPr>
        <w:t xml:space="preserve">, </w:t>
      </w:r>
      <w:r w:rsidR="00B11091" w:rsidRPr="006A2BF9">
        <w:rPr>
          <w:lang w:val="it-IT"/>
        </w:rPr>
        <w:t>che non avevano</w:t>
      </w:r>
      <w:r w:rsidR="00E14791" w:rsidRPr="006A2BF9">
        <w:rPr>
          <w:lang w:val="it-IT"/>
        </w:rPr>
        <w:t xml:space="preserve"> ricevuto </w:t>
      </w:r>
      <w:r w:rsidR="00A343D3" w:rsidRPr="006A2BF9">
        <w:rPr>
          <w:lang w:val="it-IT"/>
        </w:rPr>
        <w:t xml:space="preserve">una precedente chemioterapia </w:t>
      </w:r>
      <w:r w:rsidRPr="006A2BF9">
        <w:rPr>
          <w:lang w:val="it-IT"/>
        </w:rPr>
        <w:t xml:space="preserve">per la recidiva </w:t>
      </w:r>
      <w:r w:rsidR="00E14791" w:rsidRPr="006A2BF9">
        <w:rPr>
          <w:lang w:val="it-IT"/>
        </w:rPr>
        <w:t xml:space="preserve">o </w:t>
      </w:r>
      <w:r w:rsidR="00A343D3" w:rsidRPr="006A2BF9">
        <w:rPr>
          <w:lang w:val="it-IT"/>
        </w:rPr>
        <w:t xml:space="preserve">un </w:t>
      </w:r>
      <w:r w:rsidR="00E14791" w:rsidRPr="006A2BF9">
        <w:rPr>
          <w:lang w:val="it-IT"/>
        </w:rPr>
        <w:t>precedente trat</w:t>
      </w:r>
      <w:r w:rsidR="009444B8" w:rsidRPr="006A2BF9">
        <w:rPr>
          <w:lang w:val="it-IT"/>
        </w:rPr>
        <w:t>tamento con bevacizumab</w:t>
      </w:r>
      <w:r w:rsidR="00E14791" w:rsidRPr="006A2BF9">
        <w:rPr>
          <w:lang w:val="it-IT"/>
        </w:rPr>
        <w:t>. Lo studi</w:t>
      </w:r>
      <w:r w:rsidR="00F13FA2" w:rsidRPr="006A2BF9">
        <w:rPr>
          <w:lang w:val="it-IT"/>
        </w:rPr>
        <w:t>o ha confrontato l</w:t>
      </w:r>
      <w:r w:rsidR="00047446" w:rsidRPr="006A2BF9">
        <w:rPr>
          <w:lang w:val="it-IT"/>
        </w:rPr>
        <w:t>’</w:t>
      </w:r>
      <w:r w:rsidR="00F13FA2" w:rsidRPr="006A2BF9">
        <w:rPr>
          <w:lang w:val="it-IT"/>
        </w:rPr>
        <w:t>effetto dell’</w:t>
      </w:r>
      <w:r w:rsidR="00E14791" w:rsidRPr="006A2BF9">
        <w:rPr>
          <w:lang w:val="it-IT"/>
        </w:rPr>
        <w:t xml:space="preserve">aggiunta di </w:t>
      </w:r>
      <w:r w:rsidR="00047446" w:rsidRPr="006A2BF9">
        <w:rPr>
          <w:szCs w:val="22"/>
          <w:lang w:val="it-IT"/>
        </w:rPr>
        <w:t>bevacizumab</w:t>
      </w:r>
      <w:r w:rsidR="00047446" w:rsidRPr="006A2BF9" w:rsidDel="00047446">
        <w:rPr>
          <w:lang w:val="it-IT"/>
        </w:rPr>
        <w:t xml:space="preserve"> </w:t>
      </w:r>
      <w:r w:rsidR="00E14791" w:rsidRPr="006A2BF9">
        <w:rPr>
          <w:lang w:val="it-IT"/>
        </w:rPr>
        <w:t xml:space="preserve">alla chemioterapia con carboplatino </w:t>
      </w:r>
      <w:r w:rsidR="00A343D3" w:rsidRPr="006A2BF9">
        <w:rPr>
          <w:lang w:val="it-IT"/>
        </w:rPr>
        <w:t xml:space="preserve">e gemcitabina </w:t>
      </w:r>
      <w:r w:rsidR="00E23A3B" w:rsidRPr="006A2BF9">
        <w:rPr>
          <w:lang w:val="it-IT"/>
        </w:rPr>
        <w:t xml:space="preserve">seguito da uso continuativo di </w:t>
      </w:r>
      <w:r w:rsidR="00047446" w:rsidRPr="006A2BF9">
        <w:rPr>
          <w:szCs w:val="22"/>
          <w:lang w:val="it-IT"/>
        </w:rPr>
        <w:t>bevacizumab</w:t>
      </w:r>
      <w:r w:rsidR="00047446" w:rsidRPr="006A2BF9" w:rsidDel="00047446">
        <w:rPr>
          <w:lang w:val="it-IT"/>
        </w:rPr>
        <w:t xml:space="preserve"> </w:t>
      </w:r>
      <w:r w:rsidR="00E23A3B" w:rsidRPr="006A2BF9">
        <w:rPr>
          <w:lang w:val="it-IT"/>
        </w:rPr>
        <w:t>in monoterapia fino a</w:t>
      </w:r>
      <w:r w:rsidR="008E3703" w:rsidRPr="006A2BF9">
        <w:rPr>
          <w:lang w:val="it-IT"/>
        </w:rPr>
        <w:t>lla</w:t>
      </w:r>
      <w:r w:rsidR="00E14791" w:rsidRPr="006A2BF9">
        <w:rPr>
          <w:lang w:val="it-IT"/>
        </w:rPr>
        <w:t xml:space="preserve"> progressione</w:t>
      </w:r>
      <w:r w:rsidR="008D5C47" w:rsidRPr="006A2BF9">
        <w:rPr>
          <w:lang w:val="it-IT"/>
        </w:rPr>
        <w:t xml:space="preserve"> della malattia</w:t>
      </w:r>
      <w:r w:rsidR="00E14791" w:rsidRPr="006A2BF9">
        <w:rPr>
          <w:lang w:val="it-IT"/>
        </w:rPr>
        <w:t xml:space="preserve">, </w:t>
      </w:r>
      <w:r w:rsidR="00074E1B" w:rsidRPr="006A2BF9">
        <w:rPr>
          <w:lang w:val="it-IT"/>
        </w:rPr>
        <w:t xml:space="preserve">rispetto </w:t>
      </w:r>
      <w:r w:rsidRPr="006A2BF9">
        <w:rPr>
          <w:lang w:val="it-IT"/>
        </w:rPr>
        <w:t xml:space="preserve">alla sola chemioterapia con </w:t>
      </w:r>
      <w:r w:rsidR="0080675B" w:rsidRPr="006A2BF9">
        <w:rPr>
          <w:lang w:val="it-IT"/>
        </w:rPr>
        <w:t>carboplatino e gemcitabina</w:t>
      </w:r>
      <w:r w:rsidR="00E14791" w:rsidRPr="006A2BF9">
        <w:rPr>
          <w:lang w:val="it-IT"/>
        </w:rPr>
        <w:t>.</w:t>
      </w:r>
    </w:p>
    <w:p w14:paraId="5C07B3C6" w14:textId="77777777" w:rsidR="00E14791" w:rsidRPr="006A2BF9" w:rsidRDefault="00E14791" w:rsidP="00E14791">
      <w:pPr>
        <w:keepNext/>
        <w:keepLines/>
        <w:rPr>
          <w:lang w:val="it-IT"/>
        </w:rPr>
      </w:pPr>
    </w:p>
    <w:p w14:paraId="2E8890E4" w14:textId="77777777" w:rsidR="00E14791" w:rsidRPr="006A2BF9" w:rsidRDefault="00074E1B" w:rsidP="00E14791">
      <w:pPr>
        <w:keepNext/>
        <w:keepLines/>
        <w:rPr>
          <w:lang w:val="it-IT"/>
        </w:rPr>
      </w:pPr>
      <w:r w:rsidRPr="006A2BF9">
        <w:rPr>
          <w:lang w:val="it-IT"/>
        </w:rPr>
        <w:t>Sono stat</w:t>
      </w:r>
      <w:r w:rsidR="002F7FE0" w:rsidRPr="006A2BF9">
        <w:rPr>
          <w:lang w:val="it-IT"/>
        </w:rPr>
        <w:t>e</w:t>
      </w:r>
      <w:r w:rsidRPr="006A2BF9">
        <w:rPr>
          <w:lang w:val="it-IT"/>
        </w:rPr>
        <w:t xml:space="preserve"> </w:t>
      </w:r>
      <w:r w:rsidR="002150BE" w:rsidRPr="006A2BF9">
        <w:rPr>
          <w:lang w:val="it-IT"/>
        </w:rPr>
        <w:t xml:space="preserve">incluse </w:t>
      </w:r>
      <w:r w:rsidRPr="006A2BF9">
        <w:rPr>
          <w:lang w:val="it-IT"/>
        </w:rPr>
        <w:t xml:space="preserve">nello studio esclusivamente </w:t>
      </w:r>
      <w:r w:rsidR="00E14791" w:rsidRPr="006A2BF9">
        <w:rPr>
          <w:lang w:val="it-IT"/>
        </w:rPr>
        <w:t xml:space="preserve">pazienti con </w:t>
      </w:r>
      <w:r w:rsidR="00A9410F" w:rsidRPr="006A2BF9">
        <w:rPr>
          <w:lang w:val="it-IT"/>
        </w:rPr>
        <w:t>cancro dell’ovaio</w:t>
      </w:r>
      <w:r w:rsidR="00A1282B" w:rsidRPr="006A2BF9">
        <w:rPr>
          <w:lang w:val="it-IT"/>
        </w:rPr>
        <w:t xml:space="preserve">, </w:t>
      </w:r>
      <w:r w:rsidR="00A9410F" w:rsidRPr="006A2BF9">
        <w:rPr>
          <w:lang w:val="it-IT"/>
        </w:rPr>
        <w:t xml:space="preserve">cancro </w:t>
      </w:r>
      <w:r w:rsidR="00A1282B" w:rsidRPr="006A2BF9">
        <w:rPr>
          <w:lang w:val="it-IT"/>
        </w:rPr>
        <w:t xml:space="preserve">primario peritoneale o </w:t>
      </w:r>
      <w:r w:rsidR="00A9410F" w:rsidRPr="006A2BF9">
        <w:rPr>
          <w:lang w:val="it-IT"/>
        </w:rPr>
        <w:t xml:space="preserve">cancro della tuba </w:t>
      </w:r>
      <w:r w:rsidR="00A1282B" w:rsidRPr="006A2BF9">
        <w:rPr>
          <w:lang w:val="it-IT"/>
        </w:rPr>
        <w:t xml:space="preserve">di </w:t>
      </w:r>
      <w:r w:rsidR="00CF262D" w:rsidRPr="006A2BF9">
        <w:rPr>
          <w:lang w:val="it-IT"/>
        </w:rPr>
        <w:t>Fal</w:t>
      </w:r>
      <w:r w:rsidR="00054860" w:rsidRPr="006A2BF9">
        <w:rPr>
          <w:lang w:val="it-IT"/>
        </w:rPr>
        <w:t>l</w:t>
      </w:r>
      <w:r w:rsidR="00CF262D" w:rsidRPr="006A2BF9">
        <w:rPr>
          <w:lang w:val="it-IT"/>
        </w:rPr>
        <w:t>oppio</w:t>
      </w:r>
      <w:r w:rsidR="00A1282B" w:rsidRPr="006A2BF9">
        <w:rPr>
          <w:lang w:val="it-IT"/>
        </w:rPr>
        <w:t xml:space="preserve"> istologicamente documentato</w:t>
      </w:r>
      <w:r w:rsidRPr="006A2BF9">
        <w:rPr>
          <w:lang w:val="it-IT"/>
        </w:rPr>
        <w:t xml:space="preserve"> </w:t>
      </w:r>
      <w:r w:rsidR="00250C7E" w:rsidRPr="006A2BF9">
        <w:rPr>
          <w:lang w:val="it-IT"/>
        </w:rPr>
        <w:t xml:space="preserve">in recidiva </w:t>
      </w:r>
      <w:r w:rsidR="00A1282B" w:rsidRPr="006A2BF9">
        <w:rPr>
          <w:lang w:val="it-IT"/>
        </w:rPr>
        <w:t>dopo</w:t>
      </w:r>
      <w:r w:rsidR="008D5C47" w:rsidRPr="006A2BF9">
        <w:rPr>
          <w:lang w:val="it-IT"/>
        </w:rPr>
        <w:t xml:space="preserve"> </w:t>
      </w:r>
      <w:r w:rsidR="00250C7E" w:rsidRPr="006A2BF9">
        <w:rPr>
          <w:lang w:val="it-IT"/>
        </w:rPr>
        <w:t xml:space="preserve">almeno </w:t>
      </w:r>
      <w:r w:rsidR="00E14791" w:rsidRPr="006A2BF9">
        <w:rPr>
          <w:lang w:val="it-IT"/>
        </w:rPr>
        <w:t xml:space="preserve">6 mesi </w:t>
      </w:r>
      <w:r w:rsidR="00A1282B" w:rsidRPr="006A2BF9">
        <w:rPr>
          <w:lang w:val="it-IT"/>
        </w:rPr>
        <w:t>d</w:t>
      </w:r>
      <w:r w:rsidR="00250C7E" w:rsidRPr="006A2BF9">
        <w:rPr>
          <w:lang w:val="it-IT"/>
        </w:rPr>
        <w:t xml:space="preserve">al termine </w:t>
      </w:r>
      <w:r w:rsidRPr="006A2BF9">
        <w:rPr>
          <w:lang w:val="it-IT"/>
        </w:rPr>
        <w:t>di</w:t>
      </w:r>
      <w:r w:rsidR="00250C7E" w:rsidRPr="006A2BF9">
        <w:rPr>
          <w:lang w:val="it-IT"/>
        </w:rPr>
        <w:t xml:space="preserve"> una </w:t>
      </w:r>
      <w:r w:rsidR="00E14791" w:rsidRPr="006A2BF9">
        <w:rPr>
          <w:lang w:val="it-IT"/>
        </w:rPr>
        <w:t xml:space="preserve">chemioterapia a base di platino e che non avevano ricevuto chemioterapia </w:t>
      </w:r>
      <w:r w:rsidR="00250C7E" w:rsidRPr="006A2BF9">
        <w:rPr>
          <w:lang w:val="it-IT"/>
        </w:rPr>
        <w:t xml:space="preserve">per la recidiva </w:t>
      </w:r>
      <w:r w:rsidR="004C3C77" w:rsidRPr="006A2BF9">
        <w:rPr>
          <w:lang w:val="it-IT"/>
        </w:rPr>
        <w:t>né</w:t>
      </w:r>
      <w:r w:rsidR="00E14791" w:rsidRPr="006A2BF9">
        <w:rPr>
          <w:lang w:val="it-IT"/>
        </w:rPr>
        <w:t xml:space="preserve"> una precedente terapia con</w:t>
      </w:r>
      <w:r w:rsidR="00A1282B" w:rsidRPr="006A2BF9">
        <w:rPr>
          <w:lang w:val="it-IT"/>
        </w:rPr>
        <w:t xml:space="preserve"> bevacizumab o altri</w:t>
      </w:r>
      <w:r w:rsidR="00E14791" w:rsidRPr="006A2BF9">
        <w:rPr>
          <w:lang w:val="it-IT"/>
        </w:rPr>
        <w:t xml:space="preserve"> inibitori di VEGF o </w:t>
      </w:r>
      <w:r w:rsidR="00A1282B" w:rsidRPr="006A2BF9">
        <w:rPr>
          <w:lang w:val="it-IT"/>
        </w:rPr>
        <w:t>altri</w:t>
      </w:r>
      <w:r w:rsidR="00E14791" w:rsidRPr="006A2BF9">
        <w:rPr>
          <w:lang w:val="it-IT"/>
        </w:rPr>
        <w:t xml:space="preserve"> agenti</w:t>
      </w:r>
      <w:r w:rsidR="00A1282B" w:rsidRPr="006A2BF9">
        <w:rPr>
          <w:lang w:val="it-IT"/>
        </w:rPr>
        <w:t xml:space="preserve"> mirati al recettore VEGF</w:t>
      </w:r>
      <w:r w:rsidR="00E14791" w:rsidRPr="006A2BF9">
        <w:rPr>
          <w:lang w:val="it-IT"/>
        </w:rPr>
        <w:t>.</w:t>
      </w:r>
    </w:p>
    <w:p w14:paraId="482B4C20" w14:textId="77777777" w:rsidR="00E14791" w:rsidRPr="006A2BF9" w:rsidRDefault="00E14791" w:rsidP="00E14791">
      <w:pPr>
        <w:keepNext/>
        <w:keepLines/>
        <w:rPr>
          <w:lang w:val="it-IT"/>
        </w:rPr>
      </w:pPr>
    </w:p>
    <w:p w14:paraId="40144489" w14:textId="77777777" w:rsidR="00E14791" w:rsidRPr="006A2BF9" w:rsidRDefault="00E14791" w:rsidP="00E14791">
      <w:pPr>
        <w:keepNext/>
        <w:keepLines/>
        <w:rPr>
          <w:lang w:val="it-IT"/>
        </w:rPr>
      </w:pPr>
      <w:r w:rsidRPr="006A2BF9">
        <w:rPr>
          <w:lang w:val="it-IT"/>
        </w:rPr>
        <w:t xml:space="preserve"> Un totale di 484</w:t>
      </w:r>
      <w:r w:rsidR="00993D6F" w:rsidRPr="006A2BF9">
        <w:rPr>
          <w:lang w:val="it-IT"/>
        </w:rPr>
        <w:t> </w:t>
      </w:r>
      <w:r w:rsidRPr="006A2BF9">
        <w:rPr>
          <w:lang w:val="it-IT"/>
        </w:rPr>
        <w:t xml:space="preserve">pazienti con malattia misurabile sono </w:t>
      </w:r>
      <w:r w:rsidR="002F7FE0" w:rsidRPr="006A2BF9">
        <w:rPr>
          <w:lang w:val="it-IT"/>
        </w:rPr>
        <w:t>state randomizzate</w:t>
      </w:r>
      <w:r w:rsidR="00047446" w:rsidRPr="006A2BF9">
        <w:rPr>
          <w:lang w:val="it-IT"/>
        </w:rPr>
        <w:t> </w:t>
      </w:r>
      <w:r w:rsidRPr="006A2BF9">
        <w:rPr>
          <w:lang w:val="it-IT"/>
        </w:rPr>
        <w:t>1:1</w:t>
      </w:r>
      <w:r w:rsidR="008E7C7B" w:rsidRPr="006A2BF9">
        <w:rPr>
          <w:lang w:val="it-IT"/>
        </w:rPr>
        <w:t xml:space="preserve"> </w:t>
      </w:r>
      <w:r w:rsidR="00E14086" w:rsidRPr="006A2BF9">
        <w:rPr>
          <w:lang w:val="it-IT"/>
        </w:rPr>
        <w:t>a</w:t>
      </w:r>
      <w:r w:rsidRPr="006A2BF9">
        <w:rPr>
          <w:lang w:val="it-IT"/>
        </w:rPr>
        <w:t>:</w:t>
      </w:r>
    </w:p>
    <w:p w14:paraId="64961E99" w14:textId="77777777" w:rsidR="00E14791" w:rsidRPr="006A2BF9" w:rsidRDefault="00E14791" w:rsidP="00C65E97">
      <w:pPr>
        <w:keepNext/>
        <w:keepLines/>
        <w:numPr>
          <w:ilvl w:val="0"/>
          <w:numId w:val="68"/>
        </w:numPr>
        <w:ind w:left="567" w:hanging="567"/>
        <w:rPr>
          <w:lang w:val="it-IT"/>
        </w:rPr>
      </w:pPr>
      <w:r w:rsidRPr="006A2BF9">
        <w:rPr>
          <w:lang w:val="it-IT"/>
        </w:rPr>
        <w:t xml:space="preserve">carboplatino (AUC4, </w:t>
      </w:r>
      <w:r w:rsidR="00ED451F" w:rsidRPr="006A2BF9">
        <w:rPr>
          <w:lang w:val="it-IT"/>
        </w:rPr>
        <w:t>giorno</w:t>
      </w:r>
      <w:r w:rsidR="00047446" w:rsidRPr="006A2BF9">
        <w:rPr>
          <w:lang w:val="it-IT"/>
        </w:rPr>
        <w:t> </w:t>
      </w:r>
      <w:r w:rsidR="00ED451F" w:rsidRPr="006A2BF9">
        <w:rPr>
          <w:lang w:val="it-IT"/>
        </w:rPr>
        <w:t>1) e gemcitabina (1000</w:t>
      </w:r>
      <w:r w:rsidR="00047446" w:rsidRPr="006A2BF9">
        <w:rPr>
          <w:lang w:val="it-IT"/>
        </w:rPr>
        <w:t> </w:t>
      </w:r>
      <w:r w:rsidRPr="006A2BF9">
        <w:rPr>
          <w:lang w:val="it-IT"/>
        </w:rPr>
        <w:t>mg/m</w:t>
      </w:r>
      <w:r w:rsidRPr="006A2BF9">
        <w:rPr>
          <w:vertAlign w:val="superscript"/>
          <w:lang w:val="it-IT"/>
        </w:rPr>
        <w:t>2</w:t>
      </w:r>
      <w:r w:rsidRPr="006A2BF9">
        <w:rPr>
          <w:lang w:val="it-IT"/>
        </w:rPr>
        <w:t xml:space="preserve"> nei giorni</w:t>
      </w:r>
      <w:r w:rsidR="00047446" w:rsidRPr="006A2BF9">
        <w:rPr>
          <w:lang w:val="it-IT"/>
        </w:rPr>
        <w:t> </w:t>
      </w:r>
      <w:r w:rsidRPr="006A2BF9">
        <w:rPr>
          <w:lang w:val="it-IT"/>
        </w:rPr>
        <w:t>1 e 8) e placebo conc</w:t>
      </w:r>
      <w:r w:rsidR="00F13FA2" w:rsidRPr="006A2BF9">
        <w:rPr>
          <w:lang w:val="it-IT"/>
        </w:rPr>
        <w:t>omitante ogni 3</w:t>
      </w:r>
      <w:r w:rsidR="00047446" w:rsidRPr="006A2BF9">
        <w:rPr>
          <w:lang w:val="it-IT"/>
        </w:rPr>
        <w:t> </w:t>
      </w:r>
      <w:r w:rsidR="00F13FA2" w:rsidRPr="006A2BF9">
        <w:rPr>
          <w:lang w:val="it-IT"/>
        </w:rPr>
        <w:t>settimane per 6</w:t>
      </w:r>
      <w:r w:rsidR="00047446" w:rsidRPr="006A2BF9">
        <w:rPr>
          <w:lang w:val="it-IT"/>
        </w:rPr>
        <w:t> </w:t>
      </w:r>
      <w:r w:rsidR="00C932DA" w:rsidRPr="006A2BF9">
        <w:rPr>
          <w:lang w:val="it-IT"/>
        </w:rPr>
        <w:t xml:space="preserve">cicli </w:t>
      </w:r>
      <w:r w:rsidR="006B5DC7" w:rsidRPr="006A2BF9">
        <w:rPr>
          <w:lang w:val="it-IT"/>
        </w:rPr>
        <w:t xml:space="preserve">e fino a </w:t>
      </w:r>
      <w:r w:rsidRPr="006A2BF9">
        <w:rPr>
          <w:lang w:val="it-IT"/>
        </w:rPr>
        <w:t>10</w:t>
      </w:r>
      <w:r w:rsidR="00047446" w:rsidRPr="006A2BF9">
        <w:rPr>
          <w:lang w:val="it-IT"/>
        </w:rPr>
        <w:t> </w:t>
      </w:r>
      <w:r w:rsidRPr="006A2BF9">
        <w:rPr>
          <w:lang w:val="it-IT"/>
        </w:rPr>
        <w:t>cicli seguiti da solo placebo</w:t>
      </w:r>
      <w:r w:rsidR="00CA2B90" w:rsidRPr="006A2BF9">
        <w:rPr>
          <w:lang w:val="it-IT"/>
        </w:rPr>
        <w:t xml:space="preserve"> (ogni 3</w:t>
      </w:r>
      <w:r w:rsidR="00047446" w:rsidRPr="006A2BF9">
        <w:rPr>
          <w:lang w:val="it-IT"/>
        </w:rPr>
        <w:t> </w:t>
      </w:r>
      <w:r w:rsidR="00CA2B90" w:rsidRPr="006A2BF9">
        <w:rPr>
          <w:lang w:val="it-IT"/>
        </w:rPr>
        <w:t>settimane)</w:t>
      </w:r>
      <w:r w:rsidRPr="006A2BF9">
        <w:rPr>
          <w:lang w:val="it-IT"/>
        </w:rPr>
        <w:t xml:space="preserve"> fino a</w:t>
      </w:r>
      <w:r w:rsidR="008122C2" w:rsidRPr="006A2BF9">
        <w:rPr>
          <w:lang w:val="it-IT"/>
        </w:rPr>
        <w:t>lla</w:t>
      </w:r>
      <w:r w:rsidRPr="006A2BF9">
        <w:rPr>
          <w:lang w:val="it-IT"/>
        </w:rPr>
        <w:t xml:space="preserve"> progressione della malattia o tossicità inaccettabile</w:t>
      </w:r>
    </w:p>
    <w:p w14:paraId="6E20C3D2" w14:textId="77777777" w:rsidR="00E14791" w:rsidRPr="006A2BF9" w:rsidRDefault="006144AC" w:rsidP="00C65E97">
      <w:pPr>
        <w:numPr>
          <w:ilvl w:val="0"/>
          <w:numId w:val="68"/>
        </w:numPr>
        <w:ind w:left="567" w:hanging="567"/>
        <w:rPr>
          <w:lang w:val="it-IT"/>
        </w:rPr>
      </w:pPr>
      <w:r w:rsidRPr="006A2BF9">
        <w:rPr>
          <w:lang w:val="it-IT"/>
        </w:rPr>
        <w:t>carboplatino (AUC4,</w:t>
      </w:r>
      <w:r w:rsidR="00E14791" w:rsidRPr="006A2BF9">
        <w:rPr>
          <w:lang w:val="it-IT"/>
        </w:rPr>
        <w:t xml:space="preserve"> g</w:t>
      </w:r>
      <w:r w:rsidRPr="006A2BF9">
        <w:rPr>
          <w:lang w:val="it-IT"/>
        </w:rPr>
        <w:t>iorno</w:t>
      </w:r>
      <w:r w:rsidR="00047446" w:rsidRPr="006A2BF9">
        <w:rPr>
          <w:lang w:val="it-IT"/>
        </w:rPr>
        <w:t> </w:t>
      </w:r>
      <w:r w:rsidRPr="006A2BF9">
        <w:rPr>
          <w:lang w:val="it-IT"/>
        </w:rPr>
        <w:t>1) e gemcitabina (1000</w:t>
      </w:r>
      <w:r w:rsidR="00047446" w:rsidRPr="006A2BF9">
        <w:rPr>
          <w:lang w:val="it-IT"/>
        </w:rPr>
        <w:t> </w:t>
      </w:r>
      <w:r w:rsidR="00E14791" w:rsidRPr="006A2BF9">
        <w:rPr>
          <w:lang w:val="it-IT"/>
        </w:rPr>
        <w:t>mg/m</w:t>
      </w:r>
      <w:r w:rsidR="00E14791" w:rsidRPr="006A2BF9">
        <w:rPr>
          <w:vertAlign w:val="superscript"/>
          <w:lang w:val="it-IT"/>
        </w:rPr>
        <w:t>2</w:t>
      </w:r>
      <w:r w:rsidRPr="006A2BF9">
        <w:rPr>
          <w:lang w:val="it-IT"/>
        </w:rPr>
        <w:t xml:space="preserve"> nei</w:t>
      </w:r>
      <w:r w:rsidR="00E14791" w:rsidRPr="006A2BF9">
        <w:rPr>
          <w:lang w:val="it-IT"/>
        </w:rPr>
        <w:t xml:space="preserve"> giorni</w:t>
      </w:r>
      <w:r w:rsidR="00047446" w:rsidRPr="006A2BF9">
        <w:rPr>
          <w:lang w:val="it-IT"/>
        </w:rPr>
        <w:t> </w:t>
      </w:r>
      <w:r w:rsidR="00E14791" w:rsidRPr="006A2BF9">
        <w:rPr>
          <w:lang w:val="it-IT"/>
        </w:rPr>
        <w:t>1 e 8</w:t>
      </w:r>
      <w:r w:rsidRPr="006A2BF9">
        <w:rPr>
          <w:lang w:val="it-IT"/>
        </w:rPr>
        <w:t xml:space="preserve">) e concomitante </w:t>
      </w:r>
      <w:r w:rsidR="00047446" w:rsidRPr="006A2BF9">
        <w:rPr>
          <w:szCs w:val="22"/>
          <w:lang w:val="it-IT"/>
        </w:rPr>
        <w:t>bevacizumab</w:t>
      </w:r>
      <w:r w:rsidR="00047446" w:rsidRPr="006A2BF9" w:rsidDel="00047446">
        <w:rPr>
          <w:lang w:val="it-IT"/>
        </w:rPr>
        <w:t xml:space="preserve"> </w:t>
      </w:r>
      <w:r w:rsidRPr="006A2BF9">
        <w:rPr>
          <w:lang w:val="it-IT"/>
        </w:rPr>
        <w:t>(15</w:t>
      </w:r>
      <w:r w:rsidR="00047446" w:rsidRPr="006A2BF9">
        <w:rPr>
          <w:lang w:val="it-IT"/>
        </w:rPr>
        <w:t> </w:t>
      </w:r>
      <w:r w:rsidRPr="006A2BF9">
        <w:rPr>
          <w:lang w:val="it-IT"/>
        </w:rPr>
        <w:t xml:space="preserve">mg/kg al </w:t>
      </w:r>
      <w:r w:rsidR="00E14791" w:rsidRPr="006A2BF9">
        <w:rPr>
          <w:lang w:val="it-IT"/>
        </w:rPr>
        <w:t>giorno</w:t>
      </w:r>
      <w:r w:rsidR="004E42B7" w:rsidRPr="006A2BF9">
        <w:rPr>
          <w:lang w:val="it-IT"/>
        </w:rPr>
        <w:t> </w:t>
      </w:r>
      <w:r w:rsidRPr="006A2BF9">
        <w:rPr>
          <w:lang w:val="it-IT"/>
        </w:rPr>
        <w:t>1</w:t>
      </w:r>
      <w:r w:rsidR="00E14791" w:rsidRPr="006A2BF9">
        <w:rPr>
          <w:lang w:val="it-IT"/>
        </w:rPr>
        <w:t>) ogni 3</w:t>
      </w:r>
      <w:r w:rsidR="00047446" w:rsidRPr="006A2BF9">
        <w:rPr>
          <w:lang w:val="it-IT"/>
        </w:rPr>
        <w:t> </w:t>
      </w:r>
      <w:r w:rsidR="00E14791" w:rsidRPr="006A2BF9">
        <w:rPr>
          <w:lang w:val="it-IT"/>
        </w:rPr>
        <w:t>settimane per 6</w:t>
      </w:r>
      <w:r w:rsidR="00047446" w:rsidRPr="006A2BF9">
        <w:rPr>
          <w:lang w:val="it-IT"/>
        </w:rPr>
        <w:t> </w:t>
      </w:r>
      <w:r w:rsidR="00C932DA" w:rsidRPr="006A2BF9">
        <w:rPr>
          <w:lang w:val="it-IT"/>
        </w:rPr>
        <w:t xml:space="preserve">cicli </w:t>
      </w:r>
      <w:r w:rsidR="006B5DC7" w:rsidRPr="006A2BF9">
        <w:rPr>
          <w:lang w:val="it-IT"/>
        </w:rPr>
        <w:t xml:space="preserve">e fino a </w:t>
      </w:r>
      <w:r w:rsidR="0080675B" w:rsidRPr="006A2BF9">
        <w:rPr>
          <w:lang w:val="it-IT"/>
        </w:rPr>
        <w:t>10</w:t>
      </w:r>
      <w:r w:rsidR="00047446" w:rsidRPr="006A2BF9">
        <w:rPr>
          <w:lang w:val="it-IT"/>
        </w:rPr>
        <w:t> </w:t>
      </w:r>
      <w:r w:rsidRPr="006A2BF9">
        <w:rPr>
          <w:lang w:val="it-IT"/>
        </w:rPr>
        <w:t xml:space="preserve">cicli </w:t>
      </w:r>
      <w:r w:rsidR="0080675B" w:rsidRPr="006A2BF9">
        <w:rPr>
          <w:lang w:val="it-IT"/>
        </w:rPr>
        <w:t xml:space="preserve">seguiti da </w:t>
      </w:r>
      <w:r w:rsidR="00047446" w:rsidRPr="006A2BF9">
        <w:rPr>
          <w:szCs w:val="22"/>
          <w:lang w:val="it-IT"/>
        </w:rPr>
        <w:t xml:space="preserve">bevacizumab </w:t>
      </w:r>
      <w:r w:rsidR="0080675B" w:rsidRPr="006A2BF9">
        <w:rPr>
          <w:lang w:val="it-IT"/>
        </w:rPr>
        <w:t>(15</w:t>
      </w:r>
      <w:r w:rsidR="00047446" w:rsidRPr="006A2BF9">
        <w:rPr>
          <w:lang w:val="it-IT"/>
        </w:rPr>
        <w:t> </w:t>
      </w:r>
      <w:r w:rsidR="00D86A70" w:rsidRPr="006A2BF9">
        <w:rPr>
          <w:lang w:val="it-IT"/>
        </w:rPr>
        <w:t>mg/k</w:t>
      </w:r>
      <w:r w:rsidR="0080675B" w:rsidRPr="006A2BF9">
        <w:rPr>
          <w:lang w:val="it-IT"/>
        </w:rPr>
        <w:t>g ogni 3</w:t>
      </w:r>
      <w:r w:rsidR="00047446" w:rsidRPr="006A2BF9">
        <w:rPr>
          <w:lang w:val="it-IT"/>
        </w:rPr>
        <w:t> </w:t>
      </w:r>
      <w:r w:rsidR="0080675B" w:rsidRPr="006A2BF9">
        <w:rPr>
          <w:lang w:val="it-IT"/>
        </w:rPr>
        <w:t xml:space="preserve">settimane) in monoterapia fino </w:t>
      </w:r>
      <w:r w:rsidR="00E14791" w:rsidRPr="006A2BF9">
        <w:rPr>
          <w:lang w:val="it-IT"/>
        </w:rPr>
        <w:t>a</w:t>
      </w:r>
      <w:r w:rsidR="008122C2" w:rsidRPr="006A2BF9">
        <w:rPr>
          <w:lang w:val="it-IT"/>
        </w:rPr>
        <w:t>lla</w:t>
      </w:r>
      <w:r w:rsidR="00E14791" w:rsidRPr="006A2BF9">
        <w:rPr>
          <w:lang w:val="it-IT"/>
        </w:rPr>
        <w:t xml:space="preserve"> progressione della malattia o tossicità inaccettabile</w:t>
      </w:r>
      <w:r w:rsidR="00CA2B90" w:rsidRPr="006A2BF9">
        <w:rPr>
          <w:lang w:val="it-IT"/>
        </w:rPr>
        <w:t>.</w:t>
      </w:r>
    </w:p>
    <w:p w14:paraId="7A05533C" w14:textId="77777777" w:rsidR="00E14791" w:rsidRPr="006A2BF9" w:rsidRDefault="00E14791" w:rsidP="00CF0780">
      <w:pPr>
        <w:rPr>
          <w:lang w:val="it-IT"/>
        </w:rPr>
      </w:pPr>
    </w:p>
    <w:p w14:paraId="3957200E" w14:textId="77777777" w:rsidR="00E14791" w:rsidRPr="006A2BF9" w:rsidRDefault="00340523" w:rsidP="00CF0780">
      <w:pPr>
        <w:rPr>
          <w:lang w:val="it-IT"/>
        </w:rPr>
      </w:pPr>
      <w:r w:rsidRPr="006A2BF9">
        <w:rPr>
          <w:lang w:val="it-IT"/>
        </w:rPr>
        <w:t>L’</w:t>
      </w:r>
      <w:r w:rsidRPr="006A2BF9">
        <w:rPr>
          <w:i/>
          <w:lang w:val="it-IT"/>
        </w:rPr>
        <w:t>endpoint</w:t>
      </w:r>
      <w:r w:rsidRPr="006A2BF9">
        <w:rPr>
          <w:lang w:val="it-IT"/>
        </w:rPr>
        <w:t xml:space="preserve"> </w:t>
      </w:r>
      <w:r w:rsidR="003B1922" w:rsidRPr="006A2BF9">
        <w:rPr>
          <w:lang w:val="it-IT"/>
        </w:rPr>
        <w:t>primario</w:t>
      </w:r>
      <w:r w:rsidR="00E14791" w:rsidRPr="006A2BF9">
        <w:rPr>
          <w:lang w:val="it-IT"/>
        </w:rPr>
        <w:t xml:space="preserve"> </w:t>
      </w:r>
      <w:r w:rsidR="006144AC" w:rsidRPr="006A2BF9">
        <w:rPr>
          <w:lang w:val="it-IT"/>
        </w:rPr>
        <w:t xml:space="preserve">era </w:t>
      </w:r>
      <w:r w:rsidR="00E14791" w:rsidRPr="006A2BF9">
        <w:rPr>
          <w:lang w:val="it-IT"/>
        </w:rPr>
        <w:t xml:space="preserve">la </w:t>
      </w:r>
      <w:r w:rsidR="00062D61">
        <w:rPr>
          <w:lang w:val="it-IT"/>
        </w:rPr>
        <w:t>PFS</w:t>
      </w:r>
      <w:r w:rsidR="003B1922" w:rsidRPr="006A2BF9">
        <w:rPr>
          <w:lang w:val="it-IT"/>
        </w:rPr>
        <w:t xml:space="preserve"> basata sulla valutazione dello</w:t>
      </w:r>
      <w:r w:rsidR="00E14791" w:rsidRPr="006A2BF9">
        <w:rPr>
          <w:lang w:val="it-IT"/>
        </w:rPr>
        <w:t xml:space="preserve"> </w:t>
      </w:r>
      <w:r w:rsidR="003B1922" w:rsidRPr="006A2BF9">
        <w:rPr>
          <w:lang w:val="it-IT"/>
        </w:rPr>
        <w:t>sperimentatore</w:t>
      </w:r>
      <w:r w:rsidR="00E14791" w:rsidRPr="006A2BF9">
        <w:rPr>
          <w:lang w:val="it-IT"/>
        </w:rPr>
        <w:t xml:space="preserve"> con RECIST</w:t>
      </w:r>
      <w:r w:rsidR="006E7957" w:rsidRPr="006A2BF9">
        <w:rPr>
          <w:lang w:val="it-IT"/>
        </w:rPr>
        <w:t xml:space="preserve"> 1.0</w:t>
      </w:r>
      <w:r w:rsidRPr="006A2BF9">
        <w:rPr>
          <w:lang w:val="it-IT"/>
        </w:rPr>
        <w:t xml:space="preserve"> modificato</w:t>
      </w:r>
      <w:r w:rsidR="00E14791" w:rsidRPr="006A2BF9">
        <w:rPr>
          <w:lang w:val="it-IT"/>
        </w:rPr>
        <w:t xml:space="preserve">. Ulteriori </w:t>
      </w:r>
      <w:r w:rsidRPr="006A2BF9">
        <w:rPr>
          <w:i/>
          <w:lang w:val="it-IT"/>
        </w:rPr>
        <w:t xml:space="preserve">endpoint </w:t>
      </w:r>
      <w:r w:rsidR="00E14791" w:rsidRPr="006A2BF9">
        <w:rPr>
          <w:lang w:val="it-IT"/>
        </w:rPr>
        <w:t>com</w:t>
      </w:r>
      <w:r w:rsidR="00CA2B90" w:rsidRPr="006A2BF9">
        <w:rPr>
          <w:lang w:val="it-IT"/>
        </w:rPr>
        <w:t>prendevano la risposta oggettiva</w:t>
      </w:r>
      <w:r w:rsidR="00E14791" w:rsidRPr="006A2BF9">
        <w:rPr>
          <w:lang w:val="it-IT"/>
        </w:rPr>
        <w:t xml:space="preserve">, la durata della risposta, la </w:t>
      </w:r>
      <w:r w:rsidR="00062D61">
        <w:rPr>
          <w:lang w:val="it-IT"/>
        </w:rPr>
        <w:t>OS</w:t>
      </w:r>
      <w:r w:rsidR="00E14791" w:rsidRPr="006A2BF9">
        <w:rPr>
          <w:lang w:val="it-IT"/>
        </w:rPr>
        <w:t xml:space="preserve"> e la sicurezza. </w:t>
      </w:r>
      <w:r w:rsidRPr="006A2BF9">
        <w:rPr>
          <w:lang w:val="it-IT"/>
        </w:rPr>
        <w:t>È</w:t>
      </w:r>
      <w:r w:rsidR="003B1922" w:rsidRPr="006A2BF9">
        <w:rPr>
          <w:lang w:val="it-IT"/>
        </w:rPr>
        <w:t xml:space="preserve"> stata condotta anche una revisione indipendente dell’</w:t>
      </w:r>
      <w:r w:rsidRPr="006A2BF9">
        <w:rPr>
          <w:i/>
          <w:lang w:val="it-IT"/>
        </w:rPr>
        <w:t>endpoint</w:t>
      </w:r>
      <w:r w:rsidRPr="006A2BF9" w:rsidDel="00340523">
        <w:rPr>
          <w:lang w:val="it-IT"/>
        </w:rPr>
        <w:t xml:space="preserve"> </w:t>
      </w:r>
      <w:r w:rsidR="003B1922" w:rsidRPr="006A2BF9">
        <w:rPr>
          <w:lang w:val="it-IT"/>
        </w:rPr>
        <w:t>primario.</w:t>
      </w:r>
    </w:p>
    <w:p w14:paraId="5E758B48" w14:textId="77777777" w:rsidR="00E14791" w:rsidRPr="006A2BF9" w:rsidRDefault="00E14791" w:rsidP="00CF0780">
      <w:pPr>
        <w:rPr>
          <w:lang w:val="it-IT"/>
        </w:rPr>
      </w:pPr>
    </w:p>
    <w:p w14:paraId="5E6D2CF6" w14:textId="77777777" w:rsidR="005B74F0" w:rsidRPr="006A2BF9" w:rsidRDefault="00E14791" w:rsidP="00CF0780">
      <w:pPr>
        <w:rPr>
          <w:lang w:val="it-IT"/>
        </w:rPr>
      </w:pPr>
      <w:r w:rsidRPr="006A2BF9">
        <w:rPr>
          <w:lang w:val="it-IT"/>
        </w:rPr>
        <w:t xml:space="preserve">I risultati di questo studio sono riassunti nella </w:t>
      </w:r>
      <w:r w:rsidR="00340523" w:rsidRPr="006A2BF9">
        <w:rPr>
          <w:lang w:val="it-IT"/>
        </w:rPr>
        <w:t>t</w:t>
      </w:r>
      <w:r w:rsidRPr="006A2BF9">
        <w:rPr>
          <w:lang w:val="it-IT"/>
        </w:rPr>
        <w:t>abella</w:t>
      </w:r>
      <w:r w:rsidR="00047446" w:rsidRPr="006A2BF9">
        <w:rPr>
          <w:lang w:val="it-IT"/>
        </w:rPr>
        <w:t> </w:t>
      </w:r>
      <w:r w:rsidR="00BB195D" w:rsidRPr="006A2BF9">
        <w:rPr>
          <w:lang w:val="it-IT"/>
        </w:rPr>
        <w:t>20</w:t>
      </w:r>
      <w:r w:rsidRPr="006A2BF9">
        <w:rPr>
          <w:lang w:val="it-IT"/>
        </w:rPr>
        <w:t>.</w:t>
      </w:r>
    </w:p>
    <w:p w14:paraId="1D62B11C" w14:textId="77777777" w:rsidR="006B5DC7" w:rsidRPr="006A2BF9" w:rsidRDefault="006B5DC7" w:rsidP="00CF0780">
      <w:pPr>
        <w:rPr>
          <w:lang w:val="it-IT"/>
        </w:rPr>
      </w:pPr>
    </w:p>
    <w:p w14:paraId="6E314D8B" w14:textId="77777777" w:rsidR="006B5DC7" w:rsidRPr="006A2BF9" w:rsidRDefault="008E7C7B" w:rsidP="00CF0780">
      <w:pPr>
        <w:keepNext/>
        <w:keepLines/>
        <w:rPr>
          <w:b/>
          <w:lang w:val="it-IT"/>
        </w:rPr>
      </w:pPr>
      <w:r w:rsidRPr="006A2BF9">
        <w:rPr>
          <w:b/>
          <w:lang w:val="it-IT"/>
        </w:rPr>
        <w:lastRenderedPageBreak/>
        <w:t>Tabella</w:t>
      </w:r>
      <w:r w:rsidR="000C7E46" w:rsidRPr="006A2BF9">
        <w:rPr>
          <w:b/>
          <w:lang w:val="it-IT"/>
        </w:rPr>
        <w:t xml:space="preserve"> </w:t>
      </w:r>
      <w:r w:rsidR="00BB195D" w:rsidRPr="006A2BF9">
        <w:rPr>
          <w:b/>
          <w:lang w:val="it-IT"/>
        </w:rPr>
        <w:t>20</w:t>
      </w:r>
      <w:r w:rsidRPr="006A2BF9">
        <w:rPr>
          <w:b/>
          <w:lang w:val="it-IT"/>
        </w:rPr>
        <w:t xml:space="preserve"> Risultati </w:t>
      </w:r>
      <w:r w:rsidR="00340523" w:rsidRPr="006A2BF9">
        <w:rPr>
          <w:b/>
          <w:lang w:val="it-IT"/>
        </w:rPr>
        <w:t xml:space="preserve">di </w:t>
      </w:r>
      <w:r w:rsidRPr="006A2BF9">
        <w:rPr>
          <w:b/>
          <w:lang w:val="it-IT"/>
        </w:rPr>
        <w:t xml:space="preserve">efficacia emersi dallo studio </w:t>
      </w:r>
      <w:r w:rsidR="006B5DC7" w:rsidRPr="006A2BF9">
        <w:rPr>
          <w:b/>
          <w:lang w:val="it-IT"/>
        </w:rPr>
        <w:t>AVF4095</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1610"/>
        <w:gridCol w:w="1861"/>
        <w:gridCol w:w="324"/>
        <w:gridCol w:w="1128"/>
        <w:gridCol w:w="36"/>
        <w:gridCol w:w="1861"/>
      </w:tblGrid>
      <w:tr w:rsidR="006B5DC7" w:rsidRPr="006A2BF9" w14:paraId="59725E08" w14:textId="77777777" w:rsidTr="006B5DC7">
        <w:trPr>
          <w:cantSplit/>
          <w:trHeight w:val="22"/>
        </w:trPr>
        <w:tc>
          <w:tcPr>
            <w:tcW w:w="5000" w:type="pct"/>
            <w:gridSpan w:val="7"/>
          </w:tcPr>
          <w:p w14:paraId="7478CD8C" w14:textId="77777777" w:rsidR="006B5DC7" w:rsidRPr="006A2BF9" w:rsidRDefault="008E7C7B" w:rsidP="00CF0780">
            <w:pPr>
              <w:keepNext/>
              <w:keepLines/>
              <w:rPr>
                <w:sz w:val="20"/>
                <w:lang w:val="it-IT"/>
              </w:rPr>
            </w:pPr>
            <w:r w:rsidRPr="006A2BF9">
              <w:rPr>
                <w:bCs/>
                <w:sz w:val="20"/>
                <w:lang w:val="it-IT"/>
              </w:rPr>
              <w:t>Sopravvivenza libera da progressione</w:t>
            </w:r>
          </w:p>
        </w:tc>
      </w:tr>
      <w:tr w:rsidR="006B5DC7" w:rsidRPr="006A2BF9" w14:paraId="240C797B" w14:textId="77777777" w:rsidTr="006B5DC7">
        <w:trPr>
          <w:cantSplit/>
          <w:trHeight w:val="22"/>
        </w:trPr>
        <w:tc>
          <w:tcPr>
            <w:tcW w:w="1256" w:type="pct"/>
          </w:tcPr>
          <w:p w14:paraId="138E4196" w14:textId="77777777" w:rsidR="006B5DC7" w:rsidRPr="006A2BF9" w:rsidRDefault="006B5DC7" w:rsidP="00CF0780">
            <w:pPr>
              <w:keepNext/>
              <w:keepLines/>
              <w:rPr>
                <w:sz w:val="20"/>
                <w:lang w:val="it-IT"/>
              </w:rPr>
            </w:pPr>
          </w:p>
        </w:tc>
        <w:tc>
          <w:tcPr>
            <w:tcW w:w="1922" w:type="pct"/>
            <w:gridSpan w:val="2"/>
          </w:tcPr>
          <w:p w14:paraId="5376C174" w14:textId="77777777" w:rsidR="006B5DC7" w:rsidRPr="006A2BF9" w:rsidRDefault="008E7C7B" w:rsidP="00CF0780">
            <w:pPr>
              <w:keepNext/>
              <w:keepLines/>
              <w:jc w:val="center"/>
              <w:rPr>
                <w:sz w:val="20"/>
                <w:lang w:val="it-IT"/>
              </w:rPr>
            </w:pPr>
            <w:r w:rsidRPr="006A2BF9">
              <w:rPr>
                <w:sz w:val="20"/>
                <w:lang w:val="it-IT"/>
              </w:rPr>
              <w:t>Valutazione dello sperimentatore</w:t>
            </w:r>
          </w:p>
        </w:tc>
        <w:tc>
          <w:tcPr>
            <w:tcW w:w="1822" w:type="pct"/>
            <w:gridSpan w:val="4"/>
          </w:tcPr>
          <w:p w14:paraId="0DE84E31" w14:textId="77777777" w:rsidR="006B5DC7" w:rsidRPr="006A2BF9" w:rsidRDefault="008E7C7B" w:rsidP="00CF0780">
            <w:pPr>
              <w:keepNext/>
              <w:keepLines/>
              <w:jc w:val="center"/>
              <w:rPr>
                <w:sz w:val="20"/>
                <w:lang w:val="it-IT"/>
              </w:rPr>
            </w:pPr>
            <w:r w:rsidRPr="006A2BF9">
              <w:rPr>
                <w:sz w:val="20"/>
                <w:u w:val="single"/>
                <w:lang w:val="it-IT"/>
              </w:rPr>
              <w:t xml:space="preserve">Valutazione </w:t>
            </w:r>
            <w:r w:rsidR="006B5DC7" w:rsidRPr="006A2BF9">
              <w:rPr>
                <w:sz w:val="20"/>
                <w:u w:val="single"/>
                <w:lang w:val="it-IT"/>
              </w:rPr>
              <w:t>IRC</w:t>
            </w:r>
          </w:p>
        </w:tc>
      </w:tr>
      <w:tr w:rsidR="006B5DC7" w:rsidRPr="006A2BF9" w14:paraId="528BF9E7" w14:textId="77777777" w:rsidTr="006B5DC7">
        <w:trPr>
          <w:cantSplit/>
          <w:trHeight w:val="22"/>
        </w:trPr>
        <w:tc>
          <w:tcPr>
            <w:tcW w:w="1256" w:type="pct"/>
          </w:tcPr>
          <w:p w14:paraId="0D9D28B2" w14:textId="77777777" w:rsidR="006B5DC7" w:rsidRPr="006A2BF9" w:rsidRDefault="006B5DC7" w:rsidP="00CF0780">
            <w:pPr>
              <w:keepNext/>
              <w:keepLines/>
              <w:rPr>
                <w:sz w:val="20"/>
                <w:lang w:val="it-IT"/>
              </w:rPr>
            </w:pPr>
          </w:p>
        </w:tc>
        <w:tc>
          <w:tcPr>
            <w:tcW w:w="907" w:type="pct"/>
          </w:tcPr>
          <w:p w14:paraId="612EF34D" w14:textId="77777777" w:rsidR="006B5DC7" w:rsidRPr="006A2BF9" w:rsidRDefault="006B5DC7" w:rsidP="00CF0780">
            <w:pPr>
              <w:pStyle w:val="NormalWeb"/>
              <w:keepNext/>
              <w:keepLines/>
              <w:widowControl w:val="0"/>
              <w:jc w:val="center"/>
              <w:rPr>
                <w:sz w:val="20"/>
                <w:szCs w:val="20"/>
                <w:lang w:val="it-IT"/>
              </w:rPr>
            </w:pPr>
            <w:r w:rsidRPr="006A2BF9">
              <w:rPr>
                <w:sz w:val="20"/>
                <w:szCs w:val="20"/>
                <w:lang w:val="it-IT"/>
              </w:rPr>
              <w:t>Placebo</w:t>
            </w:r>
            <w:r w:rsidR="00EC7EB8" w:rsidRPr="006A2BF9">
              <w:rPr>
                <w:sz w:val="20"/>
                <w:szCs w:val="20"/>
                <w:lang w:val="it-IT"/>
              </w:rPr>
              <w:t> </w:t>
            </w:r>
            <w:r w:rsidRPr="006A2BF9">
              <w:rPr>
                <w:sz w:val="20"/>
                <w:szCs w:val="20"/>
                <w:lang w:val="it-IT"/>
              </w:rPr>
              <w:t>+</w:t>
            </w:r>
            <w:r w:rsidR="00EC7EB8" w:rsidRPr="006A2BF9">
              <w:rPr>
                <w:sz w:val="20"/>
                <w:szCs w:val="20"/>
                <w:lang w:val="it-IT"/>
              </w:rPr>
              <w:t> </w:t>
            </w:r>
            <w:r w:rsidRPr="006A2BF9">
              <w:rPr>
                <w:sz w:val="20"/>
                <w:szCs w:val="20"/>
                <w:lang w:val="it-IT"/>
              </w:rPr>
              <w:t xml:space="preserve">C/G </w:t>
            </w:r>
          </w:p>
          <w:p w14:paraId="6138CB7B" w14:textId="77777777" w:rsidR="006B5DC7" w:rsidRPr="006A2BF9" w:rsidRDefault="006B5DC7" w:rsidP="00CF0780">
            <w:pPr>
              <w:pStyle w:val="NormalWeb"/>
              <w:keepNext/>
              <w:keepLines/>
              <w:widowControl w:val="0"/>
              <w:jc w:val="center"/>
              <w:rPr>
                <w:sz w:val="20"/>
                <w:szCs w:val="20"/>
                <w:lang w:val="it-IT"/>
              </w:rPr>
            </w:pPr>
            <w:r w:rsidRPr="006A2BF9">
              <w:rPr>
                <w:sz w:val="20"/>
                <w:szCs w:val="20"/>
                <w:lang w:val="it-IT"/>
              </w:rPr>
              <w:t>(n</w:t>
            </w:r>
            <w:r w:rsidR="001D1D46" w:rsidRPr="006A2BF9">
              <w:rPr>
                <w:sz w:val="20"/>
                <w:szCs w:val="20"/>
                <w:lang w:val="it-IT"/>
              </w:rPr>
              <w:t> </w:t>
            </w:r>
            <w:r w:rsidRPr="006A2BF9">
              <w:rPr>
                <w:sz w:val="20"/>
                <w:szCs w:val="20"/>
                <w:lang w:val="it-IT"/>
              </w:rPr>
              <w:t>=</w:t>
            </w:r>
            <w:r w:rsidR="001D1D46" w:rsidRPr="006A2BF9">
              <w:rPr>
                <w:sz w:val="20"/>
                <w:szCs w:val="20"/>
                <w:lang w:val="it-IT"/>
              </w:rPr>
              <w:t> </w:t>
            </w:r>
            <w:r w:rsidRPr="006A2BF9">
              <w:rPr>
                <w:sz w:val="20"/>
                <w:szCs w:val="20"/>
                <w:lang w:val="it-IT"/>
              </w:rPr>
              <w:t>242)</w:t>
            </w:r>
          </w:p>
        </w:tc>
        <w:tc>
          <w:tcPr>
            <w:tcW w:w="1015" w:type="pct"/>
          </w:tcPr>
          <w:p w14:paraId="5AE306D9" w14:textId="77777777" w:rsidR="006B5DC7" w:rsidRPr="006A2BF9" w:rsidRDefault="00DE5F21" w:rsidP="00CF0780">
            <w:pPr>
              <w:pStyle w:val="TextTi12"/>
              <w:keepNext/>
              <w:keepLines/>
              <w:spacing w:after="0"/>
              <w:jc w:val="center"/>
              <w:rPr>
                <w:sz w:val="20"/>
                <w:lang w:val="it-IT"/>
              </w:rPr>
            </w:pPr>
            <w:r w:rsidRPr="006A2BF9">
              <w:rPr>
                <w:sz w:val="20"/>
                <w:lang w:val="it-IT"/>
              </w:rPr>
              <w:t>Bevacizumab</w:t>
            </w:r>
            <w:r w:rsidR="001D1D46" w:rsidRPr="006A2BF9">
              <w:rPr>
                <w:szCs w:val="22"/>
                <w:lang w:val="it-IT"/>
              </w:rPr>
              <w:t> </w:t>
            </w:r>
            <w:r w:rsidR="006B5DC7" w:rsidRPr="006A2BF9">
              <w:rPr>
                <w:sz w:val="20"/>
                <w:lang w:val="it-IT"/>
              </w:rPr>
              <w:t>+</w:t>
            </w:r>
            <w:r w:rsidR="001D1D46" w:rsidRPr="006A2BF9">
              <w:rPr>
                <w:sz w:val="20"/>
                <w:lang w:val="it-IT"/>
              </w:rPr>
              <w:t> </w:t>
            </w:r>
            <w:r w:rsidR="006B5DC7" w:rsidRPr="006A2BF9">
              <w:rPr>
                <w:sz w:val="20"/>
                <w:lang w:val="it-IT"/>
              </w:rPr>
              <w:t xml:space="preserve">C/G </w:t>
            </w:r>
          </w:p>
          <w:p w14:paraId="528A9284" w14:textId="77777777" w:rsidR="006B5DC7" w:rsidRPr="006A2BF9" w:rsidRDefault="006B5DC7" w:rsidP="00CF0780">
            <w:pPr>
              <w:keepNext/>
              <w:keepLines/>
              <w:jc w:val="center"/>
              <w:rPr>
                <w:sz w:val="20"/>
                <w:lang w:val="it-IT"/>
              </w:rPr>
            </w:pPr>
            <w:r w:rsidRPr="006A2BF9">
              <w:rPr>
                <w:sz w:val="20"/>
                <w:lang w:val="it-IT"/>
              </w:rPr>
              <w:t>(n</w:t>
            </w:r>
            <w:r w:rsidR="001D1D46" w:rsidRPr="006A2BF9">
              <w:rPr>
                <w:sz w:val="20"/>
                <w:lang w:val="it-IT"/>
              </w:rPr>
              <w:t> </w:t>
            </w:r>
            <w:r w:rsidRPr="006A2BF9">
              <w:rPr>
                <w:sz w:val="20"/>
                <w:lang w:val="it-IT"/>
              </w:rPr>
              <w:t>=</w:t>
            </w:r>
            <w:r w:rsidR="001D1D46" w:rsidRPr="006A2BF9">
              <w:rPr>
                <w:sz w:val="20"/>
                <w:lang w:val="it-IT"/>
              </w:rPr>
              <w:t> </w:t>
            </w:r>
            <w:r w:rsidRPr="006A2BF9">
              <w:rPr>
                <w:sz w:val="20"/>
                <w:lang w:val="it-IT"/>
              </w:rPr>
              <w:t>242</w:t>
            </w:r>
            <w:r w:rsidRPr="006A2BF9">
              <w:rPr>
                <w:iCs/>
                <w:sz w:val="20"/>
                <w:lang w:val="it-IT"/>
              </w:rPr>
              <w:t>)</w:t>
            </w:r>
          </w:p>
        </w:tc>
        <w:tc>
          <w:tcPr>
            <w:tcW w:w="838" w:type="pct"/>
            <w:gridSpan w:val="2"/>
          </w:tcPr>
          <w:p w14:paraId="2923AA12" w14:textId="77777777" w:rsidR="006B5DC7" w:rsidRPr="006A2BF9" w:rsidRDefault="006B5DC7" w:rsidP="00CF0780">
            <w:pPr>
              <w:pStyle w:val="NormalWeb"/>
              <w:keepNext/>
              <w:keepLines/>
              <w:widowControl w:val="0"/>
              <w:jc w:val="center"/>
              <w:rPr>
                <w:sz w:val="20"/>
                <w:szCs w:val="20"/>
                <w:lang w:val="it-IT"/>
              </w:rPr>
            </w:pPr>
            <w:r w:rsidRPr="006A2BF9">
              <w:rPr>
                <w:sz w:val="20"/>
                <w:szCs w:val="20"/>
                <w:lang w:val="it-IT"/>
              </w:rPr>
              <w:t>Placebo</w:t>
            </w:r>
            <w:r w:rsidR="001D1D46" w:rsidRPr="006A2BF9">
              <w:rPr>
                <w:sz w:val="20"/>
                <w:szCs w:val="20"/>
                <w:lang w:val="it-IT"/>
              </w:rPr>
              <w:t> </w:t>
            </w:r>
            <w:r w:rsidRPr="006A2BF9">
              <w:rPr>
                <w:sz w:val="20"/>
                <w:szCs w:val="20"/>
                <w:lang w:val="it-IT"/>
              </w:rPr>
              <w:t>+</w:t>
            </w:r>
            <w:r w:rsidR="001D1D46" w:rsidRPr="006A2BF9">
              <w:rPr>
                <w:sz w:val="20"/>
                <w:szCs w:val="20"/>
                <w:lang w:val="it-IT"/>
              </w:rPr>
              <w:t> </w:t>
            </w:r>
            <w:r w:rsidRPr="006A2BF9">
              <w:rPr>
                <w:sz w:val="20"/>
                <w:szCs w:val="20"/>
                <w:lang w:val="it-IT"/>
              </w:rPr>
              <w:t>C/G (n</w:t>
            </w:r>
            <w:r w:rsidR="001D1D46" w:rsidRPr="006A2BF9">
              <w:rPr>
                <w:sz w:val="20"/>
                <w:szCs w:val="20"/>
                <w:lang w:val="it-IT"/>
              </w:rPr>
              <w:t> </w:t>
            </w:r>
            <w:r w:rsidRPr="006A2BF9">
              <w:rPr>
                <w:sz w:val="20"/>
                <w:szCs w:val="20"/>
                <w:lang w:val="it-IT"/>
              </w:rPr>
              <w:t>=</w:t>
            </w:r>
            <w:r w:rsidR="001D1D46" w:rsidRPr="006A2BF9">
              <w:rPr>
                <w:sz w:val="20"/>
                <w:szCs w:val="20"/>
                <w:lang w:val="it-IT"/>
              </w:rPr>
              <w:t> </w:t>
            </w:r>
            <w:r w:rsidRPr="006A2BF9">
              <w:rPr>
                <w:sz w:val="20"/>
                <w:szCs w:val="20"/>
                <w:lang w:val="it-IT"/>
              </w:rPr>
              <w:t>242)</w:t>
            </w:r>
          </w:p>
        </w:tc>
        <w:tc>
          <w:tcPr>
            <w:tcW w:w="984" w:type="pct"/>
            <w:gridSpan w:val="2"/>
          </w:tcPr>
          <w:p w14:paraId="58403F64" w14:textId="77777777" w:rsidR="006B5DC7" w:rsidRPr="006A2BF9" w:rsidRDefault="00DE5F21" w:rsidP="00CF0780">
            <w:pPr>
              <w:pStyle w:val="TextTi12"/>
              <w:keepNext/>
              <w:keepLines/>
              <w:spacing w:after="0"/>
              <w:jc w:val="center"/>
              <w:rPr>
                <w:sz w:val="20"/>
                <w:lang w:val="it-IT"/>
              </w:rPr>
            </w:pPr>
            <w:r w:rsidRPr="006A2BF9">
              <w:rPr>
                <w:sz w:val="20"/>
                <w:lang w:val="it-IT"/>
              </w:rPr>
              <w:t>Bevacizumab</w:t>
            </w:r>
            <w:r w:rsidR="001D1D46" w:rsidRPr="006A2BF9">
              <w:rPr>
                <w:sz w:val="20"/>
                <w:lang w:val="it-IT"/>
              </w:rPr>
              <w:t> </w:t>
            </w:r>
            <w:r w:rsidR="006B5DC7" w:rsidRPr="006A2BF9">
              <w:rPr>
                <w:sz w:val="20"/>
                <w:lang w:val="it-IT"/>
              </w:rPr>
              <w:t>+</w:t>
            </w:r>
            <w:r w:rsidR="001D1D46" w:rsidRPr="006A2BF9">
              <w:rPr>
                <w:sz w:val="20"/>
                <w:lang w:val="it-IT"/>
              </w:rPr>
              <w:t> </w:t>
            </w:r>
            <w:r w:rsidR="006B5DC7" w:rsidRPr="006A2BF9">
              <w:rPr>
                <w:sz w:val="20"/>
                <w:lang w:val="it-IT"/>
              </w:rPr>
              <w:t xml:space="preserve">C/G </w:t>
            </w:r>
          </w:p>
          <w:p w14:paraId="33CCCAC7" w14:textId="77777777" w:rsidR="006B5DC7" w:rsidRPr="006A2BF9" w:rsidRDefault="006B5DC7" w:rsidP="00CF0780">
            <w:pPr>
              <w:pStyle w:val="NormalWeb"/>
              <w:keepNext/>
              <w:keepLines/>
              <w:widowControl w:val="0"/>
              <w:jc w:val="center"/>
              <w:rPr>
                <w:sz w:val="20"/>
                <w:szCs w:val="20"/>
                <w:lang w:val="it-IT"/>
              </w:rPr>
            </w:pPr>
            <w:r w:rsidRPr="006A2BF9">
              <w:rPr>
                <w:sz w:val="20"/>
                <w:szCs w:val="20"/>
                <w:lang w:val="it-IT"/>
              </w:rPr>
              <w:t>(n</w:t>
            </w:r>
            <w:r w:rsidR="001D1D46" w:rsidRPr="006A2BF9">
              <w:rPr>
                <w:sz w:val="20"/>
                <w:szCs w:val="20"/>
                <w:lang w:val="it-IT"/>
              </w:rPr>
              <w:t> </w:t>
            </w:r>
            <w:r w:rsidRPr="006A2BF9">
              <w:rPr>
                <w:sz w:val="20"/>
                <w:szCs w:val="20"/>
                <w:lang w:val="it-IT"/>
              </w:rPr>
              <w:t>=</w:t>
            </w:r>
            <w:r w:rsidR="001D1D46" w:rsidRPr="006A2BF9">
              <w:rPr>
                <w:sz w:val="20"/>
                <w:szCs w:val="20"/>
                <w:lang w:val="it-IT"/>
              </w:rPr>
              <w:t> </w:t>
            </w:r>
            <w:r w:rsidRPr="006A2BF9">
              <w:rPr>
                <w:sz w:val="20"/>
                <w:szCs w:val="20"/>
                <w:lang w:val="it-IT"/>
              </w:rPr>
              <w:t>242</w:t>
            </w:r>
            <w:r w:rsidRPr="006A2BF9">
              <w:rPr>
                <w:iCs/>
                <w:sz w:val="20"/>
                <w:szCs w:val="20"/>
                <w:lang w:val="it-IT"/>
              </w:rPr>
              <w:t>)</w:t>
            </w:r>
          </w:p>
        </w:tc>
      </w:tr>
      <w:tr w:rsidR="006B5DC7" w:rsidRPr="006A2BF9" w14:paraId="217D7B85" w14:textId="77777777" w:rsidTr="006B5DC7">
        <w:trPr>
          <w:cantSplit/>
          <w:trHeight w:val="22"/>
        </w:trPr>
        <w:tc>
          <w:tcPr>
            <w:tcW w:w="1256" w:type="pct"/>
          </w:tcPr>
          <w:p w14:paraId="5EFEE2F1" w14:textId="77777777" w:rsidR="006B5DC7" w:rsidRPr="006A2BF9" w:rsidRDefault="00194F5C" w:rsidP="00CF0780">
            <w:pPr>
              <w:keepNext/>
              <w:keepLines/>
              <w:rPr>
                <w:i/>
                <w:sz w:val="20"/>
                <w:lang w:val="it-IT"/>
              </w:rPr>
            </w:pPr>
            <w:r>
              <w:rPr>
                <w:i/>
                <w:sz w:val="20"/>
                <w:lang w:val="it-IT"/>
              </w:rPr>
              <w:t>Non c</w:t>
            </w:r>
            <w:r w:rsidR="00340523" w:rsidRPr="006A2BF9">
              <w:rPr>
                <w:i/>
                <w:sz w:val="20"/>
                <w:lang w:val="it-IT"/>
              </w:rPr>
              <w:t xml:space="preserve">ensurato </w:t>
            </w:r>
            <w:r w:rsidR="005C3766" w:rsidRPr="006A2BF9">
              <w:rPr>
                <w:i/>
                <w:sz w:val="20"/>
                <w:lang w:val="it-IT"/>
              </w:rPr>
              <w:t>per NPT</w:t>
            </w:r>
          </w:p>
        </w:tc>
        <w:tc>
          <w:tcPr>
            <w:tcW w:w="3744" w:type="pct"/>
            <w:gridSpan w:val="6"/>
            <w:vAlign w:val="center"/>
          </w:tcPr>
          <w:p w14:paraId="73551116" w14:textId="77777777" w:rsidR="006B5DC7" w:rsidRPr="006A2BF9" w:rsidRDefault="006B5DC7" w:rsidP="00CF0780">
            <w:pPr>
              <w:keepNext/>
              <w:keepLines/>
              <w:jc w:val="center"/>
              <w:rPr>
                <w:sz w:val="20"/>
                <w:lang w:val="it-IT"/>
              </w:rPr>
            </w:pPr>
          </w:p>
        </w:tc>
      </w:tr>
      <w:tr w:rsidR="006B5DC7" w:rsidRPr="006A2BF9" w14:paraId="2AD65FBC" w14:textId="77777777" w:rsidTr="006B5DC7">
        <w:trPr>
          <w:cantSplit/>
          <w:trHeight w:val="22"/>
        </w:trPr>
        <w:tc>
          <w:tcPr>
            <w:tcW w:w="1256" w:type="pct"/>
          </w:tcPr>
          <w:p w14:paraId="65F860FA" w14:textId="77777777" w:rsidR="006B5DC7" w:rsidRPr="006A2BF9" w:rsidRDefault="006B5DC7" w:rsidP="00CF0780">
            <w:pPr>
              <w:keepNext/>
              <w:keepLines/>
              <w:rPr>
                <w:sz w:val="20"/>
                <w:lang w:val="it-IT"/>
              </w:rPr>
            </w:pPr>
            <w:r w:rsidRPr="006A2BF9">
              <w:rPr>
                <w:sz w:val="20"/>
                <w:lang w:val="it-IT"/>
              </w:rPr>
              <w:t xml:space="preserve">PFS </w:t>
            </w:r>
            <w:r w:rsidR="00450407" w:rsidRPr="006A2BF9">
              <w:rPr>
                <w:sz w:val="20"/>
                <w:lang w:val="it-IT"/>
              </w:rPr>
              <w:t>mediana (mesi</w:t>
            </w:r>
            <w:r w:rsidRPr="006A2BF9">
              <w:rPr>
                <w:sz w:val="20"/>
                <w:lang w:val="it-IT"/>
              </w:rPr>
              <w:t>)</w:t>
            </w:r>
          </w:p>
        </w:tc>
        <w:tc>
          <w:tcPr>
            <w:tcW w:w="907" w:type="pct"/>
            <w:vAlign w:val="center"/>
          </w:tcPr>
          <w:p w14:paraId="04AD317D" w14:textId="77777777" w:rsidR="006B5DC7" w:rsidRPr="006A2BF9" w:rsidRDefault="006B5DC7" w:rsidP="00CF0780">
            <w:pPr>
              <w:keepNext/>
              <w:keepLines/>
              <w:jc w:val="center"/>
              <w:rPr>
                <w:sz w:val="20"/>
                <w:lang w:val="it-IT"/>
              </w:rPr>
            </w:pPr>
            <w:r w:rsidRPr="006A2BF9">
              <w:rPr>
                <w:sz w:val="20"/>
                <w:lang w:val="it-IT"/>
              </w:rPr>
              <w:t>8</w:t>
            </w:r>
            <w:r w:rsidR="00E14086" w:rsidRPr="006A2BF9">
              <w:rPr>
                <w:sz w:val="20"/>
                <w:lang w:val="it-IT"/>
              </w:rPr>
              <w:t>,</w:t>
            </w:r>
            <w:r w:rsidRPr="006A2BF9">
              <w:rPr>
                <w:sz w:val="20"/>
                <w:lang w:val="it-IT"/>
              </w:rPr>
              <w:t>4</w:t>
            </w:r>
          </w:p>
        </w:tc>
        <w:tc>
          <w:tcPr>
            <w:tcW w:w="1015" w:type="pct"/>
            <w:vAlign w:val="center"/>
          </w:tcPr>
          <w:p w14:paraId="035033A6" w14:textId="77777777" w:rsidR="006B5DC7" w:rsidRPr="006A2BF9" w:rsidRDefault="006B5DC7" w:rsidP="00CF0780">
            <w:pPr>
              <w:keepNext/>
              <w:keepLines/>
              <w:jc w:val="center"/>
              <w:rPr>
                <w:sz w:val="20"/>
                <w:lang w:val="it-IT"/>
              </w:rPr>
            </w:pPr>
            <w:r w:rsidRPr="006A2BF9">
              <w:rPr>
                <w:sz w:val="20"/>
                <w:lang w:val="it-IT"/>
              </w:rPr>
              <w:t>12</w:t>
            </w:r>
            <w:r w:rsidR="00E14086" w:rsidRPr="006A2BF9">
              <w:rPr>
                <w:sz w:val="20"/>
                <w:lang w:val="it-IT"/>
              </w:rPr>
              <w:t>,</w:t>
            </w:r>
            <w:r w:rsidRPr="006A2BF9">
              <w:rPr>
                <w:sz w:val="20"/>
                <w:lang w:val="it-IT"/>
              </w:rPr>
              <w:t>4</w:t>
            </w:r>
          </w:p>
        </w:tc>
        <w:tc>
          <w:tcPr>
            <w:tcW w:w="838" w:type="pct"/>
            <w:gridSpan w:val="2"/>
            <w:vAlign w:val="center"/>
          </w:tcPr>
          <w:p w14:paraId="36DA135D" w14:textId="77777777" w:rsidR="006B5DC7" w:rsidRPr="006A2BF9" w:rsidRDefault="003E4D1B" w:rsidP="00CF0780">
            <w:pPr>
              <w:keepNext/>
              <w:keepLines/>
              <w:jc w:val="center"/>
              <w:rPr>
                <w:sz w:val="20"/>
                <w:lang w:val="it-IT"/>
              </w:rPr>
            </w:pPr>
            <w:r w:rsidRPr="006A2BF9">
              <w:rPr>
                <w:sz w:val="20"/>
                <w:lang w:val="it-IT"/>
              </w:rPr>
              <w:t>8,6</w:t>
            </w:r>
          </w:p>
        </w:tc>
        <w:tc>
          <w:tcPr>
            <w:tcW w:w="984" w:type="pct"/>
            <w:gridSpan w:val="2"/>
            <w:vAlign w:val="center"/>
          </w:tcPr>
          <w:p w14:paraId="6725A922" w14:textId="77777777" w:rsidR="006B5DC7" w:rsidRPr="006A2BF9" w:rsidRDefault="003E4D1B" w:rsidP="00CF0780">
            <w:pPr>
              <w:keepNext/>
              <w:keepLines/>
              <w:jc w:val="center"/>
              <w:rPr>
                <w:sz w:val="20"/>
                <w:lang w:val="it-IT"/>
              </w:rPr>
            </w:pPr>
            <w:r w:rsidRPr="006A2BF9">
              <w:rPr>
                <w:sz w:val="20"/>
                <w:lang w:val="it-IT"/>
              </w:rPr>
              <w:t>12,3</w:t>
            </w:r>
          </w:p>
        </w:tc>
      </w:tr>
      <w:tr w:rsidR="006B5DC7" w:rsidRPr="006A2BF9" w14:paraId="4DF0DE98" w14:textId="77777777" w:rsidTr="006B5DC7">
        <w:trPr>
          <w:cantSplit/>
          <w:trHeight w:val="22"/>
        </w:trPr>
        <w:tc>
          <w:tcPr>
            <w:tcW w:w="1256" w:type="pct"/>
          </w:tcPr>
          <w:p w14:paraId="7D2375BA" w14:textId="77777777" w:rsidR="006B5DC7" w:rsidRPr="000F0246" w:rsidRDefault="006B5DC7" w:rsidP="00CF0780">
            <w:pPr>
              <w:keepNext/>
              <w:keepLines/>
              <w:widowControl w:val="0"/>
              <w:rPr>
                <w:i/>
                <w:sz w:val="20"/>
                <w:lang w:val="it-IT"/>
              </w:rPr>
            </w:pPr>
            <w:r w:rsidRPr="000F0246">
              <w:rPr>
                <w:i/>
                <w:sz w:val="20"/>
                <w:lang w:val="it-IT"/>
              </w:rPr>
              <w:t xml:space="preserve">Hazard ratio </w:t>
            </w:r>
          </w:p>
          <w:p w14:paraId="546856E2" w14:textId="77777777" w:rsidR="006B5DC7" w:rsidRPr="00330A40" w:rsidRDefault="006B5DC7" w:rsidP="00CF0780">
            <w:pPr>
              <w:keepNext/>
              <w:keepLines/>
              <w:widowControl w:val="0"/>
              <w:rPr>
                <w:sz w:val="20"/>
                <w:lang w:val="it-IT"/>
              </w:rPr>
            </w:pPr>
            <w:r w:rsidRPr="00330A40">
              <w:rPr>
                <w:sz w:val="20"/>
                <w:lang w:val="it-IT"/>
              </w:rPr>
              <w:t>(</w:t>
            </w:r>
            <w:r w:rsidR="00340523" w:rsidRPr="00330A40">
              <w:rPr>
                <w:sz w:val="20"/>
                <w:lang w:val="it-IT"/>
              </w:rPr>
              <w:t>IC</w:t>
            </w:r>
            <w:r w:rsidR="00831FDE">
              <w:rPr>
                <w:sz w:val="20"/>
                <w:lang w:val="it-IT"/>
              </w:rPr>
              <w:t xml:space="preserve"> al</w:t>
            </w:r>
            <w:r w:rsidR="00340523" w:rsidRPr="00330A40">
              <w:rPr>
                <w:sz w:val="20"/>
                <w:lang w:val="it-IT"/>
              </w:rPr>
              <w:t xml:space="preserve"> </w:t>
            </w:r>
            <w:r w:rsidRPr="00330A40">
              <w:rPr>
                <w:sz w:val="20"/>
                <w:lang w:val="it-IT"/>
              </w:rPr>
              <w:t>95%)</w:t>
            </w:r>
          </w:p>
        </w:tc>
        <w:tc>
          <w:tcPr>
            <w:tcW w:w="1922" w:type="pct"/>
            <w:gridSpan w:val="2"/>
            <w:vAlign w:val="center"/>
          </w:tcPr>
          <w:p w14:paraId="41D9EEBF" w14:textId="77777777" w:rsidR="006B5DC7" w:rsidRPr="00330A40" w:rsidRDefault="007168B2" w:rsidP="000438CB">
            <w:pPr>
              <w:keepNext/>
              <w:keepLines/>
              <w:jc w:val="center"/>
              <w:rPr>
                <w:sz w:val="20"/>
                <w:lang w:val="it-IT"/>
              </w:rPr>
            </w:pPr>
            <w:r w:rsidRPr="00330A40">
              <w:rPr>
                <w:sz w:val="20"/>
                <w:lang w:val="it-IT"/>
              </w:rPr>
              <w:t>0</w:t>
            </w:r>
            <w:r w:rsidR="006265C6" w:rsidRPr="00330A40">
              <w:rPr>
                <w:sz w:val="20"/>
                <w:lang w:val="it-IT"/>
              </w:rPr>
              <w:t>,</w:t>
            </w:r>
            <w:r w:rsidRPr="00330A40">
              <w:rPr>
                <w:sz w:val="20"/>
                <w:lang w:val="it-IT"/>
              </w:rPr>
              <w:t>524 [0</w:t>
            </w:r>
            <w:r w:rsidR="006265C6" w:rsidRPr="00330A40">
              <w:rPr>
                <w:sz w:val="20"/>
                <w:lang w:val="it-IT"/>
              </w:rPr>
              <w:t>,</w:t>
            </w:r>
            <w:r w:rsidRPr="00330A40">
              <w:rPr>
                <w:sz w:val="20"/>
                <w:lang w:val="it-IT"/>
              </w:rPr>
              <w:t>425</w:t>
            </w:r>
            <w:r w:rsidR="006265C6" w:rsidRPr="00330A40">
              <w:rPr>
                <w:sz w:val="20"/>
                <w:lang w:val="it-IT"/>
              </w:rPr>
              <w:t>;</w:t>
            </w:r>
            <w:r w:rsidRPr="00330A40">
              <w:rPr>
                <w:sz w:val="20"/>
                <w:lang w:val="it-IT"/>
              </w:rPr>
              <w:t xml:space="preserve"> 0.64</w:t>
            </w:r>
            <w:r w:rsidR="006B5DC7" w:rsidRPr="00330A40">
              <w:rPr>
                <w:sz w:val="20"/>
                <w:lang w:val="it-IT"/>
              </w:rPr>
              <w:t>5]</w:t>
            </w:r>
          </w:p>
        </w:tc>
        <w:tc>
          <w:tcPr>
            <w:tcW w:w="1822" w:type="pct"/>
            <w:gridSpan w:val="4"/>
            <w:vAlign w:val="center"/>
          </w:tcPr>
          <w:p w14:paraId="60A8FCA3" w14:textId="77777777" w:rsidR="006B5DC7" w:rsidRPr="00330A40" w:rsidRDefault="007168B2" w:rsidP="00CF0780">
            <w:pPr>
              <w:keepNext/>
              <w:keepLines/>
              <w:jc w:val="center"/>
              <w:rPr>
                <w:sz w:val="20"/>
                <w:lang w:val="it-IT"/>
              </w:rPr>
            </w:pPr>
            <w:r w:rsidRPr="00330A40">
              <w:rPr>
                <w:sz w:val="20"/>
                <w:lang w:val="it-IT"/>
              </w:rPr>
              <w:t>0</w:t>
            </w:r>
            <w:r w:rsidR="006265C6" w:rsidRPr="00330A40">
              <w:rPr>
                <w:sz w:val="20"/>
                <w:lang w:val="it-IT"/>
              </w:rPr>
              <w:t>,</w:t>
            </w:r>
            <w:r w:rsidRPr="00330A40">
              <w:rPr>
                <w:sz w:val="20"/>
                <w:lang w:val="it-IT"/>
              </w:rPr>
              <w:t>480 [0</w:t>
            </w:r>
            <w:r w:rsidR="006265C6" w:rsidRPr="00330A40">
              <w:rPr>
                <w:sz w:val="20"/>
                <w:lang w:val="it-IT"/>
              </w:rPr>
              <w:t>,</w:t>
            </w:r>
            <w:r w:rsidRPr="00330A40">
              <w:rPr>
                <w:sz w:val="20"/>
                <w:lang w:val="it-IT"/>
              </w:rPr>
              <w:t>377</w:t>
            </w:r>
            <w:r w:rsidR="006265C6" w:rsidRPr="00330A40">
              <w:rPr>
                <w:sz w:val="20"/>
                <w:lang w:val="it-IT"/>
              </w:rPr>
              <w:t xml:space="preserve">; </w:t>
            </w:r>
            <w:r w:rsidRPr="00330A40">
              <w:rPr>
                <w:sz w:val="20"/>
                <w:lang w:val="it-IT"/>
              </w:rPr>
              <w:t>0</w:t>
            </w:r>
            <w:r w:rsidR="006265C6" w:rsidRPr="00330A40">
              <w:rPr>
                <w:sz w:val="20"/>
                <w:lang w:val="it-IT"/>
              </w:rPr>
              <w:t>,</w:t>
            </w:r>
            <w:r w:rsidRPr="00330A40">
              <w:rPr>
                <w:sz w:val="20"/>
                <w:lang w:val="it-IT"/>
              </w:rPr>
              <w:t>613</w:t>
            </w:r>
            <w:r w:rsidR="006B5DC7" w:rsidRPr="00330A40">
              <w:rPr>
                <w:sz w:val="20"/>
                <w:lang w:val="it-IT"/>
              </w:rPr>
              <w:t>]</w:t>
            </w:r>
          </w:p>
        </w:tc>
      </w:tr>
      <w:tr w:rsidR="006B5DC7" w:rsidRPr="006A2BF9" w14:paraId="5C5CCDF4" w14:textId="77777777" w:rsidTr="006B5DC7">
        <w:trPr>
          <w:cantSplit/>
          <w:trHeight w:val="22"/>
        </w:trPr>
        <w:tc>
          <w:tcPr>
            <w:tcW w:w="1256" w:type="pct"/>
          </w:tcPr>
          <w:p w14:paraId="2C983DD8" w14:textId="77777777" w:rsidR="006B5DC7" w:rsidRPr="006A2BF9" w:rsidRDefault="00340523" w:rsidP="00CF0780">
            <w:pPr>
              <w:keepNext/>
              <w:keepLines/>
              <w:rPr>
                <w:sz w:val="20"/>
                <w:lang w:val="it-IT"/>
              </w:rPr>
            </w:pPr>
            <w:r w:rsidRPr="006A2BF9">
              <w:rPr>
                <w:sz w:val="20"/>
                <w:lang w:val="it-IT"/>
              </w:rPr>
              <w:t>valore di p</w:t>
            </w:r>
          </w:p>
        </w:tc>
        <w:tc>
          <w:tcPr>
            <w:tcW w:w="1922" w:type="pct"/>
            <w:gridSpan w:val="2"/>
            <w:vAlign w:val="center"/>
          </w:tcPr>
          <w:p w14:paraId="67894C07" w14:textId="77777777" w:rsidR="006B5DC7" w:rsidRPr="006A2BF9" w:rsidRDefault="006B5DC7" w:rsidP="00CF0780">
            <w:pPr>
              <w:keepNext/>
              <w:keepLines/>
              <w:jc w:val="center"/>
              <w:rPr>
                <w:sz w:val="20"/>
                <w:lang w:val="it-IT"/>
              </w:rPr>
            </w:pPr>
            <w:r w:rsidRPr="006A2BF9">
              <w:rPr>
                <w:sz w:val="20"/>
                <w:lang w:val="it-IT"/>
              </w:rPr>
              <w:t xml:space="preserve"> &lt;</w:t>
            </w:r>
            <w:r w:rsidR="001D1D46" w:rsidRPr="006A2BF9">
              <w:rPr>
                <w:sz w:val="20"/>
                <w:lang w:val="it-IT"/>
              </w:rPr>
              <w:t> </w:t>
            </w:r>
            <w:r w:rsidRPr="006A2BF9">
              <w:rPr>
                <w:sz w:val="20"/>
                <w:lang w:val="it-IT"/>
              </w:rPr>
              <w:t>0</w:t>
            </w:r>
            <w:r w:rsidR="00E14086" w:rsidRPr="006A2BF9">
              <w:rPr>
                <w:sz w:val="20"/>
                <w:lang w:val="it-IT"/>
              </w:rPr>
              <w:t>,</w:t>
            </w:r>
            <w:r w:rsidRPr="006A2BF9">
              <w:rPr>
                <w:sz w:val="20"/>
                <w:lang w:val="it-IT"/>
              </w:rPr>
              <w:t>0001</w:t>
            </w:r>
          </w:p>
        </w:tc>
        <w:tc>
          <w:tcPr>
            <w:tcW w:w="1822" w:type="pct"/>
            <w:gridSpan w:val="4"/>
            <w:vAlign w:val="center"/>
          </w:tcPr>
          <w:p w14:paraId="19368A1A" w14:textId="77777777" w:rsidR="006B5DC7" w:rsidRPr="006A2BF9" w:rsidRDefault="007168B2" w:rsidP="00CF0780">
            <w:pPr>
              <w:keepNext/>
              <w:keepLines/>
              <w:jc w:val="center"/>
              <w:rPr>
                <w:sz w:val="20"/>
                <w:lang w:val="it-IT"/>
              </w:rPr>
            </w:pPr>
            <w:r w:rsidRPr="006A2BF9">
              <w:rPr>
                <w:sz w:val="20"/>
                <w:lang w:val="it-IT"/>
              </w:rPr>
              <w:t>&lt;</w:t>
            </w:r>
            <w:r w:rsidR="001D1D46" w:rsidRPr="006A2BF9">
              <w:rPr>
                <w:sz w:val="20"/>
                <w:lang w:val="it-IT"/>
              </w:rPr>
              <w:t> </w:t>
            </w:r>
            <w:r w:rsidRPr="006A2BF9">
              <w:rPr>
                <w:sz w:val="20"/>
                <w:lang w:val="it-IT"/>
              </w:rPr>
              <w:t>0</w:t>
            </w:r>
            <w:r w:rsidR="00E14086" w:rsidRPr="006A2BF9">
              <w:rPr>
                <w:sz w:val="20"/>
                <w:lang w:val="it-IT"/>
              </w:rPr>
              <w:t>,</w:t>
            </w:r>
            <w:r w:rsidRPr="006A2BF9">
              <w:rPr>
                <w:sz w:val="20"/>
                <w:lang w:val="it-IT"/>
              </w:rPr>
              <w:t>0001</w:t>
            </w:r>
          </w:p>
        </w:tc>
      </w:tr>
      <w:tr w:rsidR="006B5DC7" w:rsidRPr="006A2BF9" w14:paraId="7C40D5C9" w14:textId="77777777" w:rsidTr="006B5DC7">
        <w:trPr>
          <w:cantSplit/>
          <w:trHeight w:val="22"/>
        </w:trPr>
        <w:tc>
          <w:tcPr>
            <w:tcW w:w="1256" w:type="pct"/>
          </w:tcPr>
          <w:p w14:paraId="6F55E08E" w14:textId="77777777" w:rsidR="006B5DC7" w:rsidRPr="006A2BF9" w:rsidRDefault="00340523" w:rsidP="00CF0780">
            <w:pPr>
              <w:keepNext/>
              <w:keepLines/>
              <w:rPr>
                <w:i/>
                <w:sz w:val="20"/>
                <w:lang w:val="it-IT"/>
              </w:rPr>
            </w:pPr>
            <w:r w:rsidRPr="006A2BF9">
              <w:rPr>
                <w:i/>
                <w:sz w:val="20"/>
                <w:lang w:val="it-IT"/>
              </w:rPr>
              <w:t xml:space="preserve">Non censurato </w:t>
            </w:r>
            <w:r w:rsidR="005C3766" w:rsidRPr="006A2BF9">
              <w:rPr>
                <w:i/>
                <w:sz w:val="20"/>
                <w:lang w:val="it-IT"/>
              </w:rPr>
              <w:t>per</w:t>
            </w:r>
            <w:r w:rsidR="006B5DC7" w:rsidRPr="006A2BF9">
              <w:rPr>
                <w:i/>
                <w:sz w:val="20"/>
                <w:lang w:val="it-IT"/>
              </w:rPr>
              <w:t xml:space="preserve"> NPT</w:t>
            </w:r>
          </w:p>
        </w:tc>
        <w:tc>
          <w:tcPr>
            <w:tcW w:w="3744" w:type="pct"/>
            <w:gridSpan w:val="6"/>
            <w:vAlign w:val="center"/>
          </w:tcPr>
          <w:p w14:paraId="4C949C66" w14:textId="77777777" w:rsidR="006B5DC7" w:rsidRPr="006A2BF9" w:rsidRDefault="006B5DC7" w:rsidP="00CF0780">
            <w:pPr>
              <w:keepNext/>
              <w:keepLines/>
              <w:jc w:val="center"/>
              <w:rPr>
                <w:sz w:val="20"/>
                <w:lang w:val="it-IT"/>
              </w:rPr>
            </w:pPr>
          </w:p>
        </w:tc>
      </w:tr>
      <w:tr w:rsidR="006B5DC7" w:rsidRPr="006A2BF9" w14:paraId="37F1098F" w14:textId="77777777" w:rsidTr="006B5DC7">
        <w:trPr>
          <w:cantSplit/>
          <w:trHeight w:val="22"/>
        </w:trPr>
        <w:tc>
          <w:tcPr>
            <w:tcW w:w="1256" w:type="pct"/>
          </w:tcPr>
          <w:p w14:paraId="5E566CF7" w14:textId="77777777" w:rsidR="006B5DC7" w:rsidRPr="006A2BF9" w:rsidRDefault="006B5DC7" w:rsidP="00CF0780">
            <w:pPr>
              <w:keepNext/>
              <w:keepLines/>
              <w:rPr>
                <w:sz w:val="20"/>
                <w:lang w:val="it-IT"/>
              </w:rPr>
            </w:pPr>
            <w:r w:rsidRPr="006A2BF9">
              <w:rPr>
                <w:sz w:val="20"/>
                <w:lang w:val="it-IT"/>
              </w:rPr>
              <w:t>PFS</w:t>
            </w:r>
            <w:r w:rsidR="00450407" w:rsidRPr="006A2BF9">
              <w:rPr>
                <w:sz w:val="20"/>
                <w:lang w:val="it-IT"/>
              </w:rPr>
              <w:t xml:space="preserve"> mediana (mesi</w:t>
            </w:r>
            <w:r w:rsidRPr="006A2BF9">
              <w:rPr>
                <w:sz w:val="20"/>
                <w:lang w:val="it-IT"/>
              </w:rPr>
              <w:t>)</w:t>
            </w:r>
          </w:p>
        </w:tc>
        <w:tc>
          <w:tcPr>
            <w:tcW w:w="907" w:type="pct"/>
            <w:vAlign w:val="center"/>
          </w:tcPr>
          <w:p w14:paraId="349F1DC4" w14:textId="77777777" w:rsidR="006B5DC7" w:rsidRPr="006A2BF9" w:rsidRDefault="006B5DC7" w:rsidP="00CF0780">
            <w:pPr>
              <w:keepNext/>
              <w:keepLines/>
              <w:jc w:val="center"/>
              <w:rPr>
                <w:sz w:val="20"/>
                <w:lang w:val="it-IT"/>
              </w:rPr>
            </w:pPr>
            <w:r w:rsidRPr="006A2BF9">
              <w:rPr>
                <w:sz w:val="20"/>
                <w:lang w:val="it-IT"/>
              </w:rPr>
              <w:t>8</w:t>
            </w:r>
            <w:r w:rsidR="00E14086" w:rsidRPr="006A2BF9">
              <w:rPr>
                <w:sz w:val="20"/>
                <w:lang w:val="it-IT"/>
              </w:rPr>
              <w:t>,</w:t>
            </w:r>
            <w:r w:rsidRPr="006A2BF9">
              <w:rPr>
                <w:sz w:val="20"/>
                <w:lang w:val="it-IT"/>
              </w:rPr>
              <w:t>4</w:t>
            </w:r>
          </w:p>
        </w:tc>
        <w:tc>
          <w:tcPr>
            <w:tcW w:w="1015" w:type="pct"/>
            <w:vAlign w:val="center"/>
          </w:tcPr>
          <w:p w14:paraId="5745C078" w14:textId="77777777" w:rsidR="006B5DC7" w:rsidRPr="006A2BF9" w:rsidRDefault="006B5DC7" w:rsidP="00CF0780">
            <w:pPr>
              <w:keepNext/>
              <w:keepLines/>
              <w:jc w:val="center"/>
              <w:rPr>
                <w:sz w:val="20"/>
                <w:lang w:val="it-IT"/>
              </w:rPr>
            </w:pPr>
            <w:r w:rsidRPr="006A2BF9">
              <w:rPr>
                <w:sz w:val="20"/>
                <w:lang w:val="it-IT"/>
              </w:rPr>
              <w:t>12</w:t>
            </w:r>
            <w:r w:rsidR="00E14086" w:rsidRPr="006A2BF9">
              <w:rPr>
                <w:sz w:val="20"/>
                <w:lang w:val="it-IT"/>
              </w:rPr>
              <w:t>,</w:t>
            </w:r>
            <w:r w:rsidRPr="006A2BF9">
              <w:rPr>
                <w:sz w:val="20"/>
                <w:lang w:val="it-IT"/>
              </w:rPr>
              <w:t>4</w:t>
            </w:r>
          </w:p>
        </w:tc>
        <w:tc>
          <w:tcPr>
            <w:tcW w:w="838" w:type="pct"/>
            <w:gridSpan w:val="2"/>
            <w:vAlign w:val="center"/>
          </w:tcPr>
          <w:p w14:paraId="29F59463" w14:textId="77777777" w:rsidR="006B5DC7" w:rsidRPr="006A2BF9" w:rsidRDefault="006B5DC7" w:rsidP="00CF0780">
            <w:pPr>
              <w:keepNext/>
              <w:keepLines/>
              <w:jc w:val="center"/>
              <w:rPr>
                <w:sz w:val="20"/>
                <w:lang w:val="it-IT"/>
              </w:rPr>
            </w:pPr>
            <w:r w:rsidRPr="006A2BF9">
              <w:rPr>
                <w:sz w:val="20"/>
                <w:lang w:val="it-IT"/>
              </w:rPr>
              <w:t>8</w:t>
            </w:r>
            <w:r w:rsidR="00E14086" w:rsidRPr="006A2BF9">
              <w:rPr>
                <w:sz w:val="20"/>
                <w:lang w:val="it-IT"/>
              </w:rPr>
              <w:t>,</w:t>
            </w:r>
            <w:r w:rsidRPr="006A2BF9">
              <w:rPr>
                <w:sz w:val="20"/>
                <w:lang w:val="it-IT"/>
              </w:rPr>
              <w:t>6</w:t>
            </w:r>
          </w:p>
        </w:tc>
        <w:tc>
          <w:tcPr>
            <w:tcW w:w="984" w:type="pct"/>
            <w:gridSpan w:val="2"/>
            <w:vAlign w:val="center"/>
          </w:tcPr>
          <w:p w14:paraId="4D4A56CE" w14:textId="77777777" w:rsidR="006B5DC7" w:rsidRPr="006A2BF9" w:rsidRDefault="006B5DC7" w:rsidP="00CF0780">
            <w:pPr>
              <w:keepNext/>
              <w:keepLines/>
              <w:jc w:val="center"/>
              <w:rPr>
                <w:sz w:val="20"/>
                <w:lang w:val="it-IT"/>
              </w:rPr>
            </w:pPr>
            <w:r w:rsidRPr="006A2BF9">
              <w:rPr>
                <w:sz w:val="20"/>
                <w:lang w:val="it-IT"/>
              </w:rPr>
              <w:t>12</w:t>
            </w:r>
            <w:r w:rsidR="00E14086" w:rsidRPr="006A2BF9">
              <w:rPr>
                <w:sz w:val="20"/>
                <w:lang w:val="it-IT"/>
              </w:rPr>
              <w:t>,</w:t>
            </w:r>
            <w:r w:rsidRPr="006A2BF9">
              <w:rPr>
                <w:sz w:val="20"/>
                <w:lang w:val="it-IT"/>
              </w:rPr>
              <w:t>3</w:t>
            </w:r>
          </w:p>
        </w:tc>
      </w:tr>
      <w:tr w:rsidR="006265C6" w:rsidRPr="006A2BF9" w14:paraId="77D73B96" w14:textId="77777777" w:rsidTr="006B5DC7">
        <w:trPr>
          <w:cantSplit/>
          <w:trHeight w:val="22"/>
        </w:trPr>
        <w:tc>
          <w:tcPr>
            <w:tcW w:w="1256" w:type="pct"/>
          </w:tcPr>
          <w:p w14:paraId="35087BEE" w14:textId="77777777" w:rsidR="006265C6" w:rsidRPr="000F0246" w:rsidRDefault="006265C6" w:rsidP="00CF0780">
            <w:pPr>
              <w:keepNext/>
              <w:keepLines/>
              <w:widowControl w:val="0"/>
              <w:rPr>
                <w:i/>
                <w:sz w:val="20"/>
                <w:lang w:val="it-IT"/>
              </w:rPr>
            </w:pPr>
            <w:r w:rsidRPr="000F0246">
              <w:rPr>
                <w:i/>
                <w:sz w:val="20"/>
                <w:lang w:val="it-IT"/>
              </w:rPr>
              <w:t>Hazard ratio</w:t>
            </w:r>
          </w:p>
          <w:p w14:paraId="21873028" w14:textId="77777777" w:rsidR="006265C6" w:rsidRPr="00330A40" w:rsidRDefault="006265C6" w:rsidP="00330A40">
            <w:pPr>
              <w:keepNext/>
              <w:keepLines/>
              <w:widowControl w:val="0"/>
              <w:rPr>
                <w:sz w:val="20"/>
                <w:lang w:val="it-IT"/>
              </w:rPr>
            </w:pPr>
            <w:r w:rsidRPr="00330A40">
              <w:rPr>
                <w:sz w:val="20"/>
                <w:lang w:val="it-IT"/>
              </w:rPr>
              <w:t>(</w:t>
            </w:r>
            <w:r w:rsidR="00330A40">
              <w:rPr>
                <w:sz w:val="20"/>
                <w:lang w:val="it-IT"/>
              </w:rPr>
              <w:t xml:space="preserve">IC </w:t>
            </w:r>
            <w:r w:rsidR="00831FDE">
              <w:rPr>
                <w:sz w:val="20"/>
                <w:lang w:val="it-IT"/>
              </w:rPr>
              <w:t xml:space="preserve">al </w:t>
            </w:r>
            <w:r w:rsidRPr="00330A40">
              <w:rPr>
                <w:sz w:val="20"/>
                <w:lang w:val="it-IT"/>
              </w:rPr>
              <w:t>95%)</w:t>
            </w:r>
          </w:p>
        </w:tc>
        <w:tc>
          <w:tcPr>
            <w:tcW w:w="1922" w:type="pct"/>
            <w:gridSpan w:val="2"/>
            <w:vAlign w:val="center"/>
          </w:tcPr>
          <w:p w14:paraId="5A4F2813" w14:textId="77777777" w:rsidR="006265C6" w:rsidRPr="00330A40" w:rsidRDefault="006265C6" w:rsidP="00CF0780">
            <w:pPr>
              <w:keepNext/>
              <w:keepLines/>
              <w:jc w:val="center"/>
              <w:rPr>
                <w:sz w:val="20"/>
                <w:lang w:val="it-IT"/>
              </w:rPr>
            </w:pPr>
            <w:r w:rsidRPr="00330A40">
              <w:rPr>
                <w:szCs w:val="22"/>
                <w:lang w:val="it-IT"/>
              </w:rPr>
              <w:t>0,484 [0,388; 0</w:t>
            </w:r>
            <w:r w:rsidR="00E14086" w:rsidRPr="00330A40">
              <w:rPr>
                <w:szCs w:val="22"/>
                <w:lang w:val="it-IT"/>
              </w:rPr>
              <w:t>,</w:t>
            </w:r>
            <w:r w:rsidRPr="00330A40">
              <w:rPr>
                <w:szCs w:val="22"/>
                <w:lang w:val="it-IT"/>
              </w:rPr>
              <w:t>605]</w:t>
            </w:r>
          </w:p>
        </w:tc>
        <w:tc>
          <w:tcPr>
            <w:tcW w:w="1822" w:type="pct"/>
            <w:gridSpan w:val="4"/>
            <w:vAlign w:val="center"/>
          </w:tcPr>
          <w:p w14:paraId="29C14DED" w14:textId="77777777" w:rsidR="006265C6" w:rsidRPr="00330A40" w:rsidRDefault="006265C6" w:rsidP="00CF0780">
            <w:pPr>
              <w:keepNext/>
              <w:keepLines/>
              <w:jc w:val="center"/>
              <w:rPr>
                <w:sz w:val="20"/>
                <w:lang w:val="it-IT"/>
              </w:rPr>
            </w:pPr>
            <w:r w:rsidRPr="00330A40">
              <w:rPr>
                <w:szCs w:val="22"/>
                <w:lang w:val="it-IT"/>
              </w:rPr>
              <w:t>0,451 [0,351; 0,580]</w:t>
            </w:r>
          </w:p>
        </w:tc>
      </w:tr>
      <w:tr w:rsidR="006B5DC7" w:rsidRPr="006A2BF9" w14:paraId="6C1030D7" w14:textId="77777777" w:rsidTr="006B5DC7">
        <w:trPr>
          <w:cantSplit/>
          <w:trHeight w:val="22"/>
        </w:trPr>
        <w:tc>
          <w:tcPr>
            <w:tcW w:w="1256" w:type="pct"/>
          </w:tcPr>
          <w:p w14:paraId="1715D611" w14:textId="77777777" w:rsidR="006B5DC7" w:rsidRPr="006A2BF9" w:rsidRDefault="00450407" w:rsidP="00CF0780">
            <w:pPr>
              <w:keepNext/>
              <w:keepLines/>
              <w:rPr>
                <w:sz w:val="20"/>
                <w:lang w:val="it-IT"/>
              </w:rPr>
            </w:pPr>
            <w:r w:rsidRPr="006A2BF9">
              <w:rPr>
                <w:sz w:val="20"/>
                <w:lang w:val="it-IT"/>
              </w:rPr>
              <w:t xml:space="preserve">Valore </w:t>
            </w:r>
            <w:r w:rsidR="00340523" w:rsidRPr="006A2BF9">
              <w:rPr>
                <w:sz w:val="20"/>
                <w:lang w:val="it-IT"/>
              </w:rPr>
              <w:t xml:space="preserve">di </w:t>
            </w:r>
            <w:r w:rsidRPr="006A2BF9">
              <w:rPr>
                <w:sz w:val="20"/>
                <w:lang w:val="it-IT"/>
              </w:rPr>
              <w:t>p</w:t>
            </w:r>
          </w:p>
        </w:tc>
        <w:tc>
          <w:tcPr>
            <w:tcW w:w="1922" w:type="pct"/>
            <w:gridSpan w:val="2"/>
            <w:vAlign w:val="center"/>
          </w:tcPr>
          <w:p w14:paraId="3BC2054B" w14:textId="77777777" w:rsidR="006B5DC7" w:rsidRPr="006A2BF9" w:rsidRDefault="006B5DC7" w:rsidP="00D84D7A">
            <w:pPr>
              <w:keepNext/>
              <w:keepLines/>
              <w:jc w:val="center"/>
              <w:rPr>
                <w:sz w:val="20"/>
                <w:lang w:val="it-IT"/>
              </w:rPr>
            </w:pPr>
            <w:r w:rsidRPr="006A2BF9">
              <w:rPr>
                <w:sz w:val="20"/>
                <w:lang w:val="it-IT"/>
              </w:rPr>
              <w:t xml:space="preserve"> &lt;</w:t>
            </w:r>
            <w:r w:rsidR="001D1D46" w:rsidRPr="006A2BF9">
              <w:rPr>
                <w:sz w:val="20"/>
                <w:lang w:val="it-IT"/>
              </w:rPr>
              <w:t> </w:t>
            </w:r>
            <w:r w:rsidRPr="006A2BF9">
              <w:rPr>
                <w:sz w:val="20"/>
                <w:lang w:val="it-IT"/>
              </w:rPr>
              <w:t>0</w:t>
            </w:r>
            <w:r w:rsidR="006D2C7A" w:rsidRPr="006A2BF9">
              <w:rPr>
                <w:sz w:val="20"/>
                <w:lang w:val="it-IT"/>
              </w:rPr>
              <w:t>,</w:t>
            </w:r>
            <w:r w:rsidRPr="006A2BF9">
              <w:rPr>
                <w:sz w:val="20"/>
                <w:lang w:val="it-IT"/>
              </w:rPr>
              <w:t>0001</w:t>
            </w:r>
          </w:p>
        </w:tc>
        <w:tc>
          <w:tcPr>
            <w:tcW w:w="1822" w:type="pct"/>
            <w:gridSpan w:val="4"/>
            <w:vAlign w:val="center"/>
          </w:tcPr>
          <w:p w14:paraId="1D51F427" w14:textId="77777777" w:rsidR="006B5DC7" w:rsidRPr="006A2BF9" w:rsidRDefault="006B5DC7" w:rsidP="00CF0780">
            <w:pPr>
              <w:keepNext/>
              <w:keepLines/>
              <w:jc w:val="center"/>
              <w:rPr>
                <w:sz w:val="20"/>
                <w:lang w:val="it-IT"/>
              </w:rPr>
            </w:pPr>
            <w:r w:rsidRPr="006A2BF9">
              <w:rPr>
                <w:sz w:val="20"/>
                <w:lang w:val="it-IT"/>
              </w:rPr>
              <w:t>&lt;</w:t>
            </w:r>
            <w:r w:rsidR="001D1D46" w:rsidRPr="006A2BF9">
              <w:rPr>
                <w:sz w:val="20"/>
                <w:lang w:val="it-IT"/>
              </w:rPr>
              <w:t> </w:t>
            </w:r>
            <w:r w:rsidRPr="006A2BF9">
              <w:rPr>
                <w:sz w:val="20"/>
                <w:lang w:val="it-IT"/>
              </w:rPr>
              <w:t>0</w:t>
            </w:r>
            <w:r w:rsidR="006D2C7A" w:rsidRPr="006A2BF9">
              <w:rPr>
                <w:sz w:val="20"/>
                <w:lang w:val="it-IT"/>
              </w:rPr>
              <w:t>,</w:t>
            </w:r>
            <w:r w:rsidRPr="006A2BF9">
              <w:rPr>
                <w:sz w:val="20"/>
                <w:lang w:val="it-IT"/>
              </w:rPr>
              <w:t>0001</w:t>
            </w:r>
          </w:p>
        </w:tc>
      </w:tr>
      <w:tr w:rsidR="006B5DC7" w:rsidRPr="006A2BF9" w14:paraId="4B3864D3" w14:textId="77777777" w:rsidTr="006B5DC7">
        <w:trPr>
          <w:cantSplit/>
          <w:trHeight w:val="22"/>
        </w:trPr>
        <w:tc>
          <w:tcPr>
            <w:tcW w:w="5000" w:type="pct"/>
            <w:gridSpan w:val="7"/>
          </w:tcPr>
          <w:p w14:paraId="442E9C8B" w14:textId="77777777" w:rsidR="006B5DC7" w:rsidRPr="006A2BF9" w:rsidRDefault="00450407" w:rsidP="00CF0780">
            <w:pPr>
              <w:keepNext/>
              <w:keepLines/>
              <w:rPr>
                <w:sz w:val="20"/>
                <w:lang w:val="it-IT"/>
              </w:rPr>
            </w:pPr>
            <w:r w:rsidRPr="006A2BF9">
              <w:rPr>
                <w:bCs/>
                <w:sz w:val="20"/>
                <w:lang w:val="it-IT"/>
              </w:rPr>
              <w:t>Tasso di risposta obiettiva</w:t>
            </w:r>
          </w:p>
        </w:tc>
      </w:tr>
      <w:tr w:rsidR="006B5DC7" w:rsidRPr="006A2BF9" w14:paraId="5B647091" w14:textId="77777777" w:rsidTr="006B5DC7">
        <w:trPr>
          <w:cantSplit/>
          <w:trHeight w:val="22"/>
        </w:trPr>
        <w:tc>
          <w:tcPr>
            <w:tcW w:w="1256" w:type="pct"/>
          </w:tcPr>
          <w:p w14:paraId="4D80D4CF" w14:textId="77777777" w:rsidR="006B5DC7" w:rsidRPr="006A2BF9" w:rsidRDefault="006B5DC7" w:rsidP="00CF0780">
            <w:pPr>
              <w:keepNext/>
              <w:keepLines/>
              <w:rPr>
                <w:sz w:val="20"/>
                <w:lang w:val="it-IT"/>
              </w:rPr>
            </w:pPr>
          </w:p>
        </w:tc>
        <w:tc>
          <w:tcPr>
            <w:tcW w:w="1922" w:type="pct"/>
            <w:gridSpan w:val="2"/>
            <w:vAlign w:val="center"/>
          </w:tcPr>
          <w:p w14:paraId="6270E117" w14:textId="77777777" w:rsidR="006B5DC7" w:rsidRPr="006A2BF9" w:rsidRDefault="00450407" w:rsidP="00CF0780">
            <w:pPr>
              <w:keepNext/>
              <w:keepLines/>
              <w:jc w:val="center"/>
              <w:rPr>
                <w:sz w:val="20"/>
                <w:lang w:val="it-IT"/>
              </w:rPr>
            </w:pPr>
            <w:r w:rsidRPr="006A2BF9">
              <w:rPr>
                <w:sz w:val="20"/>
                <w:lang w:val="it-IT"/>
              </w:rPr>
              <w:t>Valutazione dello sperimentatore</w:t>
            </w:r>
          </w:p>
        </w:tc>
        <w:tc>
          <w:tcPr>
            <w:tcW w:w="1822" w:type="pct"/>
            <w:gridSpan w:val="4"/>
            <w:vAlign w:val="center"/>
          </w:tcPr>
          <w:p w14:paraId="1F780BAB" w14:textId="77777777" w:rsidR="006B5DC7" w:rsidRPr="006A2BF9" w:rsidRDefault="008E7C7B" w:rsidP="00CF0780">
            <w:pPr>
              <w:keepNext/>
              <w:keepLines/>
              <w:jc w:val="center"/>
              <w:rPr>
                <w:sz w:val="20"/>
                <w:lang w:val="it-IT"/>
              </w:rPr>
            </w:pPr>
            <w:r w:rsidRPr="006A2BF9">
              <w:rPr>
                <w:sz w:val="20"/>
                <w:u w:val="single"/>
                <w:lang w:val="it-IT"/>
              </w:rPr>
              <w:t xml:space="preserve">Valutazione </w:t>
            </w:r>
            <w:r w:rsidR="006B5DC7" w:rsidRPr="006A2BF9">
              <w:rPr>
                <w:sz w:val="20"/>
                <w:u w:val="single"/>
                <w:lang w:val="it-IT"/>
              </w:rPr>
              <w:t>IR</w:t>
            </w:r>
            <w:r w:rsidRPr="006A2BF9">
              <w:rPr>
                <w:sz w:val="20"/>
                <w:u w:val="single"/>
                <w:lang w:val="it-IT"/>
              </w:rPr>
              <w:t>C</w:t>
            </w:r>
          </w:p>
        </w:tc>
      </w:tr>
      <w:tr w:rsidR="006B5DC7" w:rsidRPr="006A2BF9" w14:paraId="7D809FF3" w14:textId="77777777" w:rsidTr="006B5DC7">
        <w:trPr>
          <w:cantSplit/>
          <w:trHeight w:val="22"/>
        </w:trPr>
        <w:tc>
          <w:tcPr>
            <w:tcW w:w="1256" w:type="pct"/>
          </w:tcPr>
          <w:p w14:paraId="373F5586" w14:textId="77777777" w:rsidR="006B5DC7" w:rsidRPr="006A2BF9" w:rsidRDefault="006B5DC7" w:rsidP="00CF0780">
            <w:pPr>
              <w:keepNext/>
              <w:keepLines/>
              <w:rPr>
                <w:sz w:val="20"/>
                <w:lang w:val="it-IT"/>
              </w:rPr>
            </w:pPr>
          </w:p>
        </w:tc>
        <w:tc>
          <w:tcPr>
            <w:tcW w:w="907" w:type="pct"/>
            <w:vAlign w:val="center"/>
          </w:tcPr>
          <w:p w14:paraId="13C0D045" w14:textId="77777777" w:rsidR="006B5DC7" w:rsidRPr="006A2BF9" w:rsidRDefault="006B5DC7" w:rsidP="00CF0780">
            <w:pPr>
              <w:pStyle w:val="NormalWeb"/>
              <w:keepNext/>
              <w:keepLines/>
              <w:widowControl w:val="0"/>
              <w:jc w:val="center"/>
              <w:rPr>
                <w:sz w:val="20"/>
                <w:szCs w:val="20"/>
                <w:lang w:val="it-IT"/>
              </w:rPr>
            </w:pPr>
            <w:r w:rsidRPr="006A2BF9">
              <w:rPr>
                <w:sz w:val="20"/>
                <w:szCs w:val="20"/>
                <w:lang w:val="it-IT"/>
              </w:rPr>
              <w:t>Placebo</w:t>
            </w:r>
            <w:r w:rsidR="001D1D46" w:rsidRPr="006A2BF9">
              <w:rPr>
                <w:sz w:val="20"/>
                <w:szCs w:val="20"/>
                <w:lang w:val="it-IT"/>
              </w:rPr>
              <w:t> </w:t>
            </w:r>
            <w:r w:rsidRPr="006A2BF9">
              <w:rPr>
                <w:sz w:val="20"/>
                <w:szCs w:val="20"/>
                <w:lang w:val="it-IT"/>
              </w:rPr>
              <w:t>+</w:t>
            </w:r>
            <w:r w:rsidR="001D1D46" w:rsidRPr="006A2BF9">
              <w:rPr>
                <w:sz w:val="20"/>
                <w:szCs w:val="20"/>
                <w:lang w:val="it-IT"/>
              </w:rPr>
              <w:t> </w:t>
            </w:r>
            <w:r w:rsidRPr="006A2BF9">
              <w:rPr>
                <w:sz w:val="20"/>
                <w:szCs w:val="20"/>
                <w:lang w:val="it-IT"/>
              </w:rPr>
              <w:t xml:space="preserve">C/G </w:t>
            </w:r>
          </w:p>
          <w:p w14:paraId="6702B1B1" w14:textId="77777777" w:rsidR="006B5DC7" w:rsidRPr="006A2BF9" w:rsidRDefault="006B5DC7" w:rsidP="00CF0780">
            <w:pPr>
              <w:pStyle w:val="NormalWeb"/>
              <w:keepNext/>
              <w:keepLines/>
              <w:widowControl w:val="0"/>
              <w:jc w:val="center"/>
              <w:rPr>
                <w:sz w:val="20"/>
                <w:szCs w:val="20"/>
                <w:lang w:val="it-IT"/>
              </w:rPr>
            </w:pPr>
            <w:r w:rsidRPr="006A2BF9">
              <w:rPr>
                <w:sz w:val="20"/>
                <w:szCs w:val="20"/>
                <w:lang w:val="it-IT"/>
              </w:rPr>
              <w:t>(n</w:t>
            </w:r>
            <w:r w:rsidR="001D1D46" w:rsidRPr="006A2BF9">
              <w:rPr>
                <w:sz w:val="20"/>
                <w:szCs w:val="20"/>
                <w:lang w:val="it-IT"/>
              </w:rPr>
              <w:t> </w:t>
            </w:r>
            <w:r w:rsidRPr="006A2BF9">
              <w:rPr>
                <w:sz w:val="20"/>
                <w:szCs w:val="20"/>
                <w:lang w:val="it-IT"/>
              </w:rPr>
              <w:t>=</w:t>
            </w:r>
            <w:r w:rsidR="001D1D46" w:rsidRPr="006A2BF9">
              <w:rPr>
                <w:sz w:val="20"/>
                <w:szCs w:val="20"/>
                <w:lang w:val="it-IT"/>
              </w:rPr>
              <w:t> </w:t>
            </w:r>
            <w:r w:rsidRPr="006A2BF9">
              <w:rPr>
                <w:sz w:val="20"/>
                <w:szCs w:val="20"/>
                <w:lang w:val="it-IT"/>
              </w:rPr>
              <w:t>242)</w:t>
            </w:r>
          </w:p>
        </w:tc>
        <w:tc>
          <w:tcPr>
            <w:tcW w:w="1015" w:type="pct"/>
            <w:vAlign w:val="center"/>
          </w:tcPr>
          <w:p w14:paraId="6D67D034" w14:textId="77777777" w:rsidR="006B5DC7" w:rsidRPr="006A2BF9" w:rsidRDefault="00DE5F21" w:rsidP="00CF0780">
            <w:pPr>
              <w:pStyle w:val="TextTi12"/>
              <w:keepNext/>
              <w:keepLines/>
              <w:spacing w:after="0"/>
              <w:jc w:val="center"/>
              <w:rPr>
                <w:sz w:val="20"/>
                <w:lang w:val="it-IT"/>
              </w:rPr>
            </w:pPr>
            <w:r w:rsidRPr="006A2BF9">
              <w:rPr>
                <w:sz w:val="20"/>
                <w:lang w:val="it-IT"/>
              </w:rPr>
              <w:t>Bevacizumab</w:t>
            </w:r>
            <w:r w:rsidR="001D1D46" w:rsidRPr="006A2BF9">
              <w:rPr>
                <w:szCs w:val="22"/>
                <w:lang w:val="it-IT"/>
              </w:rPr>
              <w:t> </w:t>
            </w:r>
            <w:r w:rsidR="006B5DC7" w:rsidRPr="006A2BF9">
              <w:rPr>
                <w:sz w:val="20"/>
                <w:lang w:val="it-IT"/>
              </w:rPr>
              <w:t>+</w:t>
            </w:r>
            <w:r w:rsidR="001D1D46" w:rsidRPr="006A2BF9">
              <w:rPr>
                <w:sz w:val="20"/>
                <w:lang w:val="it-IT"/>
              </w:rPr>
              <w:t> </w:t>
            </w:r>
            <w:r w:rsidR="006B5DC7" w:rsidRPr="006A2BF9">
              <w:rPr>
                <w:sz w:val="20"/>
                <w:lang w:val="it-IT"/>
              </w:rPr>
              <w:t xml:space="preserve">C/G </w:t>
            </w:r>
          </w:p>
          <w:p w14:paraId="42AB533A" w14:textId="77777777" w:rsidR="006B5DC7" w:rsidRPr="006A2BF9" w:rsidRDefault="006B5DC7" w:rsidP="00CF0780">
            <w:pPr>
              <w:keepNext/>
              <w:keepLines/>
              <w:jc w:val="center"/>
              <w:rPr>
                <w:sz w:val="20"/>
                <w:lang w:val="it-IT"/>
              </w:rPr>
            </w:pPr>
            <w:r w:rsidRPr="006A2BF9">
              <w:rPr>
                <w:sz w:val="20"/>
                <w:lang w:val="it-IT"/>
              </w:rPr>
              <w:t>(n</w:t>
            </w:r>
            <w:r w:rsidR="001D1D46" w:rsidRPr="006A2BF9">
              <w:rPr>
                <w:sz w:val="20"/>
                <w:lang w:val="it-IT"/>
              </w:rPr>
              <w:t> </w:t>
            </w:r>
            <w:r w:rsidRPr="006A2BF9">
              <w:rPr>
                <w:sz w:val="20"/>
                <w:lang w:val="it-IT"/>
              </w:rPr>
              <w:t>=</w:t>
            </w:r>
            <w:r w:rsidR="001D1D46" w:rsidRPr="006A2BF9">
              <w:rPr>
                <w:sz w:val="20"/>
                <w:lang w:val="it-IT"/>
              </w:rPr>
              <w:t> </w:t>
            </w:r>
            <w:r w:rsidRPr="006A2BF9">
              <w:rPr>
                <w:sz w:val="20"/>
                <w:lang w:val="it-IT"/>
              </w:rPr>
              <w:t>242</w:t>
            </w:r>
            <w:r w:rsidRPr="006A2BF9">
              <w:rPr>
                <w:iCs/>
                <w:sz w:val="20"/>
                <w:lang w:val="it-IT"/>
              </w:rPr>
              <w:t>)</w:t>
            </w:r>
          </w:p>
        </w:tc>
        <w:tc>
          <w:tcPr>
            <w:tcW w:w="876" w:type="pct"/>
            <w:gridSpan w:val="3"/>
          </w:tcPr>
          <w:p w14:paraId="41A4A71F" w14:textId="77777777" w:rsidR="006B5DC7" w:rsidRPr="006A2BF9" w:rsidRDefault="006B5DC7" w:rsidP="00CF0780">
            <w:pPr>
              <w:keepNext/>
              <w:keepLines/>
              <w:jc w:val="center"/>
              <w:rPr>
                <w:sz w:val="20"/>
                <w:lang w:val="it-IT"/>
              </w:rPr>
            </w:pPr>
            <w:r w:rsidRPr="006A2BF9">
              <w:rPr>
                <w:sz w:val="20"/>
                <w:lang w:val="it-IT"/>
              </w:rPr>
              <w:t>Placebo</w:t>
            </w:r>
            <w:r w:rsidR="001D1D46" w:rsidRPr="006A2BF9">
              <w:rPr>
                <w:sz w:val="20"/>
                <w:lang w:val="it-IT"/>
              </w:rPr>
              <w:t> </w:t>
            </w:r>
            <w:r w:rsidRPr="006A2BF9">
              <w:rPr>
                <w:sz w:val="20"/>
                <w:lang w:val="it-IT"/>
              </w:rPr>
              <w:t>+</w:t>
            </w:r>
            <w:r w:rsidR="001D1D46" w:rsidRPr="006A2BF9">
              <w:rPr>
                <w:sz w:val="20"/>
                <w:lang w:val="it-IT"/>
              </w:rPr>
              <w:t> </w:t>
            </w:r>
            <w:r w:rsidRPr="006A2BF9">
              <w:rPr>
                <w:sz w:val="20"/>
                <w:lang w:val="it-IT"/>
              </w:rPr>
              <w:t>C/G (n</w:t>
            </w:r>
            <w:r w:rsidR="001D1D46" w:rsidRPr="006A2BF9">
              <w:rPr>
                <w:sz w:val="20"/>
                <w:lang w:val="it-IT"/>
              </w:rPr>
              <w:t> </w:t>
            </w:r>
            <w:r w:rsidRPr="006A2BF9">
              <w:rPr>
                <w:sz w:val="20"/>
                <w:lang w:val="it-IT"/>
              </w:rPr>
              <w:t>=</w:t>
            </w:r>
            <w:r w:rsidR="001D1D46" w:rsidRPr="006A2BF9">
              <w:rPr>
                <w:sz w:val="20"/>
                <w:lang w:val="it-IT"/>
              </w:rPr>
              <w:t> </w:t>
            </w:r>
            <w:r w:rsidRPr="006A2BF9">
              <w:rPr>
                <w:sz w:val="20"/>
                <w:lang w:val="it-IT"/>
              </w:rPr>
              <w:t>242)</w:t>
            </w:r>
          </w:p>
        </w:tc>
        <w:tc>
          <w:tcPr>
            <w:tcW w:w="946" w:type="pct"/>
          </w:tcPr>
          <w:p w14:paraId="64AC1BF0" w14:textId="77777777" w:rsidR="006B5DC7" w:rsidRPr="006A2BF9" w:rsidRDefault="00DE5F21" w:rsidP="00CF0780">
            <w:pPr>
              <w:pStyle w:val="TextTi12"/>
              <w:keepNext/>
              <w:keepLines/>
              <w:spacing w:after="0"/>
              <w:jc w:val="center"/>
              <w:rPr>
                <w:sz w:val="20"/>
                <w:lang w:val="it-IT"/>
              </w:rPr>
            </w:pPr>
            <w:r w:rsidRPr="006A2BF9">
              <w:rPr>
                <w:sz w:val="20"/>
                <w:lang w:val="it-IT"/>
              </w:rPr>
              <w:t>Bevacizumab</w:t>
            </w:r>
            <w:r w:rsidR="001D1D46" w:rsidRPr="006A2BF9">
              <w:rPr>
                <w:szCs w:val="22"/>
                <w:lang w:val="it-IT"/>
              </w:rPr>
              <w:t> </w:t>
            </w:r>
            <w:r w:rsidR="006B5DC7" w:rsidRPr="006A2BF9">
              <w:rPr>
                <w:sz w:val="20"/>
                <w:lang w:val="it-IT"/>
              </w:rPr>
              <w:t>+</w:t>
            </w:r>
            <w:r w:rsidR="001D1D46" w:rsidRPr="006A2BF9">
              <w:rPr>
                <w:sz w:val="20"/>
                <w:lang w:val="it-IT"/>
              </w:rPr>
              <w:t> </w:t>
            </w:r>
            <w:r w:rsidR="006B5DC7" w:rsidRPr="006A2BF9">
              <w:rPr>
                <w:sz w:val="20"/>
                <w:lang w:val="it-IT"/>
              </w:rPr>
              <w:t xml:space="preserve">C/G </w:t>
            </w:r>
          </w:p>
          <w:p w14:paraId="39B8B18F" w14:textId="77777777" w:rsidR="006B5DC7" w:rsidRPr="006A2BF9" w:rsidRDefault="006B5DC7" w:rsidP="00CF0780">
            <w:pPr>
              <w:pStyle w:val="TextTi12"/>
              <w:keepNext/>
              <w:keepLines/>
              <w:spacing w:after="0"/>
              <w:jc w:val="center"/>
              <w:rPr>
                <w:sz w:val="20"/>
                <w:lang w:val="it-IT"/>
              </w:rPr>
            </w:pPr>
            <w:r w:rsidRPr="006A2BF9">
              <w:rPr>
                <w:sz w:val="20"/>
                <w:lang w:val="it-IT"/>
              </w:rPr>
              <w:t>(n</w:t>
            </w:r>
            <w:r w:rsidR="001D1D46" w:rsidRPr="006A2BF9">
              <w:rPr>
                <w:sz w:val="20"/>
                <w:lang w:val="it-IT"/>
              </w:rPr>
              <w:t> </w:t>
            </w:r>
            <w:r w:rsidRPr="006A2BF9">
              <w:rPr>
                <w:sz w:val="20"/>
                <w:lang w:val="it-IT"/>
              </w:rPr>
              <w:t>=</w:t>
            </w:r>
            <w:r w:rsidR="001D1D46" w:rsidRPr="006A2BF9">
              <w:rPr>
                <w:sz w:val="20"/>
                <w:lang w:val="it-IT"/>
              </w:rPr>
              <w:t> </w:t>
            </w:r>
            <w:r w:rsidRPr="006A2BF9">
              <w:rPr>
                <w:sz w:val="20"/>
                <w:lang w:val="it-IT"/>
              </w:rPr>
              <w:t>242)</w:t>
            </w:r>
          </w:p>
        </w:tc>
      </w:tr>
      <w:tr w:rsidR="006B5DC7" w:rsidRPr="006A2BF9" w14:paraId="31793223" w14:textId="77777777" w:rsidTr="006B5DC7">
        <w:trPr>
          <w:cantSplit/>
          <w:trHeight w:val="22"/>
        </w:trPr>
        <w:tc>
          <w:tcPr>
            <w:tcW w:w="1256" w:type="pct"/>
          </w:tcPr>
          <w:p w14:paraId="4A8527C9" w14:textId="77777777" w:rsidR="006B5DC7" w:rsidRPr="006A2BF9" w:rsidRDefault="006B5DC7" w:rsidP="00CF0780">
            <w:pPr>
              <w:keepNext/>
              <w:keepLines/>
              <w:rPr>
                <w:sz w:val="20"/>
                <w:lang w:val="it-IT"/>
              </w:rPr>
            </w:pPr>
            <w:r w:rsidRPr="006A2BF9">
              <w:rPr>
                <w:sz w:val="20"/>
                <w:lang w:val="it-IT"/>
              </w:rPr>
              <w:t xml:space="preserve">% </w:t>
            </w:r>
            <w:r w:rsidR="00450407" w:rsidRPr="006A2BF9">
              <w:rPr>
                <w:sz w:val="20"/>
                <w:lang w:val="it-IT"/>
              </w:rPr>
              <w:t>pazienti con risposta obiettiva</w:t>
            </w:r>
          </w:p>
        </w:tc>
        <w:tc>
          <w:tcPr>
            <w:tcW w:w="907" w:type="pct"/>
            <w:vAlign w:val="center"/>
          </w:tcPr>
          <w:p w14:paraId="71542342" w14:textId="77777777" w:rsidR="006B5DC7" w:rsidRPr="006A2BF9" w:rsidRDefault="006B5DC7" w:rsidP="00CF0780">
            <w:pPr>
              <w:keepNext/>
              <w:keepLines/>
              <w:jc w:val="center"/>
              <w:rPr>
                <w:sz w:val="20"/>
                <w:lang w:val="it-IT"/>
              </w:rPr>
            </w:pPr>
            <w:r w:rsidRPr="006A2BF9">
              <w:rPr>
                <w:sz w:val="20"/>
                <w:lang w:val="it-IT"/>
              </w:rPr>
              <w:t>57</w:t>
            </w:r>
            <w:r w:rsidR="006D2C7A" w:rsidRPr="006A2BF9">
              <w:rPr>
                <w:sz w:val="20"/>
                <w:lang w:val="it-IT"/>
              </w:rPr>
              <w:t>,</w:t>
            </w:r>
            <w:r w:rsidRPr="006A2BF9">
              <w:rPr>
                <w:sz w:val="20"/>
                <w:lang w:val="it-IT"/>
              </w:rPr>
              <w:t>4%</w:t>
            </w:r>
          </w:p>
        </w:tc>
        <w:tc>
          <w:tcPr>
            <w:tcW w:w="1015" w:type="pct"/>
            <w:vAlign w:val="center"/>
          </w:tcPr>
          <w:p w14:paraId="43D981A1" w14:textId="77777777" w:rsidR="006B5DC7" w:rsidRPr="006A2BF9" w:rsidRDefault="006B5DC7" w:rsidP="00CF0780">
            <w:pPr>
              <w:keepNext/>
              <w:keepLines/>
              <w:jc w:val="center"/>
              <w:rPr>
                <w:sz w:val="20"/>
                <w:lang w:val="it-IT"/>
              </w:rPr>
            </w:pPr>
            <w:r w:rsidRPr="006A2BF9">
              <w:rPr>
                <w:sz w:val="20"/>
                <w:lang w:val="it-IT"/>
              </w:rPr>
              <w:t>78</w:t>
            </w:r>
            <w:r w:rsidR="006D2C7A" w:rsidRPr="006A2BF9">
              <w:rPr>
                <w:sz w:val="20"/>
                <w:lang w:val="it-IT"/>
              </w:rPr>
              <w:t>,</w:t>
            </w:r>
            <w:r w:rsidRPr="006A2BF9">
              <w:rPr>
                <w:sz w:val="20"/>
                <w:lang w:val="it-IT"/>
              </w:rPr>
              <w:t>5%</w:t>
            </w:r>
          </w:p>
        </w:tc>
        <w:tc>
          <w:tcPr>
            <w:tcW w:w="876" w:type="pct"/>
            <w:gridSpan w:val="3"/>
            <w:vAlign w:val="center"/>
          </w:tcPr>
          <w:p w14:paraId="0A4ED1A3" w14:textId="77777777" w:rsidR="006B5DC7" w:rsidRPr="006A2BF9" w:rsidRDefault="006B5DC7" w:rsidP="00CF0780">
            <w:pPr>
              <w:keepNext/>
              <w:keepLines/>
              <w:jc w:val="center"/>
              <w:rPr>
                <w:sz w:val="20"/>
                <w:lang w:val="it-IT"/>
              </w:rPr>
            </w:pPr>
            <w:r w:rsidRPr="006A2BF9">
              <w:rPr>
                <w:sz w:val="20"/>
                <w:lang w:val="it-IT"/>
              </w:rPr>
              <w:t>53</w:t>
            </w:r>
            <w:r w:rsidR="006D2C7A" w:rsidRPr="006A2BF9">
              <w:rPr>
                <w:sz w:val="20"/>
                <w:lang w:val="it-IT"/>
              </w:rPr>
              <w:t>,</w:t>
            </w:r>
            <w:r w:rsidRPr="006A2BF9">
              <w:rPr>
                <w:sz w:val="20"/>
                <w:lang w:val="it-IT"/>
              </w:rPr>
              <w:t>7%</w:t>
            </w:r>
          </w:p>
        </w:tc>
        <w:tc>
          <w:tcPr>
            <w:tcW w:w="946" w:type="pct"/>
            <w:vAlign w:val="center"/>
          </w:tcPr>
          <w:p w14:paraId="0CCD0D05" w14:textId="77777777" w:rsidR="006B5DC7" w:rsidRPr="006A2BF9" w:rsidRDefault="006B5DC7" w:rsidP="00CF0780">
            <w:pPr>
              <w:keepNext/>
              <w:keepLines/>
              <w:jc w:val="center"/>
              <w:rPr>
                <w:sz w:val="20"/>
                <w:lang w:val="it-IT"/>
              </w:rPr>
            </w:pPr>
            <w:r w:rsidRPr="006A2BF9">
              <w:rPr>
                <w:sz w:val="20"/>
                <w:lang w:val="it-IT"/>
              </w:rPr>
              <w:t>74</w:t>
            </w:r>
            <w:r w:rsidR="006D2C7A" w:rsidRPr="006A2BF9">
              <w:rPr>
                <w:sz w:val="20"/>
                <w:lang w:val="it-IT"/>
              </w:rPr>
              <w:t>,</w:t>
            </w:r>
            <w:r w:rsidRPr="006A2BF9">
              <w:rPr>
                <w:sz w:val="20"/>
                <w:lang w:val="it-IT"/>
              </w:rPr>
              <w:t>8%</w:t>
            </w:r>
          </w:p>
        </w:tc>
      </w:tr>
      <w:tr w:rsidR="006B5DC7" w:rsidRPr="006A2BF9" w14:paraId="00F543B7" w14:textId="77777777" w:rsidTr="006B5DC7">
        <w:trPr>
          <w:cantSplit/>
          <w:trHeight w:val="22"/>
        </w:trPr>
        <w:tc>
          <w:tcPr>
            <w:tcW w:w="1256" w:type="pct"/>
          </w:tcPr>
          <w:p w14:paraId="118540D5" w14:textId="77777777" w:rsidR="006B5DC7" w:rsidRPr="006A2BF9" w:rsidRDefault="00450407" w:rsidP="00CF0780">
            <w:pPr>
              <w:keepNext/>
              <w:keepLines/>
              <w:rPr>
                <w:sz w:val="20"/>
                <w:lang w:val="it-IT"/>
              </w:rPr>
            </w:pPr>
            <w:r w:rsidRPr="006A2BF9">
              <w:rPr>
                <w:sz w:val="20"/>
                <w:lang w:val="it-IT"/>
              </w:rPr>
              <w:t>Valore</w:t>
            </w:r>
            <w:r w:rsidR="00340523" w:rsidRPr="006A2BF9">
              <w:rPr>
                <w:sz w:val="20"/>
                <w:lang w:val="it-IT"/>
              </w:rPr>
              <w:t xml:space="preserve"> di</w:t>
            </w:r>
            <w:r w:rsidRPr="006A2BF9">
              <w:rPr>
                <w:sz w:val="20"/>
                <w:lang w:val="it-IT"/>
              </w:rPr>
              <w:t xml:space="preserve"> p</w:t>
            </w:r>
          </w:p>
        </w:tc>
        <w:tc>
          <w:tcPr>
            <w:tcW w:w="1922" w:type="pct"/>
            <w:gridSpan w:val="2"/>
            <w:vAlign w:val="center"/>
          </w:tcPr>
          <w:p w14:paraId="4014F63C" w14:textId="77777777" w:rsidR="006B5DC7" w:rsidRPr="006A2BF9" w:rsidRDefault="006B5DC7" w:rsidP="00CF0780">
            <w:pPr>
              <w:keepNext/>
              <w:keepLines/>
              <w:jc w:val="center"/>
              <w:rPr>
                <w:sz w:val="20"/>
                <w:lang w:val="it-IT"/>
              </w:rPr>
            </w:pPr>
            <w:r w:rsidRPr="006A2BF9">
              <w:rPr>
                <w:sz w:val="20"/>
                <w:lang w:val="it-IT"/>
              </w:rPr>
              <w:t>&lt;</w:t>
            </w:r>
            <w:r w:rsidR="001D1D46" w:rsidRPr="006A2BF9">
              <w:rPr>
                <w:sz w:val="20"/>
                <w:lang w:val="it-IT"/>
              </w:rPr>
              <w:t> </w:t>
            </w:r>
            <w:r w:rsidRPr="006A2BF9">
              <w:rPr>
                <w:sz w:val="20"/>
                <w:lang w:val="it-IT"/>
              </w:rPr>
              <w:t>0</w:t>
            </w:r>
            <w:r w:rsidR="006D2C7A" w:rsidRPr="006A2BF9">
              <w:rPr>
                <w:sz w:val="20"/>
                <w:lang w:val="it-IT"/>
              </w:rPr>
              <w:t>,</w:t>
            </w:r>
            <w:r w:rsidRPr="006A2BF9">
              <w:rPr>
                <w:sz w:val="20"/>
                <w:lang w:val="it-IT"/>
              </w:rPr>
              <w:t>0001</w:t>
            </w:r>
          </w:p>
        </w:tc>
        <w:tc>
          <w:tcPr>
            <w:tcW w:w="1822" w:type="pct"/>
            <w:gridSpan w:val="4"/>
            <w:vAlign w:val="center"/>
          </w:tcPr>
          <w:p w14:paraId="7F3720E1" w14:textId="77777777" w:rsidR="006B5DC7" w:rsidRPr="006A2BF9" w:rsidRDefault="006B5DC7" w:rsidP="00CF0780">
            <w:pPr>
              <w:keepNext/>
              <w:keepLines/>
              <w:jc w:val="center"/>
              <w:rPr>
                <w:sz w:val="20"/>
                <w:lang w:val="it-IT"/>
              </w:rPr>
            </w:pPr>
            <w:r w:rsidRPr="006A2BF9">
              <w:rPr>
                <w:sz w:val="20"/>
                <w:lang w:val="it-IT"/>
              </w:rPr>
              <w:t>&lt;</w:t>
            </w:r>
            <w:r w:rsidR="001D1D46" w:rsidRPr="006A2BF9">
              <w:rPr>
                <w:sz w:val="20"/>
                <w:lang w:val="it-IT"/>
              </w:rPr>
              <w:t> </w:t>
            </w:r>
            <w:r w:rsidRPr="006A2BF9">
              <w:rPr>
                <w:sz w:val="20"/>
                <w:lang w:val="it-IT"/>
              </w:rPr>
              <w:t>0</w:t>
            </w:r>
            <w:r w:rsidR="006D2C7A" w:rsidRPr="006A2BF9">
              <w:rPr>
                <w:sz w:val="20"/>
                <w:lang w:val="it-IT"/>
              </w:rPr>
              <w:t>,</w:t>
            </w:r>
            <w:r w:rsidRPr="006A2BF9">
              <w:rPr>
                <w:sz w:val="20"/>
                <w:lang w:val="it-IT"/>
              </w:rPr>
              <w:t>0001</w:t>
            </w:r>
          </w:p>
        </w:tc>
      </w:tr>
      <w:tr w:rsidR="006B5DC7" w:rsidRPr="006A2BF9" w14:paraId="3BF1B77D" w14:textId="77777777" w:rsidTr="006B5DC7">
        <w:trPr>
          <w:cantSplit/>
          <w:trHeight w:val="22"/>
        </w:trPr>
        <w:tc>
          <w:tcPr>
            <w:tcW w:w="5000" w:type="pct"/>
            <w:gridSpan w:val="7"/>
          </w:tcPr>
          <w:p w14:paraId="5C336D37" w14:textId="77777777" w:rsidR="006B5DC7" w:rsidRPr="006A2BF9" w:rsidRDefault="00450407" w:rsidP="000438CB">
            <w:pPr>
              <w:keepNext/>
              <w:keepLines/>
              <w:rPr>
                <w:sz w:val="20"/>
                <w:lang w:val="it-IT"/>
              </w:rPr>
            </w:pPr>
            <w:r w:rsidRPr="006A2BF9">
              <w:rPr>
                <w:bCs/>
                <w:sz w:val="20"/>
                <w:lang w:val="it-IT"/>
              </w:rPr>
              <w:t>Sopravvivenza globale</w:t>
            </w:r>
          </w:p>
        </w:tc>
      </w:tr>
      <w:tr w:rsidR="006B5DC7" w:rsidRPr="006A2BF9" w14:paraId="2A89970F" w14:textId="77777777" w:rsidTr="006B5DC7">
        <w:trPr>
          <w:cantSplit/>
          <w:trHeight w:val="22"/>
        </w:trPr>
        <w:tc>
          <w:tcPr>
            <w:tcW w:w="1256" w:type="pct"/>
          </w:tcPr>
          <w:p w14:paraId="431919EA" w14:textId="77777777" w:rsidR="006B5DC7" w:rsidRPr="006A2BF9" w:rsidRDefault="006B5DC7" w:rsidP="00CF0780">
            <w:pPr>
              <w:keepNext/>
              <w:keepLines/>
              <w:rPr>
                <w:sz w:val="20"/>
                <w:lang w:val="it-IT"/>
              </w:rPr>
            </w:pPr>
          </w:p>
        </w:tc>
        <w:tc>
          <w:tcPr>
            <w:tcW w:w="2116" w:type="pct"/>
            <w:gridSpan w:val="3"/>
            <w:vAlign w:val="center"/>
          </w:tcPr>
          <w:p w14:paraId="3504083D" w14:textId="77777777" w:rsidR="006B5DC7" w:rsidRPr="006A2BF9" w:rsidRDefault="006B5DC7" w:rsidP="00CF0780">
            <w:pPr>
              <w:pStyle w:val="NormalWeb"/>
              <w:keepNext/>
              <w:keepLines/>
              <w:widowControl w:val="0"/>
              <w:jc w:val="center"/>
              <w:rPr>
                <w:sz w:val="20"/>
                <w:szCs w:val="20"/>
                <w:lang w:val="it-IT"/>
              </w:rPr>
            </w:pPr>
            <w:r w:rsidRPr="006A2BF9">
              <w:rPr>
                <w:sz w:val="20"/>
                <w:szCs w:val="20"/>
                <w:lang w:val="it-IT"/>
              </w:rPr>
              <w:t>Placebo</w:t>
            </w:r>
            <w:r w:rsidR="001D1D46" w:rsidRPr="006A2BF9">
              <w:rPr>
                <w:sz w:val="20"/>
                <w:szCs w:val="20"/>
                <w:lang w:val="it-IT"/>
              </w:rPr>
              <w:t> </w:t>
            </w:r>
            <w:r w:rsidRPr="006A2BF9">
              <w:rPr>
                <w:sz w:val="20"/>
                <w:szCs w:val="20"/>
                <w:lang w:val="it-IT"/>
              </w:rPr>
              <w:t>+</w:t>
            </w:r>
            <w:r w:rsidR="001D1D46" w:rsidRPr="006A2BF9">
              <w:rPr>
                <w:sz w:val="20"/>
                <w:szCs w:val="20"/>
                <w:lang w:val="it-IT"/>
              </w:rPr>
              <w:t> </w:t>
            </w:r>
            <w:r w:rsidRPr="006A2BF9">
              <w:rPr>
                <w:sz w:val="20"/>
                <w:szCs w:val="20"/>
                <w:lang w:val="it-IT"/>
              </w:rPr>
              <w:t xml:space="preserve">C/G </w:t>
            </w:r>
          </w:p>
          <w:p w14:paraId="76BCEB04" w14:textId="77777777" w:rsidR="006B5DC7" w:rsidRPr="006A2BF9" w:rsidRDefault="006B5DC7" w:rsidP="00CF0780">
            <w:pPr>
              <w:keepNext/>
              <w:keepLines/>
              <w:jc w:val="center"/>
              <w:rPr>
                <w:sz w:val="20"/>
                <w:lang w:val="it-IT"/>
              </w:rPr>
            </w:pPr>
            <w:r w:rsidRPr="006A2BF9">
              <w:rPr>
                <w:sz w:val="20"/>
                <w:lang w:val="it-IT"/>
              </w:rPr>
              <w:t>(n</w:t>
            </w:r>
            <w:r w:rsidR="001D1D46" w:rsidRPr="006A2BF9">
              <w:rPr>
                <w:sz w:val="20"/>
                <w:lang w:val="it-IT"/>
              </w:rPr>
              <w:t> </w:t>
            </w:r>
            <w:r w:rsidRPr="006A2BF9">
              <w:rPr>
                <w:sz w:val="20"/>
                <w:lang w:val="it-IT"/>
              </w:rPr>
              <w:t>=</w:t>
            </w:r>
            <w:r w:rsidR="001D1D46" w:rsidRPr="006A2BF9">
              <w:rPr>
                <w:sz w:val="20"/>
                <w:lang w:val="it-IT"/>
              </w:rPr>
              <w:t> </w:t>
            </w:r>
            <w:r w:rsidRPr="006A2BF9">
              <w:rPr>
                <w:sz w:val="20"/>
                <w:lang w:val="it-IT"/>
              </w:rPr>
              <w:t>242)</w:t>
            </w:r>
          </w:p>
        </w:tc>
        <w:tc>
          <w:tcPr>
            <w:tcW w:w="1628" w:type="pct"/>
            <w:gridSpan w:val="3"/>
            <w:vAlign w:val="center"/>
          </w:tcPr>
          <w:p w14:paraId="4890F702" w14:textId="77777777" w:rsidR="006B5DC7" w:rsidRPr="006A2BF9" w:rsidRDefault="00DE5F21" w:rsidP="00CF0780">
            <w:pPr>
              <w:pStyle w:val="TextTi12"/>
              <w:keepNext/>
              <w:keepLines/>
              <w:spacing w:after="0"/>
              <w:jc w:val="center"/>
              <w:rPr>
                <w:sz w:val="20"/>
                <w:lang w:val="it-IT"/>
              </w:rPr>
            </w:pPr>
            <w:r w:rsidRPr="006A2BF9">
              <w:rPr>
                <w:sz w:val="20"/>
                <w:lang w:val="it-IT"/>
              </w:rPr>
              <w:t>Bevacizumab</w:t>
            </w:r>
            <w:r w:rsidR="001D1D46" w:rsidRPr="006A2BF9">
              <w:rPr>
                <w:szCs w:val="22"/>
                <w:lang w:val="it-IT"/>
              </w:rPr>
              <w:t> </w:t>
            </w:r>
            <w:r w:rsidR="006B5DC7" w:rsidRPr="006A2BF9">
              <w:rPr>
                <w:sz w:val="20"/>
                <w:lang w:val="it-IT"/>
              </w:rPr>
              <w:t>+</w:t>
            </w:r>
            <w:r w:rsidR="001D1D46" w:rsidRPr="006A2BF9">
              <w:rPr>
                <w:sz w:val="20"/>
                <w:lang w:val="it-IT"/>
              </w:rPr>
              <w:t> </w:t>
            </w:r>
            <w:r w:rsidR="006B5DC7" w:rsidRPr="006A2BF9">
              <w:rPr>
                <w:sz w:val="20"/>
                <w:lang w:val="it-IT"/>
              </w:rPr>
              <w:t xml:space="preserve">C/G </w:t>
            </w:r>
          </w:p>
          <w:p w14:paraId="7C60D99F" w14:textId="77777777" w:rsidR="006B5DC7" w:rsidRPr="006A2BF9" w:rsidRDefault="006B5DC7" w:rsidP="001D1D46">
            <w:pPr>
              <w:keepNext/>
              <w:keepLines/>
              <w:jc w:val="center"/>
              <w:rPr>
                <w:sz w:val="20"/>
                <w:lang w:val="it-IT"/>
              </w:rPr>
            </w:pPr>
            <w:r w:rsidRPr="006A2BF9">
              <w:rPr>
                <w:sz w:val="20"/>
                <w:lang w:val="it-IT"/>
              </w:rPr>
              <w:t>(n</w:t>
            </w:r>
            <w:r w:rsidR="001D1D46" w:rsidRPr="006A2BF9">
              <w:rPr>
                <w:sz w:val="20"/>
                <w:lang w:val="it-IT"/>
              </w:rPr>
              <w:t> </w:t>
            </w:r>
            <w:r w:rsidRPr="006A2BF9">
              <w:rPr>
                <w:sz w:val="20"/>
                <w:lang w:val="it-IT"/>
              </w:rPr>
              <w:t>=</w:t>
            </w:r>
            <w:r w:rsidR="001D1D46" w:rsidRPr="006A2BF9">
              <w:rPr>
                <w:sz w:val="20"/>
                <w:lang w:val="it-IT"/>
              </w:rPr>
              <w:t> </w:t>
            </w:r>
            <w:r w:rsidRPr="006A2BF9">
              <w:rPr>
                <w:sz w:val="20"/>
                <w:lang w:val="it-IT"/>
              </w:rPr>
              <w:t>242</w:t>
            </w:r>
            <w:r w:rsidRPr="006A2BF9">
              <w:rPr>
                <w:iCs/>
                <w:sz w:val="20"/>
                <w:lang w:val="it-IT"/>
              </w:rPr>
              <w:t>)</w:t>
            </w:r>
          </w:p>
        </w:tc>
      </w:tr>
      <w:tr w:rsidR="006B5DC7" w:rsidRPr="006A2BF9" w14:paraId="2AD922F7" w14:textId="77777777" w:rsidTr="006B5DC7">
        <w:trPr>
          <w:cantSplit/>
          <w:trHeight w:val="22"/>
        </w:trPr>
        <w:tc>
          <w:tcPr>
            <w:tcW w:w="1256" w:type="pct"/>
          </w:tcPr>
          <w:p w14:paraId="7B74DC4F" w14:textId="77777777" w:rsidR="00DE5F21" w:rsidRPr="006A2BF9" w:rsidRDefault="00450407" w:rsidP="00CF0780">
            <w:pPr>
              <w:keepNext/>
              <w:keepLines/>
              <w:rPr>
                <w:sz w:val="20"/>
                <w:lang w:val="it-IT"/>
              </w:rPr>
            </w:pPr>
            <w:r w:rsidRPr="006A2BF9">
              <w:rPr>
                <w:sz w:val="20"/>
                <w:lang w:val="it-IT"/>
              </w:rPr>
              <w:t xml:space="preserve">OS </w:t>
            </w:r>
            <w:r w:rsidR="005C3766" w:rsidRPr="006A2BF9">
              <w:rPr>
                <w:sz w:val="20"/>
                <w:lang w:val="it-IT"/>
              </w:rPr>
              <w:t>mediana</w:t>
            </w:r>
          </w:p>
          <w:p w14:paraId="4D34B5F0" w14:textId="77777777" w:rsidR="006B5DC7" w:rsidRPr="006A2BF9" w:rsidRDefault="00450407" w:rsidP="00CF0780">
            <w:pPr>
              <w:keepNext/>
              <w:keepLines/>
              <w:rPr>
                <w:sz w:val="20"/>
                <w:lang w:val="it-IT"/>
              </w:rPr>
            </w:pPr>
            <w:r w:rsidRPr="006A2BF9">
              <w:rPr>
                <w:sz w:val="20"/>
                <w:lang w:val="it-IT"/>
              </w:rPr>
              <w:t>(mesi</w:t>
            </w:r>
            <w:r w:rsidR="006B5DC7" w:rsidRPr="006A2BF9">
              <w:rPr>
                <w:sz w:val="20"/>
                <w:lang w:val="it-IT"/>
              </w:rPr>
              <w:t>)</w:t>
            </w:r>
          </w:p>
        </w:tc>
        <w:tc>
          <w:tcPr>
            <w:tcW w:w="2116" w:type="pct"/>
            <w:gridSpan w:val="3"/>
            <w:vAlign w:val="center"/>
          </w:tcPr>
          <w:p w14:paraId="7A34A01C" w14:textId="77777777" w:rsidR="006B5DC7" w:rsidRPr="006A2BF9" w:rsidRDefault="0084168B" w:rsidP="00CF0780">
            <w:pPr>
              <w:keepNext/>
              <w:keepLines/>
              <w:jc w:val="center"/>
              <w:rPr>
                <w:sz w:val="20"/>
                <w:lang w:val="it-IT"/>
              </w:rPr>
            </w:pPr>
            <w:r w:rsidRPr="006A2BF9">
              <w:rPr>
                <w:sz w:val="20"/>
                <w:lang w:val="it-IT"/>
              </w:rPr>
              <w:t>32</w:t>
            </w:r>
            <w:r w:rsidR="006D2C7A" w:rsidRPr="006A2BF9">
              <w:rPr>
                <w:sz w:val="20"/>
                <w:lang w:val="it-IT"/>
              </w:rPr>
              <w:t>,</w:t>
            </w:r>
            <w:r w:rsidRPr="006A2BF9">
              <w:rPr>
                <w:sz w:val="20"/>
                <w:lang w:val="it-IT"/>
              </w:rPr>
              <w:t>9</w:t>
            </w:r>
          </w:p>
        </w:tc>
        <w:tc>
          <w:tcPr>
            <w:tcW w:w="1628" w:type="pct"/>
            <w:gridSpan w:val="3"/>
            <w:vAlign w:val="center"/>
          </w:tcPr>
          <w:p w14:paraId="4FEF4FE7" w14:textId="77777777" w:rsidR="006B5DC7" w:rsidRPr="006A2BF9" w:rsidRDefault="0084168B" w:rsidP="00CF0780">
            <w:pPr>
              <w:keepNext/>
              <w:keepLines/>
              <w:jc w:val="center"/>
              <w:rPr>
                <w:sz w:val="20"/>
                <w:lang w:val="it-IT"/>
              </w:rPr>
            </w:pPr>
            <w:r w:rsidRPr="006A2BF9">
              <w:rPr>
                <w:sz w:val="20"/>
                <w:lang w:val="it-IT"/>
              </w:rPr>
              <w:t>33</w:t>
            </w:r>
            <w:r w:rsidR="006D2C7A" w:rsidRPr="006A2BF9">
              <w:rPr>
                <w:sz w:val="20"/>
                <w:lang w:val="it-IT"/>
              </w:rPr>
              <w:t>,</w:t>
            </w:r>
            <w:r w:rsidRPr="006A2BF9">
              <w:rPr>
                <w:sz w:val="20"/>
                <w:lang w:val="it-IT"/>
              </w:rPr>
              <w:t>6</w:t>
            </w:r>
          </w:p>
        </w:tc>
      </w:tr>
      <w:tr w:rsidR="006B5DC7" w:rsidRPr="006A2BF9" w14:paraId="33BCC6B5" w14:textId="77777777" w:rsidTr="006B5DC7">
        <w:trPr>
          <w:cantSplit/>
          <w:trHeight w:val="22"/>
        </w:trPr>
        <w:tc>
          <w:tcPr>
            <w:tcW w:w="1256" w:type="pct"/>
          </w:tcPr>
          <w:p w14:paraId="671F3399" w14:textId="77777777" w:rsidR="006B5DC7" w:rsidRPr="000F0246" w:rsidRDefault="006B5DC7" w:rsidP="00CF0780">
            <w:pPr>
              <w:keepNext/>
              <w:keepLines/>
              <w:rPr>
                <w:i/>
                <w:sz w:val="20"/>
                <w:lang w:val="it-IT"/>
              </w:rPr>
            </w:pPr>
            <w:r w:rsidRPr="000F0246">
              <w:rPr>
                <w:i/>
                <w:sz w:val="20"/>
                <w:lang w:val="it-IT"/>
              </w:rPr>
              <w:t xml:space="preserve">Hazard </w:t>
            </w:r>
            <w:r w:rsidR="00340523" w:rsidRPr="000F0246">
              <w:rPr>
                <w:i/>
                <w:sz w:val="20"/>
                <w:lang w:val="it-IT"/>
              </w:rPr>
              <w:t>r</w:t>
            </w:r>
            <w:r w:rsidRPr="000F0246">
              <w:rPr>
                <w:i/>
                <w:sz w:val="20"/>
                <w:lang w:val="it-IT"/>
              </w:rPr>
              <w:t>atio</w:t>
            </w:r>
          </w:p>
          <w:p w14:paraId="330B5491" w14:textId="77777777" w:rsidR="006B5DC7" w:rsidRPr="00330A40" w:rsidRDefault="006B5DC7" w:rsidP="00CF0780">
            <w:pPr>
              <w:keepNext/>
              <w:keepLines/>
              <w:rPr>
                <w:sz w:val="20"/>
                <w:lang w:val="it-IT"/>
              </w:rPr>
            </w:pPr>
            <w:r w:rsidRPr="00330A40">
              <w:rPr>
                <w:sz w:val="20"/>
                <w:lang w:val="it-IT"/>
              </w:rPr>
              <w:t xml:space="preserve"> (</w:t>
            </w:r>
            <w:r w:rsidR="00340523" w:rsidRPr="00330A40">
              <w:rPr>
                <w:sz w:val="20"/>
                <w:lang w:val="it-IT"/>
              </w:rPr>
              <w:t xml:space="preserve">IC </w:t>
            </w:r>
            <w:r w:rsidR="00831FDE">
              <w:rPr>
                <w:sz w:val="20"/>
                <w:lang w:val="it-IT"/>
              </w:rPr>
              <w:t xml:space="preserve">al </w:t>
            </w:r>
            <w:r w:rsidRPr="00330A40">
              <w:rPr>
                <w:sz w:val="20"/>
                <w:lang w:val="it-IT"/>
              </w:rPr>
              <w:t>95%)</w:t>
            </w:r>
          </w:p>
        </w:tc>
        <w:tc>
          <w:tcPr>
            <w:tcW w:w="3744" w:type="pct"/>
            <w:gridSpan w:val="6"/>
            <w:vAlign w:val="center"/>
          </w:tcPr>
          <w:p w14:paraId="54B80C4D" w14:textId="77777777" w:rsidR="006B5DC7" w:rsidRPr="00330A40" w:rsidRDefault="006B5DC7" w:rsidP="001A1149">
            <w:pPr>
              <w:pStyle w:val="TableCellCenter"/>
              <w:spacing w:before="0" w:after="0" w:line="240" w:lineRule="auto"/>
              <w:rPr>
                <w:lang w:val="it-IT"/>
              </w:rPr>
            </w:pPr>
            <w:r w:rsidRPr="00330A40">
              <w:rPr>
                <w:lang w:val="it-IT"/>
              </w:rPr>
              <w:t xml:space="preserve"> </w:t>
            </w:r>
            <w:r w:rsidR="0084168B" w:rsidRPr="00330A40">
              <w:rPr>
                <w:lang w:val="it-IT"/>
              </w:rPr>
              <w:t>0</w:t>
            </w:r>
            <w:r w:rsidR="006D2C7A" w:rsidRPr="00330A40">
              <w:rPr>
                <w:lang w:val="it-IT"/>
              </w:rPr>
              <w:t>,</w:t>
            </w:r>
            <w:r w:rsidR="0084168B" w:rsidRPr="00330A40">
              <w:rPr>
                <w:lang w:val="it-IT"/>
              </w:rPr>
              <w:t>952</w:t>
            </w:r>
            <w:r w:rsidRPr="00330A40">
              <w:rPr>
                <w:lang w:val="it-IT"/>
              </w:rPr>
              <w:t xml:space="preserve"> [</w:t>
            </w:r>
            <w:r w:rsidR="0084168B" w:rsidRPr="00330A40">
              <w:rPr>
                <w:lang w:val="it-IT"/>
              </w:rPr>
              <w:t>0</w:t>
            </w:r>
            <w:r w:rsidR="006D2C7A" w:rsidRPr="00330A40">
              <w:rPr>
                <w:lang w:val="it-IT"/>
              </w:rPr>
              <w:t>,</w:t>
            </w:r>
            <w:r w:rsidR="0084168B" w:rsidRPr="00330A40">
              <w:rPr>
                <w:lang w:val="it-IT"/>
              </w:rPr>
              <w:t>771</w:t>
            </w:r>
            <w:r w:rsidR="006D2C7A" w:rsidRPr="00330A40">
              <w:rPr>
                <w:lang w:val="it-IT"/>
              </w:rPr>
              <w:t>;</w:t>
            </w:r>
            <w:r w:rsidRPr="00330A40">
              <w:rPr>
                <w:lang w:val="it-IT"/>
              </w:rPr>
              <w:t xml:space="preserve"> </w:t>
            </w:r>
            <w:r w:rsidR="0084168B" w:rsidRPr="00330A40">
              <w:rPr>
                <w:lang w:val="it-IT"/>
              </w:rPr>
              <w:t>1</w:t>
            </w:r>
            <w:r w:rsidR="006D2C7A" w:rsidRPr="00330A40">
              <w:rPr>
                <w:lang w:val="it-IT"/>
              </w:rPr>
              <w:t>,</w:t>
            </w:r>
            <w:r w:rsidR="0084168B" w:rsidRPr="00330A40">
              <w:rPr>
                <w:lang w:val="it-IT"/>
              </w:rPr>
              <w:t>176</w:t>
            </w:r>
            <w:r w:rsidRPr="00330A40">
              <w:rPr>
                <w:lang w:val="it-IT"/>
              </w:rPr>
              <w:t>]</w:t>
            </w:r>
          </w:p>
        </w:tc>
      </w:tr>
      <w:tr w:rsidR="006B5DC7" w:rsidRPr="006A2BF9" w14:paraId="56944D64" w14:textId="77777777" w:rsidTr="006B5DC7">
        <w:trPr>
          <w:cantSplit/>
          <w:trHeight w:val="22"/>
        </w:trPr>
        <w:tc>
          <w:tcPr>
            <w:tcW w:w="1256" w:type="pct"/>
          </w:tcPr>
          <w:p w14:paraId="6C1FD456" w14:textId="77777777" w:rsidR="006B5DC7" w:rsidRPr="006A2BF9" w:rsidRDefault="00450407" w:rsidP="00CF0780">
            <w:pPr>
              <w:keepNext/>
              <w:keepLines/>
              <w:rPr>
                <w:sz w:val="20"/>
                <w:lang w:val="it-IT"/>
              </w:rPr>
            </w:pPr>
            <w:r w:rsidRPr="006A2BF9">
              <w:rPr>
                <w:sz w:val="20"/>
                <w:lang w:val="it-IT"/>
              </w:rPr>
              <w:t xml:space="preserve">Valore </w:t>
            </w:r>
            <w:r w:rsidR="00340523" w:rsidRPr="006A2BF9">
              <w:rPr>
                <w:sz w:val="20"/>
                <w:lang w:val="it-IT"/>
              </w:rPr>
              <w:t xml:space="preserve">di </w:t>
            </w:r>
            <w:r w:rsidRPr="006A2BF9">
              <w:rPr>
                <w:sz w:val="20"/>
                <w:lang w:val="it-IT"/>
              </w:rPr>
              <w:t>p</w:t>
            </w:r>
          </w:p>
        </w:tc>
        <w:tc>
          <w:tcPr>
            <w:tcW w:w="3744" w:type="pct"/>
            <w:gridSpan w:val="6"/>
            <w:vAlign w:val="center"/>
          </w:tcPr>
          <w:p w14:paraId="1C21C521" w14:textId="77777777" w:rsidR="006B5DC7" w:rsidRPr="006A2BF9" w:rsidRDefault="0084168B" w:rsidP="00CF0780">
            <w:pPr>
              <w:keepNext/>
              <w:keepLines/>
              <w:jc w:val="center"/>
              <w:rPr>
                <w:sz w:val="20"/>
                <w:lang w:val="it-IT"/>
              </w:rPr>
            </w:pPr>
            <w:r w:rsidRPr="006A2BF9">
              <w:rPr>
                <w:sz w:val="20"/>
                <w:lang w:val="it-IT"/>
              </w:rPr>
              <w:t>0</w:t>
            </w:r>
            <w:r w:rsidR="006D2C7A" w:rsidRPr="006A2BF9">
              <w:rPr>
                <w:sz w:val="20"/>
                <w:lang w:val="it-IT"/>
              </w:rPr>
              <w:t>,</w:t>
            </w:r>
            <w:r w:rsidRPr="006A2BF9">
              <w:rPr>
                <w:sz w:val="20"/>
                <w:lang w:val="it-IT"/>
              </w:rPr>
              <w:t>6479</w:t>
            </w:r>
          </w:p>
        </w:tc>
      </w:tr>
    </w:tbl>
    <w:p w14:paraId="1269DD55" w14:textId="77777777" w:rsidR="006B5DC7" w:rsidRPr="006A2BF9" w:rsidRDefault="006B5DC7" w:rsidP="00CF0780">
      <w:pPr>
        <w:keepNext/>
        <w:keepLines/>
        <w:rPr>
          <w:lang w:val="it-IT"/>
        </w:rPr>
      </w:pPr>
    </w:p>
    <w:p w14:paraId="025CBDDB" w14:textId="77777777" w:rsidR="006B5DC7" w:rsidRPr="006A2BF9" w:rsidRDefault="006D1BFC" w:rsidP="006B5DC7">
      <w:pPr>
        <w:rPr>
          <w:rFonts w:eastAsia="PMingLiU"/>
          <w:lang w:val="it-IT" w:eastAsia="zh-CN"/>
        </w:rPr>
      </w:pPr>
      <w:r w:rsidRPr="006A2BF9">
        <w:rPr>
          <w:rFonts w:eastAsia="PMingLiU"/>
          <w:lang w:val="it-IT" w:eastAsia="zh-CN"/>
        </w:rPr>
        <w:t>L’a</w:t>
      </w:r>
      <w:r w:rsidR="005C3766" w:rsidRPr="006A2BF9">
        <w:rPr>
          <w:rFonts w:eastAsia="PMingLiU"/>
          <w:lang w:val="it-IT" w:eastAsia="zh-CN"/>
        </w:rPr>
        <w:t xml:space="preserve">nalisi </w:t>
      </w:r>
      <w:r w:rsidRPr="006A2BF9">
        <w:rPr>
          <w:rFonts w:eastAsia="PMingLiU"/>
          <w:lang w:val="it-IT" w:eastAsia="zh-CN"/>
        </w:rPr>
        <w:t xml:space="preserve">della PFS </w:t>
      </w:r>
      <w:r w:rsidR="005C3766" w:rsidRPr="006A2BF9">
        <w:rPr>
          <w:rFonts w:eastAsia="PMingLiU"/>
          <w:lang w:val="it-IT" w:eastAsia="zh-CN"/>
        </w:rPr>
        <w:t xml:space="preserve">per sottogruppi </w:t>
      </w:r>
      <w:r w:rsidRPr="006A2BF9">
        <w:rPr>
          <w:rFonts w:eastAsia="PMingLiU"/>
          <w:lang w:val="it-IT" w:eastAsia="zh-CN"/>
        </w:rPr>
        <w:t xml:space="preserve">definiti in base al tempo alla </w:t>
      </w:r>
      <w:r w:rsidR="005C3766" w:rsidRPr="006A2BF9">
        <w:rPr>
          <w:rFonts w:eastAsia="PMingLiU"/>
          <w:lang w:val="it-IT" w:eastAsia="zh-CN"/>
        </w:rPr>
        <w:t xml:space="preserve">recidiva </w:t>
      </w:r>
      <w:r w:rsidR="000F0B29" w:rsidRPr="006A2BF9">
        <w:rPr>
          <w:rFonts w:eastAsia="PMingLiU"/>
          <w:lang w:val="it-IT" w:eastAsia="zh-CN"/>
        </w:rPr>
        <w:t>d</w:t>
      </w:r>
      <w:r w:rsidRPr="006A2BF9">
        <w:rPr>
          <w:rFonts w:eastAsia="PMingLiU"/>
          <w:lang w:val="it-IT" w:eastAsia="zh-CN"/>
        </w:rPr>
        <w:t>a</w:t>
      </w:r>
      <w:r w:rsidR="000F0B29" w:rsidRPr="006A2BF9">
        <w:rPr>
          <w:rFonts w:eastAsia="PMingLiU"/>
          <w:lang w:val="it-IT" w:eastAsia="zh-CN"/>
        </w:rPr>
        <w:t>l</w:t>
      </w:r>
      <w:r w:rsidR="005C3766" w:rsidRPr="006A2BF9">
        <w:rPr>
          <w:rFonts w:eastAsia="PMingLiU"/>
          <w:lang w:val="it-IT" w:eastAsia="zh-CN"/>
        </w:rPr>
        <w:t>l’ultima terapia con platino</w:t>
      </w:r>
      <w:r w:rsidR="000C7E46" w:rsidRPr="006A2BF9">
        <w:rPr>
          <w:rFonts w:eastAsia="PMingLiU"/>
          <w:lang w:val="it-IT" w:eastAsia="zh-CN"/>
        </w:rPr>
        <w:t xml:space="preserve"> sono riassunti nella </w:t>
      </w:r>
      <w:r w:rsidR="00340523" w:rsidRPr="006A2BF9">
        <w:rPr>
          <w:rFonts w:eastAsia="PMingLiU"/>
          <w:lang w:val="it-IT" w:eastAsia="zh-CN"/>
        </w:rPr>
        <w:t>t</w:t>
      </w:r>
      <w:r w:rsidR="000C7E46" w:rsidRPr="006A2BF9">
        <w:rPr>
          <w:rFonts w:eastAsia="PMingLiU"/>
          <w:lang w:val="it-IT" w:eastAsia="zh-CN"/>
        </w:rPr>
        <w:t>abella</w:t>
      </w:r>
      <w:r w:rsidR="00BA629B" w:rsidRPr="006A2BF9">
        <w:rPr>
          <w:rFonts w:eastAsia="PMingLiU"/>
          <w:lang w:val="it-IT" w:eastAsia="zh-CN"/>
        </w:rPr>
        <w:t> </w:t>
      </w:r>
      <w:r w:rsidR="00CD78D8" w:rsidRPr="006A2BF9">
        <w:rPr>
          <w:rFonts w:eastAsia="PMingLiU"/>
          <w:lang w:val="it-IT" w:eastAsia="zh-CN"/>
        </w:rPr>
        <w:t>2</w:t>
      </w:r>
      <w:r w:rsidR="00BB195D" w:rsidRPr="006A2BF9">
        <w:rPr>
          <w:rFonts w:eastAsia="PMingLiU"/>
          <w:lang w:val="it-IT" w:eastAsia="zh-CN"/>
        </w:rPr>
        <w:t>1</w:t>
      </w:r>
      <w:r w:rsidR="005C3766" w:rsidRPr="006A2BF9">
        <w:rPr>
          <w:rFonts w:eastAsia="PMingLiU"/>
          <w:lang w:val="it-IT" w:eastAsia="zh-CN"/>
        </w:rPr>
        <w:t>.</w:t>
      </w:r>
    </w:p>
    <w:p w14:paraId="3AEC21F9" w14:textId="77777777" w:rsidR="005C3766" w:rsidRPr="006A2BF9" w:rsidRDefault="005C3766" w:rsidP="006B5DC7">
      <w:pPr>
        <w:rPr>
          <w:szCs w:val="22"/>
          <w:lang w:val="it-IT"/>
        </w:rPr>
      </w:pPr>
    </w:p>
    <w:p w14:paraId="0FE015C5" w14:textId="77777777" w:rsidR="006B5DC7" w:rsidRPr="006A2BF9" w:rsidRDefault="000F0B29" w:rsidP="006B5DC7">
      <w:pPr>
        <w:rPr>
          <w:b/>
          <w:lang w:val="it-IT"/>
        </w:rPr>
      </w:pPr>
      <w:r w:rsidRPr="006A2BF9">
        <w:rPr>
          <w:b/>
          <w:lang w:val="it-IT"/>
        </w:rPr>
        <w:t xml:space="preserve">Tabella </w:t>
      </w:r>
      <w:r w:rsidR="00CD78D8" w:rsidRPr="006A2BF9">
        <w:rPr>
          <w:b/>
          <w:lang w:val="it-IT"/>
        </w:rPr>
        <w:t>2</w:t>
      </w:r>
      <w:r w:rsidR="00BB195D" w:rsidRPr="006A2BF9">
        <w:rPr>
          <w:b/>
          <w:lang w:val="it-IT"/>
        </w:rPr>
        <w:t>1</w:t>
      </w:r>
      <w:r w:rsidR="006B5DC7" w:rsidRPr="006A2BF9">
        <w:rPr>
          <w:b/>
          <w:lang w:val="it-IT"/>
        </w:rPr>
        <w:tab/>
      </w:r>
      <w:r w:rsidRPr="006A2BF9">
        <w:rPr>
          <w:b/>
          <w:lang w:val="it-IT"/>
        </w:rPr>
        <w:t>Sopravvivenza libera da progressione nel tempo dall’ultima terapia con platino alla recidiva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16"/>
        <w:gridCol w:w="3040"/>
      </w:tblGrid>
      <w:tr w:rsidR="006B5DC7" w:rsidRPr="006A2BF9" w14:paraId="72950D11" w14:textId="77777777" w:rsidTr="006B5DC7">
        <w:tc>
          <w:tcPr>
            <w:tcW w:w="3095" w:type="dxa"/>
            <w:shd w:val="clear" w:color="auto" w:fill="auto"/>
          </w:tcPr>
          <w:p w14:paraId="22AFD58C" w14:textId="77777777" w:rsidR="006B5DC7" w:rsidRPr="006A2BF9" w:rsidRDefault="006B5DC7" w:rsidP="006B5DC7">
            <w:pPr>
              <w:rPr>
                <w:b/>
                <w:sz w:val="20"/>
                <w:lang w:val="it-IT"/>
              </w:rPr>
            </w:pPr>
          </w:p>
        </w:tc>
        <w:tc>
          <w:tcPr>
            <w:tcW w:w="6192" w:type="dxa"/>
            <w:gridSpan w:val="2"/>
            <w:shd w:val="clear" w:color="auto" w:fill="auto"/>
          </w:tcPr>
          <w:p w14:paraId="4EA0316D" w14:textId="77777777" w:rsidR="006B5DC7" w:rsidRPr="006A2BF9" w:rsidRDefault="005C3766" w:rsidP="006B5DC7">
            <w:pPr>
              <w:jc w:val="center"/>
              <w:rPr>
                <w:b/>
                <w:sz w:val="20"/>
                <w:lang w:val="it-IT"/>
              </w:rPr>
            </w:pPr>
            <w:r w:rsidRPr="006A2BF9">
              <w:rPr>
                <w:b/>
                <w:bCs/>
                <w:color w:val="000000"/>
                <w:sz w:val="20"/>
                <w:lang w:val="it-IT"/>
              </w:rPr>
              <w:t>Valutazione dello sperimentatore</w:t>
            </w:r>
          </w:p>
        </w:tc>
      </w:tr>
      <w:tr w:rsidR="006B5DC7" w:rsidRPr="006A2BF9" w14:paraId="68362540" w14:textId="77777777" w:rsidTr="006B5DC7">
        <w:tc>
          <w:tcPr>
            <w:tcW w:w="3095" w:type="dxa"/>
            <w:shd w:val="clear" w:color="auto" w:fill="auto"/>
          </w:tcPr>
          <w:p w14:paraId="5B2349A6" w14:textId="77777777" w:rsidR="006B5DC7" w:rsidRPr="006A2BF9" w:rsidRDefault="005C3766" w:rsidP="00340523">
            <w:pPr>
              <w:rPr>
                <w:b/>
                <w:sz w:val="20"/>
                <w:lang w:val="it-IT"/>
              </w:rPr>
            </w:pPr>
            <w:r w:rsidRPr="006A2BF9">
              <w:rPr>
                <w:b/>
                <w:sz w:val="20"/>
                <w:lang w:val="it-IT"/>
              </w:rPr>
              <w:t xml:space="preserve">Intervallo </w:t>
            </w:r>
            <w:r w:rsidR="006D1BFC" w:rsidRPr="006A2BF9">
              <w:rPr>
                <w:b/>
                <w:sz w:val="20"/>
                <w:lang w:val="it-IT"/>
              </w:rPr>
              <w:t xml:space="preserve">tra </w:t>
            </w:r>
            <w:r w:rsidRPr="006A2BF9">
              <w:rPr>
                <w:b/>
                <w:sz w:val="20"/>
                <w:lang w:val="it-IT"/>
              </w:rPr>
              <w:t>ultima terapia con platino</w:t>
            </w:r>
            <w:r w:rsidR="00340523" w:rsidRPr="006A2BF9">
              <w:rPr>
                <w:b/>
                <w:sz w:val="20"/>
                <w:lang w:val="it-IT"/>
              </w:rPr>
              <w:t xml:space="preserve"> e recidiva</w:t>
            </w:r>
          </w:p>
        </w:tc>
        <w:tc>
          <w:tcPr>
            <w:tcW w:w="3096" w:type="dxa"/>
            <w:shd w:val="clear" w:color="auto" w:fill="auto"/>
          </w:tcPr>
          <w:p w14:paraId="73CD4489" w14:textId="77777777" w:rsidR="006B5DC7" w:rsidRPr="006A2BF9" w:rsidRDefault="006B5DC7" w:rsidP="006B5DC7">
            <w:pPr>
              <w:spacing w:line="280" w:lineRule="atLeast"/>
              <w:jc w:val="center"/>
              <w:textAlignment w:val="baseline"/>
              <w:rPr>
                <w:rFonts w:eastAsia="PMingLiU"/>
                <w:b/>
                <w:sz w:val="20"/>
                <w:lang w:val="it-IT" w:eastAsia="de-DE"/>
              </w:rPr>
            </w:pPr>
            <w:r w:rsidRPr="006A2BF9">
              <w:rPr>
                <w:b/>
                <w:color w:val="000000"/>
                <w:sz w:val="20"/>
                <w:lang w:val="it-IT" w:eastAsia="de-DE"/>
              </w:rPr>
              <w:t>Placebo</w:t>
            </w:r>
            <w:r w:rsidR="00BA629B" w:rsidRPr="006A2BF9">
              <w:rPr>
                <w:b/>
                <w:color w:val="000000"/>
                <w:sz w:val="20"/>
                <w:lang w:val="it-IT" w:eastAsia="de-DE"/>
              </w:rPr>
              <w:t> </w:t>
            </w:r>
            <w:r w:rsidRPr="006A2BF9">
              <w:rPr>
                <w:b/>
                <w:color w:val="000000"/>
                <w:sz w:val="20"/>
                <w:lang w:val="it-IT" w:eastAsia="de-DE"/>
              </w:rPr>
              <w:t>+</w:t>
            </w:r>
            <w:r w:rsidR="00BA629B" w:rsidRPr="006A2BF9">
              <w:rPr>
                <w:b/>
                <w:color w:val="000000"/>
                <w:sz w:val="20"/>
                <w:lang w:val="it-IT" w:eastAsia="de-DE"/>
              </w:rPr>
              <w:t> </w:t>
            </w:r>
            <w:r w:rsidRPr="006A2BF9">
              <w:rPr>
                <w:b/>
                <w:color w:val="000000"/>
                <w:sz w:val="20"/>
                <w:lang w:val="it-IT" w:eastAsia="de-DE"/>
              </w:rPr>
              <w:t>C/G</w:t>
            </w:r>
          </w:p>
          <w:p w14:paraId="24CB36CE" w14:textId="77777777" w:rsidR="006B5DC7" w:rsidRPr="006A2BF9" w:rsidRDefault="006B5DC7" w:rsidP="006B5DC7">
            <w:pPr>
              <w:jc w:val="center"/>
              <w:rPr>
                <w:b/>
                <w:sz w:val="20"/>
                <w:lang w:val="it-IT"/>
              </w:rPr>
            </w:pPr>
            <w:r w:rsidRPr="006A2BF9">
              <w:rPr>
                <w:b/>
                <w:color w:val="000000"/>
                <w:sz w:val="20"/>
                <w:lang w:val="it-IT" w:eastAsia="de-DE"/>
              </w:rPr>
              <w:t>(n</w:t>
            </w:r>
            <w:r w:rsidR="00BA629B" w:rsidRPr="006A2BF9">
              <w:rPr>
                <w:b/>
                <w:color w:val="000000"/>
                <w:sz w:val="20"/>
                <w:lang w:val="it-IT" w:eastAsia="de-DE"/>
              </w:rPr>
              <w:t> </w:t>
            </w:r>
            <w:r w:rsidRPr="006A2BF9">
              <w:rPr>
                <w:b/>
                <w:color w:val="000000"/>
                <w:sz w:val="20"/>
                <w:lang w:val="it-IT" w:eastAsia="de-DE"/>
              </w:rPr>
              <w:t>=</w:t>
            </w:r>
            <w:r w:rsidR="00BA629B" w:rsidRPr="006A2BF9">
              <w:rPr>
                <w:b/>
                <w:color w:val="000000"/>
                <w:sz w:val="20"/>
                <w:lang w:val="it-IT" w:eastAsia="de-DE"/>
              </w:rPr>
              <w:t> </w:t>
            </w:r>
            <w:r w:rsidRPr="006A2BF9">
              <w:rPr>
                <w:b/>
                <w:color w:val="000000"/>
                <w:sz w:val="20"/>
                <w:lang w:val="it-IT" w:eastAsia="de-DE"/>
              </w:rPr>
              <w:t>242)</w:t>
            </w:r>
          </w:p>
        </w:tc>
        <w:tc>
          <w:tcPr>
            <w:tcW w:w="3096" w:type="dxa"/>
            <w:shd w:val="clear" w:color="auto" w:fill="auto"/>
          </w:tcPr>
          <w:p w14:paraId="23023A34" w14:textId="77777777" w:rsidR="006B5DC7" w:rsidRPr="006A2BF9" w:rsidRDefault="00BF62E6" w:rsidP="006B5DC7">
            <w:pPr>
              <w:spacing w:line="280" w:lineRule="exact"/>
              <w:jc w:val="center"/>
              <w:textAlignment w:val="baseline"/>
              <w:rPr>
                <w:rFonts w:eastAsia="PMingLiU"/>
                <w:b/>
                <w:sz w:val="20"/>
                <w:lang w:val="it-IT" w:eastAsia="de-DE"/>
              </w:rPr>
            </w:pPr>
            <w:r w:rsidRPr="006A2BF9">
              <w:rPr>
                <w:b/>
                <w:sz w:val="20"/>
                <w:lang w:val="it-IT"/>
              </w:rPr>
              <w:t>Bevacizumab</w:t>
            </w:r>
            <w:r w:rsidR="00BA629B" w:rsidRPr="006A2BF9">
              <w:rPr>
                <w:szCs w:val="22"/>
                <w:lang w:val="it-IT"/>
              </w:rPr>
              <w:t> </w:t>
            </w:r>
            <w:r w:rsidR="006B5DC7" w:rsidRPr="006A2BF9">
              <w:rPr>
                <w:b/>
                <w:color w:val="000000"/>
                <w:sz w:val="20"/>
                <w:lang w:val="it-IT" w:eastAsia="de-DE"/>
              </w:rPr>
              <w:t>+</w:t>
            </w:r>
            <w:r w:rsidR="00BA629B" w:rsidRPr="006A2BF9">
              <w:rPr>
                <w:b/>
                <w:color w:val="000000"/>
                <w:sz w:val="20"/>
                <w:lang w:val="it-IT" w:eastAsia="de-DE"/>
              </w:rPr>
              <w:t> </w:t>
            </w:r>
            <w:r w:rsidR="006B5DC7" w:rsidRPr="006A2BF9">
              <w:rPr>
                <w:b/>
                <w:color w:val="000000"/>
                <w:sz w:val="20"/>
                <w:lang w:val="it-IT" w:eastAsia="de-DE"/>
              </w:rPr>
              <w:t>C/G</w:t>
            </w:r>
          </w:p>
          <w:p w14:paraId="277FADAA" w14:textId="77777777" w:rsidR="006B5DC7" w:rsidRPr="006A2BF9" w:rsidRDefault="006B5DC7" w:rsidP="00BA629B">
            <w:pPr>
              <w:jc w:val="center"/>
              <w:rPr>
                <w:b/>
                <w:color w:val="000000"/>
                <w:sz w:val="20"/>
                <w:lang w:val="it-IT" w:eastAsia="de-DE"/>
              </w:rPr>
            </w:pPr>
            <w:r w:rsidRPr="006A2BF9">
              <w:rPr>
                <w:b/>
                <w:color w:val="000000"/>
                <w:sz w:val="20"/>
                <w:lang w:val="it-IT" w:eastAsia="de-DE"/>
              </w:rPr>
              <w:t>(n</w:t>
            </w:r>
            <w:r w:rsidR="00BA629B" w:rsidRPr="006A2BF9">
              <w:rPr>
                <w:b/>
                <w:color w:val="000000"/>
                <w:sz w:val="20"/>
                <w:lang w:val="it-IT" w:eastAsia="de-DE"/>
              </w:rPr>
              <w:t> </w:t>
            </w:r>
            <w:r w:rsidRPr="006A2BF9">
              <w:rPr>
                <w:b/>
                <w:color w:val="000000"/>
                <w:sz w:val="20"/>
                <w:lang w:val="it-IT" w:eastAsia="de-DE"/>
              </w:rPr>
              <w:t>=</w:t>
            </w:r>
            <w:r w:rsidR="00BA629B" w:rsidRPr="006A2BF9">
              <w:rPr>
                <w:b/>
                <w:color w:val="000000"/>
                <w:sz w:val="20"/>
                <w:lang w:val="it-IT" w:eastAsia="de-DE"/>
              </w:rPr>
              <w:t> </w:t>
            </w:r>
            <w:r w:rsidRPr="006A2BF9">
              <w:rPr>
                <w:b/>
                <w:color w:val="000000"/>
                <w:sz w:val="20"/>
                <w:lang w:val="it-IT" w:eastAsia="de-DE"/>
              </w:rPr>
              <w:t>242)</w:t>
            </w:r>
          </w:p>
        </w:tc>
      </w:tr>
      <w:tr w:rsidR="006B5DC7" w:rsidRPr="006A2BF9" w14:paraId="2E8DE2D6" w14:textId="77777777" w:rsidTr="006B5DC7">
        <w:tc>
          <w:tcPr>
            <w:tcW w:w="3095" w:type="dxa"/>
            <w:shd w:val="clear" w:color="auto" w:fill="auto"/>
          </w:tcPr>
          <w:p w14:paraId="004007EF" w14:textId="77777777" w:rsidR="006B5DC7" w:rsidRPr="006A2BF9" w:rsidRDefault="006B5DC7" w:rsidP="000A6884">
            <w:pPr>
              <w:rPr>
                <w:sz w:val="20"/>
                <w:lang w:val="it-IT"/>
              </w:rPr>
            </w:pPr>
            <w:r w:rsidRPr="006A2BF9">
              <w:rPr>
                <w:b/>
                <w:bCs/>
                <w:color w:val="000000"/>
                <w:sz w:val="20"/>
                <w:lang w:val="it-IT"/>
              </w:rPr>
              <w:t>6</w:t>
            </w:r>
            <w:r w:rsidR="00BA629B" w:rsidRPr="006A2BF9">
              <w:rPr>
                <w:b/>
                <w:bCs/>
                <w:color w:val="000000"/>
                <w:sz w:val="20"/>
                <w:lang w:val="it-IT"/>
              </w:rPr>
              <w:noBreakHyphen/>
            </w:r>
            <w:r w:rsidRPr="006A2BF9">
              <w:rPr>
                <w:b/>
                <w:bCs/>
                <w:color w:val="000000"/>
                <w:sz w:val="20"/>
                <w:lang w:val="it-IT"/>
              </w:rPr>
              <w:t>12</w:t>
            </w:r>
            <w:r w:rsidR="000A6884" w:rsidRPr="006A2BF9">
              <w:rPr>
                <w:b/>
                <w:bCs/>
                <w:color w:val="000000"/>
                <w:sz w:val="20"/>
                <w:lang w:val="it-IT"/>
              </w:rPr>
              <w:t> </w:t>
            </w:r>
            <w:r w:rsidR="003E4D1B" w:rsidRPr="006A2BF9">
              <w:rPr>
                <w:b/>
                <w:bCs/>
                <w:color w:val="000000"/>
                <w:sz w:val="20"/>
                <w:lang w:val="it-IT"/>
              </w:rPr>
              <w:t>mesi</w:t>
            </w:r>
            <w:r w:rsidRPr="006A2BF9">
              <w:rPr>
                <w:b/>
                <w:bCs/>
                <w:color w:val="000000"/>
                <w:sz w:val="20"/>
                <w:lang w:val="it-IT"/>
              </w:rPr>
              <w:t xml:space="preserve"> (n</w:t>
            </w:r>
            <w:r w:rsidR="00BA629B" w:rsidRPr="006A2BF9">
              <w:rPr>
                <w:b/>
                <w:bCs/>
                <w:color w:val="000000"/>
                <w:sz w:val="20"/>
                <w:lang w:val="it-IT"/>
              </w:rPr>
              <w:t> </w:t>
            </w:r>
            <w:r w:rsidRPr="006A2BF9">
              <w:rPr>
                <w:b/>
                <w:bCs/>
                <w:color w:val="000000"/>
                <w:sz w:val="20"/>
                <w:lang w:val="it-IT"/>
              </w:rPr>
              <w:t>=</w:t>
            </w:r>
            <w:r w:rsidR="00BA629B" w:rsidRPr="006A2BF9">
              <w:rPr>
                <w:b/>
                <w:bCs/>
                <w:color w:val="000000"/>
                <w:sz w:val="20"/>
                <w:lang w:val="it-IT"/>
              </w:rPr>
              <w:t> </w:t>
            </w:r>
            <w:r w:rsidRPr="006A2BF9">
              <w:rPr>
                <w:b/>
                <w:bCs/>
                <w:color w:val="000000"/>
                <w:sz w:val="20"/>
                <w:lang w:val="it-IT"/>
              </w:rPr>
              <w:t>202)</w:t>
            </w:r>
          </w:p>
        </w:tc>
        <w:tc>
          <w:tcPr>
            <w:tcW w:w="3096" w:type="dxa"/>
            <w:shd w:val="clear" w:color="auto" w:fill="auto"/>
          </w:tcPr>
          <w:p w14:paraId="337CFCB8" w14:textId="77777777" w:rsidR="006B5DC7" w:rsidRPr="006A2BF9" w:rsidRDefault="006B5DC7" w:rsidP="006B5DC7">
            <w:pPr>
              <w:jc w:val="center"/>
              <w:rPr>
                <w:sz w:val="20"/>
                <w:lang w:val="it-IT"/>
              </w:rPr>
            </w:pPr>
          </w:p>
        </w:tc>
        <w:tc>
          <w:tcPr>
            <w:tcW w:w="3096" w:type="dxa"/>
            <w:shd w:val="clear" w:color="auto" w:fill="auto"/>
          </w:tcPr>
          <w:p w14:paraId="5CF7EEB8" w14:textId="77777777" w:rsidR="006B5DC7" w:rsidRPr="006A2BF9" w:rsidRDefault="006B5DC7" w:rsidP="006B5DC7">
            <w:pPr>
              <w:jc w:val="center"/>
              <w:rPr>
                <w:sz w:val="20"/>
                <w:lang w:val="it-IT"/>
              </w:rPr>
            </w:pPr>
          </w:p>
        </w:tc>
      </w:tr>
      <w:tr w:rsidR="006B5DC7" w:rsidRPr="006A2BF9" w14:paraId="5B00774E" w14:textId="77777777" w:rsidTr="006B5DC7">
        <w:tc>
          <w:tcPr>
            <w:tcW w:w="3095" w:type="dxa"/>
            <w:shd w:val="clear" w:color="auto" w:fill="auto"/>
          </w:tcPr>
          <w:p w14:paraId="1443E4FE" w14:textId="77777777" w:rsidR="006B5DC7" w:rsidRPr="006A2BF9" w:rsidRDefault="000F0B29" w:rsidP="006B5DC7">
            <w:pPr>
              <w:ind w:left="270"/>
              <w:rPr>
                <w:b/>
                <w:bCs/>
                <w:color w:val="000000"/>
                <w:sz w:val="20"/>
                <w:lang w:val="it-IT"/>
              </w:rPr>
            </w:pPr>
            <w:r w:rsidRPr="006A2BF9">
              <w:rPr>
                <w:b/>
                <w:bCs/>
                <w:color w:val="000000"/>
                <w:sz w:val="20"/>
                <w:lang w:val="it-IT"/>
              </w:rPr>
              <w:t>Mediana</w:t>
            </w:r>
          </w:p>
        </w:tc>
        <w:tc>
          <w:tcPr>
            <w:tcW w:w="3096" w:type="dxa"/>
            <w:shd w:val="clear" w:color="auto" w:fill="auto"/>
          </w:tcPr>
          <w:p w14:paraId="0BB48F10" w14:textId="77777777" w:rsidR="006B5DC7" w:rsidRPr="006A2BF9" w:rsidRDefault="00D616E7" w:rsidP="006B5DC7">
            <w:pPr>
              <w:jc w:val="center"/>
              <w:rPr>
                <w:color w:val="000000"/>
                <w:sz w:val="20"/>
                <w:lang w:val="it-IT"/>
              </w:rPr>
            </w:pPr>
            <w:r w:rsidRPr="006A2BF9">
              <w:rPr>
                <w:color w:val="000000"/>
                <w:sz w:val="20"/>
                <w:lang w:val="it-IT"/>
              </w:rPr>
              <w:t>8</w:t>
            </w:r>
            <w:r w:rsidR="006D2C7A" w:rsidRPr="006A2BF9">
              <w:rPr>
                <w:color w:val="000000"/>
                <w:sz w:val="20"/>
                <w:lang w:val="it-IT"/>
              </w:rPr>
              <w:t>,</w:t>
            </w:r>
            <w:r w:rsidRPr="006A2BF9">
              <w:rPr>
                <w:color w:val="000000"/>
                <w:sz w:val="20"/>
                <w:lang w:val="it-IT"/>
              </w:rPr>
              <w:t>0</w:t>
            </w:r>
          </w:p>
        </w:tc>
        <w:tc>
          <w:tcPr>
            <w:tcW w:w="3096" w:type="dxa"/>
            <w:shd w:val="clear" w:color="auto" w:fill="auto"/>
          </w:tcPr>
          <w:p w14:paraId="28E1016D" w14:textId="77777777" w:rsidR="006B5DC7" w:rsidRPr="006A2BF9" w:rsidRDefault="00D616E7" w:rsidP="006B5DC7">
            <w:pPr>
              <w:jc w:val="center"/>
              <w:rPr>
                <w:sz w:val="20"/>
                <w:lang w:val="it-IT"/>
              </w:rPr>
            </w:pPr>
            <w:r w:rsidRPr="006A2BF9">
              <w:rPr>
                <w:sz w:val="20"/>
                <w:lang w:val="it-IT"/>
              </w:rPr>
              <w:t>11</w:t>
            </w:r>
            <w:r w:rsidR="006D2C7A" w:rsidRPr="006A2BF9">
              <w:rPr>
                <w:sz w:val="20"/>
                <w:lang w:val="it-IT"/>
              </w:rPr>
              <w:t>,</w:t>
            </w:r>
            <w:r w:rsidRPr="006A2BF9">
              <w:rPr>
                <w:sz w:val="20"/>
                <w:lang w:val="it-IT"/>
              </w:rPr>
              <w:t>9</w:t>
            </w:r>
          </w:p>
        </w:tc>
      </w:tr>
      <w:tr w:rsidR="006B5DC7" w:rsidRPr="006A2BF9" w14:paraId="6927209B" w14:textId="77777777" w:rsidTr="006B5DC7">
        <w:tc>
          <w:tcPr>
            <w:tcW w:w="3095" w:type="dxa"/>
            <w:shd w:val="clear" w:color="auto" w:fill="auto"/>
          </w:tcPr>
          <w:p w14:paraId="3BEDDAD4" w14:textId="77777777" w:rsidR="006B5DC7" w:rsidRPr="00330A40" w:rsidRDefault="006B5DC7" w:rsidP="006B5DC7">
            <w:pPr>
              <w:ind w:left="270"/>
              <w:rPr>
                <w:sz w:val="20"/>
                <w:lang w:val="it-IT"/>
              </w:rPr>
            </w:pPr>
            <w:r w:rsidRPr="000F0246">
              <w:rPr>
                <w:i/>
                <w:color w:val="000000"/>
                <w:sz w:val="20"/>
                <w:lang w:val="it-IT"/>
              </w:rPr>
              <w:t>Hazard ratio</w:t>
            </w:r>
            <w:r w:rsidRPr="00330A40">
              <w:rPr>
                <w:color w:val="000000"/>
                <w:sz w:val="20"/>
                <w:lang w:val="it-IT"/>
              </w:rPr>
              <w:t xml:space="preserve"> (</w:t>
            </w:r>
            <w:r w:rsidR="00340523" w:rsidRPr="00330A40">
              <w:rPr>
                <w:color w:val="000000"/>
                <w:sz w:val="20"/>
                <w:lang w:val="it-IT"/>
              </w:rPr>
              <w:t>IC</w:t>
            </w:r>
            <w:r w:rsidR="00831FDE">
              <w:rPr>
                <w:color w:val="000000"/>
                <w:sz w:val="20"/>
                <w:lang w:val="it-IT"/>
              </w:rPr>
              <w:t xml:space="preserve"> al</w:t>
            </w:r>
            <w:r w:rsidR="00340523" w:rsidRPr="00330A40">
              <w:rPr>
                <w:color w:val="000000"/>
                <w:sz w:val="20"/>
                <w:lang w:val="it-IT"/>
              </w:rPr>
              <w:t xml:space="preserve"> </w:t>
            </w:r>
            <w:r w:rsidRPr="00330A40">
              <w:rPr>
                <w:color w:val="000000"/>
                <w:sz w:val="20"/>
                <w:lang w:val="it-IT"/>
              </w:rPr>
              <w:t>95%)</w:t>
            </w:r>
          </w:p>
        </w:tc>
        <w:tc>
          <w:tcPr>
            <w:tcW w:w="6192" w:type="dxa"/>
            <w:gridSpan w:val="2"/>
            <w:shd w:val="clear" w:color="auto" w:fill="auto"/>
          </w:tcPr>
          <w:p w14:paraId="2EF0DBA5" w14:textId="77777777" w:rsidR="006B5DC7" w:rsidRPr="00330A40" w:rsidRDefault="00D616E7" w:rsidP="006B5DC7">
            <w:pPr>
              <w:jc w:val="center"/>
              <w:rPr>
                <w:sz w:val="20"/>
                <w:lang w:val="it-IT"/>
              </w:rPr>
            </w:pPr>
            <w:r w:rsidRPr="00330A40">
              <w:rPr>
                <w:color w:val="000000"/>
                <w:sz w:val="20"/>
                <w:lang w:val="it-IT"/>
              </w:rPr>
              <w:t>0</w:t>
            </w:r>
            <w:r w:rsidR="006D2C7A" w:rsidRPr="00330A40">
              <w:rPr>
                <w:color w:val="000000"/>
                <w:sz w:val="20"/>
                <w:lang w:val="it-IT"/>
              </w:rPr>
              <w:t>,</w:t>
            </w:r>
            <w:r w:rsidRPr="00330A40">
              <w:rPr>
                <w:color w:val="000000"/>
                <w:sz w:val="20"/>
                <w:lang w:val="it-IT"/>
              </w:rPr>
              <w:t>41</w:t>
            </w:r>
            <w:r w:rsidR="006B5DC7" w:rsidRPr="00330A40">
              <w:rPr>
                <w:color w:val="000000"/>
                <w:sz w:val="20"/>
                <w:lang w:val="it-IT"/>
              </w:rPr>
              <w:t xml:space="preserve"> (</w:t>
            </w:r>
            <w:r w:rsidRPr="00330A40">
              <w:rPr>
                <w:color w:val="000000"/>
                <w:sz w:val="20"/>
                <w:lang w:val="it-IT"/>
              </w:rPr>
              <w:t>0</w:t>
            </w:r>
            <w:r w:rsidR="006D2C7A" w:rsidRPr="00330A40">
              <w:rPr>
                <w:color w:val="000000"/>
                <w:sz w:val="20"/>
                <w:lang w:val="it-IT"/>
              </w:rPr>
              <w:t>,</w:t>
            </w:r>
            <w:r w:rsidRPr="00330A40">
              <w:rPr>
                <w:color w:val="000000"/>
                <w:sz w:val="20"/>
                <w:lang w:val="it-IT"/>
              </w:rPr>
              <w:t>29 -0</w:t>
            </w:r>
            <w:r w:rsidR="006D2C7A" w:rsidRPr="00330A40">
              <w:rPr>
                <w:color w:val="000000"/>
                <w:sz w:val="20"/>
                <w:lang w:val="it-IT"/>
              </w:rPr>
              <w:t>,</w:t>
            </w:r>
            <w:r w:rsidRPr="00330A40">
              <w:rPr>
                <w:color w:val="000000"/>
                <w:sz w:val="20"/>
                <w:lang w:val="it-IT"/>
              </w:rPr>
              <w:t>58</w:t>
            </w:r>
            <w:r w:rsidR="006B5DC7" w:rsidRPr="00330A40">
              <w:rPr>
                <w:color w:val="000000"/>
                <w:sz w:val="20"/>
                <w:lang w:val="it-IT"/>
              </w:rPr>
              <w:t>)</w:t>
            </w:r>
          </w:p>
        </w:tc>
      </w:tr>
      <w:tr w:rsidR="006B5DC7" w:rsidRPr="006A2BF9" w14:paraId="750DC646" w14:textId="77777777" w:rsidTr="006B5DC7">
        <w:tc>
          <w:tcPr>
            <w:tcW w:w="3095" w:type="dxa"/>
            <w:shd w:val="clear" w:color="auto" w:fill="auto"/>
          </w:tcPr>
          <w:p w14:paraId="1D1AC815" w14:textId="77777777" w:rsidR="006B5DC7" w:rsidRPr="006A2BF9" w:rsidRDefault="006B5DC7" w:rsidP="000A6884">
            <w:pPr>
              <w:rPr>
                <w:b/>
                <w:color w:val="000000"/>
                <w:sz w:val="20"/>
                <w:lang w:val="it-IT"/>
              </w:rPr>
            </w:pPr>
            <w:r w:rsidRPr="006A2BF9">
              <w:rPr>
                <w:b/>
                <w:bCs/>
                <w:color w:val="000000"/>
                <w:sz w:val="20"/>
                <w:lang w:val="it-IT"/>
              </w:rPr>
              <w:t>&gt;</w:t>
            </w:r>
            <w:r w:rsidR="000A6884" w:rsidRPr="006A2BF9">
              <w:rPr>
                <w:b/>
                <w:bCs/>
                <w:color w:val="000000"/>
                <w:sz w:val="20"/>
                <w:lang w:val="it-IT"/>
              </w:rPr>
              <w:t> </w:t>
            </w:r>
            <w:r w:rsidRPr="006A2BF9">
              <w:rPr>
                <w:b/>
                <w:bCs/>
                <w:color w:val="000000"/>
                <w:sz w:val="20"/>
                <w:lang w:val="it-IT"/>
              </w:rPr>
              <w:t>12</w:t>
            </w:r>
            <w:r w:rsidR="000A6884" w:rsidRPr="006A2BF9">
              <w:rPr>
                <w:b/>
                <w:bCs/>
                <w:color w:val="000000"/>
                <w:sz w:val="20"/>
                <w:lang w:val="it-IT"/>
              </w:rPr>
              <w:t> </w:t>
            </w:r>
            <w:r w:rsidR="003E4D1B" w:rsidRPr="006A2BF9">
              <w:rPr>
                <w:b/>
                <w:bCs/>
                <w:color w:val="000000"/>
                <w:sz w:val="20"/>
                <w:lang w:val="it-IT"/>
              </w:rPr>
              <w:t>mesi</w:t>
            </w:r>
            <w:r w:rsidRPr="006A2BF9">
              <w:rPr>
                <w:b/>
                <w:bCs/>
                <w:color w:val="000000"/>
                <w:sz w:val="20"/>
                <w:lang w:val="it-IT"/>
              </w:rPr>
              <w:t xml:space="preserve"> (n</w:t>
            </w:r>
            <w:r w:rsidR="00BA629B" w:rsidRPr="006A2BF9">
              <w:rPr>
                <w:b/>
                <w:bCs/>
                <w:color w:val="000000"/>
                <w:sz w:val="20"/>
                <w:lang w:val="it-IT"/>
              </w:rPr>
              <w:t> </w:t>
            </w:r>
            <w:r w:rsidRPr="006A2BF9">
              <w:rPr>
                <w:b/>
                <w:bCs/>
                <w:color w:val="000000"/>
                <w:sz w:val="20"/>
                <w:lang w:val="it-IT"/>
              </w:rPr>
              <w:t>=</w:t>
            </w:r>
            <w:r w:rsidR="00BA629B" w:rsidRPr="006A2BF9">
              <w:rPr>
                <w:b/>
                <w:bCs/>
                <w:color w:val="000000"/>
                <w:sz w:val="20"/>
                <w:lang w:val="it-IT"/>
              </w:rPr>
              <w:t> </w:t>
            </w:r>
            <w:r w:rsidRPr="006A2BF9">
              <w:rPr>
                <w:b/>
                <w:bCs/>
                <w:color w:val="000000"/>
                <w:sz w:val="20"/>
                <w:lang w:val="it-IT"/>
              </w:rPr>
              <w:t>282)</w:t>
            </w:r>
          </w:p>
        </w:tc>
        <w:tc>
          <w:tcPr>
            <w:tcW w:w="3096" w:type="dxa"/>
            <w:shd w:val="clear" w:color="auto" w:fill="auto"/>
          </w:tcPr>
          <w:p w14:paraId="277A8514" w14:textId="77777777" w:rsidR="006B5DC7" w:rsidRPr="006A2BF9" w:rsidRDefault="006B5DC7" w:rsidP="006B5DC7">
            <w:pPr>
              <w:jc w:val="center"/>
              <w:rPr>
                <w:sz w:val="20"/>
                <w:lang w:val="it-IT"/>
              </w:rPr>
            </w:pPr>
          </w:p>
        </w:tc>
        <w:tc>
          <w:tcPr>
            <w:tcW w:w="3096" w:type="dxa"/>
            <w:shd w:val="clear" w:color="auto" w:fill="auto"/>
          </w:tcPr>
          <w:p w14:paraId="225013A1" w14:textId="77777777" w:rsidR="006B5DC7" w:rsidRPr="006A2BF9" w:rsidRDefault="006B5DC7" w:rsidP="006B5DC7">
            <w:pPr>
              <w:jc w:val="center"/>
              <w:rPr>
                <w:sz w:val="20"/>
                <w:lang w:val="it-IT"/>
              </w:rPr>
            </w:pPr>
          </w:p>
        </w:tc>
      </w:tr>
      <w:tr w:rsidR="006B5DC7" w:rsidRPr="006A2BF9" w14:paraId="1048C5F6" w14:textId="77777777" w:rsidTr="006B5DC7">
        <w:tc>
          <w:tcPr>
            <w:tcW w:w="3095" w:type="dxa"/>
            <w:shd w:val="clear" w:color="auto" w:fill="auto"/>
          </w:tcPr>
          <w:p w14:paraId="2C7C73E0" w14:textId="77777777" w:rsidR="006B5DC7" w:rsidRPr="006A2BF9" w:rsidRDefault="006B5DC7" w:rsidP="006B5DC7">
            <w:pPr>
              <w:ind w:left="270"/>
              <w:rPr>
                <w:b/>
                <w:bCs/>
                <w:color w:val="000000"/>
                <w:sz w:val="20"/>
                <w:lang w:val="it-IT"/>
              </w:rPr>
            </w:pPr>
            <w:r w:rsidRPr="006A2BF9">
              <w:rPr>
                <w:b/>
                <w:bCs/>
                <w:color w:val="000000"/>
                <w:sz w:val="20"/>
                <w:lang w:val="it-IT"/>
              </w:rPr>
              <w:t>Median</w:t>
            </w:r>
            <w:r w:rsidR="000F0B29" w:rsidRPr="006A2BF9">
              <w:rPr>
                <w:b/>
                <w:bCs/>
                <w:color w:val="000000"/>
                <w:sz w:val="20"/>
                <w:lang w:val="it-IT"/>
              </w:rPr>
              <w:t>a</w:t>
            </w:r>
          </w:p>
        </w:tc>
        <w:tc>
          <w:tcPr>
            <w:tcW w:w="3096" w:type="dxa"/>
            <w:shd w:val="clear" w:color="auto" w:fill="auto"/>
          </w:tcPr>
          <w:p w14:paraId="3D76295F" w14:textId="77777777" w:rsidR="006B5DC7" w:rsidRPr="006A2BF9" w:rsidRDefault="00D616E7" w:rsidP="006B5DC7">
            <w:pPr>
              <w:jc w:val="center"/>
              <w:rPr>
                <w:color w:val="000000"/>
                <w:sz w:val="20"/>
                <w:lang w:val="it-IT"/>
              </w:rPr>
            </w:pPr>
            <w:r w:rsidRPr="006A2BF9">
              <w:rPr>
                <w:color w:val="000000"/>
                <w:sz w:val="20"/>
                <w:lang w:val="it-IT"/>
              </w:rPr>
              <w:t>9</w:t>
            </w:r>
            <w:r w:rsidR="006D2C7A" w:rsidRPr="006A2BF9">
              <w:rPr>
                <w:color w:val="000000"/>
                <w:sz w:val="20"/>
                <w:lang w:val="it-IT"/>
              </w:rPr>
              <w:t>,</w:t>
            </w:r>
            <w:r w:rsidRPr="006A2BF9">
              <w:rPr>
                <w:color w:val="000000"/>
                <w:sz w:val="20"/>
                <w:lang w:val="it-IT"/>
              </w:rPr>
              <w:t>7</w:t>
            </w:r>
          </w:p>
        </w:tc>
        <w:tc>
          <w:tcPr>
            <w:tcW w:w="3096" w:type="dxa"/>
            <w:shd w:val="clear" w:color="auto" w:fill="auto"/>
          </w:tcPr>
          <w:p w14:paraId="791E08E9" w14:textId="77777777" w:rsidR="006B5DC7" w:rsidRPr="006A2BF9" w:rsidRDefault="00D616E7" w:rsidP="006B5DC7">
            <w:pPr>
              <w:jc w:val="center"/>
              <w:rPr>
                <w:color w:val="000000"/>
                <w:sz w:val="20"/>
                <w:lang w:val="it-IT"/>
              </w:rPr>
            </w:pPr>
            <w:r w:rsidRPr="006A2BF9">
              <w:rPr>
                <w:color w:val="000000"/>
                <w:sz w:val="20"/>
                <w:lang w:val="it-IT"/>
              </w:rPr>
              <w:t>12</w:t>
            </w:r>
            <w:r w:rsidR="006D2C7A" w:rsidRPr="006A2BF9">
              <w:rPr>
                <w:color w:val="000000"/>
                <w:sz w:val="20"/>
                <w:lang w:val="it-IT"/>
              </w:rPr>
              <w:t>,</w:t>
            </w:r>
            <w:r w:rsidRPr="006A2BF9">
              <w:rPr>
                <w:color w:val="000000"/>
                <w:sz w:val="20"/>
                <w:lang w:val="it-IT"/>
              </w:rPr>
              <w:t>4</w:t>
            </w:r>
          </w:p>
        </w:tc>
      </w:tr>
      <w:tr w:rsidR="006B5DC7" w:rsidRPr="006A2BF9" w14:paraId="382E68DB" w14:textId="77777777" w:rsidTr="006B5DC7">
        <w:tc>
          <w:tcPr>
            <w:tcW w:w="3095" w:type="dxa"/>
            <w:shd w:val="clear" w:color="auto" w:fill="auto"/>
          </w:tcPr>
          <w:p w14:paraId="52DF36D2" w14:textId="77777777" w:rsidR="006B5DC7" w:rsidRPr="00330A40" w:rsidRDefault="006B5DC7" w:rsidP="006B5DC7">
            <w:pPr>
              <w:ind w:left="270"/>
              <w:rPr>
                <w:color w:val="000000"/>
                <w:sz w:val="20"/>
                <w:lang w:val="it-IT"/>
              </w:rPr>
            </w:pPr>
            <w:r w:rsidRPr="000F0246">
              <w:rPr>
                <w:i/>
                <w:color w:val="000000"/>
                <w:sz w:val="20"/>
                <w:lang w:val="it-IT"/>
              </w:rPr>
              <w:t>Hazard ratio</w:t>
            </w:r>
            <w:r w:rsidRPr="00330A40">
              <w:rPr>
                <w:color w:val="000000"/>
                <w:sz w:val="20"/>
                <w:lang w:val="it-IT"/>
              </w:rPr>
              <w:t xml:space="preserve"> (</w:t>
            </w:r>
            <w:r w:rsidR="00340523" w:rsidRPr="00330A40">
              <w:rPr>
                <w:color w:val="000000"/>
                <w:sz w:val="20"/>
                <w:lang w:val="it-IT"/>
              </w:rPr>
              <w:t xml:space="preserve">IC </w:t>
            </w:r>
            <w:r w:rsidR="00831FDE">
              <w:rPr>
                <w:color w:val="000000"/>
                <w:sz w:val="20"/>
                <w:lang w:val="it-IT"/>
              </w:rPr>
              <w:t xml:space="preserve">al </w:t>
            </w:r>
            <w:r w:rsidRPr="00330A40">
              <w:rPr>
                <w:color w:val="000000"/>
                <w:sz w:val="20"/>
                <w:lang w:val="it-IT"/>
              </w:rPr>
              <w:t>95%)</w:t>
            </w:r>
          </w:p>
        </w:tc>
        <w:tc>
          <w:tcPr>
            <w:tcW w:w="6192" w:type="dxa"/>
            <w:gridSpan w:val="2"/>
            <w:shd w:val="clear" w:color="auto" w:fill="auto"/>
          </w:tcPr>
          <w:p w14:paraId="584708EE" w14:textId="77777777" w:rsidR="006B5DC7" w:rsidRPr="00330A40" w:rsidRDefault="00D616E7" w:rsidP="006B5DC7">
            <w:pPr>
              <w:jc w:val="center"/>
              <w:rPr>
                <w:sz w:val="20"/>
                <w:lang w:val="it-IT"/>
              </w:rPr>
            </w:pPr>
            <w:r w:rsidRPr="00330A40">
              <w:rPr>
                <w:color w:val="000000"/>
                <w:sz w:val="20"/>
                <w:lang w:val="it-IT"/>
              </w:rPr>
              <w:t>0</w:t>
            </w:r>
            <w:r w:rsidR="006D2C7A" w:rsidRPr="00330A40">
              <w:rPr>
                <w:color w:val="000000"/>
                <w:sz w:val="20"/>
                <w:lang w:val="it-IT"/>
              </w:rPr>
              <w:t>,</w:t>
            </w:r>
            <w:r w:rsidRPr="00330A40">
              <w:rPr>
                <w:color w:val="000000"/>
                <w:sz w:val="20"/>
                <w:lang w:val="it-IT"/>
              </w:rPr>
              <w:t>55 (0</w:t>
            </w:r>
            <w:r w:rsidR="006D2C7A" w:rsidRPr="00330A40">
              <w:rPr>
                <w:color w:val="000000"/>
                <w:sz w:val="20"/>
                <w:lang w:val="it-IT"/>
              </w:rPr>
              <w:t>,</w:t>
            </w:r>
            <w:r w:rsidRPr="00330A40">
              <w:rPr>
                <w:color w:val="000000"/>
                <w:sz w:val="20"/>
                <w:lang w:val="it-IT"/>
              </w:rPr>
              <w:t>41</w:t>
            </w:r>
            <w:r w:rsidR="00BA629B" w:rsidRPr="00330A40">
              <w:rPr>
                <w:color w:val="000000"/>
                <w:sz w:val="20"/>
                <w:lang w:val="it-IT"/>
              </w:rPr>
              <w:noBreakHyphen/>
            </w:r>
            <w:r w:rsidRPr="00330A40">
              <w:rPr>
                <w:color w:val="000000"/>
                <w:sz w:val="20"/>
                <w:lang w:val="it-IT"/>
              </w:rPr>
              <w:t>0</w:t>
            </w:r>
            <w:r w:rsidR="006D2C7A" w:rsidRPr="00330A40">
              <w:rPr>
                <w:color w:val="000000"/>
                <w:sz w:val="20"/>
                <w:lang w:val="it-IT"/>
              </w:rPr>
              <w:t>,</w:t>
            </w:r>
            <w:r w:rsidRPr="00330A40">
              <w:rPr>
                <w:color w:val="000000"/>
                <w:sz w:val="20"/>
                <w:lang w:val="it-IT"/>
              </w:rPr>
              <w:t>73</w:t>
            </w:r>
            <w:r w:rsidR="006B5DC7" w:rsidRPr="00330A40">
              <w:rPr>
                <w:color w:val="000000"/>
                <w:sz w:val="20"/>
                <w:lang w:val="it-IT"/>
              </w:rPr>
              <w:t>)</w:t>
            </w:r>
          </w:p>
        </w:tc>
      </w:tr>
    </w:tbl>
    <w:p w14:paraId="67795D97" w14:textId="77777777" w:rsidR="006B5DC7" w:rsidRPr="006A2BF9" w:rsidRDefault="006B5DC7" w:rsidP="00E14791">
      <w:pPr>
        <w:keepNext/>
        <w:keepLines/>
        <w:rPr>
          <w:lang w:val="it-IT"/>
        </w:rPr>
      </w:pPr>
    </w:p>
    <w:p w14:paraId="3608675C" w14:textId="77777777" w:rsidR="002F0F31" w:rsidRPr="006A2BF9" w:rsidRDefault="002F0F31" w:rsidP="002F0F31">
      <w:pPr>
        <w:rPr>
          <w:i/>
          <w:lang w:val="it-IT"/>
        </w:rPr>
      </w:pPr>
      <w:r w:rsidRPr="006A2BF9">
        <w:rPr>
          <w:i/>
          <w:lang w:val="it-IT"/>
        </w:rPr>
        <w:t>GOG-0213</w:t>
      </w:r>
    </w:p>
    <w:p w14:paraId="7B7217C6" w14:textId="77777777" w:rsidR="002F0F31" w:rsidRPr="006A2BF9" w:rsidRDefault="002F0F31" w:rsidP="002F0F31">
      <w:pPr>
        <w:rPr>
          <w:lang w:val="it-IT"/>
        </w:rPr>
      </w:pPr>
      <w:r w:rsidRPr="006A2BF9">
        <w:rPr>
          <w:lang w:val="it-IT"/>
        </w:rPr>
        <w:t>Lo studio GOG-0213, una sperimentazione di fas</w:t>
      </w:r>
      <w:r w:rsidR="00A905BF" w:rsidRPr="006A2BF9">
        <w:rPr>
          <w:lang w:val="it-IT"/>
        </w:rPr>
        <w:t>e</w:t>
      </w:r>
      <w:r w:rsidR="000A6884" w:rsidRPr="006A2BF9">
        <w:rPr>
          <w:lang w:val="it-IT"/>
        </w:rPr>
        <w:t> </w:t>
      </w:r>
      <w:r w:rsidR="00A905BF" w:rsidRPr="006A2BF9">
        <w:rPr>
          <w:lang w:val="it-IT"/>
        </w:rPr>
        <w:t>III, randomizzata,</w:t>
      </w:r>
      <w:r w:rsidRPr="006A2BF9">
        <w:rPr>
          <w:lang w:val="it-IT"/>
        </w:rPr>
        <w:t xml:space="preserve"> controllata</w:t>
      </w:r>
      <w:r w:rsidR="00A905BF" w:rsidRPr="006A2BF9">
        <w:rPr>
          <w:lang w:val="it-IT"/>
        </w:rPr>
        <w:t xml:space="preserve"> e in aperto,</w:t>
      </w:r>
      <w:r w:rsidRPr="006A2BF9">
        <w:rPr>
          <w:lang w:val="it-IT"/>
        </w:rPr>
        <w:t xml:space="preserve"> ha esaminato la sicurezza e l’efficacia di </w:t>
      </w:r>
      <w:r w:rsidR="000A6884" w:rsidRPr="006A2BF9">
        <w:rPr>
          <w:szCs w:val="22"/>
          <w:lang w:val="it-IT"/>
        </w:rPr>
        <w:t xml:space="preserve">bevacizumab </w:t>
      </w:r>
      <w:r w:rsidRPr="006A2BF9">
        <w:rPr>
          <w:lang w:val="it-IT"/>
        </w:rPr>
        <w:t xml:space="preserve">nel trattamento di pazienti con recidiva di </w:t>
      </w:r>
      <w:r w:rsidR="00A9410F" w:rsidRPr="006A2BF9">
        <w:rPr>
          <w:lang w:val="it-IT"/>
        </w:rPr>
        <w:t>cancro</w:t>
      </w:r>
      <w:r w:rsidRPr="006A2BF9">
        <w:rPr>
          <w:lang w:val="it-IT"/>
        </w:rPr>
        <w:t xml:space="preserve"> epiteliale</w:t>
      </w:r>
      <w:r w:rsidR="00A9410F" w:rsidRPr="006A2BF9">
        <w:rPr>
          <w:lang w:val="it-IT"/>
        </w:rPr>
        <w:t xml:space="preserve"> dell’ovaio</w:t>
      </w:r>
      <w:r w:rsidRPr="006A2BF9">
        <w:rPr>
          <w:lang w:val="it-IT"/>
        </w:rPr>
        <w:t xml:space="preserve">, </w:t>
      </w:r>
      <w:r w:rsidR="00A9410F" w:rsidRPr="006A2BF9">
        <w:rPr>
          <w:lang w:val="it-IT"/>
        </w:rPr>
        <w:t xml:space="preserve">cancro della tuba </w:t>
      </w:r>
      <w:r w:rsidRPr="006A2BF9">
        <w:rPr>
          <w:lang w:val="it-IT"/>
        </w:rPr>
        <w:t xml:space="preserve">di </w:t>
      </w:r>
      <w:r w:rsidR="00992BCB" w:rsidRPr="006A2BF9">
        <w:rPr>
          <w:lang w:val="it-IT"/>
        </w:rPr>
        <w:t>F</w:t>
      </w:r>
      <w:r w:rsidRPr="006A2BF9">
        <w:rPr>
          <w:lang w:val="it-IT"/>
        </w:rPr>
        <w:t>alloppio o</w:t>
      </w:r>
      <w:r w:rsidR="00A9410F" w:rsidRPr="006A2BF9">
        <w:rPr>
          <w:lang w:val="it-IT"/>
        </w:rPr>
        <w:t xml:space="preserve"> cancro</w:t>
      </w:r>
      <w:r w:rsidRPr="006A2BF9">
        <w:rPr>
          <w:lang w:val="it-IT"/>
        </w:rPr>
        <w:t xml:space="preserve"> peritoneale primario platino-sensibili non precedentemente sottoposte a chemioterapia nel contesto recidivante. </w:t>
      </w:r>
      <w:r w:rsidR="00070038" w:rsidRPr="006A2BF9">
        <w:rPr>
          <w:lang w:val="it-IT"/>
        </w:rPr>
        <w:t>Non era previsto</w:t>
      </w:r>
      <w:r w:rsidRPr="006A2BF9">
        <w:rPr>
          <w:lang w:val="it-IT"/>
        </w:rPr>
        <w:t xml:space="preserve"> alcun criterio di esclusione </w:t>
      </w:r>
      <w:r w:rsidR="001A718D" w:rsidRPr="006A2BF9">
        <w:rPr>
          <w:lang w:val="it-IT"/>
        </w:rPr>
        <w:t>rispetto a</w:t>
      </w:r>
      <w:r w:rsidRPr="006A2BF9">
        <w:rPr>
          <w:lang w:val="it-IT"/>
        </w:rPr>
        <w:t xml:space="preserve"> pregresse terapie anti</w:t>
      </w:r>
      <w:r w:rsidR="001A718D" w:rsidRPr="006A2BF9">
        <w:rPr>
          <w:lang w:val="it-IT"/>
        </w:rPr>
        <w:t>-</w:t>
      </w:r>
      <w:r w:rsidRPr="006A2BF9">
        <w:rPr>
          <w:lang w:val="it-IT"/>
        </w:rPr>
        <w:t>angiogeniche. Lo studio ha valutato l’effetto d</w:t>
      </w:r>
      <w:r w:rsidR="001A718D" w:rsidRPr="006A2BF9">
        <w:rPr>
          <w:lang w:val="it-IT"/>
        </w:rPr>
        <w:t>e</w:t>
      </w:r>
      <w:r w:rsidRPr="006A2BF9">
        <w:rPr>
          <w:lang w:val="it-IT"/>
        </w:rPr>
        <w:t xml:space="preserve">ll’aggiunta di </w:t>
      </w:r>
      <w:r w:rsidR="000A6884" w:rsidRPr="006A2BF9">
        <w:rPr>
          <w:szCs w:val="22"/>
          <w:lang w:val="it-IT"/>
        </w:rPr>
        <w:t>bevacizumab</w:t>
      </w:r>
      <w:r w:rsidR="000A6884" w:rsidRPr="006A2BF9" w:rsidDel="000A6884">
        <w:rPr>
          <w:lang w:val="it-IT"/>
        </w:rPr>
        <w:t xml:space="preserve"> </w:t>
      </w:r>
      <w:r w:rsidRPr="006A2BF9">
        <w:rPr>
          <w:lang w:val="it-IT"/>
        </w:rPr>
        <w:t>a carboplatino</w:t>
      </w:r>
      <w:r w:rsidR="00BA629B" w:rsidRPr="006A2BF9">
        <w:rPr>
          <w:lang w:val="it-IT"/>
        </w:rPr>
        <w:t> </w:t>
      </w:r>
      <w:r w:rsidRPr="006A2BF9">
        <w:rPr>
          <w:lang w:val="it-IT"/>
        </w:rPr>
        <w:t>+</w:t>
      </w:r>
      <w:r w:rsidR="00BA629B" w:rsidRPr="006A2BF9">
        <w:rPr>
          <w:lang w:val="it-IT"/>
        </w:rPr>
        <w:t> </w:t>
      </w:r>
      <w:r w:rsidRPr="006A2BF9">
        <w:rPr>
          <w:lang w:val="it-IT"/>
        </w:rPr>
        <w:t xml:space="preserve">paclitaxel e dal </w:t>
      </w:r>
      <w:r w:rsidR="001A718D" w:rsidRPr="006A2BF9">
        <w:rPr>
          <w:lang w:val="it-IT"/>
        </w:rPr>
        <w:t>prosieguo</w:t>
      </w:r>
      <w:r w:rsidRPr="006A2BF9">
        <w:rPr>
          <w:lang w:val="it-IT"/>
        </w:rPr>
        <w:t xml:space="preserve"> del trattamento con </w:t>
      </w:r>
      <w:r w:rsidR="000A6884" w:rsidRPr="006A2BF9">
        <w:rPr>
          <w:szCs w:val="22"/>
          <w:lang w:val="it-IT"/>
        </w:rPr>
        <w:t>bevacizumab</w:t>
      </w:r>
      <w:r w:rsidR="000A6884" w:rsidRPr="006A2BF9" w:rsidDel="000A6884">
        <w:rPr>
          <w:lang w:val="it-IT"/>
        </w:rPr>
        <w:t xml:space="preserve"> </w:t>
      </w:r>
      <w:r w:rsidRPr="006A2BF9">
        <w:rPr>
          <w:lang w:val="it-IT"/>
        </w:rPr>
        <w:t>in monoterapia fino a progressione della malattia o insorgenza di tossicità inaccettabile rispetto all’uso dei soli carboplatino</w:t>
      </w:r>
      <w:r w:rsidR="00BA629B" w:rsidRPr="006A2BF9">
        <w:rPr>
          <w:lang w:val="it-IT"/>
        </w:rPr>
        <w:t> </w:t>
      </w:r>
      <w:r w:rsidRPr="006A2BF9">
        <w:rPr>
          <w:lang w:val="it-IT"/>
        </w:rPr>
        <w:t>+</w:t>
      </w:r>
      <w:r w:rsidR="00BA629B" w:rsidRPr="006A2BF9">
        <w:rPr>
          <w:lang w:val="it-IT"/>
        </w:rPr>
        <w:t> </w:t>
      </w:r>
      <w:r w:rsidRPr="006A2BF9">
        <w:rPr>
          <w:lang w:val="it-IT"/>
        </w:rPr>
        <w:t>paclitaxel.</w:t>
      </w:r>
    </w:p>
    <w:p w14:paraId="63070196" w14:textId="77777777" w:rsidR="002F0F31" w:rsidRPr="006A2BF9" w:rsidRDefault="002F0F31" w:rsidP="002F0F31">
      <w:pPr>
        <w:rPr>
          <w:lang w:val="it-IT"/>
        </w:rPr>
      </w:pPr>
    </w:p>
    <w:p w14:paraId="1ED4BEAC" w14:textId="77777777" w:rsidR="002F0F31" w:rsidRPr="006A2BF9" w:rsidRDefault="002F0F31" w:rsidP="002F0F31">
      <w:pPr>
        <w:rPr>
          <w:lang w:val="it-IT"/>
        </w:rPr>
      </w:pPr>
      <w:r w:rsidRPr="006A2BF9">
        <w:rPr>
          <w:lang w:val="it-IT"/>
        </w:rPr>
        <w:t>Nel complesso sono state randomizzate 673</w:t>
      </w:r>
      <w:r w:rsidR="000A6884" w:rsidRPr="006A2BF9">
        <w:rPr>
          <w:lang w:val="it-IT"/>
        </w:rPr>
        <w:t> </w:t>
      </w:r>
      <w:r w:rsidRPr="006A2BF9">
        <w:rPr>
          <w:lang w:val="it-IT"/>
        </w:rPr>
        <w:t xml:space="preserve">pazienti in misura uguale </w:t>
      </w:r>
      <w:r w:rsidR="00070038" w:rsidRPr="006A2BF9">
        <w:rPr>
          <w:lang w:val="it-IT"/>
        </w:rPr>
        <w:t>nei</w:t>
      </w:r>
      <w:r w:rsidRPr="006A2BF9">
        <w:rPr>
          <w:lang w:val="it-IT"/>
        </w:rPr>
        <w:t xml:space="preserve"> due bracci di trattamento riportati di seguito:</w:t>
      </w:r>
    </w:p>
    <w:p w14:paraId="62A38487" w14:textId="77777777" w:rsidR="002F0F31" w:rsidRPr="006A2BF9" w:rsidRDefault="002F0F31" w:rsidP="00C65E97">
      <w:pPr>
        <w:ind w:left="567" w:hanging="567"/>
        <w:rPr>
          <w:rFonts w:eastAsia="MS Mincho"/>
          <w:lang w:val="it-IT" w:eastAsia="de-DE"/>
        </w:rPr>
      </w:pPr>
      <w:r w:rsidRPr="006A2BF9">
        <w:rPr>
          <w:lang w:val="it-IT"/>
        </w:rPr>
        <w:lastRenderedPageBreak/>
        <w:t>•</w:t>
      </w:r>
      <w:r w:rsidRPr="006A2BF9">
        <w:rPr>
          <w:lang w:val="it-IT"/>
        </w:rPr>
        <w:tab/>
      </w:r>
      <w:r w:rsidR="00A9410F" w:rsidRPr="006A2BF9">
        <w:rPr>
          <w:lang w:val="it-IT"/>
        </w:rPr>
        <w:t xml:space="preserve">braccio </w:t>
      </w:r>
      <w:r w:rsidRPr="006A2BF9">
        <w:rPr>
          <w:rFonts w:eastAsia="MS Mincho"/>
          <w:lang w:val="it-IT" w:eastAsia="de-DE"/>
        </w:rPr>
        <w:t>CP: carboplatino (AUC5) e paclitaxel (175</w:t>
      </w:r>
      <w:r w:rsidR="000A6884" w:rsidRPr="006A2BF9">
        <w:rPr>
          <w:rFonts w:eastAsia="MS Mincho"/>
          <w:lang w:val="it-IT" w:eastAsia="de-DE"/>
        </w:rPr>
        <w:t> </w:t>
      </w:r>
      <w:r w:rsidRPr="006A2BF9">
        <w:rPr>
          <w:rFonts w:eastAsia="MS Mincho"/>
          <w:lang w:val="it-IT" w:eastAsia="de-DE"/>
        </w:rPr>
        <w:t>mg/m</w:t>
      </w:r>
      <w:r w:rsidRPr="006A2BF9">
        <w:rPr>
          <w:rFonts w:eastAsia="MS Mincho"/>
          <w:vertAlign w:val="superscript"/>
          <w:lang w:val="it-IT" w:eastAsia="de-DE"/>
        </w:rPr>
        <w:t>2</w:t>
      </w:r>
      <w:r w:rsidRPr="006A2BF9">
        <w:rPr>
          <w:rFonts w:eastAsia="MS Mincho"/>
          <w:lang w:val="it-IT" w:eastAsia="de-DE"/>
        </w:rPr>
        <w:t xml:space="preserve"> </w:t>
      </w:r>
      <w:r w:rsidR="00062D61">
        <w:rPr>
          <w:rFonts w:eastAsia="MS Mincho"/>
          <w:lang w:val="it-IT" w:eastAsia="de-DE"/>
        </w:rPr>
        <w:t>per via endovenosa</w:t>
      </w:r>
      <w:r w:rsidRPr="006A2BF9">
        <w:rPr>
          <w:rFonts w:eastAsia="MS Mincho"/>
          <w:lang w:val="it-IT" w:eastAsia="de-DE"/>
        </w:rPr>
        <w:t>) ogni 3</w:t>
      </w:r>
      <w:r w:rsidR="000A6884" w:rsidRPr="006A2BF9">
        <w:rPr>
          <w:rFonts w:eastAsia="MS Mincho"/>
          <w:lang w:val="it-IT" w:eastAsia="de-DE"/>
        </w:rPr>
        <w:t> </w:t>
      </w:r>
      <w:r w:rsidRPr="006A2BF9">
        <w:rPr>
          <w:rFonts w:eastAsia="MS Mincho"/>
          <w:lang w:val="it-IT" w:eastAsia="de-DE"/>
        </w:rPr>
        <w:t>settimane per 6</w:t>
      </w:r>
      <w:r w:rsidR="000A6884" w:rsidRPr="006A2BF9">
        <w:rPr>
          <w:rFonts w:eastAsia="MS Mincho"/>
          <w:lang w:val="it-IT" w:eastAsia="de-DE"/>
        </w:rPr>
        <w:t> </w:t>
      </w:r>
      <w:r w:rsidRPr="006A2BF9">
        <w:rPr>
          <w:rFonts w:eastAsia="MS Mincho"/>
          <w:lang w:val="it-IT" w:eastAsia="de-DE"/>
        </w:rPr>
        <w:t>cicli e fino a</w:t>
      </w:r>
      <w:r w:rsidR="00020D2D" w:rsidRPr="006A2BF9">
        <w:rPr>
          <w:rFonts w:eastAsia="MS Mincho"/>
          <w:lang w:val="it-IT" w:eastAsia="de-DE"/>
        </w:rPr>
        <w:t>d</w:t>
      </w:r>
      <w:r w:rsidRPr="006A2BF9">
        <w:rPr>
          <w:rFonts w:eastAsia="MS Mincho"/>
          <w:lang w:val="it-IT" w:eastAsia="de-DE"/>
        </w:rPr>
        <w:t xml:space="preserve"> un massimo di 8</w:t>
      </w:r>
      <w:r w:rsidR="000A6884" w:rsidRPr="006A2BF9">
        <w:rPr>
          <w:rFonts w:eastAsia="MS Mincho"/>
          <w:lang w:val="it-IT" w:eastAsia="de-DE"/>
        </w:rPr>
        <w:t> </w:t>
      </w:r>
      <w:r w:rsidRPr="006A2BF9">
        <w:rPr>
          <w:rFonts w:eastAsia="MS Mincho"/>
          <w:lang w:val="it-IT" w:eastAsia="de-DE"/>
        </w:rPr>
        <w:t>cicli</w:t>
      </w:r>
    </w:p>
    <w:p w14:paraId="36202A27" w14:textId="77777777" w:rsidR="002F0F31" w:rsidRPr="006A2BF9" w:rsidRDefault="002F0F31" w:rsidP="00C65E97">
      <w:pPr>
        <w:ind w:left="567" w:hanging="567"/>
        <w:rPr>
          <w:rFonts w:eastAsia="MS Mincho"/>
          <w:lang w:val="it-IT" w:eastAsia="de-DE"/>
        </w:rPr>
      </w:pPr>
      <w:r w:rsidRPr="006A2BF9">
        <w:rPr>
          <w:lang w:val="it-IT"/>
        </w:rPr>
        <w:t>•</w:t>
      </w:r>
      <w:r w:rsidRPr="006A2BF9">
        <w:rPr>
          <w:lang w:val="it-IT"/>
        </w:rPr>
        <w:tab/>
      </w:r>
      <w:r w:rsidR="00A9410F" w:rsidRPr="006A2BF9">
        <w:rPr>
          <w:lang w:val="it-IT"/>
        </w:rPr>
        <w:t xml:space="preserve">braccio </w:t>
      </w:r>
      <w:r w:rsidR="00020D2D" w:rsidRPr="006A2BF9">
        <w:rPr>
          <w:rFonts w:eastAsia="MS Mincho"/>
          <w:lang w:val="it-IT" w:eastAsia="de-DE"/>
        </w:rPr>
        <w:t>CPB</w:t>
      </w:r>
      <w:r w:rsidRPr="006A2BF9">
        <w:rPr>
          <w:rFonts w:eastAsia="MS Mincho"/>
          <w:lang w:val="it-IT" w:eastAsia="de-DE"/>
        </w:rPr>
        <w:t>: carboplatino (AUC5) e paclitaxel (175 mg/m</w:t>
      </w:r>
      <w:r w:rsidRPr="006A2BF9">
        <w:rPr>
          <w:rFonts w:eastAsia="MS Mincho"/>
          <w:vertAlign w:val="superscript"/>
          <w:lang w:val="it-IT" w:eastAsia="de-DE"/>
        </w:rPr>
        <w:t>2</w:t>
      </w:r>
      <w:r w:rsidRPr="006A2BF9">
        <w:rPr>
          <w:rFonts w:eastAsia="MS Mincho"/>
          <w:lang w:val="it-IT" w:eastAsia="de-DE"/>
        </w:rPr>
        <w:t xml:space="preserve"> </w:t>
      </w:r>
      <w:r w:rsidR="00062D61">
        <w:rPr>
          <w:rFonts w:eastAsia="MS Mincho"/>
          <w:lang w:val="it-IT" w:eastAsia="de-DE"/>
        </w:rPr>
        <w:t>per via endovenosa</w:t>
      </w:r>
      <w:r w:rsidRPr="006A2BF9">
        <w:rPr>
          <w:rFonts w:eastAsia="MS Mincho"/>
          <w:lang w:val="it-IT" w:eastAsia="de-DE"/>
        </w:rPr>
        <w:t xml:space="preserve">) e </w:t>
      </w:r>
      <w:r w:rsidR="000A6884" w:rsidRPr="006A2BF9">
        <w:rPr>
          <w:szCs w:val="22"/>
          <w:lang w:val="it-IT"/>
        </w:rPr>
        <w:t>bevacizumab</w:t>
      </w:r>
      <w:r w:rsidR="000A6884" w:rsidRPr="006A2BF9" w:rsidDel="000A6884">
        <w:rPr>
          <w:rFonts w:eastAsia="MS Mincho"/>
          <w:lang w:val="it-IT" w:eastAsia="de-DE"/>
        </w:rPr>
        <w:t xml:space="preserve"> </w:t>
      </w:r>
      <w:r w:rsidRPr="006A2BF9">
        <w:rPr>
          <w:rFonts w:eastAsia="MS Mincho"/>
          <w:lang w:val="it-IT" w:eastAsia="de-DE"/>
        </w:rPr>
        <w:t>concomitante (15</w:t>
      </w:r>
      <w:r w:rsidR="000A6884" w:rsidRPr="006A2BF9">
        <w:rPr>
          <w:rFonts w:eastAsia="MS Mincho"/>
          <w:lang w:val="it-IT" w:eastAsia="de-DE"/>
        </w:rPr>
        <w:t> </w:t>
      </w:r>
      <w:r w:rsidRPr="006A2BF9">
        <w:rPr>
          <w:rFonts w:eastAsia="MS Mincho"/>
          <w:lang w:val="it-IT" w:eastAsia="de-DE"/>
        </w:rPr>
        <w:t>mg/kg) ogni 3</w:t>
      </w:r>
      <w:r w:rsidR="000A6884" w:rsidRPr="006A2BF9">
        <w:rPr>
          <w:rFonts w:eastAsia="MS Mincho"/>
          <w:lang w:val="it-IT" w:eastAsia="de-DE"/>
        </w:rPr>
        <w:t> </w:t>
      </w:r>
      <w:r w:rsidRPr="006A2BF9">
        <w:rPr>
          <w:rFonts w:eastAsia="MS Mincho"/>
          <w:lang w:val="it-IT" w:eastAsia="de-DE"/>
        </w:rPr>
        <w:t>settimane per 6</w:t>
      </w:r>
      <w:r w:rsidR="000A6884" w:rsidRPr="006A2BF9">
        <w:rPr>
          <w:rFonts w:eastAsia="MS Mincho"/>
          <w:lang w:val="it-IT" w:eastAsia="de-DE"/>
        </w:rPr>
        <w:t> </w:t>
      </w:r>
      <w:r w:rsidRPr="006A2BF9">
        <w:rPr>
          <w:rFonts w:eastAsia="MS Mincho"/>
          <w:lang w:val="it-IT" w:eastAsia="de-DE"/>
        </w:rPr>
        <w:t>cicli e fino a</w:t>
      </w:r>
      <w:r w:rsidR="00020D2D" w:rsidRPr="006A2BF9">
        <w:rPr>
          <w:rFonts w:eastAsia="MS Mincho"/>
          <w:lang w:val="it-IT" w:eastAsia="de-DE"/>
        </w:rPr>
        <w:t>d</w:t>
      </w:r>
      <w:r w:rsidRPr="006A2BF9">
        <w:rPr>
          <w:rFonts w:eastAsia="MS Mincho"/>
          <w:lang w:val="it-IT" w:eastAsia="de-DE"/>
        </w:rPr>
        <w:t xml:space="preserve"> un massimo di 8</w:t>
      </w:r>
      <w:r w:rsidR="000A6884" w:rsidRPr="006A2BF9">
        <w:rPr>
          <w:rFonts w:eastAsia="MS Mincho"/>
          <w:lang w:val="it-IT" w:eastAsia="de-DE"/>
        </w:rPr>
        <w:t> </w:t>
      </w:r>
      <w:r w:rsidRPr="006A2BF9">
        <w:rPr>
          <w:rFonts w:eastAsia="MS Mincho"/>
          <w:lang w:val="it-IT" w:eastAsia="de-DE"/>
        </w:rPr>
        <w:t xml:space="preserve">cicli, seguiti da </w:t>
      </w:r>
      <w:r w:rsidR="000A6884" w:rsidRPr="006A2BF9">
        <w:rPr>
          <w:szCs w:val="22"/>
          <w:lang w:val="it-IT"/>
        </w:rPr>
        <w:t>bevacizumab</w:t>
      </w:r>
      <w:r w:rsidR="000A6884" w:rsidRPr="006A2BF9" w:rsidDel="000A6884">
        <w:rPr>
          <w:rFonts w:eastAsia="MS Mincho"/>
          <w:lang w:val="it-IT" w:eastAsia="de-DE"/>
        </w:rPr>
        <w:t xml:space="preserve"> </w:t>
      </w:r>
      <w:r w:rsidRPr="006A2BF9">
        <w:rPr>
          <w:rFonts w:eastAsia="MS Mincho"/>
          <w:lang w:val="it-IT" w:eastAsia="de-DE"/>
        </w:rPr>
        <w:t>(15</w:t>
      </w:r>
      <w:r w:rsidR="000A6884" w:rsidRPr="006A2BF9">
        <w:rPr>
          <w:rFonts w:eastAsia="MS Mincho"/>
          <w:lang w:val="it-IT" w:eastAsia="de-DE"/>
        </w:rPr>
        <w:t> </w:t>
      </w:r>
      <w:r w:rsidRPr="006A2BF9">
        <w:rPr>
          <w:rFonts w:eastAsia="MS Mincho"/>
          <w:lang w:val="it-IT" w:eastAsia="de-DE"/>
        </w:rPr>
        <w:t>mg/kg ogni 3</w:t>
      </w:r>
      <w:r w:rsidR="000A6884" w:rsidRPr="006A2BF9">
        <w:rPr>
          <w:rFonts w:eastAsia="MS Mincho"/>
          <w:lang w:val="it-IT" w:eastAsia="de-DE"/>
        </w:rPr>
        <w:t> </w:t>
      </w:r>
      <w:r w:rsidRPr="006A2BF9">
        <w:rPr>
          <w:rFonts w:eastAsia="MS Mincho"/>
          <w:lang w:val="it-IT" w:eastAsia="de-DE"/>
        </w:rPr>
        <w:t>settimane</w:t>
      </w:r>
      <w:r w:rsidR="00020D2D" w:rsidRPr="006A2BF9">
        <w:rPr>
          <w:rFonts w:eastAsia="MS Mincho"/>
          <w:lang w:val="it-IT" w:eastAsia="de-DE"/>
        </w:rPr>
        <w:t>)</w:t>
      </w:r>
      <w:r w:rsidRPr="006A2BF9">
        <w:rPr>
          <w:lang w:val="it-IT"/>
        </w:rPr>
        <w:t xml:space="preserve"> in monoterapia fino a progressione della malattia o insorgenza di tossicità inaccettabile</w:t>
      </w:r>
      <w:r w:rsidRPr="006A2BF9">
        <w:rPr>
          <w:rFonts w:eastAsia="MS Mincho"/>
          <w:lang w:val="it-IT" w:eastAsia="de-DE"/>
        </w:rPr>
        <w:t>.</w:t>
      </w:r>
    </w:p>
    <w:p w14:paraId="0AFDDE5B" w14:textId="77777777" w:rsidR="002F0F31" w:rsidRPr="006A2BF9" w:rsidRDefault="002F0F31" w:rsidP="002F0F31">
      <w:pPr>
        <w:rPr>
          <w:rFonts w:eastAsia="MS Mincho"/>
          <w:lang w:val="it-IT" w:eastAsia="de-DE"/>
        </w:rPr>
      </w:pPr>
    </w:p>
    <w:p w14:paraId="484807C6" w14:textId="77777777" w:rsidR="002F0F31" w:rsidRPr="006A2BF9" w:rsidRDefault="002F0F31" w:rsidP="002F0F31">
      <w:pPr>
        <w:rPr>
          <w:rFonts w:eastAsia="MS Mincho"/>
          <w:lang w:val="it-IT" w:eastAsia="de-DE"/>
        </w:rPr>
      </w:pPr>
      <w:r w:rsidRPr="006A2BF9">
        <w:rPr>
          <w:rFonts w:eastAsia="MS Mincho"/>
          <w:lang w:val="it-IT" w:eastAsia="de-DE"/>
        </w:rPr>
        <w:t xml:space="preserve">La maggior parte delle pazienti di entrambi i </w:t>
      </w:r>
      <w:r w:rsidR="00020D2D" w:rsidRPr="006A2BF9">
        <w:rPr>
          <w:rFonts w:eastAsia="MS Mincho"/>
          <w:lang w:val="it-IT" w:eastAsia="de-DE"/>
        </w:rPr>
        <w:t>bracci</w:t>
      </w:r>
      <w:r w:rsidRPr="006A2BF9">
        <w:rPr>
          <w:rFonts w:eastAsia="MS Mincho"/>
          <w:lang w:val="it-IT" w:eastAsia="de-DE"/>
        </w:rPr>
        <w:t xml:space="preserve"> CP (80,4%) e CPB (78,9%) era di </w:t>
      </w:r>
      <w:r w:rsidR="00104027" w:rsidRPr="006A2BF9">
        <w:rPr>
          <w:rFonts w:eastAsia="MS Mincho"/>
          <w:lang w:val="it-IT" w:eastAsia="de-DE"/>
        </w:rPr>
        <w:t>etnia</w:t>
      </w:r>
      <w:r w:rsidRPr="006A2BF9">
        <w:rPr>
          <w:rFonts w:eastAsia="MS Mincho"/>
          <w:lang w:val="it-IT" w:eastAsia="de-DE"/>
        </w:rPr>
        <w:t xml:space="preserve"> caucasica. L’età mediana </w:t>
      </w:r>
      <w:r w:rsidR="00070038" w:rsidRPr="006A2BF9">
        <w:rPr>
          <w:rFonts w:eastAsia="MS Mincho"/>
          <w:lang w:val="it-IT" w:eastAsia="de-DE"/>
        </w:rPr>
        <w:t>era</w:t>
      </w:r>
      <w:r w:rsidRPr="006A2BF9">
        <w:rPr>
          <w:rFonts w:eastAsia="MS Mincho"/>
          <w:lang w:val="it-IT" w:eastAsia="de-DE"/>
        </w:rPr>
        <w:t xml:space="preserve"> 60,0</w:t>
      </w:r>
      <w:r w:rsidR="000A6884" w:rsidRPr="006A2BF9">
        <w:rPr>
          <w:rFonts w:eastAsia="MS Mincho"/>
          <w:lang w:val="it-IT" w:eastAsia="de-DE"/>
        </w:rPr>
        <w:t> </w:t>
      </w:r>
      <w:r w:rsidRPr="006A2BF9">
        <w:rPr>
          <w:rFonts w:eastAsia="MS Mincho"/>
          <w:lang w:val="it-IT" w:eastAsia="de-DE"/>
        </w:rPr>
        <w:t>anni nel braccio CP e 59,0</w:t>
      </w:r>
      <w:r w:rsidR="000A6884" w:rsidRPr="006A2BF9">
        <w:rPr>
          <w:rFonts w:eastAsia="MS Mincho"/>
          <w:lang w:val="it-IT" w:eastAsia="de-DE"/>
        </w:rPr>
        <w:t> </w:t>
      </w:r>
      <w:r w:rsidRPr="006A2BF9">
        <w:rPr>
          <w:rFonts w:eastAsia="MS Mincho"/>
          <w:lang w:val="it-IT" w:eastAsia="de-DE"/>
        </w:rPr>
        <w:t xml:space="preserve">anni nel braccio CPB. </w:t>
      </w:r>
      <w:r w:rsidR="00764DF7" w:rsidRPr="006A2BF9">
        <w:rPr>
          <w:rFonts w:eastAsia="MS Mincho"/>
          <w:lang w:val="it-IT" w:eastAsia="de-DE"/>
        </w:rPr>
        <w:t xml:space="preserve">La maggior parte delle </w:t>
      </w:r>
      <w:r w:rsidRPr="006A2BF9">
        <w:rPr>
          <w:rFonts w:eastAsia="MS Mincho"/>
          <w:lang w:val="it-IT" w:eastAsia="de-DE"/>
        </w:rPr>
        <w:t xml:space="preserve">pazienti </w:t>
      </w:r>
      <w:r w:rsidR="00764DF7" w:rsidRPr="006A2BF9">
        <w:rPr>
          <w:rFonts w:eastAsia="MS Mincho"/>
          <w:lang w:val="it-IT" w:eastAsia="de-DE"/>
        </w:rPr>
        <w:t>rientrava</w:t>
      </w:r>
      <w:r w:rsidRPr="006A2BF9">
        <w:rPr>
          <w:rFonts w:eastAsia="MS Mincho"/>
          <w:lang w:val="it-IT" w:eastAsia="de-DE"/>
        </w:rPr>
        <w:t xml:space="preserve"> (CP: 64,6%; CPB: 68,8%) </w:t>
      </w:r>
      <w:r w:rsidR="00764DF7" w:rsidRPr="006A2BF9">
        <w:rPr>
          <w:rFonts w:eastAsia="MS Mincho"/>
          <w:lang w:val="it-IT" w:eastAsia="de-DE"/>
        </w:rPr>
        <w:t>nella</w:t>
      </w:r>
      <w:r w:rsidRPr="006A2BF9">
        <w:rPr>
          <w:rFonts w:eastAsia="MS Mincho"/>
          <w:lang w:val="it-IT" w:eastAsia="de-DE"/>
        </w:rPr>
        <w:t xml:space="preserve"> fascia d’età &lt;</w:t>
      </w:r>
      <w:r w:rsidR="000A6884" w:rsidRPr="006A2BF9">
        <w:rPr>
          <w:rFonts w:eastAsia="MS Mincho"/>
          <w:lang w:val="it-IT" w:eastAsia="de-DE"/>
        </w:rPr>
        <w:t> </w:t>
      </w:r>
      <w:r w:rsidRPr="006A2BF9">
        <w:rPr>
          <w:rFonts w:eastAsia="MS Mincho"/>
          <w:lang w:val="it-IT" w:eastAsia="de-DE"/>
        </w:rPr>
        <w:t>65</w:t>
      </w:r>
      <w:r w:rsidR="000A6884" w:rsidRPr="006A2BF9">
        <w:rPr>
          <w:rFonts w:eastAsia="MS Mincho"/>
          <w:lang w:val="it-IT" w:eastAsia="de-DE"/>
        </w:rPr>
        <w:t> </w:t>
      </w:r>
      <w:r w:rsidRPr="006A2BF9">
        <w:rPr>
          <w:rFonts w:eastAsia="MS Mincho"/>
          <w:lang w:val="it-IT" w:eastAsia="de-DE"/>
        </w:rPr>
        <w:t xml:space="preserve">anni. Al basale, la maggior parte delle pazienti </w:t>
      </w:r>
      <w:r w:rsidR="00070038" w:rsidRPr="006A2BF9">
        <w:rPr>
          <w:rFonts w:eastAsia="MS Mincho"/>
          <w:lang w:val="it-IT" w:eastAsia="de-DE"/>
        </w:rPr>
        <w:t>in</w:t>
      </w:r>
      <w:r w:rsidRPr="006A2BF9">
        <w:rPr>
          <w:rFonts w:eastAsia="MS Mincho"/>
          <w:lang w:val="it-IT" w:eastAsia="de-DE"/>
        </w:rPr>
        <w:t xml:space="preserve"> entrambi i bracci di trattamento presentava un PS </w:t>
      </w:r>
      <w:r w:rsidR="00FF3406" w:rsidRPr="006A2BF9">
        <w:rPr>
          <w:rFonts w:eastAsia="MS Mincho"/>
          <w:lang w:val="it-IT" w:eastAsia="de-DE"/>
        </w:rPr>
        <w:t xml:space="preserve">secondo il </w:t>
      </w:r>
      <w:r w:rsidR="00FF3406" w:rsidRPr="006A2BF9">
        <w:rPr>
          <w:rFonts w:eastAsia="MS Mincho"/>
          <w:i/>
          <w:lang w:val="it-IT" w:eastAsia="de-DE"/>
        </w:rPr>
        <w:t>Gynecologic Oncology Group</w:t>
      </w:r>
      <w:r w:rsidR="00FF3406" w:rsidRPr="006A2BF9">
        <w:rPr>
          <w:rFonts w:eastAsia="MS Mincho"/>
          <w:lang w:val="it-IT" w:eastAsia="de-DE"/>
        </w:rPr>
        <w:t xml:space="preserve"> (GOG) </w:t>
      </w:r>
      <w:r w:rsidRPr="006A2BF9">
        <w:rPr>
          <w:rFonts w:eastAsia="MS Mincho"/>
          <w:lang w:val="it-IT" w:eastAsia="de-DE"/>
        </w:rPr>
        <w:t xml:space="preserve">pari a 0 (CP: 82,4%; CPB: 80,7%) o 1 (CP: 16,7%; CPB: 18,1%). Lo 0,9% delle pazienti </w:t>
      </w:r>
      <w:r w:rsidR="00070038" w:rsidRPr="006A2BF9">
        <w:rPr>
          <w:rFonts w:eastAsia="MS Mincho"/>
          <w:lang w:val="it-IT" w:eastAsia="de-DE"/>
        </w:rPr>
        <w:t>nel</w:t>
      </w:r>
      <w:r w:rsidRPr="006A2BF9">
        <w:rPr>
          <w:rFonts w:eastAsia="MS Mincho"/>
          <w:lang w:val="it-IT" w:eastAsia="de-DE"/>
        </w:rPr>
        <w:t xml:space="preserve"> braccio CP e l’1,2% </w:t>
      </w:r>
      <w:r w:rsidR="00020D2D" w:rsidRPr="006A2BF9">
        <w:rPr>
          <w:rFonts w:eastAsia="MS Mincho"/>
          <w:lang w:val="it-IT" w:eastAsia="de-DE"/>
        </w:rPr>
        <w:t>di quelle</w:t>
      </w:r>
      <w:r w:rsidRPr="006A2BF9">
        <w:rPr>
          <w:rFonts w:eastAsia="MS Mincho"/>
          <w:lang w:val="it-IT" w:eastAsia="de-DE"/>
        </w:rPr>
        <w:t xml:space="preserve"> </w:t>
      </w:r>
      <w:r w:rsidR="00070038" w:rsidRPr="006A2BF9">
        <w:rPr>
          <w:rFonts w:eastAsia="MS Mincho"/>
          <w:lang w:val="it-IT" w:eastAsia="de-DE"/>
        </w:rPr>
        <w:t xml:space="preserve">nel </w:t>
      </w:r>
      <w:r w:rsidRPr="006A2BF9">
        <w:rPr>
          <w:rFonts w:eastAsia="MS Mincho"/>
          <w:lang w:val="it-IT" w:eastAsia="de-DE"/>
        </w:rPr>
        <w:t>braccio CPB ha</w:t>
      </w:r>
      <w:r w:rsidR="00020D2D" w:rsidRPr="006A2BF9">
        <w:rPr>
          <w:rFonts w:eastAsia="MS Mincho"/>
          <w:lang w:val="it-IT" w:eastAsia="de-DE"/>
        </w:rPr>
        <w:t>nno</w:t>
      </w:r>
      <w:r w:rsidRPr="006A2BF9">
        <w:rPr>
          <w:rFonts w:eastAsia="MS Mincho"/>
          <w:lang w:val="it-IT" w:eastAsia="de-DE"/>
        </w:rPr>
        <w:t xml:space="preserve"> evidenziato un PS </w:t>
      </w:r>
      <w:r w:rsidR="00FF3406" w:rsidRPr="006A2BF9">
        <w:rPr>
          <w:rFonts w:eastAsia="MS Mincho"/>
          <w:lang w:val="it-IT" w:eastAsia="de-DE"/>
        </w:rPr>
        <w:t xml:space="preserve">GOG </w:t>
      </w:r>
      <w:r w:rsidRPr="006A2BF9">
        <w:rPr>
          <w:rFonts w:eastAsia="MS Mincho"/>
          <w:lang w:val="it-IT" w:eastAsia="de-DE"/>
        </w:rPr>
        <w:t>pari a 2 al basale.</w:t>
      </w:r>
    </w:p>
    <w:p w14:paraId="0E5F120C" w14:textId="77777777" w:rsidR="002F0F31" w:rsidRPr="006A2BF9" w:rsidRDefault="002F0F31" w:rsidP="002F0F31">
      <w:pPr>
        <w:rPr>
          <w:rFonts w:eastAsia="MS Mincho"/>
          <w:lang w:val="it-IT" w:eastAsia="de-DE"/>
        </w:rPr>
      </w:pPr>
    </w:p>
    <w:p w14:paraId="70440509" w14:textId="77777777" w:rsidR="002F0F31" w:rsidRPr="006A2BF9" w:rsidRDefault="002F0F31" w:rsidP="002F0F31">
      <w:pPr>
        <w:rPr>
          <w:lang w:val="it-IT"/>
        </w:rPr>
      </w:pPr>
      <w:r w:rsidRPr="006A2BF9">
        <w:rPr>
          <w:rFonts w:eastAsia="MS Mincho"/>
          <w:lang w:val="it-IT" w:eastAsia="de-DE"/>
        </w:rPr>
        <w:t>L’endpoint primario di efficacia era la OS, mentre il principale endpoint secondario di efficacia era la PFS. I risultati sono riportati nella tabella</w:t>
      </w:r>
      <w:r w:rsidR="00BA629B" w:rsidRPr="006A2BF9">
        <w:rPr>
          <w:rFonts w:eastAsia="MS Mincho"/>
          <w:lang w:val="it-IT" w:eastAsia="de-DE"/>
        </w:rPr>
        <w:t> </w:t>
      </w:r>
      <w:r w:rsidRPr="006A2BF9">
        <w:rPr>
          <w:rFonts w:eastAsia="MS Mincho"/>
          <w:lang w:val="it-IT" w:eastAsia="de-DE"/>
        </w:rPr>
        <w:t>22.</w:t>
      </w:r>
    </w:p>
    <w:p w14:paraId="7C8230B0" w14:textId="77777777" w:rsidR="002F0F31" w:rsidRPr="006A2BF9" w:rsidRDefault="002F0F31" w:rsidP="002F0F31">
      <w:pPr>
        <w:rPr>
          <w:lang w:val="it-IT"/>
        </w:rPr>
      </w:pPr>
    </w:p>
    <w:p w14:paraId="2992CB0C" w14:textId="77777777" w:rsidR="002F0F31" w:rsidRPr="006A2BF9" w:rsidRDefault="002F0F31" w:rsidP="002F0F31">
      <w:pPr>
        <w:keepNext/>
        <w:keepLines/>
        <w:rPr>
          <w:b/>
          <w:lang w:val="it-IT"/>
        </w:rPr>
      </w:pPr>
      <w:r w:rsidRPr="006A2BF9">
        <w:rPr>
          <w:b/>
          <w:lang w:val="it-IT"/>
        </w:rPr>
        <w:t>Tabella 22</w:t>
      </w:r>
      <w:r w:rsidRPr="006A2BF9">
        <w:rPr>
          <w:b/>
          <w:lang w:val="it-IT"/>
        </w:rPr>
        <w:tab/>
        <w:t>Risultati di efficacia</w:t>
      </w:r>
      <w:r w:rsidRPr="006A2BF9">
        <w:rPr>
          <w:b/>
          <w:vertAlign w:val="superscript"/>
          <w:lang w:val="it-IT"/>
        </w:rPr>
        <w:t>1,2</w:t>
      </w:r>
      <w:r w:rsidRPr="006A2BF9">
        <w:rPr>
          <w:b/>
          <w:lang w:val="it-IT"/>
        </w:rPr>
        <w:t xml:space="preserve"> </w:t>
      </w:r>
      <w:r w:rsidR="00764DF7" w:rsidRPr="006A2BF9">
        <w:rPr>
          <w:b/>
          <w:lang w:val="it-IT"/>
        </w:rPr>
        <w:t xml:space="preserve">relativi </w:t>
      </w:r>
      <w:r w:rsidRPr="006A2BF9">
        <w:rPr>
          <w:b/>
          <w:lang w:val="it-IT"/>
        </w:rPr>
        <w:t>allo studio GOG-0213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2F0F31" w:rsidRPr="006A2BF9" w14:paraId="11EF4C73" w14:textId="77777777" w:rsidTr="001A4784">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7F844F9E" w14:textId="77777777" w:rsidR="002F0F31" w:rsidRPr="000F0246" w:rsidRDefault="002F0F31" w:rsidP="00020D2D">
            <w:pPr>
              <w:pStyle w:val="TextTi12"/>
              <w:keepNext/>
              <w:spacing w:after="0"/>
              <w:rPr>
                <w:rFonts w:eastAsia="SimSun"/>
                <w:b/>
                <w:sz w:val="22"/>
                <w:szCs w:val="22"/>
                <w:lang w:val="it-IT" w:eastAsia="zh-CN"/>
              </w:rPr>
            </w:pPr>
            <w:r w:rsidRPr="000F0246">
              <w:rPr>
                <w:rFonts w:eastAsia="SimSun"/>
                <w:b/>
                <w:sz w:val="22"/>
                <w:szCs w:val="22"/>
                <w:lang w:val="it-IT" w:eastAsia="zh-CN"/>
              </w:rPr>
              <w:t>Endpoint primario</w:t>
            </w:r>
          </w:p>
        </w:tc>
      </w:tr>
      <w:tr w:rsidR="002F0F31" w:rsidRPr="006A2BF9" w14:paraId="0EB133A0" w14:textId="77777777" w:rsidTr="001A4784">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2454888F" w14:textId="77777777" w:rsidR="002F0F31" w:rsidRPr="000F0246" w:rsidRDefault="002F0F31" w:rsidP="001A4784">
            <w:pPr>
              <w:pStyle w:val="TextTi12"/>
              <w:keepNext/>
              <w:spacing w:before="120" w:after="120"/>
              <w:rPr>
                <w:rFonts w:eastAsia="SimSun"/>
                <w:b/>
                <w:sz w:val="22"/>
                <w:szCs w:val="22"/>
                <w:u w:val="single"/>
                <w:lang w:val="it-IT"/>
              </w:rPr>
            </w:pPr>
            <w:r w:rsidRPr="000F0246">
              <w:rPr>
                <w:rFonts w:eastAsia="SimSun"/>
                <w:b/>
                <w:sz w:val="22"/>
                <w:szCs w:val="22"/>
                <w:u w:val="single"/>
                <w:lang w:val="it-IT" w:eastAsia="zh-CN"/>
              </w:rPr>
              <w:t>Sopravvivenza globale (OS)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A0792F1" w14:textId="77777777" w:rsidR="002F0F31" w:rsidRPr="00330A40" w:rsidRDefault="002F0F31" w:rsidP="00020D2D">
            <w:pPr>
              <w:pStyle w:val="TextTi12"/>
              <w:keepNext/>
              <w:spacing w:after="0"/>
              <w:jc w:val="center"/>
              <w:rPr>
                <w:strike/>
                <w:sz w:val="22"/>
                <w:szCs w:val="22"/>
                <w:lang w:val="it-IT"/>
              </w:rPr>
            </w:pPr>
            <w:r w:rsidRPr="00330A40">
              <w:rPr>
                <w:sz w:val="22"/>
                <w:szCs w:val="22"/>
                <w:lang w:val="it-IT"/>
              </w:rPr>
              <w:t>CP</w:t>
            </w:r>
          </w:p>
          <w:p w14:paraId="6F9CFBD8" w14:textId="77777777" w:rsidR="002F0F31" w:rsidRPr="00330A40" w:rsidRDefault="002F0F31" w:rsidP="00020D2D">
            <w:pPr>
              <w:pStyle w:val="TextTi12"/>
              <w:keepNext/>
              <w:spacing w:after="0"/>
              <w:jc w:val="center"/>
              <w:rPr>
                <w:rFonts w:eastAsia="SimSun"/>
                <w:sz w:val="22"/>
                <w:szCs w:val="22"/>
                <w:lang w:val="it-IT"/>
              </w:rPr>
            </w:pPr>
            <w:r w:rsidRPr="00330A40">
              <w:rPr>
                <w:sz w:val="22"/>
                <w:szCs w:val="22"/>
                <w:lang w:val="it-IT"/>
              </w:rPr>
              <w:t>(n</w:t>
            </w:r>
            <w:r w:rsidR="00BA629B" w:rsidRPr="00330A40">
              <w:rPr>
                <w:sz w:val="22"/>
                <w:szCs w:val="22"/>
                <w:lang w:val="it-IT"/>
              </w:rPr>
              <w:t> </w:t>
            </w:r>
            <w:r w:rsidRPr="00330A40">
              <w:rPr>
                <w:sz w:val="22"/>
                <w:szCs w:val="22"/>
                <w:lang w:val="it-IT"/>
              </w:rPr>
              <w:t>=</w:t>
            </w:r>
            <w:r w:rsidR="00BA629B" w:rsidRPr="00330A40">
              <w:rPr>
                <w:sz w:val="22"/>
                <w:szCs w:val="22"/>
                <w:lang w:val="it-IT"/>
              </w:rPr>
              <w:t> </w:t>
            </w:r>
            <w:r w:rsidRPr="00330A40">
              <w:rPr>
                <w:sz w:val="22"/>
                <w:szCs w:val="22"/>
                <w:lang w:val="it-IT"/>
              </w:rPr>
              <w:t>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74767491" w14:textId="77777777" w:rsidR="002F0F31" w:rsidRPr="00330A40" w:rsidRDefault="002F0F31" w:rsidP="00020D2D">
            <w:pPr>
              <w:pStyle w:val="TextTi12"/>
              <w:keepNext/>
              <w:spacing w:after="0"/>
              <w:jc w:val="center"/>
              <w:rPr>
                <w:sz w:val="22"/>
                <w:szCs w:val="22"/>
                <w:lang w:val="it-IT"/>
              </w:rPr>
            </w:pPr>
            <w:r w:rsidRPr="00330A40">
              <w:rPr>
                <w:sz w:val="22"/>
                <w:szCs w:val="22"/>
                <w:lang w:val="it-IT"/>
              </w:rPr>
              <w:t>CPB</w:t>
            </w:r>
          </w:p>
          <w:p w14:paraId="7F62DC7A" w14:textId="77777777" w:rsidR="002F0F31" w:rsidRPr="00D91615" w:rsidRDefault="002F0F31" w:rsidP="00D91615">
            <w:pPr>
              <w:pStyle w:val="Caption"/>
              <w:jc w:val="center"/>
              <w:rPr>
                <w:rFonts w:eastAsia="SimSun"/>
                <w:b w:val="0"/>
                <w:lang w:val="it-IT"/>
              </w:rPr>
            </w:pPr>
            <w:r w:rsidRPr="00D91615">
              <w:rPr>
                <w:b w:val="0"/>
                <w:sz w:val="22"/>
                <w:lang w:val="it-IT"/>
              </w:rPr>
              <w:t>(</w:t>
            </w:r>
            <w:r w:rsidR="003068DF" w:rsidRPr="00D91615">
              <w:rPr>
                <w:b w:val="0"/>
                <w:sz w:val="22"/>
                <w:lang w:val="it-IT"/>
              </w:rPr>
              <w:t>n</w:t>
            </w:r>
            <w:r w:rsidR="00BA629B" w:rsidRPr="00D91615">
              <w:rPr>
                <w:b w:val="0"/>
                <w:sz w:val="22"/>
                <w:lang w:val="it-IT"/>
              </w:rPr>
              <w:t> </w:t>
            </w:r>
            <w:r w:rsidRPr="00D91615">
              <w:rPr>
                <w:b w:val="0"/>
                <w:sz w:val="22"/>
                <w:lang w:val="it-IT"/>
              </w:rPr>
              <w:t>=</w:t>
            </w:r>
            <w:r w:rsidR="00BA629B" w:rsidRPr="00D91615">
              <w:rPr>
                <w:b w:val="0"/>
                <w:sz w:val="22"/>
                <w:lang w:val="it-IT"/>
              </w:rPr>
              <w:t> </w:t>
            </w:r>
            <w:r w:rsidRPr="00D91615">
              <w:rPr>
                <w:b w:val="0"/>
                <w:sz w:val="22"/>
                <w:lang w:val="it-IT"/>
              </w:rPr>
              <w:t>337)</w:t>
            </w:r>
          </w:p>
        </w:tc>
      </w:tr>
      <w:tr w:rsidR="002F0F31" w:rsidRPr="006A2BF9" w14:paraId="02A451E0" w14:textId="77777777" w:rsidTr="00020D2D">
        <w:trPr>
          <w:jc w:val="center"/>
        </w:trPr>
        <w:tc>
          <w:tcPr>
            <w:tcW w:w="4098" w:type="dxa"/>
            <w:shd w:val="clear" w:color="auto" w:fill="auto"/>
          </w:tcPr>
          <w:p w14:paraId="3F164BFB" w14:textId="77777777" w:rsidR="002F0F31" w:rsidRPr="006A2BF9" w:rsidRDefault="002F0F31" w:rsidP="00020D2D">
            <w:pPr>
              <w:pStyle w:val="TableCellLeft"/>
              <w:spacing w:before="0" w:after="0" w:line="240" w:lineRule="auto"/>
              <w:rPr>
                <w:sz w:val="22"/>
                <w:szCs w:val="22"/>
                <w:lang w:val="it-IT"/>
              </w:rPr>
            </w:pPr>
            <w:r w:rsidRPr="006A2BF9">
              <w:rPr>
                <w:sz w:val="22"/>
                <w:szCs w:val="22"/>
                <w:lang w:val="it-IT"/>
              </w:rPr>
              <w:t>OS mediana (mesi)</w:t>
            </w:r>
          </w:p>
        </w:tc>
        <w:tc>
          <w:tcPr>
            <w:tcW w:w="2250" w:type="dxa"/>
            <w:shd w:val="clear" w:color="auto" w:fill="auto"/>
            <w:vAlign w:val="center"/>
          </w:tcPr>
          <w:p w14:paraId="556DA144" w14:textId="77777777" w:rsidR="002F0F31" w:rsidRPr="006A2BF9" w:rsidRDefault="002F0F31" w:rsidP="00020D2D">
            <w:pPr>
              <w:pStyle w:val="TableCellCenter"/>
              <w:keepLines w:val="0"/>
              <w:spacing w:before="0" w:after="0" w:line="240" w:lineRule="auto"/>
              <w:rPr>
                <w:sz w:val="22"/>
                <w:szCs w:val="22"/>
                <w:lang w:val="it-IT" w:eastAsia="da-DK"/>
              </w:rPr>
            </w:pPr>
            <w:r w:rsidRPr="006A2BF9">
              <w:rPr>
                <w:sz w:val="22"/>
                <w:szCs w:val="22"/>
                <w:lang w:val="it-IT" w:eastAsia="da-DK"/>
              </w:rPr>
              <w:t>37,3</w:t>
            </w:r>
          </w:p>
        </w:tc>
        <w:tc>
          <w:tcPr>
            <w:tcW w:w="2568" w:type="dxa"/>
            <w:shd w:val="clear" w:color="auto" w:fill="auto"/>
            <w:vAlign w:val="center"/>
          </w:tcPr>
          <w:p w14:paraId="69D099AC" w14:textId="77777777" w:rsidR="002F0F31" w:rsidRPr="006A2BF9" w:rsidRDefault="002F0F31" w:rsidP="00020D2D">
            <w:pPr>
              <w:pStyle w:val="TableCellCenter"/>
              <w:keepLines w:val="0"/>
              <w:spacing w:before="0" w:after="0" w:line="240" w:lineRule="auto"/>
              <w:rPr>
                <w:sz w:val="22"/>
                <w:szCs w:val="22"/>
                <w:lang w:val="it-IT" w:eastAsia="da-DK"/>
              </w:rPr>
            </w:pPr>
            <w:r w:rsidRPr="006A2BF9">
              <w:rPr>
                <w:sz w:val="22"/>
                <w:szCs w:val="22"/>
                <w:lang w:val="it-IT" w:eastAsia="da-DK"/>
              </w:rPr>
              <w:t>42,6</w:t>
            </w:r>
          </w:p>
        </w:tc>
      </w:tr>
      <w:tr w:rsidR="002F0F31" w:rsidRPr="006A2BF9" w14:paraId="6D07928D" w14:textId="77777777" w:rsidTr="00020D2D">
        <w:trPr>
          <w:jc w:val="center"/>
        </w:trPr>
        <w:tc>
          <w:tcPr>
            <w:tcW w:w="4098" w:type="dxa"/>
            <w:shd w:val="clear" w:color="auto" w:fill="auto"/>
          </w:tcPr>
          <w:p w14:paraId="74E5B18C" w14:textId="77777777" w:rsidR="002F0F31" w:rsidRPr="00ED70C3" w:rsidRDefault="002F0F31" w:rsidP="00020D2D">
            <w:pPr>
              <w:pStyle w:val="TableCellLeft"/>
              <w:spacing w:before="0" w:after="0" w:line="240" w:lineRule="auto"/>
              <w:rPr>
                <w:sz w:val="22"/>
                <w:szCs w:val="22"/>
                <w:lang w:val="es-ES"/>
              </w:rPr>
            </w:pPr>
            <w:r w:rsidRPr="00ED70C3">
              <w:rPr>
                <w:i/>
                <w:sz w:val="22"/>
                <w:szCs w:val="22"/>
                <w:lang w:val="es-ES"/>
              </w:rPr>
              <w:t>Hazard ratio</w:t>
            </w:r>
            <w:r w:rsidRPr="00ED70C3">
              <w:rPr>
                <w:sz w:val="22"/>
                <w:szCs w:val="22"/>
                <w:lang w:val="es-ES"/>
              </w:rPr>
              <w:t xml:space="preserve"> (IC al 95%) (eCRF)</w:t>
            </w:r>
            <w:r w:rsidRPr="00ED70C3">
              <w:rPr>
                <w:sz w:val="22"/>
                <w:szCs w:val="22"/>
                <w:vertAlign w:val="superscript"/>
                <w:lang w:val="es-ES"/>
              </w:rPr>
              <w:t>a</w:t>
            </w:r>
          </w:p>
        </w:tc>
        <w:tc>
          <w:tcPr>
            <w:tcW w:w="4818" w:type="dxa"/>
            <w:gridSpan w:val="2"/>
            <w:shd w:val="clear" w:color="auto" w:fill="auto"/>
            <w:vAlign w:val="center"/>
          </w:tcPr>
          <w:p w14:paraId="2AD94A63" w14:textId="77777777" w:rsidR="002F0F31" w:rsidRPr="00330A40" w:rsidRDefault="002F0F31" w:rsidP="00020D2D">
            <w:pPr>
              <w:pStyle w:val="TableCellCenter"/>
              <w:keepLines w:val="0"/>
              <w:spacing w:before="0" w:after="0" w:line="240" w:lineRule="auto"/>
              <w:rPr>
                <w:sz w:val="22"/>
                <w:szCs w:val="22"/>
                <w:lang w:val="it-IT" w:eastAsia="da-DK"/>
              </w:rPr>
            </w:pPr>
            <w:r w:rsidRPr="00330A40">
              <w:rPr>
                <w:sz w:val="22"/>
                <w:szCs w:val="22"/>
                <w:lang w:val="it-IT" w:eastAsia="da-DK"/>
              </w:rPr>
              <w:t>0,823 [IC: 0,680; 0,996]</w:t>
            </w:r>
          </w:p>
        </w:tc>
      </w:tr>
      <w:tr w:rsidR="002F0F31" w:rsidRPr="006A2BF9" w14:paraId="570126A6" w14:textId="77777777" w:rsidTr="00020D2D">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568E1C37" w14:textId="77777777" w:rsidR="002F0F31" w:rsidRPr="006A2BF9" w:rsidRDefault="002F0F31" w:rsidP="00020D2D">
            <w:pPr>
              <w:pStyle w:val="TableCellLeft"/>
              <w:spacing w:before="0" w:after="0" w:line="240" w:lineRule="auto"/>
              <w:rPr>
                <w:b/>
                <w:sz w:val="22"/>
                <w:szCs w:val="22"/>
                <w:u w:val="single"/>
                <w:lang w:val="it-IT"/>
              </w:rPr>
            </w:pPr>
            <w:r w:rsidRPr="006A2BF9">
              <w:rPr>
                <w:sz w:val="22"/>
                <w:szCs w:val="22"/>
                <w:lang w:val="it-IT"/>
              </w:rPr>
              <w:t>Valore di p</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D4086" w14:textId="77777777" w:rsidR="002F0F31" w:rsidRPr="006A2BF9" w:rsidRDefault="002F0F31" w:rsidP="00020D2D">
            <w:pPr>
              <w:pStyle w:val="TableCellCenter"/>
              <w:keepLines w:val="0"/>
              <w:spacing w:before="0" w:after="0" w:line="240" w:lineRule="auto"/>
              <w:rPr>
                <w:sz w:val="22"/>
                <w:szCs w:val="22"/>
                <w:lang w:val="it-IT" w:eastAsia="da-DK"/>
              </w:rPr>
            </w:pPr>
            <w:r w:rsidRPr="006A2BF9">
              <w:rPr>
                <w:sz w:val="22"/>
                <w:szCs w:val="22"/>
                <w:lang w:val="it-IT" w:eastAsia="da-DK"/>
              </w:rPr>
              <w:t>0,0447</w:t>
            </w:r>
          </w:p>
        </w:tc>
      </w:tr>
      <w:tr w:rsidR="002F0F31" w:rsidRPr="006A2BF9" w14:paraId="2EDD26E9" w14:textId="77777777" w:rsidTr="00020D2D">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6234A391" w14:textId="77777777" w:rsidR="002F0F31" w:rsidRPr="00330A40" w:rsidRDefault="002F0F31" w:rsidP="00DE3D4D">
            <w:pPr>
              <w:pStyle w:val="TableCellLeft"/>
              <w:spacing w:before="0" w:after="0" w:line="240" w:lineRule="auto"/>
              <w:rPr>
                <w:sz w:val="22"/>
                <w:szCs w:val="22"/>
                <w:lang w:val="it-IT"/>
              </w:rPr>
            </w:pPr>
            <w:r w:rsidRPr="000F0246">
              <w:rPr>
                <w:i/>
                <w:sz w:val="22"/>
                <w:szCs w:val="22"/>
                <w:lang w:val="it-IT"/>
              </w:rPr>
              <w:t>Hazard ratio</w:t>
            </w:r>
            <w:r w:rsidRPr="00330A40">
              <w:rPr>
                <w:sz w:val="22"/>
                <w:szCs w:val="22"/>
                <w:lang w:val="it-IT"/>
              </w:rPr>
              <w:t xml:space="preserve"> (IC al 95%) (</w:t>
            </w:r>
            <w:r w:rsidR="00DE3D4D" w:rsidRPr="00330A40">
              <w:rPr>
                <w:sz w:val="22"/>
                <w:szCs w:val="22"/>
                <w:lang w:val="it-IT"/>
              </w:rPr>
              <w:t>form di registrazione</w:t>
            </w:r>
            <w:r w:rsidRPr="00330A40">
              <w:rPr>
                <w:sz w:val="22"/>
                <w:szCs w:val="22"/>
                <w:lang w:val="it-IT"/>
              </w:rPr>
              <w:t>)</w:t>
            </w:r>
            <w:r w:rsidRPr="00330A40">
              <w:rPr>
                <w:sz w:val="22"/>
                <w:szCs w:val="22"/>
                <w:vertAlign w:val="superscript"/>
                <w:lang w:val="it-IT"/>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3D5C8" w14:textId="77777777" w:rsidR="002F0F31" w:rsidRPr="00330A40" w:rsidRDefault="002F0F31" w:rsidP="00020D2D">
            <w:pPr>
              <w:pStyle w:val="TableCellCenter"/>
              <w:keepLines w:val="0"/>
              <w:spacing w:before="0" w:after="0" w:line="240" w:lineRule="auto"/>
              <w:rPr>
                <w:sz w:val="22"/>
                <w:szCs w:val="22"/>
                <w:lang w:val="it-IT" w:eastAsia="da-DK"/>
              </w:rPr>
            </w:pPr>
            <w:r w:rsidRPr="00330A40">
              <w:rPr>
                <w:sz w:val="22"/>
                <w:szCs w:val="22"/>
                <w:lang w:val="it-IT" w:eastAsia="da-DK"/>
              </w:rPr>
              <w:t>0,838 [IC: 0,693; 1,014]</w:t>
            </w:r>
          </w:p>
        </w:tc>
      </w:tr>
      <w:tr w:rsidR="002F0F31" w:rsidRPr="006A2BF9" w14:paraId="4C52D317" w14:textId="77777777" w:rsidTr="00020D2D">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752A7688" w14:textId="77777777" w:rsidR="002F0F31" w:rsidRPr="006A2BF9" w:rsidRDefault="002F0F31" w:rsidP="00020D2D">
            <w:pPr>
              <w:pStyle w:val="TableCellLeft"/>
              <w:spacing w:before="0" w:after="0" w:line="240" w:lineRule="auto"/>
              <w:rPr>
                <w:sz w:val="22"/>
                <w:szCs w:val="22"/>
                <w:lang w:val="it-IT"/>
              </w:rPr>
            </w:pPr>
            <w:r w:rsidRPr="006A2BF9">
              <w:rPr>
                <w:sz w:val="22"/>
                <w:szCs w:val="22"/>
                <w:lang w:val="it-IT"/>
              </w:rPr>
              <w:t>Valore di p</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240F4" w14:textId="77777777" w:rsidR="002F0F31" w:rsidRPr="006A2BF9" w:rsidRDefault="002F0F31" w:rsidP="00020D2D">
            <w:pPr>
              <w:pStyle w:val="TableCellCenter"/>
              <w:keepLines w:val="0"/>
              <w:spacing w:before="0" w:after="0" w:line="240" w:lineRule="auto"/>
              <w:rPr>
                <w:sz w:val="22"/>
                <w:szCs w:val="22"/>
                <w:lang w:val="it-IT" w:eastAsia="da-DK"/>
              </w:rPr>
            </w:pPr>
            <w:r w:rsidRPr="006A2BF9">
              <w:rPr>
                <w:sz w:val="22"/>
                <w:szCs w:val="22"/>
                <w:lang w:val="it-IT" w:eastAsia="da-DK"/>
              </w:rPr>
              <w:t>0,0683</w:t>
            </w:r>
          </w:p>
        </w:tc>
      </w:tr>
      <w:tr w:rsidR="002F0F31" w:rsidRPr="006A2BF9" w14:paraId="5C75470F" w14:textId="77777777" w:rsidTr="00020D2D">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78FC57" w14:textId="77777777" w:rsidR="002F0F31" w:rsidRPr="000F0246" w:rsidRDefault="002F0F31" w:rsidP="00020D2D">
            <w:pPr>
              <w:pStyle w:val="TableCellCenter"/>
              <w:keepLines w:val="0"/>
              <w:spacing w:before="0" w:after="0" w:line="240" w:lineRule="auto"/>
              <w:jc w:val="left"/>
              <w:rPr>
                <w:b/>
                <w:sz w:val="22"/>
                <w:szCs w:val="22"/>
                <w:lang w:val="it-IT" w:eastAsia="da-DK"/>
              </w:rPr>
            </w:pPr>
            <w:r w:rsidRPr="000F0246">
              <w:rPr>
                <w:b/>
                <w:sz w:val="22"/>
                <w:szCs w:val="22"/>
                <w:lang w:val="it-IT" w:eastAsia="da-DK"/>
              </w:rPr>
              <w:t>Endpoint secondari</w:t>
            </w:r>
          </w:p>
        </w:tc>
      </w:tr>
      <w:tr w:rsidR="002F0F31" w:rsidRPr="006A2BF9" w14:paraId="3760F720" w14:textId="77777777" w:rsidTr="00020D2D">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1A33DFCC" w14:textId="77777777" w:rsidR="002F0F31" w:rsidRPr="000F0246" w:rsidRDefault="002F0F31" w:rsidP="001A4784">
            <w:pPr>
              <w:pStyle w:val="TextTi12"/>
              <w:keepNext/>
              <w:spacing w:before="120" w:after="120"/>
              <w:rPr>
                <w:rFonts w:eastAsia="SimSun"/>
                <w:b/>
                <w:sz w:val="22"/>
                <w:szCs w:val="22"/>
                <w:lang w:val="it-IT" w:eastAsia="zh-CN"/>
              </w:rPr>
            </w:pPr>
            <w:r w:rsidRPr="000F0246">
              <w:rPr>
                <w:rFonts w:eastAsia="SimSun"/>
                <w:b/>
                <w:sz w:val="22"/>
                <w:szCs w:val="22"/>
                <w:lang w:val="it-IT" w:eastAsia="zh-CN"/>
              </w:rPr>
              <w:t>Sopravvivenza libera da progressione (PFS)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31D4450" w14:textId="77777777" w:rsidR="002F0F31" w:rsidRPr="00330A40" w:rsidRDefault="002F0F31" w:rsidP="00020D2D">
            <w:pPr>
              <w:pStyle w:val="TableCellCenter"/>
              <w:keepLines w:val="0"/>
              <w:spacing w:before="0" w:after="0" w:line="240" w:lineRule="auto"/>
              <w:rPr>
                <w:sz w:val="22"/>
                <w:szCs w:val="22"/>
                <w:lang w:val="it-IT" w:eastAsia="da-DK"/>
              </w:rPr>
            </w:pPr>
            <w:r w:rsidRPr="00330A40">
              <w:rPr>
                <w:sz w:val="22"/>
                <w:szCs w:val="22"/>
                <w:lang w:val="it-IT" w:eastAsia="da-DK"/>
              </w:rPr>
              <w:t>CP</w:t>
            </w:r>
          </w:p>
          <w:p w14:paraId="24D29B8A" w14:textId="77777777" w:rsidR="002F0F31" w:rsidRPr="00330A40" w:rsidRDefault="002F0F31" w:rsidP="00020D2D">
            <w:pPr>
              <w:pStyle w:val="TableCellCenter"/>
              <w:keepLines w:val="0"/>
              <w:spacing w:before="0" w:after="0" w:line="240" w:lineRule="auto"/>
              <w:rPr>
                <w:sz w:val="22"/>
                <w:szCs w:val="22"/>
                <w:lang w:val="it-IT" w:eastAsia="da-DK"/>
              </w:rPr>
            </w:pPr>
            <w:r w:rsidRPr="00330A40">
              <w:rPr>
                <w:sz w:val="22"/>
                <w:szCs w:val="22"/>
                <w:lang w:val="it-IT" w:eastAsia="da-DK"/>
              </w:rPr>
              <w:t>(n</w:t>
            </w:r>
            <w:r w:rsidR="00BA629B" w:rsidRPr="00330A40">
              <w:rPr>
                <w:sz w:val="22"/>
                <w:szCs w:val="22"/>
                <w:lang w:val="it-IT" w:eastAsia="da-DK"/>
              </w:rPr>
              <w:t> </w:t>
            </w:r>
            <w:r w:rsidRPr="00330A40">
              <w:rPr>
                <w:sz w:val="22"/>
                <w:szCs w:val="22"/>
                <w:lang w:val="it-IT" w:eastAsia="da-DK"/>
              </w:rPr>
              <w:t>=</w:t>
            </w:r>
            <w:r w:rsidR="00BA629B" w:rsidRPr="00330A40">
              <w:rPr>
                <w:sz w:val="22"/>
                <w:szCs w:val="22"/>
                <w:lang w:val="it-IT" w:eastAsia="da-DK"/>
              </w:rPr>
              <w:t> </w:t>
            </w:r>
            <w:r w:rsidRPr="00330A40">
              <w:rPr>
                <w:sz w:val="22"/>
                <w:szCs w:val="22"/>
                <w:lang w:val="it-IT" w:eastAsia="da-DK"/>
              </w:rPr>
              <w:t>336)</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14:paraId="3EA5B4E1" w14:textId="77777777" w:rsidR="002F0F31" w:rsidRPr="00330A40" w:rsidRDefault="002F0F31" w:rsidP="00020D2D">
            <w:pPr>
              <w:pStyle w:val="TableCellCenter"/>
              <w:keepLines w:val="0"/>
              <w:spacing w:before="0" w:after="0" w:line="240" w:lineRule="auto"/>
              <w:rPr>
                <w:sz w:val="22"/>
                <w:szCs w:val="22"/>
                <w:lang w:val="it-IT" w:eastAsia="da-DK"/>
              </w:rPr>
            </w:pPr>
            <w:r w:rsidRPr="00330A40">
              <w:rPr>
                <w:sz w:val="22"/>
                <w:szCs w:val="22"/>
                <w:lang w:val="it-IT" w:eastAsia="da-DK"/>
              </w:rPr>
              <w:t>CPB</w:t>
            </w:r>
          </w:p>
          <w:p w14:paraId="7618FAF8" w14:textId="77777777" w:rsidR="002F0F31" w:rsidRPr="00330A40" w:rsidRDefault="002F0F31" w:rsidP="00020D2D">
            <w:pPr>
              <w:pStyle w:val="TableCellCenter"/>
              <w:keepLines w:val="0"/>
              <w:spacing w:before="0" w:after="0" w:line="240" w:lineRule="auto"/>
              <w:rPr>
                <w:sz w:val="22"/>
                <w:szCs w:val="22"/>
                <w:lang w:val="it-IT" w:eastAsia="da-DK"/>
              </w:rPr>
            </w:pPr>
            <w:r w:rsidRPr="00330A40">
              <w:rPr>
                <w:sz w:val="22"/>
                <w:szCs w:val="22"/>
                <w:lang w:val="it-IT" w:eastAsia="da-DK"/>
              </w:rPr>
              <w:t>(n</w:t>
            </w:r>
            <w:r w:rsidR="00BA629B" w:rsidRPr="00330A40">
              <w:rPr>
                <w:sz w:val="22"/>
                <w:szCs w:val="22"/>
                <w:lang w:val="it-IT" w:eastAsia="da-DK"/>
              </w:rPr>
              <w:t> </w:t>
            </w:r>
            <w:r w:rsidRPr="00330A40">
              <w:rPr>
                <w:sz w:val="22"/>
                <w:szCs w:val="22"/>
                <w:lang w:val="it-IT" w:eastAsia="da-DK"/>
              </w:rPr>
              <w:t>=</w:t>
            </w:r>
            <w:r w:rsidR="00BA629B" w:rsidRPr="00330A40">
              <w:rPr>
                <w:sz w:val="22"/>
                <w:szCs w:val="22"/>
                <w:lang w:val="it-IT" w:eastAsia="da-DK"/>
              </w:rPr>
              <w:t> </w:t>
            </w:r>
            <w:r w:rsidRPr="00330A40">
              <w:rPr>
                <w:sz w:val="22"/>
                <w:szCs w:val="22"/>
                <w:lang w:val="it-IT" w:eastAsia="da-DK"/>
              </w:rPr>
              <w:t>337)</w:t>
            </w:r>
          </w:p>
        </w:tc>
      </w:tr>
      <w:tr w:rsidR="002F0F31" w:rsidRPr="006A2BF9" w14:paraId="68C370C3" w14:textId="77777777" w:rsidTr="00020D2D">
        <w:trPr>
          <w:trHeight w:val="278"/>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1DF56A5B" w14:textId="77777777" w:rsidR="002F0F31" w:rsidRPr="006A2BF9" w:rsidRDefault="002F0F31" w:rsidP="00020D2D">
            <w:pPr>
              <w:pStyle w:val="TableCellCenter"/>
              <w:spacing w:before="0" w:after="0" w:line="240" w:lineRule="auto"/>
              <w:jc w:val="left"/>
              <w:rPr>
                <w:sz w:val="22"/>
                <w:szCs w:val="22"/>
                <w:lang w:val="it-IT"/>
              </w:rPr>
            </w:pPr>
            <w:r w:rsidRPr="006A2BF9">
              <w:rPr>
                <w:sz w:val="22"/>
                <w:szCs w:val="22"/>
                <w:lang w:val="it-IT"/>
              </w:rPr>
              <w:t>PFS mediana (mesi)</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AFDF5D4" w14:textId="77777777" w:rsidR="002F0F31" w:rsidRPr="006A2BF9" w:rsidRDefault="002F0F31" w:rsidP="00020D2D">
            <w:pPr>
              <w:pStyle w:val="TableCellCenter"/>
              <w:keepLines w:val="0"/>
              <w:spacing w:before="0" w:after="0" w:line="240" w:lineRule="auto"/>
              <w:rPr>
                <w:sz w:val="22"/>
                <w:szCs w:val="22"/>
                <w:lang w:val="it-IT" w:eastAsia="da-DK"/>
              </w:rPr>
            </w:pPr>
            <w:r w:rsidRPr="006A2BF9">
              <w:rPr>
                <w:sz w:val="22"/>
                <w:szCs w:val="22"/>
                <w:lang w:val="it-IT" w:eastAsia="da-DK"/>
              </w:rPr>
              <w:t>10,2</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14:paraId="2BCCBEE0" w14:textId="77777777" w:rsidR="002F0F31" w:rsidRPr="006A2BF9" w:rsidRDefault="002F0F31" w:rsidP="00020D2D">
            <w:pPr>
              <w:pStyle w:val="TableCellCenter"/>
              <w:keepLines w:val="0"/>
              <w:spacing w:before="0" w:after="0" w:line="240" w:lineRule="auto"/>
              <w:rPr>
                <w:sz w:val="22"/>
                <w:szCs w:val="22"/>
                <w:lang w:val="it-IT" w:eastAsia="da-DK"/>
              </w:rPr>
            </w:pPr>
            <w:r w:rsidRPr="006A2BF9">
              <w:rPr>
                <w:sz w:val="22"/>
                <w:szCs w:val="22"/>
                <w:lang w:val="it-IT" w:eastAsia="da-DK"/>
              </w:rPr>
              <w:t>13,8</w:t>
            </w:r>
          </w:p>
        </w:tc>
      </w:tr>
      <w:tr w:rsidR="002F0F31" w:rsidRPr="006A2BF9" w14:paraId="62FC8875" w14:textId="77777777" w:rsidTr="00020D2D">
        <w:trPr>
          <w:jc w:val="center"/>
        </w:trPr>
        <w:tc>
          <w:tcPr>
            <w:tcW w:w="4098" w:type="dxa"/>
            <w:shd w:val="clear" w:color="auto" w:fill="auto"/>
          </w:tcPr>
          <w:p w14:paraId="2CC9DD6E" w14:textId="77777777" w:rsidR="002F0F31" w:rsidRPr="00330A40" w:rsidRDefault="002F0F31" w:rsidP="00020D2D">
            <w:pPr>
              <w:pStyle w:val="TextTi12"/>
              <w:keepNext/>
              <w:spacing w:after="0" w:line="240" w:lineRule="auto"/>
              <w:rPr>
                <w:rFonts w:eastAsia="SimSun"/>
                <w:sz w:val="22"/>
                <w:szCs w:val="22"/>
                <w:lang w:val="it-IT"/>
              </w:rPr>
            </w:pPr>
            <w:r w:rsidRPr="000F0246">
              <w:rPr>
                <w:rFonts w:eastAsia="SimSun"/>
                <w:i/>
                <w:sz w:val="22"/>
                <w:szCs w:val="22"/>
                <w:lang w:val="it-IT"/>
              </w:rPr>
              <w:t>Hazard ratio</w:t>
            </w:r>
            <w:r w:rsidRPr="00330A40">
              <w:rPr>
                <w:rFonts w:eastAsia="SimSun"/>
                <w:sz w:val="22"/>
                <w:szCs w:val="22"/>
                <w:lang w:val="it-IT"/>
              </w:rPr>
              <w:t xml:space="preserve"> (</w:t>
            </w:r>
            <w:r w:rsidRPr="00330A40">
              <w:rPr>
                <w:sz w:val="22"/>
                <w:szCs w:val="22"/>
                <w:lang w:val="it-IT"/>
              </w:rPr>
              <w:t>IC al 95%</w:t>
            </w:r>
            <w:r w:rsidRPr="00330A40">
              <w:rPr>
                <w:rFonts w:eastAsia="SimSun"/>
                <w:sz w:val="22"/>
                <w:szCs w:val="22"/>
                <w:lang w:val="it-IT"/>
              </w:rPr>
              <w:t>)</w:t>
            </w:r>
          </w:p>
        </w:tc>
        <w:tc>
          <w:tcPr>
            <w:tcW w:w="4818" w:type="dxa"/>
            <w:gridSpan w:val="2"/>
            <w:shd w:val="clear" w:color="auto" w:fill="auto"/>
            <w:vAlign w:val="center"/>
          </w:tcPr>
          <w:p w14:paraId="574090B6" w14:textId="77777777" w:rsidR="002F0F31" w:rsidRPr="00330A40" w:rsidRDefault="002F0F31" w:rsidP="00020D2D">
            <w:pPr>
              <w:pStyle w:val="TableCellCenter"/>
              <w:keepLines w:val="0"/>
              <w:spacing w:before="0" w:after="0" w:line="240" w:lineRule="auto"/>
              <w:rPr>
                <w:sz w:val="22"/>
                <w:szCs w:val="22"/>
                <w:lang w:val="it-IT" w:eastAsia="da-DK"/>
              </w:rPr>
            </w:pPr>
            <w:r w:rsidRPr="00330A40">
              <w:rPr>
                <w:sz w:val="22"/>
                <w:szCs w:val="22"/>
                <w:lang w:val="it-IT" w:eastAsia="da-DK"/>
              </w:rPr>
              <w:t>0,613 [IC: 0,521; 0,721]</w:t>
            </w:r>
          </w:p>
        </w:tc>
      </w:tr>
      <w:tr w:rsidR="002F0F31" w:rsidRPr="006A2BF9" w14:paraId="75FC45B0" w14:textId="77777777" w:rsidTr="00020D2D">
        <w:trPr>
          <w:trHeight w:val="350"/>
          <w:jc w:val="center"/>
        </w:trPr>
        <w:tc>
          <w:tcPr>
            <w:tcW w:w="4098" w:type="dxa"/>
            <w:shd w:val="clear" w:color="auto" w:fill="auto"/>
          </w:tcPr>
          <w:p w14:paraId="0D0BD164" w14:textId="77777777" w:rsidR="002F0F31" w:rsidRPr="006A2BF9" w:rsidRDefault="002F0F31" w:rsidP="00020D2D">
            <w:pPr>
              <w:pStyle w:val="TextTi12"/>
              <w:keepNext/>
              <w:spacing w:after="0" w:line="240" w:lineRule="auto"/>
              <w:rPr>
                <w:rFonts w:eastAsia="SimSun"/>
                <w:sz w:val="22"/>
                <w:szCs w:val="22"/>
                <w:lang w:val="it-IT"/>
              </w:rPr>
            </w:pPr>
            <w:r w:rsidRPr="006A2BF9">
              <w:rPr>
                <w:sz w:val="22"/>
                <w:szCs w:val="22"/>
                <w:lang w:val="it-IT"/>
              </w:rPr>
              <w:t>Valore di p</w:t>
            </w:r>
          </w:p>
        </w:tc>
        <w:tc>
          <w:tcPr>
            <w:tcW w:w="4818" w:type="dxa"/>
            <w:gridSpan w:val="2"/>
            <w:shd w:val="clear" w:color="auto" w:fill="auto"/>
            <w:vAlign w:val="center"/>
          </w:tcPr>
          <w:p w14:paraId="196C977D" w14:textId="77777777" w:rsidR="002F0F31" w:rsidRPr="006A2BF9" w:rsidRDefault="002F0F31" w:rsidP="00020D2D">
            <w:pPr>
              <w:pStyle w:val="TableCellCenter"/>
              <w:keepLines w:val="0"/>
              <w:spacing w:before="0" w:after="0" w:line="240" w:lineRule="auto"/>
              <w:rPr>
                <w:sz w:val="22"/>
                <w:szCs w:val="22"/>
                <w:lang w:val="it-IT" w:eastAsia="da-DK"/>
              </w:rPr>
            </w:pPr>
            <w:r w:rsidRPr="006A2BF9">
              <w:rPr>
                <w:sz w:val="22"/>
                <w:szCs w:val="22"/>
                <w:lang w:val="it-IT" w:eastAsia="da-DK"/>
              </w:rPr>
              <w:t>&lt;</w:t>
            </w:r>
            <w:r w:rsidR="00BA629B" w:rsidRPr="006A2BF9">
              <w:rPr>
                <w:sz w:val="22"/>
                <w:szCs w:val="22"/>
                <w:lang w:val="it-IT" w:eastAsia="da-DK"/>
              </w:rPr>
              <w:t> </w:t>
            </w:r>
            <w:r w:rsidRPr="006A2BF9">
              <w:rPr>
                <w:sz w:val="22"/>
                <w:szCs w:val="22"/>
                <w:lang w:val="it-IT" w:eastAsia="da-DK"/>
              </w:rPr>
              <w:t>0,0001</w:t>
            </w:r>
          </w:p>
        </w:tc>
      </w:tr>
    </w:tbl>
    <w:p w14:paraId="6A0A6260" w14:textId="77777777" w:rsidR="000A6884" w:rsidRPr="006A2BF9" w:rsidRDefault="002F0F31" w:rsidP="002F0F31">
      <w:pPr>
        <w:keepNext/>
        <w:rPr>
          <w:rFonts w:cs="Arial"/>
          <w:sz w:val="18"/>
          <w:szCs w:val="18"/>
          <w:lang w:val="it-IT"/>
        </w:rPr>
      </w:pPr>
      <w:r w:rsidRPr="006A2BF9">
        <w:rPr>
          <w:rFonts w:cs="Arial"/>
          <w:sz w:val="18"/>
          <w:szCs w:val="18"/>
          <w:vertAlign w:val="superscript"/>
          <w:lang w:val="it-IT"/>
        </w:rPr>
        <w:t>1</w:t>
      </w:r>
      <w:r w:rsidRPr="006A2BF9">
        <w:rPr>
          <w:rFonts w:cs="Arial"/>
          <w:sz w:val="18"/>
          <w:szCs w:val="18"/>
          <w:lang w:val="it-IT"/>
        </w:rPr>
        <w:t xml:space="preserve"> Analisi finale</w:t>
      </w:r>
    </w:p>
    <w:p w14:paraId="2B6CFD61" w14:textId="77777777" w:rsidR="002F0F31" w:rsidRPr="006A2BF9" w:rsidRDefault="002F0F31" w:rsidP="002F0F31">
      <w:pPr>
        <w:keepNext/>
        <w:rPr>
          <w:rFonts w:cs="Arial"/>
          <w:sz w:val="18"/>
          <w:szCs w:val="18"/>
          <w:lang w:val="it-IT"/>
        </w:rPr>
      </w:pPr>
      <w:r w:rsidRPr="006A2BF9">
        <w:rPr>
          <w:rFonts w:cs="Arial"/>
          <w:sz w:val="18"/>
          <w:szCs w:val="18"/>
          <w:vertAlign w:val="superscript"/>
          <w:lang w:val="it-IT"/>
        </w:rPr>
        <w:t xml:space="preserve">2 </w:t>
      </w:r>
      <w:r w:rsidRPr="006A2BF9">
        <w:rPr>
          <w:rFonts w:cs="Arial"/>
          <w:sz w:val="18"/>
          <w:szCs w:val="18"/>
          <w:lang w:val="it-IT"/>
        </w:rPr>
        <w:t xml:space="preserve">Le valutazioni tumorali e della risposta sono state determinate dagli sperimentatori mediante i criteri RECIST GOG (linee guida RECIST riviste </w:t>
      </w:r>
      <w:r w:rsidR="00020D2D" w:rsidRPr="006A2BF9">
        <w:rPr>
          <w:rFonts w:cs="Arial"/>
          <w:sz w:val="18"/>
          <w:szCs w:val="18"/>
          <w:lang w:val="it-IT"/>
        </w:rPr>
        <w:t>[</w:t>
      </w:r>
      <w:r w:rsidRPr="006A2BF9">
        <w:rPr>
          <w:rFonts w:cs="Arial"/>
          <w:sz w:val="18"/>
          <w:szCs w:val="18"/>
          <w:lang w:val="it-IT"/>
        </w:rPr>
        <w:t>versione 1.1</w:t>
      </w:r>
      <w:r w:rsidR="00020D2D" w:rsidRPr="006A2BF9">
        <w:rPr>
          <w:rFonts w:cs="Arial"/>
          <w:sz w:val="18"/>
          <w:szCs w:val="18"/>
          <w:lang w:val="it-IT"/>
        </w:rPr>
        <w:t>]</w:t>
      </w:r>
      <w:r w:rsidRPr="006A2BF9">
        <w:rPr>
          <w:rFonts w:cs="Arial"/>
          <w:sz w:val="18"/>
          <w:szCs w:val="18"/>
          <w:lang w:val="it-IT"/>
        </w:rPr>
        <w:t>. Eur J Cancer. 2009;45:228Y247).</w:t>
      </w:r>
    </w:p>
    <w:p w14:paraId="0F41396C" w14:textId="77777777" w:rsidR="0086135E" w:rsidRPr="006A2BF9" w:rsidRDefault="0086135E" w:rsidP="0086135E">
      <w:pPr>
        <w:keepNext/>
        <w:rPr>
          <w:rFonts w:cs="Arial"/>
          <w:sz w:val="18"/>
          <w:szCs w:val="18"/>
          <w:vertAlign w:val="superscript"/>
          <w:lang w:val="it-IT"/>
        </w:rPr>
      </w:pPr>
    </w:p>
    <w:p w14:paraId="5444AD24" w14:textId="77777777" w:rsidR="00FF3406" w:rsidRPr="006A2BF9" w:rsidRDefault="00FF3406" w:rsidP="0086135E">
      <w:pPr>
        <w:rPr>
          <w:rFonts w:cs="Arial"/>
          <w:sz w:val="18"/>
          <w:szCs w:val="18"/>
          <w:lang w:val="it-IT"/>
        </w:rPr>
      </w:pPr>
      <w:r w:rsidRPr="006A2BF9">
        <w:rPr>
          <w:rFonts w:cs="Arial"/>
          <w:sz w:val="18"/>
          <w:szCs w:val="18"/>
          <w:vertAlign w:val="superscript"/>
          <w:lang w:val="it-IT"/>
        </w:rPr>
        <w:t xml:space="preserve">a </w:t>
      </w:r>
      <w:r w:rsidRPr="006A2BF9">
        <w:rPr>
          <w:rFonts w:cs="Arial"/>
          <w:sz w:val="18"/>
          <w:szCs w:val="18"/>
          <w:lang w:val="it-IT"/>
        </w:rPr>
        <w:t>L’</w:t>
      </w:r>
      <w:r w:rsidRPr="000F0246">
        <w:rPr>
          <w:rFonts w:cs="Arial"/>
          <w:i/>
          <w:sz w:val="18"/>
          <w:szCs w:val="18"/>
          <w:lang w:val="it-IT"/>
        </w:rPr>
        <w:t>hazard</w:t>
      </w:r>
      <w:r w:rsidR="00A2586B" w:rsidRPr="000F0246">
        <w:rPr>
          <w:rFonts w:cs="Arial"/>
          <w:i/>
          <w:sz w:val="18"/>
          <w:szCs w:val="18"/>
          <w:lang w:val="it-IT"/>
        </w:rPr>
        <w:t xml:space="preserve"> </w:t>
      </w:r>
      <w:r w:rsidRPr="000F0246">
        <w:rPr>
          <w:rFonts w:cs="Arial"/>
          <w:i/>
          <w:sz w:val="18"/>
          <w:szCs w:val="18"/>
          <w:lang w:val="it-IT"/>
        </w:rPr>
        <w:t xml:space="preserve">ratio </w:t>
      </w:r>
      <w:r w:rsidRPr="00330A40">
        <w:rPr>
          <w:rFonts w:cs="Arial"/>
          <w:sz w:val="18"/>
          <w:szCs w:val="18"/>
          <w:lang w:val="it-IT"/>
        </w:rPr>
        <w:t>è stato stimato</w:t>
      </w:r>
      <w:r w:rsidR="00020D2D" w:rsidRPr="00330A40">
        <w:rPr>
          <w:rFonts w:cs="Arial"/>
          <w:sz w:val="18"/>
          <w:szCs w:val="18"/>
          <w:lang w:val="it-IT"/>
        </w:rPr>
        <w:t xml:space="preserve"> mediante modelli a</w:t>
      </w:r>
      <w:r w:rsidRPr="00330A40">
        <w:rPr>
          <w:rFonts w:cs="Arial"/>
          <w:sz w:val="18"/>
          <w:szCs w:val="18"/>
          <w:lang w:val="it-IT"/>
        </w:rPr>
        <w:t xml:space="preserve"> rischi proporzional</w:t>
      </w:r>
      <w:r w:rsidR="00020D2D" w:rsidRPr="00330A40">
        <w:rPr>
          <w:rFonts w:cs="Arial"/>
          <w:sz w:val="18"/>
          <w:szCs w:val="18"/>
          <w:lang w:val="it-IT"/>
        </w:rPr>
        <w:t>i</w:t>
      </w:r>
      <w:r w:rsidRPr="00330A40">
        <w:rPr>
          <w:rFonts w:cs="Arial"/>
          <w:sz w:val="18"/>
          <w:szCs w:val="18"/>
          <w:lang w:val="it-IT"/>
        </w:rPr>
        <w:t xml:space="preserve"> di Cox stratificati in funzione della durata dell’intervallo libero da platino prima dell’arruolamento nello studio in base alla eCRF (scheda di raccolta dati elettronica) e</w:t>
      </w:r>
      <w:r w:rsidR="0054502B" w:rsidRPr="00330A40">
        <w:rPr>
          <w:rFonts w:cs="Arial"/>
          <w:sz w:val="18"/>
          <w:szCs w:val="18"/>
          <w:lang w:val="it-IT"/>
        </w:rPr>
        <w:t xml:space="preserve"> in funzione </w:t>
      </w:r>
      <w:r w:rsidRPr="00330A40">
        <w:rPr>
          <w:rFonts w:cs="Arial"/>
          <w:sz w:val="18"/>
          <w:szCs w:val="18"/>
          <w:lang w:val="it-IT"/>
        </w:rPr>
        <w:t>dello stato di citoriduzione chirurgica secondaria Sì/No (Sì</w:t>
      </w:r>
      <w:r w:rsidR="00EC7EB8" w:rsidRPr="00330A40">
        <w:rPr>
          <w:rFonts w:cs="Arial"/>
          <w:sz w:val="18"/>
          <w:szCs w:val="18"/>
          <w:lang w:val="it-IT"/>
        </w:rPr>
        <w:t> </w:t>
      </w:r>
      <w:r w:rsidRPr="00330A40">
        <w:rPr>
          <w:rFonts w:cs="Arial"/>
          <w:sz w:val="18"/>
          <w:szCs w:val="18"/>
          <w:lang w:val="it-IT"/>
        </w:rPr>
        <w:t>=</w:t>
      </w:r>
      <w:r w:rsidR="00EC7EB8" w:rsidRPr="00330A40">
        <w:rPr>
          <w:rFonts w:cs="Arial"/>
          <w:sz w:val="18"/>
          <w:szCs w:val="18"/>
          <w:lang w:val="it-IT"/>
        </w:rPr>
        <w:t> </w:t>
      </w:r>
      <w:r w:rsidRPr="00330A40">
        <w:rPr>
          <w:rFonts w:cs="Arial"/>
          <w:sz w:val="18"/>
          <w:szCs w:val="18"/>
          <w:lang w:val="it-IT"/>
        </w:rPr>
        <w:t>paziente randomizzata a</w:t>
      </w:r>
      <w:r w:rsidR="00A2586B" w:rsidRPr="00330A40">
        <w:rPr>
          <w:rFonts w:cs="Arial"/>
          <w:sz w:val="18"/>
          <w:szCs w:val="18"/>
          <w:lang w:val="it-IT"/>
        </w:rPr>
        <w:t xml:space="preserve">d essere </w:t>
      </w:r>
      <w:r w:rsidRPr="00330A40">
        <w:rPr>
          <w:rFonts w:cs="Arial"/>
          <w:sz w:val="18"/>
          <w:szCs w:val="18"/>
          <w:lang w:val="it-IT"/>
        </w:rPr>
        <w:t>sottopo</w:t>
      </w:r>
      <w:r w:rsidR="00A2586B" w:rsidRPr="00330A40">
        <w:rPr>
          <w:rFonts w:cs="Arial"/>
          <w:sz w:val="18"/>
          <w:szCs w:val="18"/>
          <w:lang w:val="it-IT"/>
        </w:rPr>
        <w:t xml:space="preserve">sta </w:t>
      </w:r>
      <w:r w:rsidRPr="00330A40">
        <w:rPr>
          <w:rFonts w:cs="Arial"/>
          <w:sz w:val="18"/>
          <w:szCs w:val="18"/>
          <w:lang w:val="it-IT"/>
        </w:rPr>
        <w:t xml:space="preserve">a citoriduzione o randomizzata a non </w:t>
      </w:r>
      <w:r w:rsidR="00A2586B" w:rsidRPr="00330A40">
        <w:rPr>
          <w:rFonts w:cs="Arial"/>
          <w:sz w:val="18"/>
          <w:szCs w:val="18"/>
          <w:lang w:val="it-IT"/>
        </w:rPr>
        <w:t xml:space="preserve">essere </w:t>
      </w:r>
      <w:r w:rsidRPr="00330A40">
        <w:rPr>
          <w:rFonts w:cs="Arial"/>
          <w:sz w:val="18"/>
          <w:szCs w:val="18"/>
          <w:lang w:val="it-IT"/>
        </w:rPr>
        <w:t>sottopo</w:t>
      </w:r>
      <w:r w:rsidR="00A2586B" w:rsidRPr="00330A40">
        <w:rPr>
          <w:rFonts w:cs="Arial"/>
          <w:sz w:val="18"/>
          <w:szCs w:val="18"/>
          <w:lang w:val="it-IT"/>
        </w:rPr>
        <w:t xml:space="preserve">sta </w:t>
      </w:r>
      <w:r w:rsidRPr="00330A40">
        <w:rPr>
          <w:rFonts w:cs="Arial"/>
          <w:sz w:val="18"/>
          <w:szCs w:val="18"/>
          <w:lang w:val="it-IT"/>
        </w:rPr>
        <w:t>a citoriduzione; No</w:t>
      </w:r>
      <w:r w:rsidR="00EC7EB8" w:rsidRPr="00330A40">
        <w:rPr>
          <w:rFonts w:cs="Arial"/>
          <w:sz w:val="18"/>
          <w:szCs w:val="18"/>
          <w:lang w:val="it-IT"/>
        </w:rPr>
        <w:t> </w:t>
      </w:r>
      <w:r w:rsidRPr="006A2BF9">
        <w:rPr>
          <w:rFonts w:cs="Arial"/>
          <w:sz w:val="18"/>
          <w:szCs w:val="18"/>
          <w:lang w:val="it-IT"/>
        </w:rPr>
        <w:t>=</w:t>
      </w:r>
      <w:r w:rsidR="00EC7EB8" w:rsidRPr="006A2BF9">
        <w:rPr>
          <w:rFonts w:cs="Arial"/>
          <w:sz w:val="18"/>
          <w:szCs w:val="18"/>
          <w:lang w:val="it-IT"/>
        </w:rPr>
        <w:t> </w:t>
      </w:r>
      <w:r w:rsidRPr="006A2BF9">
        <w:rPr>
          <w:rFonts w:cs="Arial"/>
          <w:sz w:val="18"/>
          <w:szCs w:val="18"/>
          <w:lang w:val="it-IT"/>
        </w:rPr>
        <w:t xml:space="preserve">paziente non candidata o che non ha acconsentito alla citoriduzione). </w:t>
      </w:r>
      <w:r w:rsidRPr="006A2BF9">
        <w:rPr>
          <w:rFonts w:cs="Arial"/>
          <w:sz w:val="18"/>
          <w:szCs w:val="18"/>
          <w:vertAlign w:val="superscript"/>
          <w:lang w:val="it-IT"/>
        </w:rPr>
        <w:t>b</w:t>
      </w:r>
      <w:r w:rsidR="00020D2D" w:rsidRPr="006A2BF9">
        <w:rPr>
          <w:rFonts w:cs="Arial"/>
          <w:sz w:val="18"/>
          <w:szCs w:val="18"/>
          <w:lang w:val="it-IT"/>
        </w:rPr>
        <w:t> </w:t>
      </w:r>
      <w:r w:rsidRPr="006A2BF9">
        <w:rPr>
          <w:rFonts w:cs="Arial"/>
          <w:sz w:val="18"/>
          <w:szCs w:val="18"/>
          <w:lang w:val="it-IT"/>
        </w:rPr>
        <w:t>Stratificato in funzione della durata dell’intervallo libero da trattamento prima dell’arruolamento nello studio in base al</w:t>
      </w:r>
      <w:r w:rsidR="00DE3D4D" w:rsidRPr="006A2BF9">
        <w:rPr>
          <w:rFonts w:cs="Arial"/>
          <w:sz w:val="18"/>
          <w:szCs w:val="18"/>
          <w:lang w:val="it-IT"/>
        </w:rPr>
        <w:t xml:space="preserve"> form di registrazione</w:t>
      </w:r>
      <w:r w:rsidRPr="006A2BF9">
        <w:rPr>
          <w:rFonts w:cs="Arial"/>
          <w:sz w:val="18"/>
          <w:szCs w:val="18"/>
          <w:lang w:val="it-IT"/>
        </w:rPr>
        <w:t xml:space="preserve"> e </w:t>
      </w:r>
      <w:r w:rsidR="0054502B" w:rsidRPr="006A2BF9">
        <w:rPr>
          <w:rFonts w:cs="Arial"/>
          <w:sz w:val="18"/>
          <w:szCs w:val="18"/>
          <w:lang w:val="it-IT"/>
        </w:rPr>
        <w:t xml:space="preserve">in funzione </w:t>
      </w:r>
      <w:r w:rsidRPr="006A2BF9">
        <w:rPr>
          <w:rFonts w:cs="Arial"/>
          <w:sz w:val="18"/>
          <w:szCs w:val="18"/>
          <w:lang w:val="it-IT"/>
        </w:rPr>
        <w:t>dello stato di citoriduzione chirurgica secondaria Sì/No.</w:t>
      </w:r>
    </w:p>
    <w:p w14:paraId="69B30DCD" w14:textId="77777777" w:rsidR="0086135E" w:rsidRPr="006A2BF9" w:rsidRDefault="0086135E" w:rsidP="0086135E">
      <w:pPr>
        <w:rPr>
          <w:szCs w:val="22"/>
          <w:lang w:val="it-IT"/>
        </w:rPr>
      </w:pPr>
    </w:p>
    <w:p w14:paraId="15255581" w14:textId="77777777" w:rsidR="00FF3406" w:rsidRPr="006A2BF9" w:rsidRDefault="00405B90" w:rsidP="0086135E">
      <w:pPr>
        <w:rPr>
          <w:szCs w:val="22"/>
          <w:lang w:val="it-IT"/>
        </w:rPr>
      </w:pPr>
      <w:r w:rsidRPr="006A2BF9">
        <w:rPr>
          <w:szCs w:val="22"/>
          <w:lang w:val="it-IT"/>
        </w:rPr>
        <w:t>Lo studio ha raggiunto</w:t>
      </w:r>
      <w:r w:rsidR="00FF3406" w:rsidRPr="006A2BF9">
        <w:rPr>
          <w:szCs w:val="22"/>
          <w:lang w:val="it-IT"/>
        </w:rPr>
        <w:t xml:space="preserve"> l’obiettivo primario di miglioramento della OS. Il trattamento con </w:t>
      </w:r>
      <w:r w:rsidR="000A6884" w:rsidRPr="006A2BF9">
        <w:rPr>
          <w:szCs w:val="22"/>
          <w:lang w:val="it-IT"/>
        </w:rPr>
        <w:t>bevacizumab</w:t>
      </w:r>
      <w:r w:rsidR="000A6884" w:rsidRPr="006A2BF9" w:rsidDel="000A6884">
        <w:rPr>
          <w:szCs w:val="22"/>
          <w:lang w:val="it-IT"/>
        </w:rPr>
        <w:t xml:space="preserve"> </w:t>
      </w:r>
      <w:r w:rsidR="00FF3406" w:rsidRPr="006A2BF9">
        <w:rPr>
          <w:szCs w:val="22"/>
          <w:lang w:val="it-IT"/>
        </w:rPr>
        <w:t>a 15</w:t>
      </w:r>
      <w:r w:rsidR="000A6884" w:rsidRPr="006A2BF9">
        <w:rPr>
          <w:szCs w:val="22"/>
          <w:lang w:val="it-IT"/>
        </w:rPr>
        <w:t> </w:t>
      </w:r>
      <w:r w:rsidR="00FF3406" w:rsidRPr="006A2BF9">
        <w:rPr>
          <w:szCs w:val="22"/>
          <w:lang w:val="it-IT"/>
        </w:rPr>
        <w:t>mg/kg ogni 3</w:t>
      </w:r>
      <w:r w:rsidR="000A6884" w:rsidRPr="006A2BF9">
        <w:rPr>
          <w:szCs w:val="22"/>
          <w:lang w:val="it-IT"/>
        </w:rPr>
        <w:t> </w:t>
      </w:r>
      <w:r w:rsidR="00FF3406" w:rsidRPr="006A2BF9">
        <w:rPr>
          <w:szCs w:val="22"/>
          <w:lang w:val="it-IT"/>
        </w:rPr>
        <w:t xml:space="preserve">settimane in associazione </w:t>
      </w:r>
      <w:r w:rsidR="00006CBD" w:rsidRPr="006A2BF9">
        <w:rPr>
          <w:szCs w:val="22"/>
          <w:lang w:val="it-IT"/>
        </w:rPr>
        <w:t>a</w:t>
      </w:r>
      <w:r w:rsidR="00FF3406" w:rsidRPr="006A2BF9">
        <w:rPr>
          <w:szCs w:val="22"/>
          <w:lang w:val="it-IT"/>
        </w:rPr>
        <w:t xml:space="preserve"> chemioterapia (carboplatino e paclitaxel) per 6</w:t>
      </w:r>
      <w:r w:rsidR="000A6884" w:rsidRPr="006A2BF9">
        <w:rPr>
          <w:szCs w:val="22"/>
          <w:lang w:val="it-IT"/>
        </w:rPr>
        <w:t> </w:t>
      </w:r>
      <w:r w:rsidR="00FF3406" w:rsidRPr="006A2BF9">
        <w:rPr>
          <w:szCs w:val="22"/>
          <w:lang w:val="it-IT"/>
        </w:rPr>
        <w:t>cicli e fino a</w:t>
      </w:r>
      <w:r w:rsidR="001B3F05" w:rsidRPr="006A2BF9">
        <w:rPr>
          <w:szCs w:val="22"/>
          <w:lang w:val="it-IT"/>
        </w:rPr>
        <w:t>d</w:t>
      </w:r>
      <w:r w:rsidR="00FF3406" w:rsidRPr="006A2BF9">
        <w:rPr>
          <w:szCs w:val="22"/>
          <w:lang w:val="it-IT"/>
        </w:rPr>
        <w:t xml:space="preserve"> un massimo di 8</w:t>
      </w:r>
      <w:r w:rsidR="000A6884" w:rsidRPr="006A2BF9">
        <w:rPr>
          <w:szCs w:val="22"/>
          <w:lang w:val="it-IT"/>
        </w:rPr>
        <w:t> </w:t>
      </w:r>
      <w:r w:rsidR="00FF3406" w:rsidRPr="006A2BF9">
        <w:rPr>
          <w:szCs w:val="22"/>
          <w:lang w:val="it-IT"/>
        </w:rPr>
        <w:t xml:space="preserve">cicli, </w:t>
      </w:r>
      <w:r w:rsidR="001B3F05" w:rsidRPr="006A2BF9">
        <w:rPr>
          <w:szCs w:val="22"/>
          <w:lang w:val="it-IT"/>
        </w:rPr>
        <w:t>seguiti</w:t>
      </w:r>
      <w:r w:rsidR="004E147C" w:rsidRPr="006A2BF9">
        <w:rPr>
          <w:szCs w:val="22"/>
          <w:lang w:val="it-IT"/>
        </w:rPr>
        <w:t xml:space="preserve"> da </w:t>
      </w:r>
      <w:r w:rsidR="000A6884" w:rsidRPr="006A2BF9">
        <w:rPr>
          <w:szCs w:val="22"/>
          <w:lang w:val="it-IT"/>
        </w:rPr>
        <w:t>bevacizumab</w:t>
      </w:r>
      <w:r w:rsidR="000A6884" w:rsidRPr="006A2BF9" w:rsidDel="000A6884">
        <w:rPr>
          <w:szCs w:val="22"/>
          <w:lang w:val="it-IT"/>
        </w:rPr>
        <w:t xml:space="preserve"> </w:t>
      </w:r>
      <w:r w:rsidR="004E147C" w:rsidRPr="006A2BF9">
        <w:rPr>
          <w:szCs w:val="22"/>
          <w:lang w:val="it-IT"/>
        </w:rPr>
        <w:t xml:space="preserve">fino a progressione della malattia o insorgenza di tossicità inaccettabile, ha determinato, quando i dati sono stati </w:t>
      </w:r>
      <w:r w:rsidR="001B3F05" w:rsidRPr="006A2BF9">
        <w:rPr>
          <w:szCs w:val="22"/>
          <w:lang w:val="it-IT"/>
        </w:rPr>
        <w:t>ricavati</w:t>
      </w:r>
      <w:r w:rsidR="004E147C" w:rsidRPr="006A2BF9">
        <w:rPr>
          <w:szCs w:val="22"/>
          <w:lang w:val="it-IT"/>
        </w:rPr>
        <w:t xml:space="preserve"> dalla eCRF, un miglioramento clinicamente e statisticamente significativo della OS rispetto al trattamento con i soli carboplatino e paclitaxel.</w:t>
      </w:r>
    </w:p>
    <w:p w14:paraId="544DFC25" w14:textId="77777777" w:rsidR="004E147C" w:rsidRPr="006A2BF9" w:rsidRDefault="004E147C" w:rsidP="0086135E">
      <w:pPr>
        <w:rPr>
          <w:szCs w:val="22"/>
          <w:lang w:val="it-IT"/>
        </w:rPr>
      </w:pPr>
    </w:p>
    <w:p w14:paraId="4ECEFFD1" w14:textId="77777777" w:rsidR="008E3703" w:rsidRPr="006A2BF9" w:rsidRDefault="008E3703" w:rsidP="00A32391">
      <w:pPr>
        <w:keepNext/>
        <w:keepLines/>
        <w:rPr>
          <w:i/>
          <w:szCs w:val="22"/>
          <w:lang w:val="it-IT"/>
        </w:rPr>
      </w:pPr>
      <w:r w:rsidRPr="006A2BF9">
        <w:rPr>
          <w:i/>
          <w:szCs w:val="22"/>
          <w:lang w:val="it-IT"/>
        </w:rPr>
        <w:lastRenderedPageBreak/>
        <w:t>MO22224</w:t>
      </w:r>
    </w:p>
    <w:p w14:paraId="7638CFBC" w14:textId="77777777" w:rsidR="008E3703" w:rsidRPr="00330A40" w:rsidRDefault="008E3703" w:rsidP="00A32391">
      <w:pPr>
        <w:keepNext/>
        <w:keepLines/>
        <w:rPr>
          <w:szCs w:val="22"/>
          <w:lang w:val="it-IT"/>
        </w:rPr>
      </w:pPr>
      <w:r w:rsidRPr="006A2BF9">
        <w:rPr>
          <w:szCs w:val="22"/>
          <w:lang w:val="it-IT"/>
        </w:rPr>
        <w:t xml:space="preserve">Lo studio MO22224 ha valutato l’efficacia e la sicurezza di bevacizumab in </w:t>
      </w:r>
      <w:r w:rsidR="00E32D61" w:rsidRPr="006A2BF9">
        <w:rPr>
          <w:szCs w:val="22"/>
          <w:lang w:val="it-IT"/>
        </w:rPr>
        <w:t>associazione</w:t>
      </w:r>
      <w:r w:rsidRPr="006A2BF9">
        <w:rPr>
          <w:szCs w:val="22"/>
          <w:lang w:val="it-IT"/>
        </w:rPr>
        <w:t xml:space="preserve"> </w:t>
      </w:r>
      <w:r w:rsidR="00006CBD" w:rsidRPr="006A2BF9">
        <w:rPr>
          <w:szCs w:val="22"/>
          <w:lang w:val="it-IT"/>
        </w:rPr>
        <w:t xml:space="preserve">a </w:t>
      </w:r>
      <w:r w:rsidRPr="006A2BF9">
        <w:rPr>
          <w:szCs w:val="22"/>
          <w:lang w:val="it-IT"/>
        </w:rPr>
        <w:t xml:space="preserve">chemioterapia nel trattamento della recidiva di </w:t>
      </w:r>
      <w:r w:rsidR="00EB182B">
        <w:rPr>
          <w:szCs w:val="22"/>
          <w:lang w:val="it-IT"/>
        </w:rPr>
        <w:t>cancro epiteliale dell’ovaio</w:t>
      </w:r>
      <w:r w:rsidRPr="00330A40">
        <w:rPr>
          <w:szCs w:val="22"/>
          <w:lang w:val="it-IT"/>
        </w:rPr>
        <w:t xml:space="preserve">, </w:t>
      </w:r>
      <w:r w:rsidR="00EB182B">
        <w:rPr>
          <w:szCs w:val="22"/>
          <w:lang w:val="it-IT"/>
        </w:rPr>
        <w:t>cancro della tuba di Falloppio</w:t>
      </w:r>
      <w:r w:rsidRPr="00330A40">
        <w:rPr>
          <w:szCs w:val="22"/>
          <w:lang w:val="it-IT"/>
        </w:rPr>
        <w:t xml:space="preserve"> o </w:t>
      </w:r>
      <w:r w:rsidR="00560A5F">
        <w:rPr>
          <w:szCs w:val="22"/>
          <w:lang w:val="it-IT"/>
        </w:rPr>
        <w:t>cancro</w:t>
      </w:r>
      <w:r w:rsidR="00560A5F" w:rsidRPr="00330A40">
        <w:rPr>
          <w:szCs w:val="22"/>
          <w:lang w:val="it-IT"/>
        </w:rPr>
        <w:t xml:space="preserve"> </w:t>
      </w:r>
      <w:r w:rsidRPr="00330A40">
        <w:rPr>
          <w:szCs w:val="22"/>
          <w:lang w:val="it-IT"/>
        </w:rPr>
        <w:t>peritoneale primario platino-resistente. Il disegno della sperimentazione prevedeva uno studio di fase</w:t>
      </w:r>
      <w:r w:rsidR="000A6884" w:rsidRPr="00330A40">
        <w:rPr>
          <w:szCs w:val="22"/>
          <w:lang w:val="it-IT"/>
        </w:rPr>
        <w:t> </w:t>
      </w:r>
      <w:r w:rsidRPr="00330A40">
        <w:rPr>
          <w:szCs w:val="22"/>
          <w:lang w:val="it-IT"/>
        </w:rPr>
        <w:t>III, a due bracci, randomizzato, in aperto volto a valutare il trattamento con bevacizumab in associazione a chemioterapia (CT</w:t>
      </w:r>
      <w:r w:rsidR="00F43B28" w:rsidRPr="00330A40">
        <w:rPr>
          <w:szCs w:val="22"/>
          <w:lang w:val="it-IT"/>
        </w:rPr>
        <w:t> </w:t>
      </w:r>
      <w:r w:rsidRPr="00330A40">
        <w:rPr>
          <w:szCs w:val="22"/>
          <w:lang w:val="it-IT"/>
        </w:rPr>
        <w:t>+</w:t>
      </w:r>
      <w:r w:rsidR="00F43B28" w:rsidRPr="00330A40">
        <w:rPr>
          <w:szCs w:val="22"/>
          <w:lang w:val="it-IT"/>
        </w:rPr>
        <w:t> </w:t>
      </w:r>
      <w:r w:rsidRPr="00330A40">
        <w:rPr>
          <w:szCs w:val="22"/>
          <w:lang w:val="it-IT"/>
        </w:rPr>
        <w:t>BV) rispetto al trattamento con la sola chemioterapia (CT).</w:t>
      </w:r>
    </w:p>
    <w:p w14:paraId="7C866531" w14:textId="77777777" w:rsidR="008E3703" w:rsidRPr="00330A40" w:rsidRDefault="008E3703" w:rsidP="001811E1">
      <w:pPr>
        <w:keepNext/>
        <w:keepLines/>
        <w:rPr>
          <w:szCs w:val="22"/>
          <w:lang w:val="it-IT"/>
        </w:rPr>
      </w:pPr>
      <w:r w:rsidRPr="00330A40">
        <w:rPr>
          <w:szCs w:val="22"/>
          <w:lang w:val="it-IT"/>
        </w:rPr>
        <w:t xml:space="preserve">Nello studio sono </w:t>
      </w:r>
      <w:r w:rsidR="002F7FE0" w:rsidRPr="00330A40">
        <w:rPr>
          <w:szCs w:val="22"/>
          <w:lang w:val="it-IT"/>
        </w:rPr>
        <w:t xml:space="preserve">state arruolate </w:t>
      </w:r>
      <w:r w:rsidRPr="00330A40">
        <w:rPr>
          <w:szCs w:val="22"/>
          <w:lang w:val="it-IT"/>
        </w:rPr>
        <w:t>in totale 361</w:t>
      </w:r>
      <w:r w:rsidR="000A6884" w:rsidRPr="00330A40">
        <w:rPr>
          <w:szCs w:val="22"/>
          <w:lang w:val="it-IT"/>
        </w:rPr>
        <w:t> </w:t>
      </w:r>
      <w:r w:rsidRPr="00330A40">
        <w:rPr>
          <w:szCs w:val="22"/>
          <w:lang w:val="it-IT"/>
        </w:rPr>
        <w:t xml:space="preserve">pazienti </w:t>
      </w:r>
      <w:r w:rsidR="002F7FE0" w:rsidRPr="00330A40">
        <w:rPr>
          <w:szCs w:val="22"/>
          <w:lang w:val="it-IT"/>
        </w:rPr>
        <w:t xml:space="preserve">alle </w:t>
      </w:r>
      <w:r w:rsidRPr="00330A40">
        <w:rPr>
          <w:szCs w:val="22"/>
          <w:lang w:val="it-IT"/>
        </w:rPr>
        <w:t xml:space="preserve">quali è stata somministrata la sola chemioterapia [paclitaxel, topotecan o doxorubicina liposomiale pegilata (PLD)] o chemioterapia in </w:t>
      </w:r>
      <w:r w:rsidR="00E32D61" w:rsidRPr="00330A40">
        <w:rPr>
          <w:szCs w:val="22"/>
          <w:lang w:val="it-IT"/>
        </w:rPr>
        <w:t>associazione</w:t>
      </w:r>
      <w:r w:rsidRPr="00330A40">
        <w:rPr>
          <w:szCs w:val="22"/>
          <w:lang w:val="it-IT"/>
        </w:rPr>
        <w:t xml:space="preserve"> </w:t>
      </w:r>
      <w:r w:rsidR="00C35913">
        <w:rPr>
          <w:szCs w:val="22"/>
          <w:lang w:val="it-IT"/>
        </w:rPr>
        <w:t>a</w:t>
      </w:r>
      <w:r w:rsidR="00C35913" w:rsidRPr="00330A40">
        <w:rPr>
          <w:szCs w:val="22"/>
          <w:lang w:val="it-IT"/>
        </w:rPr>
        <w:t xml:space="preserve"> </w:t>
      </w:r>
      <w:r w:rsidRPr="00330A40">
        <w:rPr>
          <w:szCs w:val="22"/>
          <w:lang w:val="it-IT"/>
        </w:rPr>
        <w:t>bevacizumab:</w:t>
      </w:r>
    </w:p>
    <w:p w14:paraId="4AE4F96B" w14:textId="77777777" w:rsidR="008E3703" w:rsidRPr="00330A40" w:rsidRDefault="008E3703" w:rsidP="001811E1">
      <w:pPr>
        <w:keepNext/>
        <w:keepLines/>
        <w:rPr>
          <w:lang w:val="it-IT"/>
        </w:rPr>
      </w:pPr>
    </w:p>
    <w:p w14:paraId="4D415802" w14:textId="77777777" w:rsidR="008E3703" w:rsidRPr="00330A40" w:rsidRDefault="00D936E9" w:rsidP="00C65E97">
      <w:pPr>
        <w:keepNext/>
        <w:keepLines/>
        <w:ind w:left="567" w:hanging="567"/>
        <w:rPr>
          <w:lang w:val="it-IT"/>
        </w:rPr>
      </w:pPr>
      <w:r w:rsidRPr="00330A40">
        <w:rPr>
          <w:position w:val="2"/>
          <w:lang w:val="it-IT"/>
        </w:rPr>
        <w:sym w:font="Symbol" w:char="F0B7"/>
      </w:r>
      <w:r w:rsidRPr="00330A40">
        <w:rPr>
          <w:lang w:val="it-IT"/>
        </w:rPr>
        <w:tab/>
      </w:r>
      <w:r w:rsidR="00006CBD" w:rsidRPr="00330A40">
        <w:rPr>
          <w:lang w:val="it-IT"/>
        </w:rPr>
        <w:t xml:space="preserve">braccio </w:t>
      </w:r>
      <w:r w:rsidR="008E3703" w:rsidRPr="00330A40">
        <w:rPr>
          <w:lang w:val="it-IT"/>
        </w:rPr>
        <w:t>CT (sola chemioterapia):</w:t>
      </w:r>
    </w:p>
    <w:p w14:paraId="5EDA3245" w14:textId="77777777" w:rsidR="008E3703" w:rsidRPr="00330A40" w:rsidRDefault="006F4E61" w:rsidP="00C65E97">
      <w:pPr>
        <w:ind w:left="1134" w:hanging="567"/>
        <w:rPr>
          <w:lang w:val="it-IT"/>
        </w:rPr>
      </w:pPr>
      <w:r w:rsidRPr="00330A40">
        <w:rPr>
          <w:position w:val="2"/>
          <w:lang w:val="it-IT"/>
        </w:rPr>
        <w:sym w:font="Symbol" w:char="F0B7"/>
      </w:r>
      <w:r w:rsidRPr="00330A40">
        <w:rPr>
          <w:lang w:val="it-IT"/>
        </w:rPr>
        <w:tab/>
      </w:r>
      <w:r w:rsidR="008E3703" w:rsidRPr="00330A40">
        <w:rPr>
          <w:lang w:val="it-IT"/>
        </w:rPr>
        <w:t>paclitaxel 80</w:t>
      </w:r>
      <w:r w:rsidR="000A6884" w:rsidRPr="00330A40">
        <w:rPr>
          <w:lang w:val="it-IT"/>
        </w:rPr>
        <w:t> </w:t>
      </w:r>
      <w:r w:rsidR="008E3703" w:rsidRPr="00330A40">
        <w:rPr>
          <w:lang w:val="it-IT"/>
        </w:rPr>
        <w:t>mg/m</w:t>
      </w:r>
      <w:r w:rsidR="008E3703" w:rsidRPr="00330A40">
        <w:rPr>
          <w:vertAlign w:val="superscript"/>
          <w:lang w:val="it-IT"/>
        </w:rPr>
        <w:t>2</w:t>
      </w:r>
      <w:r w:rsidR="008E3703" w:rsidRPr="00330A40">
        <w:rPr>
          <w:lang w:val="it-IT"/>
        </w:rPr>
        <w:t xml:space="preserve"> in infusione </w:t>
      </w:r>
      <w:r w:rsidR="00062D61">
        <w:rPr>
          <w:rFonts w:eastAsia="MS Mincho"/>
          <w:lang w:val="it-IT" w:eastAsia="de-DE"/>
        </w:rPr>
        <w:t>endovenosa</w:t>
      </w:r>
      <w:r w:rsidR="003815BC" w:rsidRPr="00330A40">
        <w:rPr>
          <w:lang w:val="it-IT"/>
        </w:rPr>
        <w:t xml:space="preserve"> </w:t>
      </w:r>
      <w:r w:rsidR="008E3703" w:rsidRPr="00330A40">
        <w:rPr>
          <w:lang w:val="it-IT"/>
        </w:rPr>
        <w:t>di 1</w:t>
      </w:r>
      <w:r w:rsidR="000A6884" w:rsidRPr="00330A40">
        <w:rPr>
          <w:lang w:val="it-IT"/>
        </w:rPr>
        <w:t> </w:t>
      </w:r>
      <w:r w:rsidR="008E3703" w:rsidRPr="00330A40">
        <w:rPr>
          <w:lang w:val="it-IT"/>
        </w:rPr>
        <w:t>ora nei Giorni</w:t>
      </w:r>
      <w:r w:rsidR="000A6884" w:rsidRPr="00330A40">
        <w:rPr>
          <w:lang w:val="it-IT"/>
        </w:rPr>
        <w:t> </w:t>
      </w:r>
      <w:r w:rsidR="008E3703" w:rsidRPr="00330A40">
        <w:rPr>
          <w:lang w:val="it-IT"/>
        </w:rPr>
        <w:t>1, 8, 15 e 22 ogni 4</w:t>
      </w:r>
      <w:r w:rsidR="000A6884" w:rsidRPr="00330A40">
        <w:rPr>
          <w:lang w:val="it-IT"/>
        </w:rPr>
        <w:t> </w:t>
      </w:r>
      <w:r w:rsidR="008E3703" w:rsidRPr="00330A40">
        <w:rPr>
          <w:lang w:val="it-IT"/>
        </w:rPr>
        <w:t>settimane</w:t>
      </w:r>
    </w:p>
    <w:p w14:paraId="73C77055" w14:textId="77777777" w:rsidR="008E3703" w:rsidRPr="00330A40" w:rsidRDefault="006F4E61" w:rsidP="00C65E97">
      <w:pPr>
        <w:ind w:left="1134" w:hanging="567"/>
        <w:rPr>
          <w:position w:val="2"/>
          <w:lang w:val="it-IT"/>
        </w:rPr>
      </w:pPr>
      <w:r w:rsidRPr="00330A40">
        <w:rPr>
          <w:position w:val="2"/>
          <w:lang w:val="it-IT"/>
        </w:rPr>
        <w:sym w:font="Symbol" w:char="F0B7"/>
      </w:r>
      <w:r w:rsidRPr="00330A40">
        <w:rPr>
          <w:position w:val="2"/>
          <w:lang w:val="it-IT"/>
        </w:rPr>
        <w:tab/>
      </w:r>
      <w:r w:rsidR="008E3703" w:rsidRPr="00330A40">
        <w:rPr>
          <w:position w:val="2"/>
          <w:lang w:val="it-IT"/>
        </w:rPr>
        <w:t>topotecan 4</w:t>
      </w:r>
      <w:r w:rsidR="000A6884" w:rsidRPr="00330A40">
        <w:rPr>
          <w:position w:val="2"/>
          <w:lang w:val="it-IT"/>
        </w:rPr>
        <w:t> </w:t>
      </w:r>
      <w:r w:rsidR="008E3703" w:rsidRPr="00330A40">
        <w:rPr>
          <w:position w:val="2"/>
          <w:lang w:val="it-IT"/>
        </w:rPr>
        <w:t>mg/m</w:t>
      </w:r>
      <w:r w:rsidR="008E3703" w:rsidRPr="00330A40">
        <w:rPr>
          <w:position w:val="2"/>
          <w:vertAlign w:val="superscript"/>
          <w:lang w:val="it-IT"/>
        </w:rPr>
        <w:t>2</w:t>
      </w:r>
      <w:r w:rsidR="008E3703" w:rsidRPr="00330A40">
        <w:rPr>
          <w:position w:val="2"/>
          <w:lang w:val="it-IT"/>
        </w:rPr>
        <w:t xml:space="preserve"> in infusione </w:t>
      </w:r>
      <w:r w:rsidR="00062D61">
        <w:rPr>
          <w:rFonts w:eastAsia="MS Mincho"/>
          <w:lang w:val="it-IT" w:eastAsia="de-DE"/>
        </w:rPr>
        <w:t>endovenosa</w:t>
      </w:r>
      <w:r w:rsidR="008E3703" w:rsidRPr="00330A40">
        <w:rPr>
          <w:position w:val="2"/>
          <w:lang w:val="it-IT"/>
        </w:rPr>
        <w:t xml:space="preserve"> di 30</w:t>
      </w:r>
      <w:r w:rsidR="000A6884" w:rsidRPr="00330A40">
        <w:rPr>
          <w:position w:val="2"/>
          <w:lang w:val="it-IT"/>
        </w:rPr>
        <w:t> </w:t>
      </w:r>
      <w:r w:rsidR="008E3703" w:rsidRPr="00330A40">
        <w:rPr>
          <w:position w:val="2"/>
          <w:lang w:val="it-IT"/>
        </w:rPr>
        <w:t>minuti nei Giorni</w:t>
      </w:r>
      <w:r w:rsidR="000A6884" w:rsidRPr="00330A40">
        <w:rPr>
          <w:position w:val="2"/>
          <w:lang w:val="it-IT"/>
        </w:rPr>
        <w:t> </w:t>
      </w:r>
      <w:r w:rsidR="008E3703" w:rsidRPr="00330A40">
        <w:rPr>
          <w:position w:val="2"/>
          <w:lang w:val="it-IT"/>
        </w:rPr>
        <w:t>1, 8 e 15 ogni 4</w:t>
      </w:r>
      <w:r w:rsidR="000A6884" w:rsidRPr="00330A40">
        <w:rPr>
          <w:position w:val="2"/>
          <w:lang w:val="it-IT"/>
        </w:rPr>
        <w:t> </w:t>
      </w:r>
      <w:r w:rsidR="008E3703" w:rsidRPr="00330A40">
        <w:rPr>
          <w:position w:val="2"/>
          <w:lang w:val="it-IT"/>
        </w:rPr>
        <w:t>settimane. In alternativa, è possibile somministrare una dose di 1,25</w:t>
      </w:r>
      <w:r w:rsidR="000A6884" w:rsidRPr="00330A40">
        <w:rPr>
          <w:position w:val="2"/>
          <w:lang w:val="it-IT"/>
        </w:rPr>
        <w:t> </w:t>
      </w:r>
      <w:r w:rsidR="008E3703" w:rsidRPr="00330A40">
        <w:rPr>
          <w:position w:val="2"/>
          <w:lang w:val="it-IT"/>
        </w:rPr>
        <w:t>mg/m</w:t>
      </w:r>
      <w:r w:rsidR="008E3703" w:rsidRPr="00330A40">
        <w:rPr>
          <w:position w:val="2"/>
          <w:vertAlign w:val="superscript"/>
          <w:lang w:val="it-IT"/>
        </w:rPr>
        <w:t>2</w:t>
      </w:r>
      <w:r w:rsidR="008E3703" w:rsidRPr="00330A40">
        <w:rPr>
          <w:position w:val="2"/>
          <w:lang w:val="it-IT"/>
        </w:rPr>
        <w:t xml:space="preserve"> per 30</w:t>
      </w:r>
      <w:r w:rsidR="000A6884" w:rsidRPr="00330A40">
        <w:rPr>
          <w:position w:val="2"/>
          <w:lang w:val="it-IT"/>
        </w:rPr>
        <w:t> </w:t>
      </w:r>
      <w:r w:rsidR="008E3703" w:rsidRPr="00330A40">
        <w:rPr>
          <w:position w:val="2"/>
          <w:lang w:val="it-IT"/>
        </w:rPr>
        <w:t>minuti nei Giorni</w:t>
      </w:r>
      <w:r w:rsidR="004E42B7" w:rsidRPr="00330A40">
        <w:rPr>
          <w:position w:val="2"/>
          <w:lang w:val="it-IT"/>
        </w:rPr>
        <w:t> </w:t>
      </w:r>
      <w:r w:rsidR="008E3703" w:rsidRPr="00330A40">
        <w:rPr>
          <w:position w:val="2"/>
          <w:lang w:val="it-IT"/>
        </w:rPr>
        <w:t>1</w:t>
      </w:r>
      <w:r w:rsidR="00BA629B" w:rsidRPr="00330A40">
        <w:rPr>
          <w:position w:val="2"/>
          <w:lang w:val="it-IT"/>
        </w:rPr>
        <w:noBreakHyphen/>
      </w:r>
      <w:r w:rsidR="008E3703" w:rsidRPr="00330A40">
        <w:rPr>
          <w:position w:val="2"/>
          <w:lang w:val="it-IT"/>
        </w:rPr>
        <w:t>5</w:t>
      </w:r>
      <w:r w:rsidR="000A6884" w:rsidRPr="00330A40">
        <w:rPr>
          <w:position w:val="2"/>
          <w:lang w:val="it-IT"/>
        </w:rPr>
        <w:t> </w:t>
      </w:r>
      <w:r w:rsidR="008E3703" w:rsidRPr="00330A40">
        <w:rPr>
          <w:position w:val="2"/>
          <w:lang w:val="it-IT"/>
        </w:rPr>
        <w:t>ogni 3</w:t>
      </w:r>
      <w:r w:rsidR="000A6884" w:rsidRPr="00330A40">
        <w:rPr>
          <w:position w:val="2"/>
          <w:lang w:val="it-IT"/>
        </w:rPr>
        <w:t> </w:t>
      </w:r>
      <w:r w:rsidR="008E3703" w:rsidRPr="00330A40">
        <w:rPr>
          <w:position w:val="2"/>
          <w:lang w:val="it-IT"/>
        </w:rPr>
        <w:t>settimane</w:t>
      </w:r>
    </w:p>
    <w:p w14:paraId="452D62F7" w14:textId="77777777" w:rsidR="008E3703" w:rsidRPr="00330A40" w:rsidRDefault="006F4E61" w:rsidP="00C65E97">
      <w:pPr>
        <w:ind w:left="1134" w:hanging="567"/>
        <w:rPr>
          <w:position w:val="2"/>
          <w:lang w:val="it-IT"/>
        </w:rPr>
      </w:pPr>
      <w:r w:rsidRPr="00330A40">
        <w:rPr>
          <w:position w:val="2"/>
          <w:lang w:val="it-IT"/>
        </w:rPr>
        <w:sym w:font="Symbol" w:char="F0B7"/>
      </w:r>
      <w:r w:rsidRPr="00330A40">
        <w:rPr>
          <w:position w:val="2"/>
          <w:lang w:val="it-IT"/>
        </w:rPr>
        <w:tab/>
      </w:r>
      <w:r w:rsidR="008E3703" w:rsidRPr="00330A40">
        <w:rPr>
          <w:position w:val="2"/>
          <w:lang w:val="it-IT"/>
        </w:rPr>
        <w:t>PLD 40</w:t>
      </w:r>
      <w:r w:rsidR="000A6884" w:rsidRPr="00330A40">
        <w:rPr>
          <w:position w:val="2"/>
          <w:lang w:val="it-IT"/>
        </w:rPr>
        <w:t> </w:t>
      </w:r>
      <w:r w:rsidR="008E3703" w:rsidRPr="00330A40">
        <w:rPr>
          <w:position w:val="2"/>
          <w:lang w:val="it-IT"/>
        </w:rPr>
        <w:t>mg/m</w:t>
      </w:r>
      <w:r w:rsidR="008E3703" w:rsidRPr="00330A40">
        <w:rPr>
          <w:position w:val="2"/>
          <w:vertAlign w:val="superscript"/>
          <w:lang w:val="it-IT"/>
        </w:rPr>
        <w:t>2</w:t>
      </w:r>
      <w:r w:rsidR="008E3703" w:rsidRPr="00330A40">
        <w:rPr>
          <w:position w:val="2"/>
          <w:lang w:val="it-IT"/>
        </w:rPr>
        <w:t xml:space="preserve"> in infusione </w:t>
      </w:r>
      <w:r w:rsidR="00062D61">
        <w:rPr>
          <w:rFonts w:eastAsia="MS Mincho"/>
          <w:lang w:val="it-IT" w:eastAsia="de-DE"/>
        </w:rPr>
        <w:t>endovenosa</w:t>
      </w:r>
      <w:r w:rsidR="008E3703" w:rsidRPr="00330A40">
        <w:rPr>
          <w:position w:val="2"/>
          <w:lang w:val="it-IT"/>
        </w:rPr>
        <w:t xml:space="preserve"> 1</w:t>
      </w:r>
      <w:r w:rsidR="000A6884" w:rsidRPr="00330A40">
        <w:rPr>
          <w:position w:val="2"/>
          <w:lang w:val="it-IT"/>
        </w:rPr>
        <w:t> </w:t>
      </w:r>
      <w:r w:rsidR="008E3703" w:rsidRPr="00330A40">
        <w:rPr>
          <w:position w:val="2"/>
          <w:lang w:val="it-IT"/>
        </w:rPr>
        <w:t>mg/min esclusivamente nel Giorno</w:t>
      </w:r>
      <w:r w:rsidR="000A6884" w:rsidRPr="00330A40">
        <w:rPr>
          <w:position w:val="2"/>
          <w:lang w:val="it-IT"/>
        </w:rPr>
        <w:t> </w:t>
      </w:r>
      <w:r w:rsidR="008E3703" w:rsidRPr="00330A40">
        <w:rPr>
          <w:position w:val="2"/>
          <w:lang w:val="it-IT"/>
        </w:rPr>
        <w:t>1 ogni 4</w:t>
      </w:r>
      <w:r w:rsidR="000A6884" w:rsidRPr="00330A40">
        <w:rPr>
          <w:position w:val="2"/>
          <w:lang w:val="it-IT"/>
        </w:rPr>
        <w:t> </w:t>
      </w:r>
      <w:r w:rsidR="00D24B6D" w:rsidRPr="00330A40">
        <w:rPr>
          <w:position w:val="2"/>
          <w:lang w:val="it-IT"/>
        </w:rPr>
        <w:t>settimane.</w:t>
      </w:r>
      <w:r w:rsidR="00D24B6D">
        <w:rPr>
          <w:position w:val="2"/>
          <w:lang w:val="it-IT"/>
        </w:rPr>
        <w:t xml:space="preserve"> </w:t>
      </w:r>
      <w:r w:rsidR="00D24B6D" w:rsidRPr="00330A40">
        <w:rPr>
          <w:position w:val="2"/>
          <w:lang w:val="it-IT"/>
        </w:rPr>
        <w:t>Dopo</w:t>
      </w:r>
      <w:r w:rsidR="008E3703" w:rsidRPr="00330A40">
        <w:rPr>
          <w:position w:val="2"/>
          <w:lang w:val="it-IT"/>
        </w:rPr>
        <w:t xml:space="preserve"> il Ciclo</w:t>
      </w:r>
      <w:r w:rsidR="000A6884" w:rsidRPr="00330A40">
        <w:rPr>
          <w:position w:val="2"/>
          <w:lang w:val="it-IT"/>
        </w:rPr>
        <w:t> </w:t>
      </w:r>
      <w:r w:rsidR="008E3703" w:rsidRPr="00330A40">
        <w:rPr>
          <w:position w:val="2"/>
          <w:lang w:val="it-IT"/>
        </w:rPr>
        <w:t>1, il medicinale può essere somministrato mediante infusione di 1</w:t>
      </w:r>
      <w:r w:rsidR="000A6884" w:rsidRPr="00330A40">
        <w:rPr>
          <w:position w:val="2"/>
          <w:lang w:val="it-IT"/>
        </w:rPr>
        <w:t> </w:t>
      </w:r>
      <w:r w:rsidR="008E3703" w:rsidRPr="00330A40">
        <w:rPr>
          <w:position w:val="2"/>
          <w:lang w:val="it-IT"/>
        </w:rPr>
        <w:t>ora</w:t>
      </w:r>
    </w:p>
    <w:p w14:paraId="793A81C2" w14:textId="77777777" w:rsidR="008E3703" w:rsidRPr="00330A40" w:rsidRDefault="00D936E9" w:rsidP="00C65E97">
      <w:pPr>
        <w:keepNext/>
        <w:keepLines/>
        <w:ind w:left="567" w:hanging="567"/>
        <w:rPr>
          <w:position w:val="2"/>
          <w:lang w:val="it-IT"/>
        </w:rPr>
      </w:pPr>
      <w:r w:rsidRPr="00330A40">
        <w:rPr>
          <w:position w:val="2"/>
          <w:lang w:val="it-IT"/>
        </w:rPr>
        <w:sym w:font="Symbol" w:char="F0B7"/>
      </w:r>
      <w:r w:rsidRPr="00330A40">
        <w:rPr>
          <w:position w:val="2"/>
          <w:lang w:val="it-IT"/>
        </w:rPr>
        <w:tab/>
      </w:r>
      <w:r w:rsidR="002F5A64" w:rsidRPr="00330A40">
        <w:rPr>
          <w:position w:val="2"/>
          <w:lang w:val="it-IT"/>
        </w:rPr>
        <w:t xml:space="preserve">braccio </w:t>
      </w:r>
      <w:r w:rsidR="008E3703" w:rsidRPr="00330A40">
        <w:rPr>
          <w:position w:val="2"/>
          <w:lang w:val="it-IT"/>
        </w:rPr>
        <w:t>CT+BV (chemioterapia</w:t>
      </w:r>
      <w:r w:rsidR="00BA629B" w:rsidRPr="00330A40">
        <w:rPr>
          <w:position w:val="2"/>
          <w:lang w:val="it-IT"/>
        </w:rPr>
        <w:t> </w:t>
      </w:r>
      <w:r w:rsidR="008E3703" w:rsidRPr="00330A40">
        <w:rPr>
          <w:position w:val="2"/>
          <w:lang w:val="it-IT"/>
        </w:rPr>
        <w:t>+</w:t>
      </w:r>
      <w:r w:rsidR="00BA629B" w:rsidRPr="00330A40">
        <w:rPr>
          <w:position w:val="2"/>
          <w:lang w:val="it-IT"/>
        </w:rPr>
        <w:t> </w:t>
      </w:r>
      <w:r w:rsidR="008E3703" w:rsidRPr="00330A40">
        <w:rPr>
          <w:position w:val="2"/>
          <w:lang w:val="it-IT"/>
        </w:rPr>
        <w:t>bevacizumab):</w:t>
      </w:r>
    </w:p>
    <w:p w14:paraId="5490DC1F" w14:textId="77777777" w:rsidR="008E3703" w:rsidRPr="00330A40" w:rsidRDefault="006F4E61" w:rsidP="00C65E97">
      <w:pPr>
        <w:ind w:left="1134" w:hanging="567"/>
        <w:rPr>
          <w:position w:val="2"/>
          <w:lang w:val="it-IT"/>
        </w:rPr>
      </w:pPr>
      <w:r w:rsidRPr="00330A40">
        <w:rPr>
          <w:position w:val="2"/>
          <w:lang w:val="it-IT"/>
        </w:rPr>
        <w:sym w:font="Symbol" w:char="F0B7"/>
      </w:r>
      <w:r w:rsidRPr="00330A40">
        <w:rPr>
          <w:position w:val="2"/>
          <w:lang w:val="it-IT"/>
        </w:rPr>
        <w:tab/>
      </w:r>
      <w:r w:rsidR="002F5A64" w:rsidRPr="00330A40">
        <w:rPr>
          <w:position w:val="2"/>
          <w:lang w:val="it-IT"/>
        </w:rPr>
        <w:t xml:space="preserve">la </w:t>
      </w:r>
      <w:r w:rsidR="008E3703" w:rsidRPr="00330A40">
        <w:rPr>
          <w:position w:val="2"/>
          <w:lang w:val="it-IT"/>
        </w:rPr>
        <w:t xml:space="preserve">chemioterapia prescelta è stata somministrata in associazione a bevacizumab 10 mg/kg </w:t>
      </w:r>
      <w:r w:rsidR="00062D61">
        <w:rPr>
          <w:rFonts w:eastAsia="MS Mincho"/>
          <w:lang w:val="it-IT" w:eastAsia="de-DE"/>
        </w:rPr>
        <w:t>per via endovenosa</w:t>
      </w:r>
      <w:r w:rsidR="008E3703" w:rsidRPr="00330A40">
        <w:rPr>
          <w:position w:val="2"/>
          <w:lang w:val="it-IT"/>
        </w:rPr>
        <w:t xml:space="preserve"> ogni 2</w:t>
      </w:r>
      <w:r w:rsidR="000A6884" w:rsidRPr="00330A40">
        <w:rPr>
          <w:position w:val="2"/>
          <w:lang w:val="it-IT"/>
        </w:rPr>
        <w:t> </w:t>
      </w:r>
      <w:r w:rsidR="008E3703" w:rsidRPr="00330A40">
        <w:rPr>
          <w:position w:val="2"/>
          <w:lang w:val="it-IT"/>
        </w:rPr>
        <w:t>settimane (o bevacizumab 15 mg/kg ogni 3</w:t>
      </w:r>
      <w:r w:rsidR="000A6884" w:rsidRPr="00330A40">
        <w:rPr>
          <w:position w:val="2"/>
          <w:lang w:val="it-IT"/>
        </w:rPr>
        <w:t> </w:t>
      </w:r>
      <w:r w:rsidR="008E3703" w:rsidRPr="00330A40">
        <w:rPr>
          <w:position w:val="2"/>
          <w:lang w:val="it-IT"/>
        </w:rPr>
        <w:t>settimane se in associazione a topotecan 1,25 mg/m</w:t>
      </w:r>
      <w:r w:rsidR="008E3703" w:rsidRPr="00330A40">
        <w:rPr>
          <w:position w:val="2"/>
          <w:vertAlign w:val="superscript"/>
          <w:lang w:val="it-IT"/>
        </w:rPr>
        <w:t>2</w:t>
      </w:r>
      <w:r w:rsidR="008E3703" w:rsidRPr="00330A40">
        <w:rPr>
          <w:position w:val="2"/>
          <w:lang w:val="it-IT"/>
        </w:rPr>
        <w:t xml:space="preserve"> nei Giorni</w:t>
      </w:r>
      <w:r w:rsidR="000A6884" w:rsidRPr="00330A40">
        <w:rPr>
          <w:position w:val="2"/>
          <w:lang w:val="it-IT"/>
        </w:rPr>
        <w:t> </w:t>
      </w:r>
      <w:r w:rsidR="008E3703" w:rsidRPr="00330A40">
        <w:rPr>
          <w:position w:val="2"/>
          <w:lang w:val="it-IT"/>
        </w:rPr>
        <w:t>1</w:t>
      </w:r>
      <w:r w:rsidR="004E42B7" w:rsidRPr="00330A40">
        <w:rPr>
          <w:position w:val="2"/>
          <w:lang w:val="it-IT"/>
        </w:rPr>
        <w:noBreakHyphen/>
      </w:r>
      <w:r w:rsidR="008E3703" w:rsidRPr="00330A40">
        <w:rPr>
          <w:position w:val="2"/>
          <w:lang w:val="it-IT"/>
        </w:rPr>
        <w:t>5 ogni 3</w:t>
      </w:r>
      <w:r w:rsidR="000A6884" w:rsidRPr="00330A40">
        <w:rPr>
          <w:position w:val="2"/>
          <w:lang w:val="it-IT"/>
        </w:rPr>
        <w:t> </w:t>
      </w:r>
      <w:r w:rsidR="008E3703" w:rsidRPr="00330A40">
        <w:rPr>
          <w:position w:val="2"/>
          <w:lang w:val="it-IT"/>
        </w:rPr>
        <w:t>settimane).</w:t>
      </w:r>
    </w:p>
    <w:p w14:paraId="545979C9" w14:textId="77777777" w:rsidR="008E3703" w:rsidRPr="00330A40" w:rsidRDefault="008E3703" w:rsidP="00D936E9">
      <w:pPr>
        <w:rPr>
          <w:lang w:val="it-IT"/>
        </w:rPr>
      </w:pPr>
    </w:p>
    <w:p w14:paraId="07A1FCC6" w14:textId="77777777" w:rsidR="008E3703" w:rsidRPr="00330A40" w:rsidRDefault="002F7FE0" w:rsidP="00D936E9">
      <w:pPr>
        <w:rPr>
          <w:lang w:val="it-IT"/>
        </w:rPr>
      </w:pPr>
      <w:r w:rsidRPr="00330A40">
        <w:rPr>
          <w:lang w:val="it-IT"/>
        </w:rPr>
        <w:t xml:space="preserve">Le </w:t>
      </w:r>
      <w:r w:rsidR="008E3703" w:rsidRPr="006A2BF9">
        <w:rPr>
          <w:lang w:val="it-IT"/>
        </w:rPr>
        <w:t xml:space="preserve">pazienti eleggibili presentavano </w:t>
      </w:r>
      <w:r w:rsidR="00EB182B">
        <w:rPr>
          <w:lang w:val="it-IT"/>
        </w:rPr>
        <w:t>cancro epiteliale dell’ovaio</w:t>
      </w:r>
      <w:r w:rsidR="008E3703" w:rsidRPr="00330A40">
        <w:rPr>
          <w:lang w:val="it-IT"/>
        </w:rPr>
        <w:t xml:space="preserve">, </w:t>
      </w:r>
      <w:r w:rsidR="00EB182B">
        <w:rPr>
          <w:lang w:val="it-IT"/>
        </w:rPr>
        <w:t>cancro della tuba di Falloppio</w:t>
      </w:r>
      <w:r w:rsidR="008E3703" w:rsidRPr="00330A40">
        <w:rPr>
          <w:lang w:val="it-IT"/>
        </w:rPr>
        <w:t xml:space="preserve"> o </w:t>
      </w:r>
      <w:r w:rsidR="00560A5F">
        <w:rPr>
          <w:lang w:val="it-IT"/>
        </w:rPr>
        <w:t xml:space="preserve">cancro </w:t>
      </w:r>
      <w:r w:rsidR="008E3703" w:rsidRPr="00330A40">
        <w:rPr>
          <w:lang w:val="it-IT"/>
        </w:rPr>
        <w:t>peritoneale primario in progressione dopo meno di 6</w:t>
      </w:r>
      <w:r w:rsidR="000A6884" w:rsidRPr="00330A40">
        <w:rPr>
          <w:lang w:val="it-IT"/>
        </w:rPr>
        <w:t> </w:t>
      </w:r>
      <w:r w:rsidR="008E3703" w:rsidRPr="00330A40">
        <w:rPr>
          <w:lang w:val="it-IT"/>
        </w:rPr>
        <w:t>mesi dalla precedente terapia a base di platino consistente in un minimo di 4</w:t>
      </w:r>
      <w:r w:rsidR="000A6884" w:rsidRPr="00330A40">
        <w:rPr>
          <w:lang w:val="it-IT"/>
        </w:rPr>
        <w:t> </w:t>
      </w:r>
      <w:r w:rsidR="008E3703" w:rsidRPr="00330A40">
        <w:rPr>
          <w:lang w:val="it-IT"/>
        </w:rPr>
        <w:t xml:space="preserve">cicli </w:t>
      </w:r>
      <w:r w:rsidR="00066295" w:rsidRPr="00330A40">
        <w:rPr>
          <w:lang w:val="it-IT"/>
        </w:rPr>
        <w:t xml:space="preserve">di </w:t>
      </w:r>
      <w:r w:rsidR="008E3703" w:rsidRPr="00330A40">
        <w:rPr>
          <w:lang w:val="it-IT"/>
        </w:rPr>
        <w:t xml:space="preserve">trattamento. </w:t>
      </w:r>
    </w:p>
    <w:p w14:paraId="6C6AE8DB" w14:textId="77777777" w:rsidR="008E3703" w:rsidRPr="00330A40" w:rsidRDefault="002F7FE0" w:rsidP="00D936E9">
      <w:pPr>
        <w:rPr>
          <w:lang w:val="it-IT"/>
        </w:rPr>
      </w:pPr>
      <w:r w:rsidRPr="00330A40">
        <w:rPr>
          <w:lang w:val="it-IT"/>
        </w:rPr>
        <w:t xml:space="preserve">Le </w:t>
      </w:r>
      <w:r w:rsidR="008E3703" w:rsidRPr="00330A40">
        <w:rPr>
          <w:lang w:val="it-IT"/>
        </w:rPr>
        <w:t xml:space="preserve">pazienti dovevano avere un’aspettativa di vita </w:t>
      </w:r>
      <w:r w:rsidR="008E3703" w:rsidRPr="00330A40">
        <w:rPr>
          <w:lang w:val="it-IT"/>
        </w:rPr>
        <w:sym w:font="Symbol" w:char="F0B3"/>
      </w:r>
      <w:r w:rsidR="000A6884" w:rsidRPr="00330A40">
        <w:rPr>
          <w:lang w:val="it-IT"/>
        </w:rPr>
        <w:t> </w:t>
      </w:r>
      <w:r w:rsidR="008E3703" w:rsidRPr="00330A40">
        <w:rPr>
          <w:lang w:val="it-IT"/>
        </w:rPr>
        <w:t>12</w:t>
      </w:r>
      <w:r w:rsidR="000A6884" w:rsidRPr="00330A40">
        <w:rPr>
          <w:lang w:val="it-IT"/>
        </w:rPr>
        <w:t> </w:t>
      </w:r>
      <w:r w:rsidR="008E3703" w:rsidRPr="00330A40">
        <w:rPr>
          <w:lang w:val="it-IT"/>
        </w:rPr>
        <w:t xml:space="preserve">settimane e non dovevano essere </w:t>
      </w:r>
      <w:r w:rsidRPr="00330A40">
        <w:rPr>
          <w:lang w:val="it-IT"/>
        </w:rPr>
        <w:t xml:space="preserve">state sottoposte </w:t>
      </w:r>
      <w:r w:rsidR="008E3703" w:rsidRPr="00330A40">
        <w:rPr>
          <w:lang w:val="it-IT"/>
        </w:rPr>
        <w:t>a precedente radioterapia al bacino o all'addome. La maggior parte de</w:t>
      </w:r>
      <w:r w:rsidRPr="00330A40">
        <w:rPr>
          <w:lang w:val="it-IT"/>
        </w:rPr>
        <w:t>lle</w:t>
      </w:r>
      <w:r w:rsidR="008E3703" w:rsidRPr="00330A40">
        <w:rPr>
          <w:lang w:val="it-IT"/>
        </w:rPr>
        <w:t xml:space="preserve"> pazienti presentavano malattia di stadio FIGO</w:t>
      </w:r>
      <w:r w:rsidR="00F43B28" w:rsidRPr="00330A40">
        <w:rPr>
          <w:lang w:val="it-IT"/>
        </w:rPr>
        <w:t> </w:t>
      </w:r>
      <w:r w:rsidR="008E3703" w:rsidRPr="00330A40">
        <w:rPr>
          <w:lang w:val="it-IT"/>
        </w:rPr>
        <w:t>IIIC o IV. La maggioranza de</w:t>
      </w:r>
      <w:r w:rsidRPr="00330A40">
        <w:rPr>
          <w:lang w:val="it-IT"/>
        </w:rPr>
        <w:t>lle</w:t>
      </w:r>
      <w:r w:rsidR="008E3703" w:rsidRPr="00330A40">
        <w:rPr>
          <w:lang w:val="it-IT"/>
        </w:rPr>
        <w:t xml:space="preserve"> pazienti in entrambi i bracci aveva un ECOG Performance Status (PS)</w:t>
      </w:r>
      <w:r w:rsidR="00E0407A" w:rsidRPr="00330A40">
        <w:rPr>
          <w:lang w:val="it-IT"/>
        </w:rPr>
        <w:t xml:space="preserve"> pari a 0 (CT: 56,4% vs CT</w:t>
      </w:r>
      <w:r w:rsidR="00F43B28" w:rsidRPr="00330A40">
        <w:rPr>
          <w:lang w:val="it-IT"/>
        </w:rPr>
        <w:t> </w:t>
      </w:r>
      <w:r w:rsidR="00E0407A" w:rsidRPr="00330A40">
        <w:rPr>
          <w:lang w:val="it-IT"/>
        </w:rPr>
        <w:t>+</w:t>
      </w:r>
      <w:r w:rsidR="00F43B28" w:rsidRPr="00330A40">
        <w:rPr>
          <w:lang w:val="it-IT"/>
        </w:rPr>
        <w:t> </w:t>
      </w:r>
      <w:r w:rsidR="00E0407A" w:rsidRPr="00330A40">
        <w:rPr>
          <w:lang w:val="it-IT"/>
        </w:rPr>
        <w:t>BV</w:t>
      </w:r>
      <w:r w:rsidR="008E3703" w:rsidRPr="00330A40">
        <w:rPr>
          <w:lang w:val="it-IT"/>
        </w:rPr>
        <w:t>: 61,2%). La percentuale d</w:t>
      </w:r>
      <w:r w:rsidRPr="00330A40">
        <w:rPr>
          <w:lang w:val="it-IT"/>
        </w:rPr>
        <w:t>elle</w:t>
      </w:r>
      <w:r w:rsidR="008E3703" w:rsidRPr="00330A40">
        <w:rPr>
          <w:lang w:val="it-IT"/>
        </w:rPr>
        <w:t xml:space="preserve"> pazienti con ECOG PS pari a 1 o </w:t>
      </w:r>
      <w:r w:rsidR="008E3703" w:rsidRPr="00330A40">
        <w:rPr>
          <w:lang w:val="it-IT"/>
        </w:rPr>
        <w:sym w:font="Symbol" w:char="F0B3"/>
      </w:r>
      <w:r w:rsidR="000A6884" w:rsidRPr="00330A40">
        <w:rPr>
          <w:lang w:val="it-IT"/>
        </w:rPr>
        <w:t> </w:t>
      </w:r>
      <w:r w:rsidR="008E3703" w:rsidRPr="00330A40">
        <w:rPr>
          <w:lang w:val="it-IT"/>
        </w:rPr>
        <w:t>2 era del 38,7% e del 5,0% nel braccio CT, e del 29,8% e del 9,0% nel braccio CT</w:t>
      </w:r>
      <w:r w:rsidR="00F43B28" w:rsidRPr="00330A40">
        <w:rPr>
          <w:lang w:val="it-IT"/>
        </w:rPr>
        <w:t> </w:t>
      </w:r>
      <w:r w:rsidR="008E3703" w:rsidRPr="00330A40">
        <w:rPr>
          <w:lang w:val="it-IT"/>
        </w:rPr>
        <w:t>+</w:t>
      </w:r>
      <w:r w:rsidR="00F43B28" w:rsidRPr="00330A40">
        <w:rPr>
          <w:lang w:val="it-IT"/>
        </w:rPr>
        <w:t> </w:t>
      </w:r>
      <w:r w:rsidR="008E3703" w:rsidRPr="00330A40">
        <w:rPr>
          <w:lang w:val="it-IT"/>
        </w:rPr>
        <w:t xml:space="preserve">BV. Informazioni sulla razza </w:t>
      </w:r>
      <w:r w:rsidR="00340523" w:rsidRPr="00330A40">
        <w:rPr>
          <w:lang w:val="it-IT"/>
        </w:rPr>
        <w:t xml:space="preserve">sono disponibili </w:t>
      </w:r>
      <w:r w:rsidR="008E3703" w:rsidRPr="00330A40">
        <w:rPr>
          <w:lang w:val="it-IT"/>
        </w:rPr>
        <w:t>per il 29,3% de</w:t>
      </w:r>
      <w:r w:rsidRPr="00330A40">
        <w:rPr>
          <w:lang w:val="it-IT"/>
        </w:rPr>
        <w:t>lle</w:t>
      </w:r>
      <w:r w:rsidR="008E3703" w:rsidRPr="00330A40">
        <w:rPr>
          <w:lang w:val="it-IT"/>
        </w:rPr>
        <w:t xml:space="preserve"> pazienti e quasi tutti </w:t>
      </w:r>
      <w:r w:rsidRPr="00330A40">
        <w:rPr>
          <w:lang w:val="it-IT"/>
        </w:rPr>
        <w:t xml:space="preserve">le </w:t>
      </w:r>
      <w:r w:rsidR="008E3703" w:rsidRPr="00330A40">
        <w:rPr>
          <w:lang w:val="it-IT"/>
        </w:rPr>
        <w:t>pazienti erano caucasic</w:t>
      </w:r>
      <w:r w:rsidRPr="00330A40">
        <w:rPr>
          <w:lang w:val="it-IT"/>
        </w:rPr>
        <w:t>he</w:t>
      </w:r>
      <w:r w:rsidR="008E3703" w:rsidRPr="00330A40">
        <w:rPr>
          <w:lang w:val="it-IT"/>
        </w:rPr>
        <w:t>. L</w:t>
      </w:r>
      <w:r w:rsidR="008856B1" w:rsidRPr="00330A40">
        <w:rPr>
          <w:lang w:val="it-IT"/>
        </w:rPr>
        <w:t>’</w:t>
      </w:r>
      <w:r w:rsidR="008E3703" w:rsidRPr="00330A40">
        <w:rPr>
          <w:lang w:val="it-IT"/>
        </w:rPr>
        <w:t>età media de</w:t>
      </w:r>
      <w:r w:rsidRPr="00330A40">
        <w:rPr>
          <w:lang w:val="it-IT"/>
        </w:rPr>
        <w:t>lle</w:t>
      </w:r>
      <w:r w:rsidR="008E3703" w:rsidRPr="00330A40">
        <w:rPr>
          <w:lang w:val="it-IT"/>
        </w:rPr>
        <w:t xml:space="preserve"> pazienti era di 61,0 (intervallo: 25</w:t>
      </w:r>
      <w:r w:rsidR="00F43B28" w:rsidRPr="00330A40">
        <w:rPr>
          <w:lang w:val="it-IT"/>
        </w:rPr>
        <w:noBreakHyphen/>
      </w:r>
      <w:r w:rsidR="008E3703" w:rsidRPr="00330A40">
        <w:rPr>
          <w:lang w:val="it-IT"/>
        </w:rPr>
        <w:t>84) anni. Un totale di 16</w:t>
      </w:r>
      <w:r w:rsidR="00F43B28" w:rsidRPr="00330A40">
        <w:rPr>
          <w:lang w:val="it-IT"/>
        </w:rPr>
        <w:t> </w:t>
      </w:r>
      <w:r w:rsidR="008E3703" w:rsidRPr="00330A40">
        <w:rPr>
          <w:lang w:val="it-IT"/>
        </w:rPr>
        <w:t xml:space="preserve">pazienti (4,4%) erano di età </w:t>
      </w:r>
      <w:r w:rsidR="008E3703" w:rsidRPr="00330A40">
        <w:rPr>
          <w:color w:val="000000"/>
          <w:lang w:val="it-IT"/>
        </w:rPr>
        <w:sym w:font="Symbol" w:char="F03E"/>
      </w:r>
      <w:r w:rsidR="008856B1" w:rsidRPr="00330A40">
        <w:rPr>
          <w:lang w:val="it-IT"/>
        </w:rPr>
        <w:t> </w:t>
      </w:r>
      <w:r w:rsidR="008E3703" w:rsidRPr="00330A40">
        <w:rPr>
          <w:lang w:val="it-IT"/>
        </w:rPr>
        <w:t>75</w:t>
      </w:r>
      <w:r w:rsidR="008856B1" w:rsidRPr="00330A40">
        <w:rPr>
          <w:lang w:val="it-IT"/>
        </w:rPr>
        <w:t> </w:t>
      </w:r>
      <w:r w:rsidR="008E3703" w:rsidRPr="00330A40">
        <w:rPr>
          <w:lang w:val="it-IT"/>
        </w:rPr>
        <w:t>anni. I tassi globali di interruzione a causa di eventi avversi sono stati dell’8,8 % nel braccio CT e del 43,6% nel braccio CT</w:t>
      </w:r>
      <w:r w:rsidR="00F43B28" w:rsidRPr="00330A40">
        <w:rPr>
          <w:lang w:val="it-IT"/>
        </w:rPr>
        <w:t> </w:t>
      </w:r>
      <w:r w:rsidR="008E3703" w:rsidRPr="00330A40">
        <w:rPr>
          <w:lang w:val="it-IT"/>
        </w:rPr>
        <w:t>+</w:t>
      </w:r>
      <w:r w:rsidR="00F43B28" w:rsidRPr="00330A40">
        <w:rPr>
          <w:lang w:val="it-IT"/>
        </w:rPr>
        <w:t> </w:t>
      </w:r>
      <w:r w:rsidR="008E3703" w:rsidRPr="00330A40">
        <w:rPr>
          <w:lang w:val="it-IT"/>
        </w:rPr>
        <w:t>BV (soprattutto a causa di eventi avversi di Grado 2</w:t>
      </w:r>
      <w:r w:rsidR="00F43B28" w:rsidRPr="00330A40">
        <w:rPr>
          <w:lang w:val="it-IT"/>
        </w:rPr>
        <w:noBreakHyphen/>
      </w:r>
      <w:r w:rsidR="008E3703" w:rsidRPr="00330A40">
        <w:rPr>
          <w:lang w:val="it-IT"/>
        </w:rPr>
        <w:t>3) e il tempo mediano all’interruzione del trattamento nel braccio CT</w:t>
      </w:r>
      <w:r w:rsidR="00F43B28" w:rsidRPr="00330A40">
        <w:rPr>
          <w:lang w:val="it-IT"/>
        </w:rPr>
        <w:t> </w:t>
      </w:r>
      <w:r w:rsidR="008E3703" w:rsidRPr="00330A40">
        <w:rPr>
          <w:lang w:val="it-IT"/>
        </w:rPr>
        <w:t>+</w:t>
      </w:r>
      <w:r w:rsidR="00F43B28" w:rsidRPr="00330A40">
        <w:rPr>
          <w:lang w:val="it-IT"/>
        </w:rPr>
        <w:t> </w:t>
      </w:r>
      <w:r w:rsidR="008E3703" w:rsidRPr="00330A40">
        <w:rPr>
          <w:lang w:val="it-IT"/>
        </w:rPr>
        <w:t>BV è stato di 5</w:t>
      </w:r>
      <w:r w:rsidR="008856B1" w:rsidRPr="00330A40">
        <w:rPr>
          <w:lang w:val="it-IT"/>
        </w:rPr>
        <w:t>,</w:t>
      </w:r>
      <w:r w:rsidR="008E3703" w:rsidRPr="00330A40">
        <w:rPr>
          <w:lang w:val="it-IT"/>
        </w:rPr>
        <w:t>2</w:t>
      </w:r>
      <w:r w:rsidR="008856B1" w:rsidRPr="00330A40">
        <w:rPr>
          <w:lang w:val="it-IT"/>
        </w:rPr>
        <w:t> </w:t>
      </w:r>
      <w:r w:rsidR="008E3703" w:rsidRPr="00330A40">
        <w:rPr>
          <w:lang w:val="it-IT"/>
        </w:rPr>
        <w:t>mesi rispetto ai 2,4</w:t>
      </w:r>
      <w:r w:rsidR="008856B1" w:rsidRPr="00330A40">
        <w:rPr>
          <w:lang w:val="it-IT"/>
        </w:rPr>
        <w:t> </w:t>
      </w:r>
      <w:r w:rsidR="008E3703" w:rsidRPr="00330A40">
        <w:rPr>
          <w:lang w:val="it-IT"/>
        </w:rPr>
        <w:t>mesi nel braccio CT. I tassi di interruzione a causa di eventi avversi nel sottogruppo di pazienti &gt;</w:t>
      </w:r>
      <w:r w:rsidR="00F43B28" w:rsidRPr="00330A40">
        <w:rPr>
          <w:lang w:val="it-IT"/>
        </w:rPr>
        <w:t> </w:t>
      </w:r>
      <w:r w:rsidR="008E3703" w:rsidRPr="006A2BF9">
        <w:rPr>
          <w:lang w:val="it-IT"/>
        </w:rPr>
        <w:t>65</w:t>
      </w:r>
      <w:r w:rsidR="008856B1" w:rsidRPr="006A2BF9">
        <w:rPr>
          <w:lang w:val="it-IT"/>
        </w:rPr>
        <w:t> </w:t>
      </w:r>
      <w:r w:rsidR="008E3703" w:rsidRPr="006A2BF9">
        <w:rPr>
          <w:lang w:val="it-IT"/>
        </w:rPr>
        <w:t xml:space="preserve">anni sono stati dell’8,8 % nel braccio CT </w:t>
      </w:r>
      <w:r w:rsidR="00E0407A" w:rsidRPr="006A2BF9">
        <w:rPr>
          <w:lang w:val="it-IT"/>
        </w:rPr>
        <w:t>e del 50,0% nel braccio CT</w:t>
      </w:r>
      <w:r w:rsidR="00F43B28" w:rsidRPr="006A2BF9">
        <w:rPr>
          <w:lang w:val="it-IT"/>
        </w:rPr>
        <w:t> </w:t>
      </w:r>
      <w:r w:rsidR="00E0407A" w:rsidRPr="006A2BF9">
        <w:rPr>
          <w:lang w:val="it-IT"/>
        </w:rPr>
        <w:t>+</w:t>
      </w:r>
      <w:r w:rsidR="00F43B28" w:rsidRPr="006A2BF9">
        <w:rPr>
          <w:lang w:val="it-IT"/>
        </w:rPr>
        <w:t> </w:t>
      </w:r>
      <w:r w:rsidR="00E0407A" w:rsidRPr="006A2BF9">
        <w:rPr>
          <w:lang w:val="it-IT"/>
        </w:rPr>
        <w:t>BV</w:t>
      </w:r>
      <w:r w:rsidR="008E3703" w:rsidRPr="006A2BF9">
        <w:rPr>
          <w:lang w:val="it-IT"/>
        </w:rPr>
        <w:t>. L</w:t>
      </w:r>
      <w:r w:rsidR="00194F5C">
        <w:rPr>
          <w:lang w:val="it-IT"/>
        </w:rPr>
        <w:t>’</w:t>
      </w:r>
      <w:r w:rsidR="008E3703" w:rsidRPr="006A2BF9">
        <w:rPr>
          <w:lang w:val="it-IT"/>
        </w:rPr>
        <w:t>HR per la PFS è stato dell</w:t>
      </w:r>
      <w:r w:rsidR="00E14086" w:rsidRPr="006A2BF9">
        <w:rPr>
          <w:lang w:val="it-IT"/>
        </w:rPr>
        <w:t>o</w:t>
      </w:r>
      <w:r w:rsidR="008E3703" w:rsidRPr="006A2BF9">
        <w:rPr>
          <w:lang w:val="it-IT"/>
        </w:rPr>
        <w:t xml:space="preserve"> 0</w:t>
      </w:r>
      <w:r w:rsidR="00E14086" w:rsidRPr="006A2BF9">
        <w:rPr>
          <w:lang w:val="it-IT"/>
        </w:rPr>
        <w:t>,</w:t>
      </w:r>
      <w:r w:rsidR="00E0407A" w:rsidRPr="006A2BF9">
        <w:rPr>
          <w:lang w:val="it-IT"/>
        </w:rPr>
        <w:t>47 (</w:t>
      </w:r>
      <w:r w:rsidR="007933D2">
        <w:rPr>
          <w:lang w:val="it-IT"/>
        </w:rPr>
        <w:t>IC al</w:t>
      </w:r>
      <w:r w:rsidR="007933D2" w:rsidRPr="00330A40">
        <w:rPr>
          <w:lang w:val="it-IT"/>
        </w:rPr>
        <w:t xml:space="preserve"> </w:t>
      </w:r>
      <w:r w:rsidR="004B455F" w:rsidRPr="00330A40">
        <w:rPr>
          <w:lang w:val="it-IT"/>
        </w:rPr>
        <w:t>95 %</w:t>
      </w:r>
      <w:r w:rsidR="008E3703" w:rsidRPr="00330A40">
        <w:rPr>
          <w:lang w:val="it-IT"/>
        </w:rPr>
        <w:t>: 0,35; 0,62) e dell</w:t>
      </w:r>
      <w:r w:rsidR="00E14086" w:rsidRPr="00330A40">
        <w:rPr>
          <w:lang w:val="it-IT"/>
        </w:rPr>
        <w:t>o</w:t>
      </w:r>
      <w:r w:rsidR="008856B1" w:rsidRPr="00330A40">
        <w:rPr>
          <w:lang w:val="it-IT"/>
        </w:rPr>
        <w:t xml:space="preserve"> </w:t>
      </w:r>
      <w:r w:rsidR="00E0407A" w:rsidRPr="00330A40">
        <w:rPr>
          <w:lang w:val="it-IT"/>
        </w:rPr>
        <w:t>0,45 (</w:t>
      </w:r>
      <w:r w:rsidR="007933D2">
        <w:rPr>
          <w:lang w:val="it-IT"/>
        </w:rPr>
        <w:t xml:space="preserve">IC al </w:t>
      </w:r>
      <w:r w:rsidR="004B455F" w:rsidRPr="00330A40">
        <w:rPr>
          <w:lang w:val="it-IT"/>
        </w:rPr>
        <w:t>95%</w:t>
      </w:r>
      <w:r w:rsidR="008E3703" w:rsidRPr="00330A40">
        <w:rPr>
          <w:lang w:val="it-IT"/>
        </w:rPr>
        <w:t>: 0,31; 0,67</w:t>
      </w:r>
      <w:r w:rsidR="004C3C77" w:rsidRPr="00330A40">
        <w:rPr>
          <w:lang w:val="it-IT"/>
        </w:rPr>
        <w:t>) rispettivamente per i sottogru</w:t>
      </w:r>
      <w:r w:rsidR="008E3703" w:rsidRPr="00330A40">
        <w:rPr>
          <w:lang w:val="it-IT"/>
        </w:rPr>
        <w:t xml:space="preserve">ppi di età </w:t>
      </w:r>
      <w:r w:rsidR="008E3703" w:rsidRPr="00330A40">
        <w:rPr>
          <w:color w:val="000000"/>
          <w:lang w:val="it-IT"/>
        </w:rPr>
        <w:sym w:font="Symbol" w:char="F03C"/>
      </w:r>
      <w:r w:rsidR="008E3703" w:rsidRPr="00330A40">
        <w:rPr>
          <w:color w:val="000000"/>
          <w:lang w:val="it-IT"/>
        </w:rPr>
        <w:t> </w:t>
      </w:r>
      <w:r w:rsidR="008E3703" w:rsidRPr="00330A40">
        <w:rPr>
          <w:lang w:val="it-IT"/>
        </w:rPr>
        <w:t xml:space="preserve">65 e </w:t>
      </w:r>
      <w:r w:rsidR="008E3703" w:rsidRPr="00330A40">
        <w:rPr>
          <w:color w:val="000000"/>
          <w:lang w:val="it-IT"/>
        </w:rPr>
        <w:sym w:font="Symbol" w:char="F0B3"/>
      </w:r>
      <w:r w:rsidR="00F43B28" w:rsidRPr="00330A40">
        <w:rPr>
          <w:lang w:val="it-IT"/>
        </w:rPr>
        <w:t> </w:t>
      </w:r>
      <w:r w:rsidR="008E3703" w:rsidRPr="00330A40">
        <w:rPr>
          <w:lang w:val="it-IT"/>
        </w:rPr>
        <w:t xml:space="preserve">65. </w:t>
      </w:r>
    </w:p>
    <w:p w14:paraId="5C740AD9" w14:textId="77777777" w:rsidR="008856B1" w:rsidRPr="00330A40" w:rsidRDefault="008856B1" w:rsidP="00D936E9">
      <w:pPr>
        <w:rPr>
          <w:lang w:val="it-IT"/>
        </w:rPr>
      </w:pPr>
    </w:p>
    <w:p w14:paraId="6AD1193F" w14:textId="77777777" w:rsidR="008E3703" w:rsidRPr="00330A40" w:rsidRDefault="008E3703" w:rsidP="00D936E9">
      <w:pPr>
        <w:rPr>
          <w:lang w:val="it-IT"/>
        </w:rPr>
      </w:pPr>
      <w:r w:rsidRPr="00330A40">
        <w:rPr>
          <w:lang w:val="it-IT"/>
        </w:rPr>
        <w:t xml:space="preserve">L’endpoint primario era la </w:t>
      </w:r>
      <w:r w:rsidR="00062D61">
        <w:rPr>
          <w:lang w:val="it-IT"/>
        </w:rPr>
        <w:t>PFS</w:t>
      </w:r>
      <w:r w:rsidRPr="00330A40">
        <w:rPr>
          <w:lang w:val="it-IT"/>
        </w:rPr>
        <w:t xml:space="preserve">, mentre gli endpoint secondari includevano tasso di risposta </w:t>
      </w:r>
      <w:r w:rsidR="004B4B77" w:rsidRPr="00330A40">
        <w:rPr>
          <w:lang w:val="it-IT"/>
        </w:rPr>
        <w:t>o</w:t>
      </w:r>
      <w:r w:rsidR="004B4B77">
        <w:rPr>
          <w:lang w:val="it-IT"/>
        </w:rPr>
        <w:t>ggettiva</w:t>
      </w:r>
      <w:r w:rsidR="004B4B77" w:rsidRPr="00330A40">
        <w:rPr>
          <w:lang w:val="it-IT"/>
        </w:rPr>
        <w:t xml:space="preserve"> </w:t>
      </w:r>
      <w:r w:rsidRPr="00330A40">
        <w:rPr>
          <w:lang w:val="it-IT"/>
        </w:rPr>
        <w:t xml:space="preserve">e </w:t>
      </w:r>
      <w:r w:rsidR="00062D61">
        <w:rPr>
          <w:lang w:val="it-IT"/>
        </w:rPr>
        <w:t>OS</w:t>
      </w:r>
      <w:r w:rsidRPr="00330A40">
        <w:rPr>
          <w:lang w:val="it-IT"/>
        </w:rPr>
        <w:t>. I risultati sono presentati nella Tabella</w:t>
      </w:r>
      <w:r w:rsidR="008856B1" w:rsidRPr="00330A40">
        <w:rPr>
          <w:lang w:val="it-IT"/>
        </w:rPr>
        <w:t> </w:t>
      </w:r>
      <w:r w:rsidRPr="00330A40">
        <w:rPr>
          <w:lang w:val="it-IT"/>
        </w:rPr>
        <w:t>2</w:t>
      </w:r>
      <w:r w:rsidR="003D3DCA" w:rsidRPr="00330A40">
        <w:rPr>
          <w:lang w:val="it-IT"/>
        </w:rPr>
        <w:t>3</w:t>
      </w:r>
      <w:r w:rsidRPr="00330A40">
        <w:rPr>
          <w:lang w:val="it-IT"/>
        </w:rPr>
        <w:t>.</w:t>
      </w:r>
    </w:p>
    <w:p w14:paraId="72C26DBC" w14:textId="77777777" w:rsidR="008E3703" w:rsidRPr="00330A40" w:rsidRDefault="008E3703" w:rsidP="00D936E9">
      <w:pPr>
        <w:rPr>
          <w:rFonts w:cs="Arial"/>
          <w:lang w:val="it-IT"/>
        </w:rPr>
      </w:pPr>
    </w:p>
    <w:p w14:paraId="27F8BC36" w14:textId="77777777" w:rsidR="008E3703" w:rsidRPr="00330A40" w:rsidRDefault="008E3703" w:rsidP="00C65E97">
      <w:pPr>
        <w:keepNext/>
        <w:ind w:left="1559" w:hanging="1559"/>
        <w:rPr>
          <w:b/>
          <w:lang w:val="it-IT"/>
        </w:rPr>
      </w:pPr>
      <w:r w:rsidRPr="00330A40">
        <w:rPr>
          <w:b/>
          <w:lang w:val="it-IT"/>
        </w:rPr>
        <w:lastRenderedPageBreak/>
        <w:t>Tabella 2</w:t>
      </w:r>
      <w:r w:rsidR="000924C5" w:rsidRPr="00330A40">
        <w:rPr>
          <w:b/>
          <w:lang w:val="it-IT"/>
        </w:rPr>
        <w:t>3</w:t>
      </w:r>
      <w:r w:rsidRPr="00330A40">
        <w:rPr>
          <w:b/>
          <w:lang w:val="it-IT"/>
        </w:rPr>
        <w:t xml:space="preserve"> </w:t>
      </w:r>
      <w:r w:rsidRPr="00330A40">
        <w:rPr>
          <w:b/>
          <w:lang w:val="it-IT"/>
        </w:rPr>
        <w:tab/>
        <w:t>Risultati di efficacia emersi dallo studio MO22224</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2062"/>
        <w:gridCol w:w="2507"/>
      </w:tblGrid>
      <w:tr w:rsidR="008E3703" w:rsidRPr="006A2BF9" w14:paraId="525EB3CD" w14:textId="77777777" w:rsidTr="00CC1687">
        <w:trPr>
          <w:trHeight w:val="332"/>
        </w:trPr>
        <w:tc>
          <w:tcPr>
            <w:tcW w:w="9143" w:type="dxa"/>
            <w:gridSpan w:val="3"/>
            <w:tcBorders>
              <w:top w:val="single" w:sz="4" w:space="0" w:color="auto"/>
            </w:tcBorders>
            <w:shd w:val="clear" w:color="auto" w:fill="auto"/>
            <w:vAlign w:val="center"/>
          </w:tcPr>
          <w:p w14:paraId="0C592149" w14:textId="77777777" w:rsidR="008E3703" w:rsidRPr="00330A40" w:rsidRDefault="008E3703" w:rsidP="00C65E97">
            <w:pPr>
              <w:pStyle w:val="TextTi12"/>
              <w:keepNext/>
              <w:keepLines/>
              <w:spacing w:after="0"/>
              <w:jc w:val="left"/>
              <w:rPr>
                <w:rFonts w:eastAsia="SimSun"/>
                <w:sz w:val="22"/>
                <w:szCs w:val="22"/>
                <w:lang w:val="it-IT" w:eastAsia="zh-CN"/>
              </w:rPr>
            </w:pPr>
            <w:r w:rsidRPr="00330A40">
              <w:rPr>
                <w:rFonts w:eastAsia="SimSun"/>
                <w:sz w:val="22"/>
                <w:szCs w:val="22"/>
                <w:lang w:val="it-IT" w:eastAsia="zh-CN"/>
              </w:rPr>
              <w:t>Endpoint primario</w:t>
            </w:r>
          </w:p>
        </w:tc>
      </w:tr>
      <w:tr w:rsidR="008E3703" w:rsidRPr="006A2BF9" w14:paraId="17480AA6" w14:textId="77777777" w:rsidTr="00CC1687">
        <w:tc>
          <w:tcPr>
            <w:tcW w:w="9143" w:type="dxa"/>
            <w:gridSpan w:val="3"/>
            <w:tcBorders>
              <w:top w:val="single" w:sz="4" w:space="0" w:color="auto"/>
            </w:tcBorders>
            <w:shd w:val="clear" w:color="auto" w:fill="auto"/>
            <w:vAlign w:val="center"/>
          </w:tcPr>
          <w:p w14:paraId="1624A7DA" w14:textId="77777777" w:rsidR="008E3703" w:rsidRPr="006A2BF9" w:rsidRDefault="008E3703" w:rsidP="0011036F">
            <w:pPr>
              <w:pStyle w:val="TextTi12"/>
              <w:keepNext/>
              <w:keepLines/>
              <w:spacing w:after="0"/>
              <w:jc w:val="left"/>
              <w:rPr>
                <w:rFonts w:eastAsia="SimSun"/>
                <w:sz w:val="22"/>
                <w:szCs w:val="22"/>
                <w:vertAlign w:val="superscript"/>
                <w:lang w:val="it-IT" w:eastAsia="zh-CN"/>
              </w:rPr>
            </w:pPr>
            <w:r w:rsidRPr="006A2BF9">
              <w:rPr>
                <w:rFonts w:eastAsia="SimSun"/>
                <w:sz w:val="22"/>
                <w:szCs w:val="22"/>
                <w:lang w:val="it-IT" w:eastAsia="zh-CN"/>
              </w:rPr>
              <w:t>Sopravvivenza libera da progressione*</w:t>
            </w:r>
          </w:p>
        </w:tc>
      </w:tr>
      <w:tr w:rsidR="008E3703" w:rsidRPr="006A2BF9" w14:paraId="3E67E5F1" w14:textId="77777777" w:rsidTr="00CC1687">
        <w:tc>
          <w:tcPr>
            <w:tcW w:w="4499" w:type="dxa"/>
            <w:tcBorders>
              <w:top w:val="single" w:sz="4" w:space="0" w:color="auto"/>
            </w:tcBorders>
            <w:shd w:val="clear" w:color="auto" w:fill="auto"/>
            <w:vAlign w:val="center"/>
          </w:tcPr>
          <w:p w14:paraId="41CD3B7A" w14:textId="77777777" w:rsidR="008E3703" w:rsidRPr="006A2BF9" w:rsidRDefault="008E3703" w:rsidP="0011036F">
            <w:pPr>
              <w:pStyle w:val="TextTi12"/>
              <w:keepNext/>
              <w:keepLines/>
              <w:spacing w:after="0"/>
              <w:ind w:left="720"/>
              <w:jc w:val="left"/>
              <w:rPr>
                <w:rFonts w:eastAsia="SimSun"/>
                <w:sz w:val="22"/>
                <w:szCs w:val="22"/>
                <w:lang w:val="it-IT" w:eastAsia="zh-CN"/>
              </w:rPr>
            </w:pPr>
          </w:p>
        </w:tc>
        <w:tc>
          <w:tcPr>
            <w:tcW w:w="2093" w:type="dxa"/>
            <w:tcBorders>
              <w:top w:val="single" w:sz="4" w:space="0" w:color="auto"/>
            </w:tcBorders>
            <w:shd w:val="clear" w:color="auto" w:fill="auto"/>
            <w:vAlign w:val="center"/>
          </w:tcPr>
          <w:p w14:paraId="796F817F"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CT</w:t>
            </w:r>
          </w:p>
          <w:p w14:paraId="45C7DE98"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(n</w:t>
            </w:r>
            <w:r w:rsidR="00F43B28" w:rsidRPr="006A2BF9">
              <w:rPr>
                <w:rFonts w:eastAsia="SimSun"/>
                <w:sz w:val="22"/>
                <w:szCs w:val="22"/>
                <w:lang w:val="it-IT" w:eastAsia="zh-CN"/>
              </w:rPr>
              <w:t> </w:t>
            </w:r>
            <w:r w:rsidRPr="006A2BF9">
              <w:rPr>
                <w:rFonts w:eastAsia="SimSun"/>
                <w:sz w:val="22"/>
                <w:szCs w:val="22"/>
                <w:lang w:val="it-IT" w:eastAsia="zh-CN"/>
              </w:rPr>
              <w:t>=</w:t>
            </w:r>
            <w:r w:rsidR="00F43B28" w:rsidRPr="006A2BF9">
              <w:rPr>
                <w:rFonts w:eastAsia="SimSun"/>
                <w:sz w:val="22"/>
                <w:szCs w:val="22"/>
                <w:lang w:val="it-IT" w:eastAsia="zh-CN"/>
              </w:rPr>
              <w:t> </w:t>
            </w:r>
            <w:r w:rsidRPr="006A2BF9">
              <w:rPr>
                <w:rFonts w:eastAsia="SimSun"/>
                <w:sz w:val="22"/>
                <w:szCs w:val="22"/>
                <w:lang w:val="it-IT" w:eastAsia="zh-CN"/>
              </w:rPr>
              <w:t>182)</w:t>
            </w:r>
          </w:p>
        </w:tc>
        <w:tc>
          <w:tcPr>
            <w:tcW w:w="2551" w:type="dxa"/>
            <w:tcBorders>
              <w:top w:val="single" w:sz="4" w:space="0" w:color="auto"/>
            </w:tcBorders>
            <w:shd w:val="clear" w:color="auto" w:fill="auto"/>
            <w:vAlign w:val="center"/>
          </w:tcPr>
          <w:p w14:paraId="1FB357FE"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CT+BV</w:t>
            </w:r>
          </w:p>
          <w:p w14:paraId="3E437EE5"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(n</w:t>
            </w:r>
            <w:r w:rsidR="00F43B28" w:rsidRPr="006A2BF9">
              <w:rPr>
                <w:rFonts w:eastAsia="SimSun"/>
                <w:sz w:val="22"/>
                <w:szCs w:val="22"/>
                <w:lang w:val="it-IT" w:eastAsia="zh-CN"/>
              </w:rPr>
              <w:t> </w:t>
            </w:r>
            <w:r w:rsidRPr="006A2BF9">
              <w:rPr>
                <w:rFonts w:eastAsia="SimSun"/>
                <w:sz w:val="22"/>
                <w:szCs w:val="22"/>
                <w:lang w:val="it-IT" w:eastAsia="zh-CN"/>
              </w:rPr>
              <w:t>=</w:t>
            </w:r>
            <w:r w:rsidR="00F43B28" w:rsidRPr="006A2BF9">
              <w:rPr>
                <w:rFonts w:eastAsia="SimSun"/>
                <w:sz w:val="22"/>
                <w:szCs w:val="22"/>
                <w:lang w:val="it-IT" w:eastAsia="zh-CN"/>
              </w:rPr>
              <w:t> </w:t>
            </w:r>
            <w:r w:rsidRPr="006A2BF9">
              <w:rPr>
                <w:rFonts w:eastAsia="SimSun"/>
                <w:sz w:val="22"/>
                <w:szCs w:val="22"/>
                <w:lang w:val="it-IT" w:eastAsia="zh-CN"/>
              </w:rPr>
              <w:t>179)</w:t>
            </w:r>
          </w:p>
        </w:tc>
      </w:tr>
      <w:tr w:rsidR="008E3703" w:rsidRPr="006A2BF9" w14:paraId="752DCB9D" w14:textId="77777777" w:rsidTr="00CC1687">
        <w:tc>
          <w:tcPr>
            <w:tcW w:w="4499" w:type="dxa"/>
            <w:tcBorders>
              <w:top w:val="single" w:sz="4" w:space="0" w:color="auto"/>
            </w:tcBorders>
            <w:shd w:val="clear" w:color="auto" w:fill="auto"/>
            <w:vAlign w:val="center"/>
          </w:tcPr>
          <w:p w14:paraId="32ED24B8" w14:textId="77777777" w:rsidR="008E3703" w:rsidRPr="006A2BF9" w:rsidRDefault="008E3703" w:rsidP="0011036F">
            <w:pPr>
              <w:pStyle w:val="TextTi12"/>
              <w:keepNext/>
              <w:keepLines/>
              <w:spacing w:after="0"/>
              <w:ind w:left="720"/>
              <w:jc w:val="left"/>
              <w:rPr>
                <w:rFonts w:eastAsia="SimSun"/>
                <w:sz w:val="22"/>
                <w:szCs w:val="22"/>
                <w:lang w:val="it-IT" w:eastAsia="zh-CN"/>
              </w:rPr>
            </w:pPr>
            <w:r w:rsidRPr="006A2BF9">
              <w:rPr>
                <w:rFonts w:eastAsia="SimSun"/>
                <w:sz w:val="22"/>
                <w:szCs w:val="22"/>
                <w:lang w:val="it-IT" w:eastAsia="zh-CN"/>
              </w:rPr>
              <w:t>Mediana (mesi)</w:t>
            </w:r>
          </w:p>
        </w:tc>
        <w:tc>
          <w:tcPr>
            <w:tcW w:w="2093" w:type="dxa"/>
            <w:tcBorders>
              <w:top w:val="single" w:sz="4" w:space="0" w:color="auto"/>
            </w:tcBorders>
            <w:shd w:val="clear" w:color="auto" w:fill="auto"/>
            <w:vAlign w:val="center"/>
          </w:tcPr>
          <w:p w14:paraId="4EA67C56"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3,4</w:t>
            </w:r>
          </w:p>
        </w:tc>
        <w:tc>
          <w:tcPr>
            <w:tcW w:w="2551" w:type="dxa"/>
            <w:tcBorders>
              <w:top w:val="single" w:sz="4" w:space="0" w:color="auto"/>
            </w:tcBorders>
            <w:shd w:val="clear" w:color="auto" w:fill="auto"/>
            <w:vAlign w:val="center"/>
          </w:tcPr>
          <w:p w14:paraId="63FCD2BF"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6,7</w:t>
            </w:r>
          </w:p>
        </w:tc>
      </w:tr>
      <w:tr w:rsidR="008E3703" w:rsidRPr="006A2BF9" w14:paraId="6B6AF407" w14:textId="77777777" w:rsidTr="00CC1687">
        <w:tc>
          <w:tcPr>
            <w:tcW w:w="4499" w:type="dxa"/>
            <w:tcBorders>
              <w:top w:val="single" w:sz="4" w:space="0" w:color="auto"/>
            </w:tcBorders>
            <w:shd w:val="clear" w:color="auto" w:fill="auto"/>
            <w:vAlign w:val="center"/>
          </w:tcPr>
          <w:p w14:paraId="78E94B41" w14:textId="77777777" w:rsidR="008E3703" w:rsidRPr="000F0246" w:rsidRDefault="008E3703" w:rsidP="0011036F">
            <w:pPr>
              <w:pStyle w:val="TextTi12"/>
              <w:keepNext/>
              <w:keepLines/>
              <w:spacing w:after="0"/>
              <w:ind w:left="720"/>
              <w:jc w:val="left"/>
              <w:rPr>
                <w:rFonts w:eastAsia="SimSun"/>
                <w:i/>
                <w:sz w:val="22"/>
                <w:szCs w:val="22"/>
                <w:lang w:val="it-IT" w:eastAsia="zh-CN"/>
              </w:rPr>
            </w:pPr>
            <w:r w:rsidRPr="000F0246">
              <w:rPr>
                <w:rFonts w:eastAsia="SimSun"/>
                <w:i/>
                <w:sz w:val="22"/>
                <w:szCs w:val="22"/>
                <w:lang w:val="it-IT" w:eastAsia="zh-CN"/>
              </w:rPr>
              <w:t>Hazard ratio</w:t>
            </w:r>
          </w:p>
          <w:p w14:paraId="28F8FB52" w14:textId="77777777" w:rsidR="008E3703" w:rsidRPr="00330A40" w:rsidRDefault="008E3703" w:rsidP="0011036F">
            <w:pPr>
              <w:pStyle w:val="TextTi12"/>
              <w:keepNext/>
              <w:keepLines/>
              <w:spacing w:after="0"/>
              <w:ind w:left="720"/>
              <w:jc w:val="left"/>
              <w:rPr>
                <w:rFonts w:eastAsia="SimSun"/>
                <w:sz w:val="22"/>
                <w:szCs w:val="22"/>
                <w:lang w:val="it-IT" w:eastAsia="zh-CN"/>
              </w:rPr>
            </w:pPr>
            <w:r w:rsidRPr="00330A40">
              <w:rPr>
                <w:rFonts w:eastAsia="SimSun"/>
                <w:sz w:val="22"/>
                <w:szCs w:val="22"/>
                <w:lang w:val="it-IT" w:eastAsia="zh-CN"/>
              </w:rPr>
              <w:t>(IC al 95%)</w:t>
            </w:r>
          </w:p>
        </w:tc>
        <w:tc>
          <w:tcPr>
            <w:tcW w:w="4644" w:type="dxa"/>
            <w:gridSpan w:val="2"/>
            <w:tcBorders>
              <w:top w:val="single" w:sz="4" w:space="0" w:color="auto"/>
            </w:tcBorders>
            <w:shd w:val="clear" w:color="auto" w:fill="auto"/>
            <w:vAlign w:val="center"/>
          </w:tcPr>
          <w:p w14:paraId="72CE3242" w14:textId="77777777" w:rsidR="008E3703" w:rsidRPr="00330A40" w:rsidRDefault="008E3703" w:rsidP="0011036F">
            <w:pPr>
              <w:pStyle w:val="TextTi12"/>
              <w:keepNext/>
              <w:keepLines/>
              <w:spacing w:after="0"/>
              <w:jc w:val="center"/>
              <w:rPr>
                <w:rFonts w:eastAsia="SimSun"/>
                <w:sz w:val="22"/>
                <w:szCs w:val="22"/>
                <w:lang w:val="it-IT" w:eastAsia="zh-CN"/>
              </w:rPr>
            </w:pPr>
            <w:r w:rsidRPr="00330A40">
              <w:rPr>
                <w:rFonts w:eastAsia="SimSun"/>
                <w:sz w:val="22"/>
                <w:szCs w:val="22"/>
                <w:lang w:val="it-IT" w:eastAsia="zh-CN"/>
              </w:rPr>
              <w:t>0,379 [0,296; 0,485]</w:t>
            </w:r>
          </w:p>
        </w:tc>
      </w:tr>
      <w:tr w:rsidR="008E3703" w:rsidRPr="006A2BF9" w14:paraId="47C8CF63" w14:textId="77777777" w:rsidTr="00CC1687">
        <w:trPr>
          <w:trHeight w:val="269"/>
        </w:trPr>
        <w:tc>
          <w:tcPr>
            <w:tcW w:w="4499" w:type="dxa"/>
            <w:tcBorders>
              <w:top w:val="single" w:sz="4" w:space="0" w:color="auto"/>
            </w:tcBorders>
            <w:shd w:val="clear" w:color="auto" w:fill="auto"/>
            <w:vAlign w:val="center"/>
          </w:tcPr>
          <w:p w14:paraId="012099AC" w14:textId="77777777" w:rsidR="008E3703" w:rsidRPr="006A2BF9" w:rsidRDefault="008E3703" w:rsidP="0011036F">
            <w:pPr>
              <w:pStyle w:val="TextTi12"/>
              <w:keepNext/>
              <w:keepLines/>
              <w:spacing w:after="0"/>
              <w:ind w:left="720"/>
              <w:jc w:val="left"/>
              <w:rPr>
                <w:rFonts w:eastAsia="SimSun"/>
                <w:sz w:val="22"/>
                <w:szCs w:val="22"/>
                <w:u w:val="single"/>
                <w:lang w:val="it-IT" w:eastAsia="zh-CN"/>
              </w:rPr>
            </w:pPr>
            <w:r w:rsidRPr="006A2BF9">
              <w:rPr>
                <w:rFonts w:eastAsia="SimSun"/>
                <w:sz w:val="22"/>
                <w:szCs w:val="22"/>
                <w:lang w:val="it-IT" w:eastAsia="zh-CN"/>
              </w:rPr>
              <w:t>Valore di p</w:t>
            </w:r>
          </w:p>
        </w:tc>
        <w:tc>
          <w:tcPr>
            <w:tcW w:w="4644" w:type="dxa"/>
            <w:gridSpan w:val="2"/>
            <w:tcBorders>
              <w:top w:val="single" w:sz="4" w:space="0" w:color="auto"/>
            </w:tcBorders>
            <w:shd w:val="clear" w:color="auto" w:fill="auto"/>
            <w:vAlign w:val="center"/>
          </w:tcPr>
          <w:p w14:paraId="5AB408F7" w14:textId="77777777" w:rsidR="008E3703" w:rsidRPr="006A2BF9" w:rsidRDefault="008E3703" w:rsidP="0011036F">
            <w:pPr>
              <w:pStyle w:val="TextTi12"/>
              <w:keepNext/>
              <w:keepLines/>
              <w:spacing w:after="0"/>
              <w:ind w:left="-72"/>
              <w:jc w:val="center"/>
              <w:rPr>
                <w:rFonts w:eastAsia="SimSun"/>
                <w:sz w:val="22"/>
                <w:szCs w:val="22"/>
                <w:lang w:val="it-IT" w:eastAsia="zh-CN"/>
              </w:rPr>
            </w:pPr>
            <w:r w:rsidRPr="006A2BF9">
              <w:rPr>
                <w:rFonts w:eastAsia="SimSun"/>
                <w:sz w:val="22"/>
                <w:szCs w:val="22"/>
                <w:lang w:val="it-IT" w:eastAsia="zh-CN"/>
              </w:rPr>
              <w:t>&lt;</w:t>
            </w:r>
            <w:r w:rsidR="00F43B28" w:rsidRPr="006A2BF9">
              <w:rPr>
                <w:rFonts w:eastAsia="SimSun"/>
                <w:sz w:val="22"/>
                <w:szCs w:val="22"/>
                <w:lang w:val="it-IT" w:eastAsia="zh-CN"/>
              </w:rPr>
              <w:t> </w:t>
            </w:r>
            <w:r w:rsidRPr="006A2BF9">
              <w:rPr>
                <w:rFonts w:eastAsia="SimSun"/>
                <w:sz w:val="22"/>
                <w:szCs w:val="22"/>
                <w:lang w:val="it-IT" w:eastAsia="zh-CN"/>
              </w:rPr>
              <w:t>0,0001</w:t>
            </w:r>
          </w:p>
        </w:tc>
      </w:tr>
      <w:tr w:rsidR="008E3703" w:rsidRPr="006A2BF9" w14:paraId="1E027266" w14:textId="77777777" w:rsidTr="00CC1687">
        <w:trPr>
          <w:trHeight w:val="413"/>
        </w:trPr>
        <w:tc>
          <w:tcPr>
            <w:tcW w:w="9143" w:type="dxa"/>
            <w:gridSpan w:val="3"/>
            <w:tcBorders>
              <w:top w:val="single" w:sz="4" w:space="0" w:color="auto"/>
            </w:tcBorders>
            <w:shd w:val="clear" w:color="auto" w:fill="auto"/>
            <w:vAlign w:val="center"/>
          </w:tcPr>
          <w:p w14:paraId="7DC8DE3B" w14:textId="77777777" w:rsidR="008E3703" w:rsidRPr="006A2BF9" w:rsidRDefault="008E3703" w:rsidP="00C65E97">
            <w:pPr>
              <w:pStyle w:val="TextTi12"/>
              <w:keepNext/>
              <w:keepLines/>
              <w:spacing w:after="0"/>
              <w:jc w:val="left"/>
              <w:rPr>
                <w:rFonts w:eastAsia="SimSun"/>
                <w:sz w:val="22"/>
                <w:szCs w:val="22"/>
                <w:lang w:val="it-IT" w:eastAsia="zh-CN"/>
              </w:rPr>
            </w:pPr>
            <w:r w:rsidRPr="006A2BF9">
              <w:rPr>
                <w:rFonts w:eastAsia="SimSun"/>
                <w:sz w:val="22"/>
                <w:szCs w:val="22"/>
                <w:lang w:val="it-IT" w:eastAsia="zh-CN"/>
              </w:rPr>
              <w:t>Endpoint secondari</w:t>
            </w:r>
          </w:p>
        </w:tc>
      </w:tr>
      <w:tr w:rsidR="008E3703" w:rsidRPr="006A2BF9" w14:paraId="0AE85D21" w14:textId="77777777" w:rsidTr="00CC1687">
        <w:trPr>
          <w:trHeight w:val="269"/>
        </w:trPr>
        <w:tc>
          <w:tcPr>
            <w:tcW w:w="9143" w:type="dxa"/>
            <w:gridSpan w:val="3"/>
            <w:tcBorders>
              <w:top w:val="single" w:sz="4" w:space="0" w:color="auto"/>
            </w:tcBorders>
            <w:shd w:val="clear" w:color="auto" w:fill="auto"/>
            <w:vAlign w:val="center"/>
          </w:tcPr>
          <w:p w14:paraId="5EEB7B5C" w14:textId="77777777" w:rsidR="008E3703" w:rsidRPr="006A2BF9" w:rsidRDefault="008E3703" w:rsidP="0011036F">
            <w:pPr>
              <w:pStyle w:val="TextTi12"/>
              <w:keepNext/>
              <w:keepLines/>
              <w:spacing w:after="0"/>
              <w:jc w:val="left"/>
              <w:rPr>
                <w:rFonts w:eastAsia="SimSun"/>
                <w:sz w:val="22"/>
                <w:szCs w:val="22"/>
                <w:lang w:val="it-IT" w:eastAsia="zh-CN"/>
              </w:rPr>
            </w:pPr>
            <w:r w:rsidRPr="006A2BF9">
              <w:rPr>
                <w:rFonts w:eastAsia="SimSun"/>
                <w:sz w:val="22"/>
                <w:szCs w:val="22"/>
                <w:lang w:val="it-IT" w:eastAsia="zh-CN"/>
              </w:rPr>
              <w:t xml:space="preserve">Tasso di risposta obiettiva** </w:t>
            </w:r>
          </w:p>
        </w:tc>
      </w:tr>
      <w:tr w:rsidR="008E3703" w:rsidRPr="006A2BF9" w14:paraId="56E95742" w14:textId="77777777" w:rsidTr="00CC1687">
        <w:tc>
          <w:tcPr>
            <w:tcW w:w="4499" w:type="dxa"/>
            <w:tcBorders>
              <w:top w:val="single" w:sz="4" w:space="0" w:color="auto"/>
            </w:tcBorders>
            <w:shd w:val="clear" w:color="auto" w:fill="auto"/>
            <w:vAlign w:val="center"/>
          </w:tcPr>
          <w:p w14:paraId="0F497343" w14:textId="77777777" w:rsidR="008E3703" w:rsidRPr="006A2BF9" w:rsidRDefault="008E3703" w:rsidP="0011036F">
            <w:pPr>
              <w:pStyle w:val="TextTi12"/>
              <w:keepNext/>
              <w:keepLines/>
              <w:spacing w:after="0"/>
              <w:ind w:left="720"/>
              <w:jc w:val="left"/>
              <w:rPr>
                <w:rFonts w:eastAsia="SimSun"/>
                <w:sz w:val="22"/>
                <w:szCs w:val="22"/>
                <w:lang w:val="it-IT" w:eastAsia="zh-CN"/>
              </w:rPr>
            </w:pPr>
          </w:p>
        </w:tc>
        <w:tc>
          <w:tcPr>
            <w:tcW w:w="2093" w:type="dxa"/>
            <w:tcBorders>
              <w:top w:val="single" w:sz="4" w:space="0" w:color="auto"/>
            </w:tcBorders>
            <w:shd w:val="clear" w:color="auto" w:fill="auto"/>
            <w:vAlign w:val="center"/>
          </w:tcPr>
          <w:p w14:paraId="0FD794A1"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CT</w:t>
            </w:r>
          </w:p>
          <w:p w14:paraId="5C6D9C4F"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(n</w:t>
            </w:r>
            <w:r w:rsidR="00F43B28" w:rsidRPr="006A2BF9">
              <w:rPr>
                <w:rFonts w:eastAsia="SimSun"/>
                <w:sz w:val="22"/>
                <w:szCs w:val="22"/>
                <w:lang w:val="it-IT" w:eastAsia="zh-CN"/>
              </w:rPr>
              <w:t> </w:t>
            </w:r>
            <w:r w:rsidRPr="006A2BF9">
              <w:rPr>
                <w:rFonts w:eastAsia="SimSun"/>
                <w:sz w:val="22"/>
                <w:szCs w:val="22"/>
                <w:lang w:val="it-IT" w:eastAsia="zh-CN"/>
              </w:rPr>
              <w:t>=</w:t>
            </w:r>
            <w:r w:rsidR="00F43B28" w:rsidRPr="006A2BF9">
              <w:rPr>
                <w:rFonts w:eastAsia="SimSun"/>
                <w:sz w:val="22"/>
                <w:szCs w:val="22"/>
                <w:lang w:val="it-IT" w:eastAsia="zh-CN"/>
              </w:rPr>
              <w:t> </w:t>
            </w:r>
            <w:r w:rsidRPr="006A2BF9">
              <w:rPr>
                <w:rFonts w:eastAsia="SimSun"/>
                <w:sz w:val="22"/>
                <w:szCs w:val="22"/>
                <w:lang w:val="it-IT" w:eastAsia="zh-CN"/>
              </w:rPr>
              <w:t>144)</w:t>
            </w:r>
          </w:p>
        </w:tc>
        <w:tc>
          <w:tcPr>
            <w:tcW w:w="2551" w:type="dxa"/>
            <w:tcBorders>
              <w:top w:val="single" w:sz="4" w:space="0" w:color="auto"/>
            </w:tcBorders>
            <w:shd w:val="clear" w:color="auto" w:fill="auto"/>
            <w:vAlign w:val="center"/>
          </w:tcPr>
          <w:p w14:paraId="741268E6"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CT+BV</w:t>
            </w:r>
          </w:p>
          <w:p w14:paraId="014F3678"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(n</w:t>
            </w:r>
            <w:r w:rsidR="00F43B28" w:rsidRPr="006A2BF9">
              <w:rPr>
                <w:rFonts w:eastAsia="SimSun"/>
                <w:sz w:val="22"/>
                <w:szCs w:val="22"/>
                <w:lang w:val="it-IT" w:eastAsia="zh-CN"/>
              </w:rPr>
              <w:t> </w:t>
            </w:r>
            <w:r w:rsidRPr="006A2BF9">
              <w:rPr>
                <w:rFonts w:eastAsia="SimSun"/>
                <w:sz w:val="22"/>
                <w:szCs w:val="22"/>
                <w:lang w:val="it-IT" w:eastAsia="zh-CN"/>
              </w:rPr>
              <w:t>=</w:t>
            </w:r>
            <w:r w:rsidR="00F43B28" w:rsidRPr="006A2BF9">
              <w:rPr>
                <w:rFonts w:eastAsia="SimSun"/>
                <w:sz w:val="22"/>
                <w:szCs w:val="22"/>
                <w:lang w:val="it-IT" w:eastAsia="zh-CN"/>
              </w:rPr>
              <w:t> </w:t>
            </w:r>
            <w:r w:rsidRPr="006A2BF9">
              <w:rPr>
                <w:rFonts w:eastAsia="SimSun"/>
                <w:sz w:val="22"/>
                <w:szCs w:val="22"/>
                <w:lang w:val="it-IT" w:eastAsia="zh-CN"/>
              </w:rPr>
              <w:t>142)</w:t>
            </w:r>
          </w:p>
        </w:tc>
      </w:tr>
      <w:tr w:rsidR="008E3703" w:rsidRPr="006A2BF9" w14:paraId="3B962BD9" w14:textId="77777777" w:rsidTr="00CC1687">
        <w:tc>
          <w:tcPr>
            <w:tcW w:w="4499" w:type="dxa"/>
            <w:tcBorders>
              <w:top w:val="single" w:sz="4" w:space="0" w:color="auto"/>
            </w:tcBorders>
            <w:shd w:val="clear" w:color="auto" w:fill="auto"/>
          </w:tcPr>
          <w:p w14:paraId="50C56BA0" w14:textId="77777777" w:rsidR="008E3703" w:rsidRPr="006A2BF9" w:rsidRDefault="008E3703" w:rsidP="0011036F">
            <w:pPr>
              <w:pStyle w:val="TextTi12"/>
              <w:keepNext/>
              <w:keepLines/>
              <w:spacing w:after="0"/>
              <w:jc w:val="left"/>
              <w:rPr>
                <w:rFonts w:eastAsia="SimSun"/>
                <w:sz w:val="22"/>
                <w:szCs w:val="22"/>
                <w:u w:val="single"/>
                <w:lang w:val="it-IT" w:eastAsia="zh-CN"/>
              </w:rPr>
            </w:pPr>
            <w:r w:rsidRPr="006A2BF9">
              <w:rPr>
                <w:rFonts w:eastAsia="SimSun"/>
                <w:sz w:val="22"/>
                <w:szCs w:val="22"/>
                <w:lang w:val="it-IT" w:eastAsia="zh-CN"/>
              </w:rPr>
              <w:t>% di pazienti con risposta obiettiva</w:t>
            </w:r>
          </w:p>
        </w:tc>
        <w:tc>
          <w:tcPr>
            <w:tcW w:w="2093" w:type="dxa"/>
            <w:tcBorders>
              <w:top w:val="single" w:sz="4" w:space="0" w:color="auto"/>
            </w:tcBorders>
            <w:shd w:val="clear" w:color="auto" w:fill="auto"/>
            <w:vAlign w:val="center"/>
          </w:tcPr>
          <w:p w14:paraId="40BEA69A"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18 (12,5%)</w:t>
            </w:r>
          </w:p>
        </w:tc>
        <w:tc>
          <w:tcPr>
            <w:tcW w:w="2551" w:type="dxa"/>
            <w:tcBorders>
              <w:top w:val="single" w:sz="4" w:space="0" w:color="auto"/>
            </w:tcBorders>
            <w:shd w:val="clear" w:color="auto" w:fill="auto"/>
            <w:vAlign w:val="center"/>
          </w:tcPr>
          <w:p w14:paraId="6D0A34BD"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40 (28,2%)</w:t>
            </w:r>
          </w:p>
        </w:tc>
      </w:tr>
      <w:tr w:rsidR="008E3703" w:rsidRPr="006A2BF9" w14:paraId="0A4DE81D" w14:textId="77777777" w:rsidTr="00CC1687">
        <w:trPr>
          <w:trHeight w:val="287"/>
        </w:trPr>
        <w:tc>
          <w:tcPr>
            <w:tcW w:w="4499" w:type="dxa"/>
            <w:tcBorders>
              <w:top w:val="single" w:sz="4" w:space="0" w:color="auto"/>
              <w:bottom w:val="single" w:sz="4" w:space="0" w:color="auto"/>
            </w:tcBorders>
            <w:shd w:val="clear" w:color="auto" w:fill="auto"/>
          </w:tcPr>
          <w:p w14:paraId="0B1D00F9" w14:textId="77777777" w:rsidR="008E3703" w:rsidRPr="006A2BF9" w:rsidRDefault="008E3703" w:rsidP="0011036F">
            <w:pPr>
              <w:pStyle w:val="TextTi12"/>
              <w:keepNext/>
              <w:keepLines/>
              <w:spacing w:after="0"/>
              <w:ind w:left="720"/>
              <w:jc w:val="left"/>
              <w:rPr>
                <w:rFonts w:eastAsia="SimSun"/>
                <w:sz w:val="22"/>
                <w:szCs w:val="22"/>
                <w:lang w:val="it-IT" w:eastAsia="zh-CN"/>
              </w:rPr>
            </w:pPr>
            <w:r w:rsidRPr="006A2BF9">
              <w:rPr>
                <w:rFonts w:eastAsia="SimSun"/>
                <w:sz w:val="22"/>
                <w:szCs w:val="22"/>
                <w:lang w:val="it-IT" w:eastAsia="zh-CN"/>
              </w:rPr>
              <w:t>Valore di p</w:t>
            </w:r>
          </w:p>
        </w:tc>
        <w:tc>
          <w:tcPr>
            <w:tcW w:w="4644" w:type="dxa"/>
            <w:gridSpan w:val="2"/>
            <w:tcBorders>
              <w:top w:val="single" w:sz="4" w:space="0" w:color="auto"/>
              <w:bottom w:val="single" w:sz="4" w:space="0" w:color="auto"/>
            </w:tcBorders>
            <w:shd w:val="clear" w:color="auto" w:fill="auto"/>
            <w:vAlign w:val="center"/>
          </w:tcPr>
          <w:p w14:paraId="72BAFB77"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0,0007</w:t>
            </w:r>
          </w:p>
        </w:tc>
      </w:tr>
      <w:tr w:rsidR="008E3703" w:rsidRPr="006A2BF9" w14:paraId="683F0703" w14:textId="77777777" w:rsidTr="00CC1687">
        <w:trPr>
          <w:trHeight w:val="233"/>
        </w:trPr>
        <w:tc>
          <w:tcPr>
            <w:tcW w:w="4499" w:type="dxa"/>
            <w:tcBorders>
              <w:top w:val="single" w:sz="4" w:space="0" w:color="auto"/>
              <w:bottom w:val="single" w:sz="4" w:space="0" w:color="auto"/>
            </w:tcBorders>
            <w:shd w:val="clear" w:color="auto" w:fill="auto"/>
          </w:tcPr>
          <w:p w14:paraId="69CE58F4" w14:textId="77777777" w:rsidR="008E3703" w:rsidRPr="006A2BF9" w:rsidRDefault="008E3703" w:rsidP="0011036F">
            <w:pPr>
              <w:pStyle w:val="TextTi12"/>
              <w:keepNext/>
              <w:keepLines/>
              <w:spacing w:after="0"/>
              <w:jc w:val="left"/>
              <w:rPr>
                <w:rFonts w:eastAsia="SimSun"/>
                <w:sz w:val="22"/>
                <w:szCs w:val="22"/>
                <w:lang w:val="it-IT" w:eastAsia="zh-CN"/>
              </w:rPr>
            </w:pPr>
            <w:r w:rsidRPr="006A2BF9">
              <w:rPr>
                <w:rFonts w:eastAsia="SimSun"/>
                <w:sz w:val="22"/>
                <w:szCs w:val="22"/>
                <w:lang w:val="it-IT" w:eastAsia="zh-CN"/>
              </w:rPr>
              <w:t>Sopravvivenza globale (analisi finale)***</w:t>
            </w:r>
          </w:p>
        </w:tc>
        <w:tc>
          <w:tcPr>
            <w:tcW w:w="4644" w:type="dxa"/>
            <w:gridSpan w:val="2"/>
            <w:tcBorders>
              <w:top w:val="single" w:sz="4" w:space="0" w:color="auto"/>
              <w:bottom w:val="single" w:sz="4" w:space="0" w:color="auto"/>
            </w:tcBorders>
            <w:shd w:val="clear" w:color="auto" w:fill="auto"/>
            <w:vAlign w:val="center"/>
          </w:tcPr>
          <w:p w14:paraId="2C37803A" w14:textId="77777777" w:rsidR="008E3703" w:rsidRPr="006A2BF9" w:rsidRDefault="008E3703" w:rsidP="0011036F">
            <w:pPr>
              <w:pStyle w:val="TextTi12"/>
              <w:keepNext/>
              <w:keepLines/>
              <w:spacing w:after="0"/>
              <w:jc w:val="center"/>
              <w:rPr>
                <w:rFonts w:eastAsia="SimSun"/>
                <w:sz w:val="22"/>
                <w:szCs w:val="22"/>
                <w:lang w:val="it-IT" w:eastAsia="zh-CN"/>
              </w:rPr>
            </w:pPr>
          </w:p>
        </w:tc>
      </w:tr>
      <w:tr w:rsidR="008E3703" w:rsidRPr="006A2BF9" w14:paraId="69AE60F7" w14:textId="77777777" w:rsidTr="00CC1687">
        <w:trPr>
          <w:trHeight w:val="287"/>
        </w:trPr>
        <w:tc>
          <w:tcPr>
            <w:tcW w:w="4499" w:type="dxa"/>
            <w:tcBorders>
              <w:top w:val="single" w:sz="4" w:space="0" w:color="auto"/>
            </w:tcBorders>
            <w:shd w:val="clear" w:color="auto" w:fill="auto"/>
          </w:tcPr>
          <w:p w14:paraId="54FCE50A" w14:textId="77777777" w:rsidR="008E3703" w:rsidRPr="006A2BF9" w:rsidRDefault="008E3703" w:rsidP="0011036F">
            <w:pPr>
              <w:pStyle w:val="TextTi12"/>
              <w:keepNext/>
              <w:keepLines/>
              <w:spacing w:after="0"/>
              <w:ind w:left="720"/>
              <w:jc w:val="left"/>
              <w:rPr>
                <w:rFonts w:eastAsia="SimSun"/>
                <w:sz w:val="22"/>
                <w:szCs w:val="22"/>
                <w:lang w:val="it-IT" w:eastAsia="zh-CN"/>
              </w:rPr>
            </w:pPr>
          </w:p>
        </w:tc>
        <w:tc>
          <w:tcPr>
            <w:tcW w:w="2093" w:type="dxa"/>
            <w:tcBorders>
              <w:top w:val="single" w:sz="4" w:space="0" w:color="auto"/>
            </w:tcBorders>
            <w:shd w:val="clear" w:color="auto" w:fill="auto"/>
            <w:vAlign w:val="center"/>
          </w:tcPr>
          <w:p w14:paraId="04EBA081"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CT</w:t>
            </w:r>
          </w:p>
          <w:p w14:paraId="5E792F9B"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(n</w:t>
            </w:r>
            <w:r w:rsidR="00F43B28" w:rsidRPr="006A2BF9">
              <w:rPr>
                <w:rFonts w:eastAsia="SimSun"/>
                <w:sz w:val="22"/>
                <w:szCs w:val="22"/>
                <w:lang w:val="it-IT" w:eastAsia="zh-CN"/>
              </w:rPr>
              <w:t> </w:t>
            </w:r>
            <w:r w:rsidRPr="006A2BF9">
              <w:rPr>
                <w:rFonts w:eastAsia="SimSun"/>
                <w:sz w:val="22"/>
                <w:szCs w:val="22"/>
                <w:lang w:val="it-IT" w:eastAsia="zh-CN"/>
              </w:rPr>
              <w:t>=</w:t>
            </w:r>
            <w:r w:rsidR="00F43B28" w:rsidRPr="006A2BF9">
              <w:rPr>
                <w:rFonts w:eastAsia="SimSun"/>
                <w:sz w:val="22"/>
                <w:szCs w:val="22"/>
                <w:lang w:val="it-IT" w:eastAsia="zh-CN"/>
              </w:rPr>
              <w:t> </w:t>
            </w:r>
            <w:r w:rsidRPr="006A2BF9">
              <w:rPr>
                <w:rFonts w:eastAsia="SimSun"/>
                <w:sz w:val="22"/>
                <w:szCs w:val="22"/>
                <w:lang w:val="it-IT" w:eastAsia="zh-CN"/>
              </w:rPr>
              <w:t>182)</w:t>
            </w:r>
          </w:p>
        </w:tc>
        <w:tc>
          <w:tcPr>
            <w:tcW w:w="2551" w:type="dxa"/>
            <w:tcBorders>
              <w:top w:val="single" w:sz="4" w:space="0" w:color="auto"/>
            </w:tcBorders>
            <w:shd w:val="clear" w:color="auto" w:fill="auto"/>
            <w:vAlign w:val="center"/>
          </w:tcPr>
          <w:p w14:paraId="6A2436BB"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CT+BV</w:t>
            </w:r>
          </w:p>
          <w:p w14:paraId="0A549395"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(n</w:t>
            </w:r>
            <w:r w:rsidR="00F43B28" w:rsidRPr="006A2BF9">
              <w:rPr>
                <w:rFonts w:eastAsia="SimSun"/>
                <w:sz w:val="22"/>
                <w:szCs w:val="22"/>
                <w:lang w:val="it-IT" w:eastAsia="zh-CN"/>
              </w:rPr>
              <w:t> </w:t>
            </w:r>
            <w:r w:rsidRPr="006A2BF9">
              <w:rPr>
                <w:rFonts w:eastAsia="SimSun"/>
                <w:sz w:val="22"/>
                <w:szCs w:val="22"/>
                <w:lang w:val="it-IT" w:eastAsia="zh-CN"/>
              </w:rPr>
              <w:t>=</w:t>
            </w:r>
            <w:r w:rsidR="00F43B28" w:rsidRPr="006A2BF9">
              <w:rPr>
                <w:rFonts w:eastAsia="SimSun"/>
                <w:sz w:val="22"/>
                <w:szCs w:val="22"/>
                <w:lang w:val="it-IT" w:eastAsia="zh-CN"/>
              </w:rPr>
              <w:t> </w:t>
            </w:r>
            <w:r w:rsidRPr="006A2BF9">
              <w:rPr>
                <w:rFonts w:eastAsia="SimSun"/>
                <w:sz w:val="22"/>
                <w:szCs w:val="22"/>
                <w:lang w:val="it-IT" w:eastAsia="zh-CN"/>
              </w:rPr>
              <w:t>179)</w:t>
            </w:r>
          </w:p>
        </w:tc>
      </w:tr>
      <w:tr w:rsidR="008E3703" w:rsidRPr="006A2BF9" w14:paraId="08C3DB16" w14:textId="77777777" w:rsidTr="00CC1687">
        <w:trPr>
          <w:trHeight w:val="287"/>
        </w:trPr>
        <w:tc>
          <w:tcPr>
            <w:tcW w:w="4499" w:type="dxa"/>
            <w:tcBorders>
              <w:top w:val="single" w:sz="4" w:space="0" w:color="auto"/>
            </w:tcBorders>
            <w:shd w:val="clear" w:color="auto" w:fill="auto"/>
          </w:tcPr>
          <w:p w14:paraId="61CAD984" w14:textId="77777777" w:rsidR="008E3703" w:rsidRPr="006A2BF9" w:rsidRDefault="008E3703" w:rsidP="0011036F">
            <w:pPr>
              <w:pStyle w:val="TextTi12"/>
              <w:keepNext/>
              <w:keepLines/>
              <w:spacing w:after="0"/>
              <w:ind w:left="720"/>
              <w:jc w:val="left"/>
              <w:rPr>
                <w:rFonts w:eastAsia="SimSun"/>
                <w:sz w:val="22"/>
                <w:szCs w:val="22"/>
                <w:lang w:val="it-IT" w:eastAsia="zh-CN"/>
              </w:rPr>
            </w:pPr>
            <w:r w:rsidRPr="006A2BF9">
              <w:rPr>
                <w:rFonts w:eastAsia="SimSun"/>
                <w:sz w:val="22"/>
                <w:szCs w:val="22"/>
                <w:lang w:val="it-IT" w:eastAsia="zh-CN"/>
              </w:rPr>
              <w:t>OS mediana (mesi)</w:t>
            </w:r>
          </w:p>
        </w:tc>
        <w:tc>
          <w:tcPr>
            <w:tcW w:w="2093" w:type="dxa"/>
            <w:tcBorders>
              <w:top w:val="single" w:sz="4" w:space="0" w:color="auto"/>
            </w:tcBorders>
            <w:shd w:val="clear" w:color="auto" w:fill="auto"/>
            <w:vAlign w:val="center"/>
          </w:tcPr>
          <w:p w14:paraId="3E078B79"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13,3</w:t>
            </w:r>
          </w:p>
        </w:tc>
        <w:tc>
          <w:tcPr>
            <w:tcW w:w="2551" w:type="dxa"/>
            <w:tcBorders>
              <w:top w:val="single" w:sz="4" w:space="0" w:color="auto"/>
            </w:tcBorders>
            <w:shd w:val="clear" w:color="auto" w:fill="auto"/>
            <w:vAlign w:val="center"/>
          </w:tcPr>
          <w:p w14:paraId="427E77B9"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rFonts w:eastAsia="SimSun"/>
                <w:sz w:val="22"/>
                <w:szCs w:val="22"/>
                <w:lang w:val="it-IT" w:eastAsia="zh-CN"/>
              </w:rPr>
              <w:t>16,6</w:t>
            </w:r>
          </w:p>
        </w:tc>
      </w:tr>
      <w:tr w:rsidR="008E3703" w:rsidRPr="006A2BF9" w14:paraId="78E8BCB2" w14:textId="77777777" w:rsidTr="00CC1687">
        <w:trPr>
          <w:trHeight w:val="287"/>
        </w:trPr>
        <w:tc>
          <w:tcPr>
            <w:tcW w:w="4499" w:type="dxa"/>
            <w:tcBorders>
              <w:top w:val="single" w:sz="4" w:space="0" w:color="auto"/>
              <w:bottom w:val="single" w:sz="4" w:space="0" w:color="auto"/>
            </w:tcBorders>
            <w:shd w:val="clear" w:color="auto" w:fill="auto"/>
          </w:tcPr>
          <w:p w14:paraId="5CB89D87" w14:textId="77777777" w:rsidR="008E3703" w:rsidRPr="000F0246" w:rsidRDefault="008E3703" w:rsidP="0011036F">
            <w:pPr>
              <w:pStyle w:val="TextTi12"/>
              <w:keepNext/>
              <w:keepLines/>
              <w:spacing w:after="0"/>
              <w:ind w:left="720"/>
              <w:jc w:val="left"/>
              <w:rPr>
                <w:rFonts w:eastAsia="SimSun"/>
                <w:i/>
                <w:sz w:val="22"/>
                <w:szCs w:val="22"/>
                <w:lang w:val="it-IT" w:eastAsia="zh-CN"/>
              </w:rPr>
            </w:pPr>
            <w:r w:rsidRPr="000F0246">
              <w:rPr>
                <w:rFonts w:eastAsia="SimSun"/>
                <w:i/>
                <w:sz w:val="22"/>
                <w:szCs w:val="22"/>
                <w:lang w:val="it-IT" w:eastAsia="zh-CN"/>
              </w:rPr>
              <w:t xml:space="preserve">Hazard </w:t>
            </w:r>
            <w:r w:rsidR="00D24B6D">
              <w:rPr>
                <w:rFonts w:eastAsia="SimSun"/>
                <w:i/>
                <w:sz w:val="22"/>
                <w:szCs w:val="22"/>
                <w:lang w:val="it-IT" w:eastAsia="zh-CN"/>
              </w:rPr>
              <w:t>r</w:t>
            </w:r>
            <w:r w:rsidR="00D24B6D" w:rsidRPr="000F0246">
              <w:rPr>
                <w:rFonts w:eastAsia="SimSun"/>
                <w:i/>
                <w:sz w:val="22"/>
                <w:szCs w:val="22"/>
                <w:lang w:val="it-IT" w:eastAsia="zh-CN"/>
              </w:rPr>
              <w:t>atio</w:t>
            </w:r>
          </w:p>
          <w:p w14:paraId="31802946" w14:textId="77777777" w:rsidR="008E3703" w:rsidRPr="00330A40" w:rsidRDefault="008E3703" w:rsidP="0011036F">
            <w:pPr>
              <w:pStyle w:val="TextTi12"/>
              <w:keepNext/>
              <w:keepLines/>
              <w:spacing w:after="0"/>
              <w:ind w:left="720"/>
              <w:jc w:val="left"/>
              <w:rPr>
                <w:rFonts w:eastAsia="SimSun"/>
                <w:sz w:val="22"/>
                <w:szCs w:val="22"/>
                <w:lang w:val="it-IT" w:eastAsia="zh-CN"/>
              </w:rPr>
            </w:pPr>
            <w:r w:rsidRPr="00330A40">
              <w:rPr>
                <w:rFonts w:eastAsia="SimSun"/>
                <w:sz w:val="22"/>
                <w:szCs w:val="22"/>
                <w:lang w:val="it-IT" w:eastAsia="zh-CN"/>
              </w:rPr>
              <w:t>(IC al 95%)</w:t>
            </w:r>
          </w:p>
        </w:tc>
        <w:tc>
          <w:tcPr>
            <w:tcW w:w="4644" w:type="dxa"/>
            <w:gridSpan w:val="2"/>
            <w:tcBorders>
              <w:top w:val="single" w:sz="4" w:space="0" w:color="auto"/>
              <w:bottom w:val="single" w:sz="4" w:space="0" w:color="auto"/>
            </w:tcBorders>
            <w:shd w:val="clear" w:color="auto" w:fill="auto"/>
            <w:vAlign w:val="center"/>
          </w:tcPr>
          <w:p w14:paraId="1CBC251E" w14:textId="77777777" w:rsidR="008E3703" w:rsidRPr="00330A40" w:rsidRDefault="008E3703" w:rsidP="0011036F">
            <w:pPr>
              <w:pStyle w:val="TextTi12"/>
              <w:keepNext/>
              <w:keepLines/>
              <w:spacing w:after="0"/>
              <w:jc w:val="center"/>
              <w:rPr>
                <w:rFonts w:eastAsia="SimSun"/>
                <w:sz w:val="22"/>
                <w:szCs w:val="22"/>
                <w:lang w:val="it-IT" w:eastAsia="zh-CN"/>
              </w:rPr>
            </w:pPr>
            <w:r w:rsidRPr="00330A40">
              <w:rPr>
                <w:rFonts w:eastAsia="SimSun"/>
                <w:sz w:val="22"/>
                <w:szCs w:val="22"/>
                <w:lang w:val="it-IT" w:eastAsia="zh-CN"/>
              </w:rPr>
              <w:t>0,870 [0,678; 1,1116]</w:t>
            </w:r>
          </w:p>
        </w:tc>
      </w:tr>
      <w:tr w:rsidR="008E3703" w:rsidRPr="006A2BF9" w14:paraId="753D5102" w14:textId="77777777" w:rsidTr="00CC1687">
        <w:trPr>
          <w:trHeight w:val="287"/>
        </w:trPr>
        <w:tc>
          <w:tcPr>
            <w:tcW w:w="4499" w:type="dxa"/>
            <w:tcBorders>
              <w:top w:val="single" w:sz="4" w:space="0" w:color="auto"/>
            </w:tcBorders>
            <w:shd w:val="clear" w:color="auto" w:fill="auto"/>
          </w:tcPr>
          <w:p w14:paraId="139BFFD6" w14:textId="77777777" w:rsidR="008E3703" w:rsidRPr="006A2BF9" w:rsidRDefault="008E3703" w:rsidP="0011036F">
            <w:pPr>
              <w:pStyle w:val="TextTi12"/>
              <w:keepNext/>
              <w:keepLines/>
              <w:spacing w:after="0"/>
              <w:ind w:left="720"/>
              <w:jc w:val="left"/>
              <w:rPr>
                <w:rFonts w:eastAsia="SimSun"/>
                <w:sz w:val="22"/>
                <w:szCs w:val="22"/>
                <w:lang w:val="it-IT" w:eastAsia="zh-CN"/>
              </w:rPr>
            </w:pPr>
            <w:r w:rsidRPr="006A2BF9">
              <w:rPr>
                <w:rFonts w:eastAsia="SimSun"/>
                <w:sz w:val="22"/>
                <w:szCs w:val="22"/>
                <w:lang w:val="it-IT" w:eastAsia="zh-CN"/>
              </w:rPr>
              <w:t>Valore di p</w:t>
            </w:r>
          </w:p>
        </w:tc>
        <w:tc>
          <w:tcPr>
            <w:tcW w:w="4644" w:type="dxa"/>
            <w:gridSpan w:val="2"/>
            <w:tcBorders>
              <w:top w:val="single" w:sz="4" w:space="0" w:color="auto"/>
            </w:tcBorders>
            <w:shd w:val="clear" w:color="auto" w:fill="auto"/>
            <w:vAlign w:val="center"/>
          </w:tcPr>
          <w:p w14:paraId="62B2824B" w14:textId="77777777" w:rsidR="008E3703" w:rsidRPr="006A2BF9" w:rsidRDefault="008E3703" w:rsidP="0011036F">
            <w:pPr>
              <w:pStyle w:val="TextTi12"/>
              <w:keepNext/>
              <w:keepLines/>
              <w:spacing w:after="0"/>
              <w:jc w:val="center"/>
              <w:rPr>
                <w:rFonts w:eastAsia="SimSun"/>
                <w:sz w:val="22"/>
                <w:szCs w:val="22"/>
                <w:lang w:val="it-IT" w:eastAsia="zh-CN"/>
              </w:rPr>
            </w:pPr>
            <w:r w:rsidRPr="006A2BF9">
              <w:rPr>
                <w:sz w:val="22"/>
                <w:szCs w:val="22"/>
                <w:lang w:val="it-IT"/>
              </w:rPr>
              <w:t>0,2711</w:t>
            </w:r>
          </w:p>
        </w:tc>
      </w:tr>
    </w:tbl>
    <w:p w14:paraId="4C59AACB" w14:textId="77777777" w:rsidR="008E3703" w:rsidRPr="006A2BF9" w:rsidRDefault="008E3703" w:rsidP="0011036F">
      <w:pPr>
        <w:keepNext/>
        <w:keepLines/>
        <w:rPr>
          <w:sz w:val="18"/>
          <w:szCs w:val="18"/>
          <w:lang w:val="it-IT" w:eastAsia="zh-CN"/>
        </w:rPr>
      </w:pPr>
      <w:r w:rsidRPr="006A2BF9">
        <w:rPr>
          <w:sz w:val="18"/>
          <w:szCs w:val="18"/>
          <w:lang w:val="it-IT" w:eastAsia="zh-CN"/>
        </w:rPr>
        <w:t>Tutte le analisi presentate in questa tabella sono analisi stratificate.</w:t>
      </w:r>
    </w:p>
    <w:p w14:paraId="26FA0B55" w14:textId="77777777" w:rsidR="008E3703" w:rsidRPr="006A2BF9" w:rsidRDefault="008E3703" w:rsidP="0011036F">
      <w:pPr>
        <w:keepNext/>
        <w:keepLines/>
        <w:rPr>
          <w:sz w:val="18"/>
          <w:szCs w:val="18"/>
          <w:lang w:val="it-IT" w:eastAsia="zh-CN"/>
        </w:rPr>
      </w:pPr>
      <w:r w:rsidRPr="006A2BF9">
        <w:rPr>
          <w:sz w:val="18"/>
          <w:szCs w:val="18"/>
          <w:lang w:val="it-IT" w:eastAsia="zh-CN"/>
        </w:rPr>
        <w:t>* La data di cut-off dei dati con cui è stata condotta l’analisi primaria è il 14 novembre 2011.</w:t>
      </w:r>
    </w:p>
    <w:p w14:paraId="619190B2" w14:textId="77777777" w:rsidR="008E3703" w:rsidRPr="006A2BF9" w:rsidRDefault="008E3703" w:rsidP="0011036F">
      <w:pPr>
        <w:keepNext/>
        <w:keepLines/>
        <w:rPr>
          <w:sz w:val="18"/>
          <w:szCs w:val="18"/>
          <w:lang w:val="it-IT" w:eastAsia="zh-CN"/>
        </w:rPr>
      </w:pPr>
      <w:r w:rsidRPr="006A2BF9">
        <w:rPr>
          <w:sz w:val="18"/>
          <w:szCs w:val="18"/>
          <w:lang w:val="it-IT" w:eastAsia="zh-CN"/>
        </w:rPr>
        <w:t xml:space="preserve">** Pazienti </w:t>
      </w:r>
      <w:r w:rsidR="00C463CD" w:rsidRPr="006A2BF9">
        <w:rPr>
          <w:sz w:val="18"/>
          <w:szCs w:val="18"/>
          <w:lang w:val="it-IT" w:eastAsia="zh-CN"/>
        </w:rPr>
        <w:t xml:space="preserve">randomizzate </w:t>
      </w:r>
      <w:r w:rsidRPr="006A2BF9">
        <w:rPr>
          <w:sz w:val="18"/>
          <w:szCs w:val="18"/>
          <w:lang w:val="it-IT" w:eastAsia="zh-CN"/>
        </w:rPr>
        <w:t>con malattia misurabile al basale.</w:t>
      </w:r>
    </w:p>
    <w:p w14:paraId="2868EE2F" w14:textId="77777777" w:rsidR="008E3703" w:rsidRPr="006A2BF9" w:rsidRDefault="008E3703" w:rsidP="0011036F">
      <w:pPr>
        <w:keepNext/>
        <w:keepLines/>
        <w:rPr>
          <w:sz w:val="18"/>
          <w:szCs w:val="18"/>
          <w:lang w:val="it-IT" w:eastAsia="zh-CN"/>
        </w:rPr>
      </w:pPr>
      <w:r w:rsidRPr="006A2BF9">
        <w:rPr>
          <w:sz w:val="18"/>
          <w:szCs w:val="18"/>
          <w:lang w:val="it-IT" w:eastAsia="zh-CN"/>
        </w:rPr>
        <w:t xml:space="preserve">*** L’analisi finale della </w:t>
      </w:r>
      <w:r w:rsidR="00062D61">
        <w:rPr>
          <w:sz w:val="18"/>
          <w:szCs w:val="18"/>
          <w:lang w:val="it-IT" w:eastAsia="zh-CN"/>
        </w:rPr>
        <w:t>OS</w:t>
      </w:r>
      <w:r w:rsidRPr="006A2BF9">
        <w:rPr>
          <w:sz w:val="18"/>
          <w:szCs w:val="18"/>
          <w:lang w:val="it-IT" w:eastAsia="zh-CN"/>
        </w:rPr>
        <w:t xml:space="preserve"> è stata condotta una volta osservati 266</w:t>
      </w:r>
      <w:r w:rsidR="00F43B28" w:rsidRPr="006A2BF9">
        <w:rPr>
          <w:sz w:val="18"/>
          <w:szCs w:val="18"/>
          <w:lang w:val="it-IT" w:eastAsia="zh-CN"/>
        </w:rPr>
        <w:t> </w:t>
      </w:r>
      <w:r w:rsidRPr="006A2BF9">
        <w:rPr>
          <w:sz w:val="18"/>
          <w:szCs w:val="18"/>
          <w:lang w:val="it-IT" w:eastAsia="zh-CN"/>
        </w:rPr>
        <w:t xml:space="preserve">decessi, pari al 73,7% </w:t>
      </w:r>
      <w:r w:rsidR="00C463CD" w:rsidRPr="006A2BF9">
        <w:rPr>
          <w:sz w:val="18"/>
          <w:szCs w:val="18"/>
          <w:lang w:val="it-IT" w:eastAsia="zh-CN"/>
        </w:rPr>
        <w:t xml:space="preserve">delle </w:t>
      </w:r>
      <w:r w:rsidRPr="006A2BF9">
        <w:rPr>
          <w:sz w:val="18"/>
          <w:szCs w:val="18"/>
          <w:lang w:val="it-IT" w:eastAsia="zh-CN"/>
        </w:rPr>
        <w:t xml:space="preserve">pazienti </w:t>
      </w:r>
      <w:r w:rsidR="00C463CD" w:rsidRPr="006A2BF9">
        <w:rPr>
          <w:sz w:val="18"/>
          <w:szCs w:val="18"/>
          <w:lang w:val="it-IT" w:eastAsia="zh-CN"/>
        </w:rPr>
        <w:t>arruolate</w:t>
      </w:r>
      <w:r w:rsidRPr="006A2BF9">
        <w:rPr>
          <w:sz w:val="18"/>
          <w:szCs w:val="18"/>
          <w:lang w:val="it-IT" w:eastAsia="zh-CN"/>
        </w:rPr>
        <w:t>.</w:t>
      </w:r>
    </w:p>
    <w:p w14:paraId="5C863BAB" w14:textId="77777777" w:rsidR="008E3703" w:rsidRPr="006A2BF9" w:rsidRDefault="008E3703" w:rsidP="008E3703">
      <w:pPr>
        <w:rPr>
          <w:szCs w:val="22"/>
          <w:lang w:val="it-IT"/>
        </w:rPr>
      </w:pPr>
    </w:p>
    <w:p w14:paraId="24ABEA9C" w14:textId="77777777" w:rsidR="008E3703" w:rsidRPr="006A2BF9" w:rsidRDefault="008E3703" w:rsidP="008E3703">
      <w:pPr>
        <w:rPr>
          <w:lang w:val="it-IT"/>
        </w:rPr>
      </w:pPr>
      <w:r w:rsidRPr="006A2BF9">
        <w:rPr>
          <w:szCs w:val="22"/>
          <w:lang w:val="it-IT"/>
        </w:rPr>
        <w:t>Lo studio ha raggiunto il proprio obiettivo primario, ossia il miglioramento della PFS. Rispetto a</w:t>
      </w:r>
      <w:r w:rsidR="002F7FE0" w:rsidRPr="006A2BF9">
        <w:rPr>
          <w:szCs w:val="22"/>
          <w:lang w:val="it-IT"/>
        </w:rPr>
        <w:t>lle</w:t>
      </w:r>
      <w:r w:rsidRPr="006A2BF9">
        <w:rPr>
          <w:szCs w:val="22"/>
          <w:lang w:val="it-IT"/>
        </w:rPr>
        <w:t xml:space="preserve"> pazienti </w:t>
      </w:r>
      <w:r w:rsidR="002F7FE0" w:rsidRPr="006A2BF9">
        <w:rPr>
          <w:szCs w:val="22"/>
          <w:lang w:val="it-IT"/>
        </w:rPr>
        <w:t xml:space="preserve">trattate </w:t>
      </w:r>
      <w:r w:rsidRPr="006A2BF9">
        <w:rPr>
          <w:szCs w:val="22"/>
          <w:lang w:val="it-IT"/>
        </w:rPr>
        <w:t xml:space="preserve">con la sola chemioterapia (paclitaxel, topotecan o PLD) nel contesto di recidiva platino-resistente, </w:t>
      </w:r>
      <w:r w:rsidR="002F7FE0" w:rsidRPr="006A2BF9">
        <w:rPr>
          <w:szCs w:val="22"/>
          <w:lang w:val="it-IT"/>
        </w:rPr>
        <w:t>le</w:t>
      </w:r>
      <w:r w:rsidRPr="006A2BF9">
        <w:rPr>
          <w:szCs w:val="22"/>
          <w:lang w:val="it-IT"/>
        </w:rPr>
        <w:t xml:space="preserve"> pazienti a cui è stato somministrato bevacizumab a una dose di </w:t>
      </w:r>
      <w:r w:rsidRPr="006A2BF9">
        <w:rPr>
          <w:lang w:val="it-IT"/>
        </w:rPr>
        <w:t>10</w:t>
      </w:r>
      <w:r w:rsidR="008856B1" w:rsidRPr="006A2BF9">
        <w:rPr>
          <w:lang w:val="it-IT"/>
        </w:rPr>
        <w:t> </w:t>
      </w:r>
      <w:r w:rsidRPr="006A2BF9">
        <w:rPr>
          <w:lang w:val="it-IT"/>
        </w:rPr>
        <w:t>mg/kg ogni 2</w:t>
      </w:r>
      <w:r w:rsidR="008856B1" w:rsidRPr="006A2BF9">
        <w:rPr>
          <w:lang w:val="it-IT"/>
        </w:rPr>
        <w:t> </w:t>
      </w:r>
      <w:r w:rsidRPr="006A2BF9">
        <w:rPr>
          <w:lang w:val="it-IT"/>
        </w:rPr>
        <w:t>settimane (o 15</w:t>
      </w:r>
      <w:r w:rsidR="008856B1" w:rsidRPr="006A2BF9">
        <w:rPr>
          <w:lang w:val="it-IT"/>
        </w:rPr>
        <w:t> </w:t>
      </w:r>
      <w:r w:rsidRPr="006A2BF9">
        <w:rPr>
          <w:lang w:val="it-IT"/>
        </w:rPr>
        <w:t>mg/kg ogni 3</w:t>
      </w:r>
      <w:r w:rsidR="008856B1" w:rsidRPr="006A2BF9">
        <w:rPr>
          <w:lang w:val="it-IT"/>
        </w:rPr>
        <w:t> </w:t>
      </w:r>
      <w:r w:rsidRPr="006A2BF9">
        <w:rPr>
          <w:lang w:val="it-IT"/>
        </w:rPr>
        <w:t>settimane se usato in associazione a topotecan 1,25</w:t>
      </w:r>
      <w:r w:rsidR="008856B1" w:rsidRPr="006A2BF9">
        <w:rPr>
          <w:lang w:val="it-IT"/>
        </w:rPr>
        <w:t> </w:t>
      </w:r>
      <w:r w:rsidRPr="006A2BF9">
        <w:rPr>
          <w:lang w:val="it-IT"/>
        </w:rPr>
        <w:t>mg/m</w:t>
      </w:r>
      <w:r w:rsidRPr="006A2BF9">
        <w:rPr>
          <w:vertAlign w:val="superscript"/>
          <w:lang w:val="it-IT"/>
        </w:rPr>
        <w:t>2</w:t>
      </w:r>
      <w:r w:rsidRPr="006A2BF9">
        <w:rPr>
          <w:lang w:val="it-IT"/>
        </w:rPr>
        <w:t xml:space="preserve"> nei Giorni</w:t>
      </w:r>
      <w:r w:rsidR="00F43B28" w:rsidRPr="006A2BF9">
        <w:rPr>
          <w:lang w:val="it-IT"/>
        </w:rPr>
        <w:t> </w:t>
      </w:r>
      <w:r w:rsidRPr="006A2BF9">
        <w:rPr>
          <w:lang w:val="it-IT"/>
        </w:rPr>
        <w:t>1</w:t>
      </w:r>
      <w:r w:rsidR="00F43B28" w:rsidRPr="006A2BF9">
        <w:rPr>
          <w:lang w:val="it-IT"/>
        </w:rPr>
        <w:noBreakHyphen/>
      </w:r>
      <w:r w:rsidRPr="006A2BF9">
        <w:rPr>
          <w:lang w:val="it-IT"/>
        </w:rPr>
        <w:t>5 ogni 3</w:t>
      </w:r>
      <w:r w:rsidR="008856B1" w:rsidRPr="006A2BF9">
        <w:rPr>
          <w:lang w:val="it-IT"/>
        </w:rPr>
        <w:t> </w:t>
      </w:r>
      <w:r w:rsidRPr="006A2BF9">
        <w:rPr>
          <w:lang w:val="it-IT"/>
        </w:rPr>
        <w:t xml:space="preserve">settimane) in associazione a chemioterapia e che hanno continuato a ricevere bevacizumab fino alla progressione della malattia o sviluppo di tossicità inaccettabile, hanno presentato un miglioramento statisticamente significativo della PFS. </w:t>
      </w:r>
      <w:r w:rsidR="00724649" w:rsidRPr="006A2BF9">
        <w:rPr>
          <w:lang w:val="it-IT"/>
        </w:rPr>
        <w:t>Le analisi esplorative</w:t>
      </w:r>
      <w:r w:rsidRPr="006A2BF9">
        <w:rPr>
          <w:lang w:val="it-IT"/>
        </w:rPr>
        <w:t xml:space="preserve"> della PFS </w:t>
      </w:r>
      <w:r w:rsidR="00724649" w:rsidRPr="006A2BF9">
        <w:rPr>
          <w:lang w:val="it-IT"/>
        </w:rPr>
        <w:t xml:space="preserve">e della OS </w:t>
      </w:r>
      <w:r w:rsidRPr="006A2BF9">
        <w:rPr>
          <w:lang w:val="it-IT"/>
        </w:rPr>
        <w:t>nella coorte trattata con chemioterapia</w:t>
      </w:r>
      <w:r w:rsidR="004225BC" w:rsidRPr="006A2BF9">
        <w:rPr>
          <w:lang w:val="it-IT"/>
        </w:rPr>
        <w:t xml:space="preserve"> </w:t>
      </w:r>
      <w:r w:rsidR="00724649" w:rsidRPr="006A2BF9">
        <w:rPr>
          <w:lang w:val="it-IT"/>
        </w:rPr>
        <w:t>(paclitaxel, topotecan e PLD</w:t>
      </w:r>
      <w:r w:rsidR="004225BC" w:rsidRPr="006A2BF9">
        <w:rPr>
          <w:lang w:val="it-IT"/>
        </w:rPr>
        <w:t>)</w:t>
      </w:r>
      <w:r w:rsidRPr="006A2BF9">
        <w:rPr>
          <w:lang w:val="it-IT"/>
        </w:rPr>
        <w:t xml:space="preserve"> sono riassunt</w:t>
      </w:r>
      <w:r w:rsidR="00724649" w:rsidRPr="006A2BF9">
        <w:rPr>
          <w:lang w:val="it-IT"/>
        </w:rPr>
        <w:t>e</w:t>
      </w:r>
      <w:r w:rsidRPr="006A2BF9">
        <w:rPr>
          <w:lang w:val="it-IT"/>
        </w:rPr>
        <w:t xml:space="preserve"> nella Tabella</w:t>
      </w:r>
      <w:r w:rsidR="008856B1" w:rsidRPr="006A2BF9">
        <w:rPr>
          <w:lang w:val="it-IT"/>
        </w:rPr>
        <w:t> </w:t>
      </w:r>
      <w:r w:rsidRPr="006A2BF9">
        <w:rPr>
          <w:lang w:val="it-IT"/>
        </w:rPr>
        <w:t>2</w:t>
      </w:r>
      <w:r w:rsidR="00E01F45" w:rsidRPr="006A2BF9">
        <w:rPr>
          <w:lang w:val="it-IT"/>
        </w:rPr>
        <w:t>4</w:t>
      </w:r>
      <w:r w:rsidRPr="006A2BF9">
        <w:rPr>
          <w:lang w:val="it-IT"/>
        </w:rPr>
        <w:t xml:space="preserve">. </w:t>
      </w:r>
    </w:p>
    <w:p w14:paraId="72543431" w14:textId="77777777" w:rsidR="008E3703" w:rsidRPr="006A2BF9" w:rsidRDefault="008E3703" w:rsidP="008E3703">
      <w:pPr>
        <w:outlineLvl w:val="0"/>
        <w:rPr>
          <w:b/>
          <w:lang w:val="it-IT"/>
        </w:rPr>
      </w:pPr>
    </w:p>
    <w:p w14:paraId="23632D9E" w14:textId="77777777" w:rsidR="008E3703" w:rsidRPr="006A2BF9" w:rsidRDefault="008E3703" w:rsidP="0011036F">
      <w:pPr>
        <w:keepNext/>
        <w:keepLines/>
        <w:outlineLvl w:val="0"/>
        <w:rPr>
          <w:b/>
          <w:lang w:val="it-IT"/>
        </w:rPr>
      </w:pPr>
      <w:r w:rsidRPr="006A2BF9">
        <w:rPr>
          <w:b/>
          <w:lang w:val="it-IT"/>
        </w:rPr>
        <w:lastRenderedPageBreak/>
        <w:t>Tabella</w:t>
      </w:r>
      <w:r w:rsidR="008856B1" w:rsidRPr="006A2BF9">
        <w:rPr>
          <w:b/>
          <w:lang w:val="it-IT"/>
        </w:rPr>
        <w:t> </w:t>
      </w:r>
      <w:r w:rsidRPr="006A2BF9">
        <w:rPr>
          <w:b/>
          <w:lang w:val="it-IT"/>
        </w:rPr>
        <w:t>2</w:t>
      </w:r>
      <w:r w:rsidR="000924C5" w:rsidRPr="006A2BF9">
        <w:rPr>
          <w:b/>
          <w:lang w:val="it-IT"/>
        </w:rPr>
        <w:t>4</w:t>
      </w:r>
      <w:r w:rsidRPr="006A2BF9">
        <w:rPr>
          <w:b/>
          <w:lang w:val="it-IT"/>
        </w:rPr>
        <w:t xml:space="preserve">: Analisi esplorativa PFS </w:t>
      </w:r>
      <w:r w:rsidR="00724649" w:rsidRPr="006A2BF9">
        <w:rPr>
          <w:b/>
          <w:lang w:val="it-IT"/>
        </w:rPr>
        <w:t xml:space="preserve">e OS </w:t>
      </w:r>
      <w:r w:rsidRPr="006A2BF9">
        <w:rPr>
          <w:b/>
          <w:lang w:val="it-IT"/>
        </w:rPr>
        <w:t xml:space="preserve">in base alle coorti chemioterapiche.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081"/>
        <w:gridCol w:w="2452"/>
      </w:tblGrid>
      <w:tr w:rsidR="008E3703" w:rsidRPr="006A2BF9" w14:paraId="20E6437D" w14:textId="77777777" w:rsidTr="00CC1687">
        <w:tc>
          <w:tcPr>
            <w:tcW w:w="2972" w:type="dxa"/>
            <w:tcBorders>
              <w:top w:val="single" w:sz="4" w:space="0" w:color="auto"/>
              <w:left w:val="single" w:sz="4" w:space="0" w:color="auto"/>
              <w:bottom w:val="single" w:sz="4" w:space="0" w:color="auto"/>
              <w:right w:val="single" w:sz="4" w:space="0" w:color="auto"/>
            </w:tcBorders>
          </w:tcPr>
          <w:p w14:paraId="2ED9DCF1" w14:textId="77777777" w:rsidR="008E3703" w:rsidRPr="006A2BF9" w:rsidRDefault="008E3703" w:rsidP="0011036F">
            <w:pPr>
              <w:keepNext/>
              <w:keepLines/>
              <w:rPr>
                <w:b/>
                <w:szCs w:val="22"/>
                <w:lang w:val="it-IT" w:eastAsia="zh-CN"/>
              </w:rPr>
            </w:pPr>
          </w:p>
        </w:tc>
        <w:tc>
          <w:tcPr>
            <w:tcW w:w="3081" w:type="dxa"/>
            <w:tcBorders>
              <w:top w:val="single" w:sz="4" w:space="0" w:color="auto"/>
              <w:left w:val="single" w:sz="4" w:space="0" w:color="auto"/>
              <w:bottom w:val="single" w:sz="4" w:space="0" w:color="auto"/>
              <w:right w:val="single" w:sz="4" w:space="0" w:color="auto"/>
            </w:tcBorders>
          </w:tcPr>
          <w:p w14:paraId="76FDDB85" w14:textId="77777777" w:rsidR="008E3703" w:rsidRPr="006A2BF9" w:rsidRDefault="008E3703" w:rsidP="0011036F">
            <w:pPr>
              <w:pStyle w:val="TextTi12"/>
              <w:keepNext/>
              <w:keepLines/>
              <w:spacing w:after="0"/>
              <w:jc w:val="center"/>
              <w:rPr>
                <w:rFonts w:eastAsia="SimSun"/>
                <w:b/>
                <w:sz w:val="22"/>
                <w:szCs w:val="22"/>
                <w:lang w:val="it-IT" w:eastAsia="zh-CN"/>
              </w:rPr>
            </w:pPr>
            <w:r w:rsidRPr="006A2BF9">
              <w:rPr>
                <w:rFonts w:eastAsia="SimSun"/>
                <w:b/>
                <w:sz w:val="22"/>
                <w:szCs w:val="22"/>
                <w:lang w:val="it-IT" w:eastAsia="zh-CN"/>
              </w:rPr>
              <w:t>CT</w:t>
            </w:r>
          </w:p>
          <w:p w14:paraId="03DB7295" w14:textId="77777777" w:rsidR="008E3703" w:rsidRPr="006A2BF9" w:rsidRDefault="008E3703" w:rsidP="0011036F">
            <w:pPr>
              <w:keepNext/>
              <w:keepLines/>
              <w:jc w:val="center"/>
              <w:rPr>
                <w:b/>
                <w:szCs w:val="22"/>
                <w:lang w:val="it-IT" w:eastAsia="zh-CN"/>
              </w:rPr>
            </w:pPr>
          </w:p>
        </w:tc>
        <w:tc>
          <w:tcPr>
            <w:tcW w:w="2452" w:type="dxa"/>
            <w:tcBorders>
              <w:top w:val="single" w:sz="4" w:space="0" w:color="auto"/>
              <w:left w:val="single" w:sz="4" w:space="0" w:color="auto"/>
              <w:bottom w:val="single" w:sz="4" w:space="0" w:color="auto"/>
              <w:right w:val="single" w:sz="4" w:space="0" w:color="auto"/>
            </w:tcBorders>
          </w:tcPr>
          <w:p w14:paraId="14C77BF3" w14:textId="77777777" w:rsidR="008E3703" w:rsidRPr="006A2BF9" w:rsidRDefault="008E3703" w:rsidP="0011036F">
            <w:pPr>
              <w:pStyle w:val="TextTi12"/>
              <w:keepNext/>
              <w:keepLines/>
              <w:spacing w:after="0"/>
              <w:jc w:val="center"/>
              <w:rPr>
                <w:rFonts w:eastAsia="SimSun"/>
                <w:b/>
                <w:sz w:val="22"/>
                <w:szCs w:val="22"/>
                <w:lang w:val="it-IT" w:eastAsia="zh-CN"/>
              </w:rPr>
            </w:pPr>
            <w:r w:rsidRPr="006A2BF9">
              <w:rPr>
                <w:rFonts w:eastAsia="SimSun"/>
                <w:b/>
                <w:sz w:val="22"/>
                <w:szCs w:val="22"/>
                <w:lang w:val="it-IT" w:eastAsia="zh-CN"/>
              </w:rPr>
              <w:t>CT</w:t>
            </w:r>
            <w:r w:rsidR="00BE35F3" w:rsidRPr="006A2BF9">
              <w:rPr>
                <w:rFonts w:eastAsia="SimSun"/>
                <w:b/>
                <w:sz w:val="22"/>
                <w:szCs w:val="22"/>
                <w:lang w:val="it-IT" w:eastAsia="zh-CN"/>
              </w:rPr>
              <w:t> </w:t>
            </w:r>
            <w:r w:rsidRPr="006A2BF9">
              <w:rPr>
                <w:rFonts w:eastAsia="SimSun"/>
                <w:b/>
                <w:sz w:val="22"/>
                <w:szCs w:val="22"/>
                <w:lang w:val="it-IT" w:eastAsia="zh-CN"/>
              </w:rPr>
              <w:t>+</w:t>
            </w:r>
            <w:r w:rsidR="00BE35F3" w:rsidRPr="006A2BF9">
              <w:rPr>
                <w:rFonts w:eastAsia="SimSun"/>
                <w:b/>
                <w:sz w:val="22"/>
                <w:szCs w:val="22"/>
                <w:lang w:val="it-IT" w:eastAsia="zh-CN"/>
              </w:rPr>
              <w:t> </w:t>
            </w:r>
            <w:r w:rsidRPr="006A2BF9">
              <w:rPr>
                <w:rFonts w:eastAsia="SimSun"/>
                <w:b/>
                <w:sz w:val="22"/>
                <w:szCs w:val="22"/>
                <w:lang w:val="it-IT" w:eastAsia="zh-CN"/>
              </w:rPr>
              <w:t>BV</w:t>
            </w:r>
          </w:p>
          <w:p w14:paraId="43EAC722" w14:textId="77777777" w:rsidR="008E3703" w:rsidRPr="006A2BF9" w:rsidRDefault="008E3703" w:rsidP="0011036F">
            <w:pPr>
              <w:keepNext/>
              <w:keepLines/>
              <w:jc w:val="center"/>
              <w:rPr>
                <w:b/>
                <w:szCs w:val="22"/>
                <w:lang w:val="it-IT" w:eastAsia="zh-CN"/>
              </w:rPr>
            </w:pPr>
          </w:p>
        </w:tc>
      </w:tr>
      <w:tr w:rsidR="00724649" w:rsidRPr="006A2BF9" w14:paraId="2AE80697" w14:textId="77777777" w:rsidTr="00CF308C">
        <w:tc>
          <w:tcPr>
            <w:tcW w:w="2972" w:type="dxa"/>
            <w:tcBorders>
              <w:top w:val="single" w:sz="4" w:space="0" w:color="auto"/>
              <w:left w:val="single" w:sz="4" w:space="0" w:color="auto"/>
              <w:bottom w:val="single" w:sz="4" w:space="0" w:color="auto"/>
              <w:right w:val="single" w:sz="4" w:space="0" w:color="auto"/>
            </w:tcBorders>
          </w:tcPr>
          <w:p w14:paraId="3CB7C79C" w14:textId="77777777" w:rsidR="00724649" w:rsidRPr="000F0246" w:rsidRDefault="00724649" w:rsidP="0011036F">
            <w:pPr>
              <w:keepNext/>
              <w:keepLines/>
              <w:jc w:val="center"/>
              <w:rPr>
                <w:b/>
                <w:szCs w:val="22"/>
                <w:lang w:val="it-IT" w:eastAsia="zh-CN"/>
              </w:rPr>
            </w:pPr>
            <w:r w:rsidRPr="000F0246">
              <w:rPr>
                <w:b/>
                <w:szCs w:val="22"/>
                <w:lang w:val="it-IT"/>
              </w:rPr>
              <w:t>Paclitaxel</w:t>
            </w:r>
          </w:p>
        </w:tc>
        <w:tc>
          <w:tcPr>
            <w:tcW w:w="5533" w:type="dxa"/>
            <w:gridSpan w:val="2"/>
            <w:tcBorders>
              <w:top w:val="single" w:sz="4" w:space="0" w:color="auto"/>
              <w:left w:val="single" w:sz="4" w:space="0" w:color="auto"/>
              <w:bottom w:val="single" w:sz="4" w:space="0" w:color="auto"/>
              <w:right w:val="single" w:sz="4" w:space="0" w:color="auto"/>
            </w:tcBorders>
          </w:tcPr>
          <w:p w14:paraId="71718429" w14:textId="77777777" w:rsidR="00724649" w:rsidRPr="00330A40" w:rsidRDefault="00EC7EB8" w:rsidP="0011036F">
            <w:pPr>
              <w:keepNext/>
              <w:keepLines/>
              <w:jc w:val="center"/>
              <w:rPr>
                <w:szCs w:val="22"/>
                <w:lang w:val="it-IT" w:eastAsia="zh-CN"/>
              </w:rPr>
            </w:pPr>
            <w:r w:rsidRPr="00330A40">
              <w:rPr>
                <w:szCs w:val="22"/>
                <w:lang w:val="it-IT"/>
              </w:rPr>
              <w:t>n </w:t>
            </w:r>
            <w:r w:rsidR="00724649" w:rsidRPr="00330A40">
              <w:rPr>
                <w:szCs w:val="22"/>
                <w:lang w:val="it-IT"/>
              </w:rPr>
              <w:t>=</w:t>
            </w:r>
            <w:r w:rsidRPr="00330A40">
              <w:rPr>
                <w:szCs w:val="22"/>
                <w:lang w:val="it-IT"/>
              </w:rPr>
              <w:t> </w:t>
            </w:r>
            <w:r w:rsidR="00724649" w:rsidRPr="00330A40">
              <w:rPr>
                <w:szCs w:val="22"/>
                <w:lang w:val="it-IT"/>
              </w:rPr>
              <w:t>115</w:t>
            </w:r>
          </w:p>
        </w:tc>
      </w:tr>
      <w:tr w:rsidR="008E3703" w:rsidRPr="006A2BF9" w14:paraId="15FCFF43" w14:textId="77777777" w:rsidTr="00CC1687">
        <w:tc>
          <w:tcPr>
            <w:tcW w:w="2972" w:type="dxa"/>
            <w:tcBorders>
              <w:top w:val="single" w:sz="4" w:space="0" w:color="auto"/>
              <w:left w:val="single" w:sz="4" w:space="0" w:color="auto"/>
              <w:bottom w:val="single" w:sz="4" w:space="0" w:color="auto"/>
              <w:right w:val="single" w:sz="4" w:space="0" w:color="auto"/>
            </w:tcBorders>
          </w:tcPr>
          <w:p w14:paraId="2251A5B3" w14:textId="77777777" w:rsidR="008E3703" w:rsidRPr="006A2BF9" w:rsidRDefault="008E3703" w:rsidP="0011036F">
            <w:pPr>
              <w:pStyle w:val="TableText10"/>
              <w:keepNext/>
              <w:keepLines/>
              <w:spacing w:line="280" w:lineRule="atLeast"/>
              <w:jc w:val="center"/>
              <w:rPr>
                <w:rFonts w:eastAsia="Times New Roman"/>
                <w:sz w:val="22"/>
                <w:szCs w:val="22"/>
                <w:lang w:val="it-IT"/>
              </w:rPr>
            </w:pPr>
            <w:r w:rsidRPr="006A2BF9">
              <w:rPr>
                <w:rFonts w:eastAsia="Times New Roman"/>
                <w:sz w:val="22"/>
                <w:szCs w:val="22"/>
                <w:lang w:val="it-IT"/>
              </w:rPr>
              <w:t xml:space="preserve">PFS </w:t>
            </w:r>
            <w:r w:rsidR="00BD598C">
              <w:rPr>
                <w:rFonts w:eastAsia="Times New Roman"/>
                <w:sz w:val="22"/>
                <w:szCs w:val="22"/>
                <w:lang w:val="it-IT"/>
              </w:rPr>
              <w:t>m</w:t>
            </w:r>
            <w:r w:rsidRPr="006A2BF9">
              <w:rPr>
                <w:rFonts w:eastAsia="Times New Roman"/>
                <w:sz w:val="22"/>
                <w:szCs w:val="22"/>
                <w:lang w:val="it-IT"/>
              </w:rPr>
              <w:t>ediana (mesi)</w:t>
            </w:r>
          </w:p>
          <w:p w14:paraId="314E8B83" w14:textId="77777777" w:rsidR="008E3703" w:rsidRPr="006A2BF9" w:rsidRDefault="008E3703" w:rsidP="0011036F">
            <w:pPr>
              <w:pStyle w:val="TableText10"/>
              <w:keepNext/>
              <w:keepLines/>
              <w:spacing w:line="280" w:lineRule="atLeast"/>
              <w:jc w:val="center"/>
              <w:rPr>
                <w:rFonts w:eastAsia="SimSun"/>
                <w:sz w:val="22"/>
                <w:szCs w:val="22"/>
                <w:lang w:val="it-IT" w:eastAsia="zh-CN"/>
              </w:rPr>
            </w:pPr>
          </w:p>
        </w:tc>
        <w:tc>
          <w:tcPr>
            <w:tcW w:w="3081" w:type="dxa"/>
            <w:tcBorders>
              <w:top w:val="single" w:sz="4" w:space="0" w:color="auto"/>
              <w:left w:val="single" w:sz="4" w:space="0" w:color="auto"/>
              <w:bottom w:val="single" w:sz="4" w:space="0" w:color="auto"/>
              <w:right w:val="single" w:sz="4" w:space="0" w:color="auto"/>
            </w:tcBorders>
          </w:tcPr>
          <w:p w14:paraId="2D4ADF02" w14:textId="77777777" w:rsidR="008E3703" w:rsidRPr="006A2BF9" w:rsidRDefault="008E3703" w:rsidP="0011036F">
            <w:pPr>
              <w:keepNext/>
              <w:keepLines/>
              <w:jc w:val="center"/>
              <w:rPr>
                <w:szCs w:val="22"/>
                <w:lang w:val="it-IT" w:eastAsia="zh-CN"/>
              </w:rPr>
            </w:pPr>
            <w:r w:rsidRPr="006A2BF9">
              <w:rPr>
                <w:szCs w:val="22"/>
                <w:lang w:val="it-IT"/>
              </w:rPr>
              <w:t xml:space="preserve">3,9 </w:t>
            </w:r>
          </w:p>
        </w:tc>
        <w:tc>
          <w:tcPr>
            <w:tcW w:w="2452" w:type="dxa"/>
            <w:tcBorders>
              <w:top w:val="single" w:sz="4" w:space="0" w:color="auto"/>
              <w:left w:val="single" w:sz="4" w:space="0" w:color="auto"/>
              <w:bottom w:val="single" w:sz="4" w:space="0" w:color="auto"/>
              <w:right w:val="single" w:sz="4" w:space="0" w:color="auto"/>
            </w:tcBorders>
          </w:tcPr>
          <w:p w14:paraId="2C5A0EF8" w14:textId="77777777" w:rsidR="008E3703" w:rsidRPr="006A2BF9" w:rsidRDefault="008E3703" w:rsidP="0011036F">
            <w:pPr>
              <w:keepNext/>
              <w:keepLines/>
              <w:jc w:val="center"/>
              <w:rPr>
                <w:szCs w:val="22"/>
                <w:lang w:val="it-IT" w:eastAsia="zh-CN"/>
              </w:rPr>
            </w:pPr>
            <w:r w:rsidRPr="006A2BF9">
              <w:rPr>
                <w:szCs w:val="22"/>
                <w:lang w:val="it-IT"/>
              </w:rPr>
              <w:t>9,</w:t>
            </w:r>
            <w:r w:rsidR="00724649" w:rsidRPr="006A2BF9">
              <w:rPr>
                <w:szCs w:val="22"/>
                <w:lang w:val="it-IT"/>
              </w:rPr>
              <w:t>2</w:t>
            </w:r>
          </w:p>
        </w:tc>
      </w:tr>
      <w:tr w:rsidR="008E3703" w:rsidRPr="006A2BF9" w14:paraId="7E3EED14" w14:textId="77777777" w:rsidTr="00CC1687">
        <w:tc>
          <w:tcPr>
            <w:tcW w:w="2972" w:type="dxa"/>
            <w:tcBorders>
              <w:top w:val="single" w:sz="4" w:space="0" w:color="auto"/>
              <w:left w:val="single" w:sz="4" w:space="0" w:color="auto"/>
              <w:bottom w:val="single" w:sz="4" w:space="0" w:color="auto"/>
              <w:right w:val="single" w:sz="4" w:space="0" w:color="auto"/>
            </w:tcBorders>
          </w:tcPr>
          <w:p w14:paraId="25D9658A" w14:textId="77777777" w:rsidR="008E3703" w:rsidRPr="00330A40" w:rsidRDefault="008E3703" w:rsidP="0011036F">
            <w:pPr>
              <w:pStyle w:val="TableText10"/>
              <w:keepNext/>
              <w:keepLines/>
              <w:spacing w:line="280" w:lineRule="atLeast"/>
              <w:jc w:val="center"/>
              <w:rPr>
                <w:rFonts w:eastAsia="Times New Roman"/>
                <w:sz w:val="22"/>
                <w:szCs w:val="22"/>
                <w:lang w:val="it-IT"/>
              </w:rPr>
            </w:pPr>
            <w:r w:rsidRPr="000F0246">
              <w:rPr>
                <w:i/>
                <w:sz w:val="22"/>
                <w:szCs w:val="22"/>
                <w:lang w:val="it-IT"/>
              </w:rPr>
              <w:t>Hazard ratio</w:t>
            </w:r>
            <w:r w:rsidRPr="00330A40">
              <w:rPr>
                <w:sz w:val="22"/>
                <w:szCs w:val="22"/>
                <w:lang w:val="it-IT"/>
              </w:rPr>
              <w:t xml:space="preserve"> (</w:t>
            </w:r>
            <w:r w:rsidR="00340523" w:rsidRPr="00330A40">
              <w:rPr>
                <w:sz w:val="22"/>
                <w:szCs w:val="22"/>
                <w:lang w:val="it-IT"/>
              </w:rPr>
              <w:t xml:space="preserve">IC </w:t>
            </w:r>
            <w:r w:rsidR="00831FDE">
              <w:rPr>
                <w:sz w:val="22"/>
                <w:szCs w:val="22"/>
                <w:lang w:val="it-IT"/>
              </w:rPr>
              <w:t xml:space="preserve">al </w:t>
            </w:r>
            <w:r w:rsidRPr="00330A40">
              <w:rPr>
                <w:sz w:val="22"/>
                <w:szCs w:val="22"/>
                <w:lang w:val="it-IT"/>
              </w:rPr>
              <w:t>95%)</w:t>
            </w:r>
          </w:p>
        </w:tc>
        <w:tc>
          <w:tcPr>
            <w:tcW w:w="5533" w:type="dxa"/>
            <w:gridSpan w:val="2"/>
            <w:tcBorders>
              <w:top w:val="single" w:sz="4" w:space="0" w:color="auto"/>
              <w:left w:val="single" w:sz="4" w:space="0" w:color="auto"/>
              <w:bottom w:val="single" w:sz="4" w:space="0" w:color="auto"/>
              <w:right w:val="single" w:sz="4" w:space="0" w:color="auto"/>
            </w:tcBorders>
          </w:tcPr>
          <w:p w14:paraId="20191B74" w14:textId="77777777" w:rsidR="008E3703" w:rsidRPr="00330A40" w:rsidRDefault="008E3703" w:rsidP="0011036F">
            <w:pPr>
              <w:keepNext/>
              <w:keepLines/>
              <w:jc w:val="center"/>
              <w:rPr>
                <w:szCs w:val="22"/>
                <w:lang w:val="it-IT" w:eastAsia="zh-CN"/>
              </w:rPr>
            </w:pPr>
            <w:r w:rsidRPr="00330A40">
              <w:rPr>
                <w:szCs w:val="22"/>
                <w:lang w:val="it-IT"/>
              </w:rPr>
              <w:t>0,</w:t>
            </w:r>
            <w:r w:rsidR="008E73A8" w:rsidRPr="00330A40">
              <w:rPr>
                <w:szCs w:val="22"/>
                <w:lang w:val="it-IT"/>
              </w:rPr>
              <w:t>47</w:t>
            </w:r>
            <w:r w:rsidRPr="00330A40">
              <w:rPr>
                <w:szCs w:val="22"/>
                <w:lang w:val="it-IT"/>
              </w:rPr>
              <w:t xml:space="preserve"> [0,3</w:t>
            </w:r>
            <w:r w:rsidR="008E73A8" w:rsidRPr="00330A40">
              <w:rPr>
                <w:szCs w:val="22"/>
                <w:lang w:val="it-IT"/>
              </w:rPr>
              <w:t>1</w:t>
            </w:r>
            <w:r w:rsidRPr="00330A40">
              <w:rPr>
                <w:szCs w:val="22"/>
                <w:lang w:val="it-IT"/>
              </w:rPr>
              <w:t>; 0,</w:t>
            </w:r>
            <w:r w:rsidR="008E73A8" w:rsidRPr="00330A40">
              <w:rPr>
                <w:szCs w:val="22"/>
                <w:lang w:val="it-IT"/>
              </w:rPr>
              <w:t>72</w:t>
            </w:r>
            <w:r w:rsidRPr="00330A40">
              <w:rPr>
                <w:szCs w:val="22"/>
                <w:lang w:val="it-IT"/>
              </w:rPr>
              <w:t>]</w:t>
            </w:r>
          </w:p>
        </w:tc>
      </w:tr>
      <w:tr w:rsidR="008E73A8" w:rsidRPr="006A2BF9" w14:paraId="0DAE0048" w14:textId="77777777" w:rsidTr="00CC1687">
        <w:tc>
          <w:tcPr>
            <w:tcW w:w="2972" w:type="dxa"/>
            <w:tcBorders>
              <w:top w:val="single" w:sz="4" w:space="0" w:color="auto"/>
              <w:left w:val="single" w:sz="4" w:space="0" w:color="auto"/>
              <w:bottom w:val="single" w:sz="4" w:space="0" w:color="auto"/>
              <w:right w:val="single" w:sz="4" w:space="0" w:color="auto"/>
            </w:tcBorders>
          </w:tcPr>
          <w:p w14:paraId="4F1A2475" w14:textId="77777777" w:rsidR="008E73A8" w:rsidRPr="006A2BF9" w:rsidRDefault="008E73A8" w:rsidP="0011036F">
            <w:pPr>
              <w:keepNext/>
              <w:keepLines/>
              <w:widowControl w:val="0"/>
              <w:jc w:val="center"/>
              <w:rPr>
                <w:szCs w:val="22"/>
                <w:lang w:val="it-IT"/>
              </w:rPr>
            </w:pPr>
            <w:r w:rsidRPr="006A2BF9">
              <w:rPr>
                <w:szCs w:val="22"/>
                <w:lang w:val="it-IT"/>
              </w:rPr>
              <w:t xml:space="preserve">OS </w:t>
            </w:r>
            <w:r w:rsidR="00BD598C">
              <w:rPr>
                <w:szCs w:val="22"/>
                <w:lang w:val="it-IT"/>
              </w:rPr>
              <w:t>m</w:t>
            </w:r>
            <w:r w:rsidRPr="006A2BF9">
              <w:rPr>
                <w:szCs w:val="22"/>
                <w:lang w:val="it-IT"/>
              </w:rPr>
              <w:t>ediana (mesi)</w:t>
            </w:r>
          </w:p>
        </w:tc>
        <w:tc>
          <w:tcPr>
            <w:tcW w:w="3081" w:type="dxa"/>
            <w:tcBorders>
              <w:top w:val="single" w:sz="4" w:space="0" w:color="auto"/>
              <w:left w:val="single" w:sz="4" w:space="0" w:color="auto"/>
              <w:bottom w:val="single" w:sz="4" w:space="0" w:color="auto"/>
              <w:right w:val="single" w:sz="4" w:space="0" w:color="auto"/>
            </w:tcBorders>
          </w:tcPr>
          <w:p w14:paraId="38F570A6" w14:textId="77777777" w:rsidR="008E73A8" w:rsidRPr="006A2BF9" w:rsidRDefault="008E73A8" w:rsidP="0011036F">
            <w:pPr>
              <w:keepNext/>
              <w:keepLines/>
              <w:jc w:val="center"/>
              <w:rPr>
                <w:szCs w:val="22"/>
                <w:lang w:val="it-IT"/>
              </w:rPr>
            </w:pPr>
            <w:r w:rsidRPr="006A2BF9">
              <w:rPr>
                <w:szCs w:val="22"/>
                <w:lang w:val="it-IT"/>
              </w:rPr>
              <w:t>13,2</w:t>
            </w:r>
          </w:p>
        </w:tc>
        <w:tc>
          <w:tcPr>
            <w:tcW w:w="2452" w:type="dxa"/>
            <w:tcBorders>
              <w:top w:val="single" w:sz="4" w:space="0" w:color="auto"/>
              <w:left w:val="single" w:sz="4" w:space="0" w:color="auto"/>
              <w:bottom w:val="single" w:sz="4" w:space="0" w:color="auto"/>
              <w:right w:val="single" w:sz="4" w:space="0" w:color="auto"/>
            </w:tcBorders>
          </w:tcPr>
          <w:p w14:paraId="3AEF6978" w14:textId="77777777" w:rsidR="008E73A8" w:rsidRPr="006A2BF9" w:rsidRDefault="008E73A8" w:rsidP="0011036F">
            <w:pPr>
              <w:keepNext/>
              <w:keepLines/>
              <w:jc w:val="center"/>
              <w:rPr>
                <w:szCs w:val="22"/>
                <w:lang w:val="it-IT"/>
              </w:rPr>
            </w:pPr>
            <w:r w:rsidRPr="006A2BF9">
              <w:rPr>
                <w:szCs w:val="22"/>
                <w:lang w:val="it-IT"/>
              </w:rPr>
              <w:t>22,4</w:t>
            </w:r>
          </w:p>
        </w:tc>
      </w:tr>
      <w:tr w:rsidR="008E73A8" w:rsidRPr="006A2BF9" w14:paraId="24F74796" w14:textId="77777777" w:rsidTr="00CF308C">
        <w:tc>
          <w:tcPr>
            <w:tcW w:w="2972" w:type="dxa"/>
            <w:tcBorders>
              <w:top w:val="single" w:sz="4" w:space="0" w:color="auto"/>
              <w:left w:val="single" w:sz="4" w:space="0" w:color="auto"/>
              <w:bottom w:val="single" w:sz="4" w:space="0" w:color="auto"/>
              <w:right w:val="single" w:sz="4" w:space="0" w:color="auto"/>
            </w:tcBorders>
          </w:tcPr>
          <w:p w14:paraId="674D7BE8" w14:textId="77777777" w:rsidR="008E73A8" w:rsidRPr="00330A40" w:rsidRDefault="008E73A8" w:rsidP="0011036F">
            <w:pPr>
              <w:keepNext/>
              <w:keepLines/>
              <w:widowControl w:val="0"/>
              <w:jc w:val="center"/>
              <w:rPr>
                <w:szCs w:val="22"/>
                <w:lang w:val="it-IT"/>
              </w:rPr>
            </w:pPr>
            <w:r w:rsidRPr="000F0246">
              <w:rPr>
                <w:i/>
                <w:szCs w:val="22"/>
                <w:lang w:val="it-IT"/>
              </w:rPr>
              <w:t>Hazard ratio</w:t>
            </w:r>
            <w:r w:rsidRPr="00330A40">
              <w:rPr>
                <w:szCs w:val="22"/>
                <w:lang w:val="it-IT"/>
              </w:rPr>
              <w:t xml:space="preserve"> (</w:t>
            </w:r>
            <w:r w:rsidR="00340523" w:rsidRPr="00330A40">
              <w:rPr>
                <w:szCs w:val="22"/>
                <w:lang w:val="it-IT"/>
              </w:rPr>
              <w:t xml:space="preserve">IC </w:t>
            </w:r>
            <w:r w:rsidR="00831FDE">
              <w:rPr>
                <w:szCs w:val="22"/>
                <w:lang w:val="it-IT"/>
              </w:rPr>
              <w:t xml:space="preserve">al </w:t>
            </w:r>
            <w:r w:rsidRPr="00330A40">
              <w:rPr>
                <w:szCs w:val="22"/>
                <w:lang w:val="it-IT"/>
              </w:rPr>
              <w:t>95%)</w:t>
            </w:r>
          </w:p>
        </w:tc>
        <w:tc>
          <w:tcPr>
            <w:tcW w:w="5533" w:type="dxa"/>
            <w:gridSpan w:val="2"/>
            <w:tcBorders>
              <w:top w:val="single" w:sz="4" w:space="0" w:color="auto"/>
              <w:left w:val="single" w:sz="4" w:space="0" w:color="auto"/>
              <w:bottom w:val="single" w:sz="4" w:space="0" w:color="auto"/>
              <w:right w:val="single" w:sz="4" w:space="0" w:color="auto"/>
            </w:tcBorders>
          </w:tcPr>
          <w:p w14:paraId="22976480" w14:textId="77777777" w:rsidR="008E73A8" w:rsidRPr="00330A40" w:rsidRDefault="008E73A8" w:rsidP="0011036F">
            <w:pPr>
              <w:keepNext/>
              <w:keepLines/>
              <w:jc w:val="center"/>
              <w:rPr>
                <w:szCs w:val="22"/>
                <w:lang w:val="it-IT"/>
              </w:rPr>
            </w:pPr>
            <w:r w:rsidRPr="00330A40">
              <w:rPr>
                <w:szCs w:val="22"/>
                <w:lang w:val="it-IT"/>
              </w:rPr>
              <w:t>0,64[0</w:t>
            </w:r>
            <w:r w:rsidR="00066295" w:rsidRPr="00330A40">
              <w:rPr>
                <w:szCs w:val="22"/>
                <w:lang w:val="it-IT"/>
              </w:rPr>
              <w:t>,</w:t>
            </w:r>
            <w:r w:rsidRPr="00330A40">
              <w:rPr>
                <w:szCs w:val="22"/>
                <w:lang w:val="it-IT"/>
              </w:rPr>
              <w:t>41</w:t>
            </w:r>
            <w:r w:rsidR="00066295" w:rsidRPr="00330A40">
              <w:rPr>
                <w:szCs w:val="22"/>
                <w:lang w:val="it-IT"/>
              </w:rPr>
              <w:t>;</w:t>
            </w:r>
            <w:r w:rsidRPr="00330A40">
              <w:rPr>
                <w:szCs w:val="22"/>
                <w:lang w:val="it-IT"/>
              </w:rPr>
              <w:t xml:space="preserve"> 0</w:t>
            </w:r>
            <w:r w:rsidR="00066295" w:rsidRPr="00330A40">
              <w:rPr>
                <w:szCs w:val="22"/>
                <w:lang w:val="it-IT"/>
              </w:rPr>
              <w:t>,</w:t>
            </w:r>
            <w:r w:rsidRPr="00330A40">
              <w:rPr>
                <w:szCs w:val="22"/>
                <w:lang w:val="it-IT"/>
              </w:rPr>
              <w:t>99]</w:t>
            </w:r>
          </w:p>
        </w:tc>
      </w:tr>
      <w:tr w:rsidR="008E73A8" w:rsidRPr="006A2BF9" w14:paraId="6D483921" w14:textId="77777777" w:rsidTr="00CF308C">
        <w:tc>
          <w:tcPr>
            <w:tcW w:w="2972" w:type="dxa"/>
            <w:tcBorders>
              <w:top w:val="single" w:sz="4" w:space="0" w:color="auto"/>
              <w:left w:val="single" w:sz="4" w:space="0" w:color="auto"/>
              <w:bottom w:val="single" w:sz="4" w:space="0" w:color="auto"/>
              <w:right w:val="single" w:sz="4" w:space="0" w:color="auto"/>
            </w:tcBorders>
          </w:tcPr>
          <w:p w14:paraId="3D820B1A" w14:textId="77777777" w:rsidR="008E73A8" w:rsidRPr="000F0246" w:rsidRDefault="008E73A8" w:rsidP="0011036F">
            <w:pPr>
              <w:keepNext/>
              <w:keepLines/>
              <w:widowControl w:val="0"/>
              <w:jc w:val="center"/>
              <w:rPr>
                <w:b/>
                <w:szCs w:val="22"/>
                <w:lang w:val="it-IT" w:eastAsia="zh-CN"/>
              </w:rPr>
            </w:pPr>
            <w:r w:rsidRPr="000F0246">
              <w:rPr>
                <w:b/>
                <w:szCs w:val="22"/>
                <w:lang w:val="it-IT"/>
              </w:rPr>
              <w:t>Topotecan</w:t>
            </w:r>
          </w:p>
        </w:tc>
        <w:tc>
          <w:tcPr>
            <w:tcW w:w="5533" w:type="dxa"/>
            <w:gridSpan w:val="2"/>
            <w:tcBorders>
              <w:top w:val="single" w:sz="4" w:space="0" w:color="auto"/>
              <w:left w:val="single" w:sz="4" w:space="0" w:color="auto"/>
              <w:bottom w:val="single" w:sz="4" w:space="0" w:color="auto"/>
              <w:right w:val="single" w:sz="4" w:space="0" w:color="auto"/>
            </w:tcBorders>
          </w:tcPr>
          <w:p w14:paraId="40F0B478" w14:textId="77777777" w:rsidR="008E73A8" w:rsidRPr="00330A40" w:rsidRDefault="00BE35F3" w:rsidP="00D164F9">
            <w:pPr>
              <w:keepNext/>
              <w:keepLines/>
              <w:jc w:val="center"/>
              <w:rPr>
                <w:szCs w:val="22"/>
                <w:lang w:val="it-IT" w:eastAsia="zh-CN"/>
              </w:rPr>
            </w:pPr>
            <w:r w:rsidRPr="00330A40">
              <w:rPr>
                <w:szCs w:val="22"/>
                <w:lang w:val="it-IT"/>
              </w:rPr>
              <w:t>N </w:t>
            </w:r>
            <w:r w:rsidR="008E73A8" w:rsidRPr="00330A40">
              <w:rPr>
                <w:szCs w:val="22"/>
                <w:lang w:val="it-IT"/>
              </w:rPr>
              <w:t>=</w:t>
            </w:r>
            <w:r w:rsidRPr="00330A40">
              <w:rPr>
                <w:szCs w:val="22"/>
                <w:lang w:val="it-IT"/>
              </w:rPr>
              <w:t> </w:t>
            </w:r>
            <w:r w:rsidR="008E73A8" w:rsidRPr="00330A40">
              <w:rPr>
                <w:szCs w:val="22"/>
                <w:lang w:val="it-IT"/>
              </w:rPr>
              <w:t>120</w:t>
            </w:r>
          </w:p>
        </w:tc>
      </w:tr>
      <w:tr w:rsidR="008E3703" w:rsidRPr="006A2BF9" w14:paraId="30D8398C" w14:textId="77777777" w:rsidTr="00CC1687">
        <w:tc>
          <w:tcPr>
            <w:tcW w:w="2972" w:type="dxa"/>
            <w:tcBorders>
              <w:top w:val="single" w:sz="4" w:space="0" w:color="auto"/>
              <w:left w:val="single" w:sz="4" w:space="0" w:color="auto"/>
              <w:bottom w:val="single" w:sz="4" w:space="0" w:color="auto"/>
              <w:right w:val="single" w:sz="4" w:space="0" w:color="auto"/>
            </w:tcBorders>
          </w:tcPr>
          <w:p w14:paraId="06C4A984" w14:textId="77777777" w:rsidR="008E3703" w:rsidRPr="006A2BF9" w:rsidRDefault="008E3703" w:rsidP="0011036F">
            <w:pPr>
              <w:pStyle w:val="TableText10"/>
              <w:keepNext/>
              <w:keepLines/>
              <w:spacing w:line="280" w:lineRule="atLeast"/>
              <w:jc w:val="center"/>
              <w:rPr>
                <w:rFonts w:eastAsia="Times New Roman"/>
                <w:sz w:val="22"/>
                <w:szCs w:val="22"/>
                <w:lang w:val="it-IT"/>
              </w:rPr>
            </w:pPr>
            <w:r w:rsidRPr="006A2BF9">
              <w:rPr>
                <w:rFonts w:eastAsia="Times New Roman"/>
                <w:sz w:val="22"/>
                <w:szCs w:val="22"/>
                <w:lang w:val="it-IT"/>
              </w:rPr>
              <w:t xml:space="preserve">PFS </w:t>
            </w:r>
            <w:r w:rsidR="00BD598C">
              <w:rPr>
                <w:rFonts w:eastAsia="Times New Roman"/>
                <w:sz w:val="22"/>
                <w:szCs w:val="22"/>
                <w:lang w:val="it-IT"/>
              </w:rPr>
              <w:t>m</w:t>
            </w:r>
            <w:r w:rsidRPr="006A2BF9">
              <w:rPr>
                <w:rFonts w:eastAsia="Times New Roman"/>
                <w:sz w:val="22"/>
                <w:szCs w:val="22"/>
                <w:lang w:val="it-IT"/>
              </w:rPr>
              <w:t>ediana (mesi)</w:t>
            </w:r>
          </w:p>
          <w:p w14:paraId="41A7F09D" w14:textId="77777777" w:rsidR="008E3703" w:rsidRPr="006A2BF9" w:rsidRDefault="008E3703" w:rsidP="0011036F">
            <w:pPr>
              <w:keepNext/>
              <w:keepLines/>
              <w:widowControl w:val="0"/>
              <w:jc w:val="center"/>
              <w:rPr>
                <w:szCs w:val="22"/>
                <w:lang w:val="it-IT" w:eastAsia="zh-CN"/>
              </w:rPr>
            </w:pPr>
          </w:p>
        </w:tc>
        <w:tc>
          <w:tcPr>
            <w:tcW w:w="3081" w:type="dxa"/>
            <w:tcBorders>
              <w:top w:val="single" w:sz="4" w:space="0" w:color="auto"/>
              <w:left w:val="single" w:sz="4" w:space="0" w:color="auto"/>
              <w:bottom w:val="single" w:sz="4" w:space="0" w:color="auto"/>
              <w:right w:val="single" w:sz="4" w:space="0" w:color="auto"/>
            </w:tcBorders>
          </w:tcPr>
          <w:p w14:paraId="62C691B2" w14:textId="77777777" w:rsidR="008E3703" w:rsidRPr="006A2BF9" w:rsidRDefault="008E3703" w:rsidP="0011036F">
            <w:pPr>
              <w:keepNext/>
              <w:keepLines/>
              <w:jc w:val="center"/>
              <w:rPr>
                <w:szCs w:val="22"/>
                <w:lang w:val="it-IT" w:eastAsia="zh-CN"/>
              </w:rPr>
            </w:pPr>
            <w:r w:rsidRPr="006A2BF9">
              <w:rPr>
                <w:szCs w:val="22"/>
                <w:lang w:val="it-IT"/>
              </w:rPr>
              <w:t>2,1</w:t>
            </w:r>
          </w:p>
        </w:tc>
        <w:tc>
          <w:tcPr>
            <w:tcW w:w="2452" w:type="dxa"/>
            <w:tcBorders>
              <w:top w:val="single" w:sz="4" w:space="0" w:color="auto"/>
              <w:left w:val="single" w:sz="4" w:space="0" w:color="auto"/>
              <w:bottom w:val="single" w:sz="4" w:space="0" w:color="auto"/>
              <w:right w:val="single" w:sz="4" w:space="0" w:color="auto"/>
            </w:tcBorders>
          </w:tcPr>
          <w:p w14:paraId="76D0519F" w14:textId="77777777" w:rsidR="008E3703" w:rsidRPr="006A2BF9" w:rsidRDefault="008E3703" w:rsidP="0011036F">
            <w:pPr>
              <w:keepNext/>
              <w:keepLines/>
              <w:jc w:val="center"/>
              <w:rPr>
                <w:szCs w:val="22"/>
                <w:lang w:val="it-IT" w:eastAsia="zh-CN"/>
              </w:rPr>
            </w:pPr>
            <w:r w:rsidRPr="006A2BF9">
              <w:rPr>
                <w:szCs w:val="22"/>
                <w:lang w:val="it-IT"/>
              </w:rPr>
              <w:t>6,2</w:t>
            </w:r>
          </w:p>
        </w:tc>
      </w:tr>
      <w:tr w:rsidR="008E3703" w:rsidRPr="006A2BF9" w14:paraId="16397481" w14:textId="77777777" w:rsidTr="00CC1687">
        <w:tc>
          <w:tcPr>
            <w:tcW w:w="2972" w:type="dxa"/>
            <w:tcBorders>
              <w:top w:val="single" w:sz="4" w:space="0" w:color="auto"/>
              <w:left w:val="single" w:sz="4" w:space="0" w:color="auto"/>
              <w:bottom w:val="single" w:sz="4" w:space="0" w:color="auto"/>
              <w:right w:val="single" w:sz="4" w:space="0" w:color="auto"/>
            </w:tcBorders>
          </w:tcPr>
          <w:p w14:paraId="72248234" w14:textId="77777777" w:rsidR="008E3703" w:rsidRPr="00330A40" w:rsidRDefault="008E3703" w:rsidP="0011036F">
            <w:pPr>
              <w:pStyle w:val="TableText10"/>
              <w:keepNext/>
              <w:keepLines/>
              <w:spacing w:line="280" w:lineRule="atLeast"/>
              <w:jc w:val="center"/>
              <w:rPr>
                <w:rFonts w:eastAsia="Times New Roman"/>
                <w:sz w:val="22"/>
                <w:szCs w:val="22"/>
                <w:lang w:val="it-IT"/>
              </w:rPr>
            </w:pPr>
            <w:r w:rsidRPr="000F0246">
              <w:rPr>
                <w:i/>
                <w:sz w:val="22"/>
                <w:szCs w:val="22"/>
                <w:lang w:val="it-IT"/>
              </w:rPr>
              <w:t>Hazard ratio</w:t>
            </w:r>
            <w:r w:rsidRPr="00330A40">
              <w:rPr>
                <w:sz w:val="22"/>
                <w:szCs w:val="22"/>
                <w:lang w:val="it-IT"/>
              </w:rPr>
              <w:t xml:space="preserve"> (</w:t>
            </w:r>
            <w:r w:rsidR="00340523" w:rsidRPr="00330A40">
              <w:rPr>
                <w:sz w:val="22"/>
                <w:szCs w:val="22"/>
                <w:lang w:val="it-IT"/>
              </w:rPr>
              <w:t xml:space="preserve">IC </w:t>
            </w:r>
            <w:r w:rsidR="00831FDE">
              <w:rPr>
                <w:sz w:val="22"/>
                <w:szCs w:val="22"/>
                <w:lang w:val="it-IT"/>
              </w:rPr>
              <w:t xml:space="preserve">al </w:t>
            </w:r>
            <w:r w:rsidRPr="00330A40">
              <w:rPr>
                <w:sz w:val="22"/>
                <w:szCs w:val="22"/>
                <w:lang w:val="it-IT"/>
              </w:rPr>
              <w:t>95%)</w:t>
            </w:r>
          </w:p>
        </w:tc>
        <w:tc>
          <w:tcPr>
            <w:tcW w:w="5533" w:type="dxa"/>
            <w:gridSpan w:val="2"/>
            <w:tcBorders>
              <w:top w:val="single" w:sz="4" w:space="0" w:color="auto"/>
              <w:left w:val="single" w:sz="4" w:space="0" w:color="auto"/>
              <w:bottom w:val="single" w:sz="4" w:space="0" w:color="auto"/>
              <w:right w:val="single" w:sz="4" w:space="0" w:color="auto"/>
            </w:tcBorders>
          </w:tcPr>
          <w:p w14:paraId="7DA3F6A1" w14:textId="77777777" w:rsidR="008E3703" w:rsidRPr="00330A40" w:rsidRDefault="008E3703" w:rsidP="0011036F">
            <w:pPr>
              <w:keepNext/>
              <w:keepLines/>
              <w:jc w:val="center"/>
              <w:rPr>
                <w:szCs w:val="22"/>
                <w:lang w:val="it-IT" w:eastAsia="zh-CN"/>
              </w:rPr>
            </w:pPr>
            <w:r w:rsidRPr="00330A40">
              <w:rPr>
                <w:szCs w:val="22"/>
                <w:lang w:val="it-IT"/>
              </w:rPr>
              <w:t>0,28 [0,18; 0,44]</w:t>
            </w:r>
          </w:p>
        </w:tc>
      </w:tr>
      <w:tr w:rsidR="008E73A8" w:rsidRPr="006A2BF9" w14:paraId="2BB7DA39" w14:textId="77777777" w:rsidTr="00CC1687">
        <w:tc>
          <w:tcPr>
            <w:tcW w:w="2972" w:type="dxa"/>
            <w:tcBorders>
              <w:top w:val="single" w:sz="4" w:space="0" w:color="auto"/>
              <w:left w:val="single" w:sz="4" w:space="0" w:color="auto"/>
              <w:bottom w:val="single" w:sz="4" w:space="0" w:color="auto"/>
              <w:right w:val="single" w:sz="4" w:space="0" w:color="auto"/>
            </w:tcBorders>
          </w:tcPr>
          <w:p w14:paraId="35372FA3" w14:textId="77777777" w:rsidR="008E73A8" w:rsidRPr="006A2BF9" w:rsidRDefault="008E73A8" w:rsidP="0011036F">
            <w:pPr>
              <w:pStyle w:val="TableText10"/>
              <w:keepNext/>
              <w:keepLines/>
              <w:spacing w:line="280" w:lineRule="atLeast"/>
              <w:jc w:val="center"/>
              <w:rPr>
                <w:rFonts w:eastAsia="Times New Roman"/>
                <w:sz w:val="22"/>
                <w:szCs w:val="22"/>
                <w:lang w:val="it-IT"/>
              </w:rPr>
            </w:pPr>
            <w:r w:rsidRPr="006A2BF9">
              <w:rPr>
                <w:rFonts w:eastAsia="Times New Roman"/>
                <w:sz w:val="22"/>
                <w:szCs w:val="22"/>
                <w:lang w:val="it-IT"/>
              </w:rPr>
              <w:t xml:space="preserve">OS </w:t>
            </w:r>
            <w:r w:rsidR="00BD598C">
              <w:rPr>
                <w:rFonts w:eastAsia="Times New Roman"/>
                <w:sz w:val="22"/>
                <w:szCs w:val="22"/>
                <w:lang w:val="it-IT"/>
              </w:rPr>
              <w:t>m</w:t>
            </w:r>
            <w:r w:rsidRPr="006A2BF9">
              <w:rPr>
                <w:rFonts w:eastAsia="Times New Roman"/>
                <w:sz w:val="22"/>
                <w:szCs w:val="22"/>
                <w:lang w:val="it-IT"/>
              </w:rPr>
              <w:t>ediana (mesi)</w:t>
            </w:r>
          </w:p>
        </w:tc>
        <w:tc>
          <w:tcPr>
            <w:tcW w:w="3081" w:type="dxa"/>
            <w:tcBorders>
              <w:top w:val="single" w:sz="4" w:space="0" w:color="auto"/>
              <w:left w:val="single" w:sz="4" w:space="0" w:color="auto"/>
              <w:bottom w:val="single" w:sz="4" w:space="0" w:color="auto"/>
              <w:right w:val="single" w:sz="4" w:space="0" w:color="auto"/>
            </w:tcBorders>
          </w:tcPr>
          <w:p w14:paraId="212B5197" w14:textId="77777777" w:rsidR="008E73A8" w:rsidRPr="006A2BF9" w:rsidRDefault="008E73A8" w:rsidP="0011036F">
            <w:pPr>
              <w:keepNext/>
              <w:keepLines/>
              <w:jc w:val="center"/>
              <w:rPr>
                <w:szCs w:val="22"/>
                <w:lang w:val="it-IT"/>
              </w:rPr>
            </w:pPr>
            <w:r w:rsidRPr="006A2BF9">
              <w:rPr>
                <w:szCs w:val="22"/>
                <w:lang w:val="it-IT"/>
              </w:rPr>
              <w:t>13</w:t>
            </w:r>
            <w:r w:rsidR="00066295" w:rsidRPr="006A2BF9">
              <w:rPr>
                <w:szCs w:val="22"/>
                <w:lang w:val="it-IT"/>
              </w:rPr>
              <w:t>,</w:t>
            </w:r>
            <w:r w:rsidRPr="006A2BF9">
              <w:rPr>
                <w:szCs w:val="22"/>
                <w:lang w:val="it-IT"/>
              </w:rPr>
              <w:t>3</w:t>
            </w:r>
          </w:p>
        </w:tc>
        <w:tc>
          <w:tcPr>
            <w:tcW w:w="2452" w:type="dxa"/>
            <w:tcBorders>
              <w:top w:val="single" w:sz="4" w:space="0" w:color="auto"/>
              <w:left w:val="single" w:sz="4" w:space="0" w:color="auto"/>
              <w:bottom w:val="single" w:sz="4" w:space="0" w:color="auto"/>
              <w:right w:val="single" w:sz="4" w:space="0" w:color="auto"/>
            </w:tcBorders>
          </w:tcPr>
          <w:p w14:paraId="15E5CB60" w14:textId="77777777" w:rsidR="008E73A8" w:rsidRPr="006A2BF9" w:rsidRDefault="008E73A8" w:rsidP="0011036F">
            <w:pPr>
              <w:keepNext/>
              <w:keepLines/>
              <w:jc w:val="center"/>
              <w:rPr>
                <w:szCs w:val="22"/>
                <w:lang w:val="it-IT"/>
              </w:rPr>
            </w:pPr>
            <w:r w:rsidRPr="006A2BF9">
              <w:rPr>
                <w:szCs w:val="22"/>
                <w:lang w:val="it-IT"/>
              </w:rPr>
              <w:t>13</w:t>
            </w:r>
            <w:r w:rsidR="00066295" w:rsidRPr="006A2BF9">
              <w:rPr>
                <w:szCs w:val="22"/>
                <w:lang w:val="it-IT"/>
              </w:rPr>
              <w:t>,</w:t>
            </w:r>
            <w:r w:rsidRPr="006A2BF9">
              <w:rPr>
                <w:szCs w:val="22"/>
                <w:lang w:val="it-IT"/>
              </w:rPr>
              <w:t>8</w:t>
            </w:r>
          </w:p>
        </w:tc>
      </w:tr>
      <w:tr w:rsidR="008E73A8" w:rsidRPr="006A2BF9" w14:paraId="3F576229" w14:textId="77777777" w:rsidTr="00CF308C">
        <w:tc>
          <w:tcPr>
            <w:tcW w:w="2972" w:type="dxa"/>
            <w:tcBorders>
              <w:top w:val="single" w:sz="4" w:space="0" w:color="auto"/>
              <w:left w:val="single" w:sz="4" w:space="0" w:color="auto"/>
              <w:bottom w:val="single" w:sz="4" w:space="0" w:color="auto"/>
              <w:right w:val="single" w:sz="4" w:space="0" w:color="auto"/>
            </w:tcBorders>
          </w:tcPr>
          <w:p w14:paraId="473B86F6" w14:textId="77777777" w:rsidR="008E73A8" w:rsidRPr="00330A40" w:rsidRDefault="00340523" w:rsidP="0011036F">
            <w:pPr>
              <w:pStyle w:val="TableText10"/>
              <w:keepNext/>
              <w:keepLines/>
              <w:spacing w:line="280" w:lineRule="atLeast"/>
              <w:jc w:val="center"/>
              <w:rPr>
                <w:rFonts w:eastAsia="Times New Roman"/>
                <w:sz w:val="22"/>
                <w:szCs w:val="22"/>
                <w:lang w:val="it-IT"/>
              </w:rPr>
            </w:pPr>
            <w:r w:rsidRPr="000F0246">
              <w:rPr>
                <w:rFonts w:eastAsia="Times New Roman"/>
                <w:i/>
                <w:sz w:val="22"/>
                <w:szCs w:val="22"/>
                <w:lang w:val="it-IT"/>
              </w:rPr>
              <w:t>Hazard ratio</w:t>
            </w:r>
            <w:r w:rsidRPr="00330A40">
              <w:rPr>
                <w:rFonts w:eastAsia="Times New Roman"/>
                <w:sz w:val="22"/>
                <w:szCs w:val="22"/>
                <w:lang w:val="it-IT"/>
              </w:rPr>
              <w:t xml:space="preserve"> (IC </w:t>
            </w:r>
            <w:r w:rsidR="00831FDE">
              <w:rPr>
                <w:rFonts w:eastAsia="Times New Roman"/>
                <w:sz w:val="22"/>
                <w:szCs w:val="22"/>
                <w:lang w:val="it-IT"/>
              </w:rPr>
              <w:t xml:space="preserve">al </w:t>
            </w:r>
            <w:r w:rsidRPr="00330A40">
              <w:rPr>
                <w:rFonts w:eastAsia="Times New Roman"/>
                <w:sz w:val="22"/>
                <w:szCs w:val="22"/>
                <w:lang w:val="it-IT"/>
              </w:rPr>
              <w:t>95%</w:t>
            </w:r>
            <w:r w:rsidR="008E73A8" w:rsidRPr="00330A40">
              <w:rPr>
                <w:rFonts w:eastAsia="Times New Roman"/>
                <w:sz w:val="22"/>
                <w:szCs w:val="22"/>
                <w:lang w:val="it-IT"/>
              </w:rPr>
              <w:t>)</w:t>
            </w:r>
          </w:p>
        </w:tc>
        <w:tc>
          <w:tcPr>
            <w:tcW w:w="5533" w:type="dxa"/>
            <w:gridSpan w:val="2"/>
            <w:tcBorders>
              <w:top w:val="single" w:sz="4" w:space="0" w:color="auto"/>
              <w:left w:val="single" w:sz="4" w:space="0" w:color="auto"/>
              <w:bottom w:val="single" w:sz="4" w:space="0" w:color="auto"/>
              <w:right w:val="single" w:sz="4" w:space="0" w:color="auto"/>
            </w:tcBorders>
          </w:tcPr>
          <w:p w14:paraId="51B5656E" w14:textId="77777777" w:rsidR="008E73A8" w:rsidRPr="00330A40" w:rsidRDefault="008E73A8" w:rsidP="0011036F">
            <w:pPr>
              <w:keepNext/>
              <w:keepLines/>
              <w:jc w:val="center"/>
              <w:rPr>
                <w:szCs w:val="22"/>
                <w:lang w:val="it-IT"/>
              </w:rPr>
            </w:pPr>
            <w:r w:rsidRPr="00330A40">
              <w:rPr>
                <w:szCs w:val="22"/>
                <w:lang w:val="it-IT"/>
              </w:rPr>
              <w:t>1</w:t>
            </w:r>
            <w:r w:rsidR="00066295" w:rsidRPr="00330A40">
              <w:rPr>
                <w:szCs w:val="22"/>
                <w:lang w:val="it-IT"/>
              </w:rPr>
              <w:t>,</w:t>
            </w:r>
            <w:r w:rsidRPr="00330A40">
              <w:rPr>
                <w:szCs w:val="22"/>
                <w:lang w:val="it-IT"/>
              </w:rPr>
              <w:t>07 [0</w:t>
            </w:r>
            <w:r w:rsidR="00066295" w:rsidRPr="00330A40">
              <w:rPr>
                <w:szCs w:val="22"/>
                <w:lang w:val="it-IT"/>
              </w:rPr>
              <w:t>,</w:t>
            </w:r>
            <w:r w:rsidRPr="00330A40">
              <w:rPr>
                <w:szCs w:val="22"/>
                <w:lang w:val="it-IT"/>
              </w:rPr>
              <w:t>70</w:t>
            </w:r>
            <w:r w:rsidR="00066295" w:rsidRPr="00330A40">
              <w:rPr>
                <w:szCs w:val="22"/>
                <w:lang w:val="it-IT"/>
              </w:rPr>
              <w:t>;</w:t>
            </w:r>
            <w:r w:rsidRPr="00330A40">
              <w:rPr>
                <w:szCs w:val="22"/>
                <w:lang w:val="it-IT"/>
              </w:rPr>
              <w:t xml:space="preserve"> 1</w:t>
            </w:r>
            <w:r w:rsidR="00066295" w:rsidRPr="00330A40">
              <w:rPr>
                <w:szCs w:val="22"/>
                <w:lang w:val="it-IT"/>
              </w:rPr>
              <w:t>,</w:t>
            </w:r>
            <w:r w:rsidRPr="00330A40">
              <w:rPr>
                <w:szCs w:val="22"/>
                <w:lang w:val="it-IT"/>
              </w:rPr>
              <w:t>63]</w:t>
            </w:r>
          </w:p>
          <w:p w14:paraId="3701138A" w14:textId="77777777" w:rsidR="008E73A8" w:rsidRPr="00330A40" w:rsidRDefault="008E73A8" w:rsidP="0011036F">
            <w:pPr>
              <w:keepNext/>
              <w:keepLines/>
              <w:jc w:val="center"/>
              <w:rPr>
                <w:szCs w:val="22"/>
                <w:lang w:val="it-IT"/>
              </w:rPr>
            </w:pPr>
          </w:p>
        </w:tc>
      </w:tr>
      <w:tr w:rsidR="008E73A8" w:rsidRPr="006A2BF9" w14:paraId="50D65BCA" w14:textId="77777777" w:rsidTr="00CF308C">
        <w:tc>
          <w:tcPr>
            <w:tcW w:w="2972" w:type="dxa"/>
            <w:tcBorders>
              <w:top w:val="single" w:sz="4" w:space="0" w:color="auto"/>
              <w:left w:val="single" w:sz="4" w:space="0" w:color="auto"/>
              <w:bottom w:val="single" w:sz="4" w:space="0" w:color="auto"/>
              <w:right w:val="single" w:sz="4" w:space="0" w:color="auto"/>
            </w:tcBorders>
          </w:tcPr>
          <w:p w14:paraId="165D8E3F" w14:textId="77777777" w:rsidR="008E73A8" w:rsidRPr="000F0246" w:rsidRDefault="008E73A8" w:rsidP="0011036F">
            <w:pPr>
              <w:pStyle w:val="TableText10"/>
              <w:keepNext/>
              <w:keepLines/>
              <w:spacing w:line="280" w:lineRule="atLeast"/>
              <w:jc w:val="center"/>
              <w:rPr>
                <w:rFonts w:eastAsia="Times New Roman"/>
                <w:b/>
                <w:sz w:val="22"/>
                <w:szCs w:val="22"/>
                <w:lang w:val="it-IT"/>
              </w:rPr>
            </w:pPr>
            <w:r w:rsidRPr="000F0246">
              <w:rPr>
                <w:rFonts w:eastAsia="Times New Roman"/>
                <w:b/>
                <w:sz w:val="22"/>
                <w:szCs w:val="22"/>
                <w:lang w:val="it-IT"/>
              </w:rPr>
              <w:t>PLD</w:t>
            </w:r>
          </w:p>
        </w:tc>
        <w:tc>
          <w:tcPr>
            <w:tcW w:w="5533" w:type="dxa"/>
            <w:gridSpan w:val="2"/>
            <w:tcBorders>
              <w:top w:val="single" w:sz="4" w:space="0" w:color="auto"/>
              <w:left w:val="single" w:sz="4" w:space="0" w:color="auto"/>
              <w:bottom w:val="single" w:sz="4" w:space="0" w:color="auto"/>
              <w:right w:val="single" w:sz="4" w:space="0" w:color="auto"/>
            </w:tcBorders>
          </w:tcPr>
          <w:p w14:paraId="1E26C814" w14:textId="77777777" w:rsidR="008E73A8" w:rsidRPr="00330A40" w:rsidRDefault="00BE35F3" w:rsidP="00D164F9">
            <w:pPr>
              <w:keepNext/>
              <w:keepLines/>
              <w:jc w:val="center"/>
              <w:rPr>
                <w:szCs w:val="22"/>
                <w:lang w:val="it-IT" w:eastAsia="zh-CN"/>
              </w:rPr>
            </w:pPr>
            <w:r w:rsidRPr="00330A40">
              <w:rPr>
                <w:szCs w:val="22"/>
                <w:lang w:val="it-IT"/>
              </w:rPr>
              <w:t>N </w:t>
            </w:r>
            <w:r w:rsidR="008E73A8" w:rsidRPr="00330A40">
              <w:rPr>
                <w:szCs w:val="22"/>
                <w:lang w:val="it-IT"/>
              </w:rPr>
              <w:t>=</w:t>
            </w:r>
            <w:r w:rsidRPr="00330A40">
              <w:rPr>
                <w:szCs w:val="22"/>
                <w:lang w:val="it-IT"/>
              </w:rPr>
              <w:t> </w:t>
            </w:r>
            <w:r w:rsidR="008E73A8" w:rsidRPr="00330A40">
              <w:rPr>
                <w:szCs w:val="22"/>
                <w:lang w:val="it-IT"/>
              </w:rPr>
              <w:t>126</w:t>
            </w:r>
          </w:p>
        </w:tc>
      </w:tr>
      <w:tr w:rsidR="008E3703" w:rsidRPr="006A2BF9" w14:paraId="41629CFB" w14:textId="77777777" w:rsidTr="00CC1687">
        <w:tc>
          <w:tcPr>
            <w:tcW w:w="2972" w:type="dxa"/>
            <w:tcBorders>
              <w:top w:val="single" w:sz="4" w:space="0" w:color="auto"/>
              <w:left w:val="single" w:sz="4" w:space="0" w:color="auto"/>
              <w:bottom w:val="single" w:sz="4" w:space="0" w:color="auto"/>
              <w:right w:val="single" w:sz="4" w:space="0" w:color="auto"/>
            </w:tcBorders>
          </w:tcPr>
          <w:p w14:paraId="4A8C3AE2" w14:textId="77777777" w:rsidR="008E3703" w:rsidRPr="006A2BF9" w:rsidRDefault="008E3703" w:rsidP="0011036F">
            <w:pPr>
              <w:pStyle w:val="TableText10"/>
              <w:keepNext/>
              <w:keepLines/>
              <w:spacing w:line="280" w:lineRule="atLeast"/>
              <w:jc w:val="center"/>
              <w:rPr>
                <w:rFonts w:eastAsia="Times New Roman"/>
                <w:sz w:val="22"/>
                <w:szCs w:val="22"/>
                <w:lang w:val="it-IT"/>
              </w:rPr>
            </w:pPr>
            <w:r w:rsidRPr="006A2BF9">
              <w:rPr>
                <w:rFonts w:eastAsia="Times New Roman"/>
                <w:sz w:val="22"/>
                <w:szCs w:val="22"/>
                <w:lang w:val="it-IT"/>
              </w:rPr>
              <w:t xml:space="preserve">PFS </w:t>
            </w:r>
            <w:r w:rsidR="00BD598C">
              <w:rPr>
                <w:rFonts w:eastAsia="Times New Roman"/>
                <w:sz w:val="22"/>
                <w:szCs w:val="22"/>
                <w:lang w:val="it-IT"/>
              </w:rPr>
              <w:t>m</w:t>
            </w:r>
            <w:r w:rsidRPr="006A2BF9">
              <w:rPr>
                <w:rFonts w:eastAsia="Times New Roman"/>
                <w:sz w:val="22"/>
                <w:szCs w:val="22"/>
                <w:lang w:val="it-IT"/>
              </w:rPr>
              <w:t>ediana (mesi)</w:t>
            </w:r>
          </w:p>
        </w:tc>
        <w:tc>
          <w:tcPr>
            <w:tcW w:w="3081" w:type="dxa"/>
            <w:tcBorders>
              <w:top w:val="single" w:sz="4" w:space="0" w:color="auto"/>
              <w:left w:val="single" w:sz="4" w:space="0" w:color="auto"/>
              <w:bottom w:val="single" w:sz="4" w:space="0" w:color="auto"/>
              <w:right w:val="single" w:sz="4" w:space="0" w:color="auto"/>
            </w:tcBorders>
          </w:tcPr>
          <w:p w14:paraId="00BBDC87" w14:textId="77777777" w:rsidR="008E3703" w:rsidRPr="006A2BF9" w:rsidRDefault="008E3703" w:rsidP="0011036F">
            <w:pPr>
              <w:keepNext/>
              <w:keepLines/>
              <w:jc w:val="center"/>
              <w:rPr>
                <w:szCs w:val="22"/>
                <w:lang w:val="it-IT" w:eastAsia="zh-CN"/>
              </w:rPr>
            </w:pPr>
            <w:r w:rsidRPr="006A2BF9">
              <w:rPr>
                <w:szCs w:val="22"/>
                <w:lang w:val="it-IT"/>
              </w:rPr>
              <w:t xml:space="preserve">3,5 </w:t>
            </w:r>
          </w:p>
        </w:tc>
        <w:tc>
          <w:tcPr>
            <w:tcW w:w="2452" w:type="dxa"/>
            <w:tcBorders>
              <w:top w:val="single" w:sz="4" w:space="0" w:color="auto"/>
              <w:left w:val="single" w:sz="4" w:space="0" w:color="auto"/>
              <w:bottom w:val="single" w:sz="4" w:space="0" w:color="auto"/>
              <w:right w:val="single" w:sz="4" w:space="0" w:color="auto"/>
            </w:tcBorders>
          </w:tcPr>
          <w:p w14:paraId="4207D426" w14:textId="77777777" w:rsidR="008E3703" w:rsidRPr="006A2BF9" w:rsidRDefault="008E3703" w:rsidP="0011036F">
            <w:pPr>
              <w:keepNext/>
              <w:keepLines/>
              <w:jc w:val="center"/>
              <w:rPr>
                <w:szCs w:val="22"/>
                <w:lang w:val="it-IT" w:eastAsia="zh-CN"/>
              </w:rPr>
            </w:pPr>
            <w:r w:rsidRPr="006A2BF9">
              <w:rPr>
                <w:szCs w:val="22"/>
                <w:lang w:val="it-IT"/>
              </w:rPr>
              <w:t>5,1</w:t>
            </w:r>
          </w:p>
        </w:tc>
      </w:tr>
      <w:tr w:rsidR="008E3703" w:rsidRPr="006A2BF9" w14:paraId="7176FF2F" w14:textId="77777777" w:rsidTr="00CC1687">
        <w:tc>
          <w:tcPr>
            <w:tcW w:w="2972" w:type="dxa"/>
            <w:tcBorders>
              <w:top w:val="single" w:sz="4" w:space="0" w:color="auto"/>
              <w:left w:val="single" w:sz="4" w:space="0" w:color="auto"/>
              <w:bottom w:val="single" w:sz="4" w:space="0" w:color="auto"/>
              <w:right w:val="single" w:sz="4" w:space="0" w:color="auto"/>
            </w:tcBorders>
          </w:tcPr>
          <w:p w14:paraId="7F2D330E" w14:textId="77777777" w:rsidR="008E3703" w:rsidRPr="00330A40" w:rsidRDefault="00340523" w:rsidP="0011036F">
            <w:pPr>
              <w:pStyle w:val="TableText10"/>
              <w:keepNext/>
              <w:keepLines/>
              <w:spacing w:line="280" w:lineRule="atLeast"/>
              <w:jc w:val="center"/>
              <w:rPr>
                <w:rFonts w:eastAsia="Times New Roman"/>
                <w:sz w:val="22"/>
                <w:szCs w:val="22"/>
                <w:lang w:val="it-IT"/>
              </w:rPr>
            </w:pPr>
            <w:r w:rsidRPr="000F0246">
              <w:rPr>
                <w:i/>
                <w:sz w:val="22"/>
                <w:szCs w:val="22"/>
                <w:lang w:val="it-IT"/>
              </w:rPr>
              <w:t>Hazard ratio</w:t>
            </w:r>
            <w:r w:rsidRPr="00330A40">
              <w:rPr>
                <w:sz w:val="22"/>
                <w:szCs w:val="22"/>
                <w:lang w:val="it-IT"/>
              </w:rPr>
              <w:t xml:space="preserve"> (IC </w:t>
            </w:r>
            <w:r w:rsidR="00831FDE">
              <w:rPr>
                <w:sz w:val="22"/>
                <w:szCs w:val="22"/>
                <w:lang w:val="it-IT"/>
              </w:rPr>
              <w:t xml:space="preserve">al </w:t>
            </w:r>
            <w:r w:rsidRPr="00330A40">
              <w:rPr>
                <w:sz w:val="22"/>
                <w:szCs w:val="22"/>
                <w:lang w:val="it-IT"/>
              </w:rPr>
              <w:t>95%</w:t>
            </w:r>
            <w:r w:rsidR="008E3703" w:rsidRPr="00330A40">
              <w:rPr>
                <w:sz w:val="22"/>
                <w:szCs w:val="22"/>
                <w:lang w:val="it-IT"/>
              </w:rPr>
              <w:t>)</w:t>
            </w:r>
          </w:p>
        </w:tc>
        <w:tc>
          <w:tcPr>
            <w:tcW w:w="5533" w:type="dxa"/>
            <w:gridSpan w:val="2"/>
            <w:tcBorders>
              <w:top w:val="single" w:sz="4" w:space="0" w:color="auto"/>
              <w:left w:val="single" w:sz="4" w:space="0" w:color="auto"/>
              <w:bottom w:val="single" w:sz="4" w:space="0" w:color="auto"/>
              <w:right w:val="single" w:sz="4" w:space="0" w:color="auto"/>
            </w:tcBorders>
          </w:tcPr>
          <w:p w14:paraId="040C932E" w14:textId="77777777" w:rsidR="008E3703" w:rsidRPr="00330A40" w:rsidRDefault="008E3703" w:rsidP="0011036F">
            <w:pPr>
              <w:keepNext/>
              <w:keepLines/>
              <w:jc w:val="center"/>
              <w:rPr>
                <w:szCs w:val="22"/>
                <w:lang w:val="it-IT" w:eastAsia="zh-CN"/>
              </w:rPr>
            </w:pPr>
            <w:r w:rsidRPr="00330A40">
              <w:rPr>
                <w:szCs w:val="22"/>
                <w:lang w:val="it-IT"/>
              </w:rPr>
              <w:t>0,</w:t>
            </w:r>
            <w:r w:rsidR="008E73A8" w:rsidRPr="00330A40">
              <w:rPr>
                <w:szCs w:val="22"/>
                <w:lang w:val="it-IT"/>
              </w:rPr>
              <w:t>53</w:t>
            </w:r>
            <w:r w:rsidRPr="00330A40">
              <w:rPr>
                <w:szCs w:val="22"/>
                <w:lang w:val="it-IT"/>
              </w:rPr>
              <w:t xml:space="preserve"> [0,3</w:t>
            </w:r>
            <w:r w:rsidR="008E73A8" w:rsidRPr="00330A40">
              <w:rPr>
                <w:szCs w:val="22"/>
                <w:lang w:val="it-IT"/>
              </w:rPr>
              <w:t>6</w:t>
            </w:r>
            <w:r w:rsidRPr="00330A40">
              <w:rPr>
                <w:szCs w:val="22"/>
                <w:lang w:val="it-IT"/>
              </w:rPr>
              <w:t>; 0,</w:t>
            </w:r>
            <w:r w:rsidR="008E73A8" w:rsidRPr="00330A40">
              <w:rPr>
                <w:szCs w:val="22"/>
                <w:lang w:val="it-IT"/>
              </w:rPr>
              <w:t>77</w:t>
            </w:r>
            <w:r w:rsidRPr="00330A40">
              <w:rPr>
                <w:szCs w:val="22"/>
                <w:lang w:val="it-IT"/>
              </w:rPr>
              <w:t>]</w:t>
            </w:r>
          </w:p>
        </w:tc>
      </w:tr>
      <w:tr w:rsidR="008E73A8" w:rsidRPr="006A2BF9" w14:paraId="7DB6A889" w14:textId="77777777" w:rsidTr="002C7DCE">
        <w:tc>
          <w:tcPr>
            <w:tcW w:w="2972" w:type="dxa"/>
            <w:tcBorders>
              <w:top w:val="single" w:sz="4" w:space="0" w:color="auto"/>
              <w:left w:val="single" w:sz="4" w:space="0" w:color="auto"/>
              <w:bottom w:val="single" w:sz="4" w:space="0" w:color="auto"/>
              <w:right w:val="single" w:sz="4" w:space="0" w:color="auto"/>
            </w:tcBorders>
          </w:tcPr>
          <w:p w14:paraId="7D28A61B" w14:textId="77777777" w:rsidR="008E73A8" w:rsidRPr="006A2BF9" w:rsidRDefault="008E73A8" w:rsidP="0011036F">
            <w:pPr>
              <w:pStyle w:val="TableText10"/>
              <w:keepNext/>
              <w:keepLines/>
              <w:spacing w:line="280" w:lineRule="atLeast"/>
              <w:jc w:val="center"/>
              <w:rPr>
                <w:sz w:val="22"/>
                <w:szCs w:val="22"/>
                <w:lang w:val="it-IT"/>
              </w:rPr>
            </w:pPr>
            <w:r w:rsidRPr="006A2BF9">
              <w:rPr>
                <w:szCs w:val="22"/>
                <w:lang w:val="it-IT"/>
              </w:rPr>
              <w:t xml:space="preserve">OS </w:t>
            </w:r>
            <w:r w:rsidR="00BD598C">
              <w:rPr>
                <w:szCs w:val="22"/>
                <w:lang w:val="it-IT"/>
              </w:rPr>
              <w:t>m</w:t>
            </w:r>
            <w:r w:rsidRPr="006A2BF9">
              <w:rPr>
                <w:szCs w:val="22"/>
                <w:lang w:val="it-IT"/>
              </w:rPr>
              <w:t>ediana (mesi)</w:t>
            </w:r>
          </w:p>
        </w:tc>
        <w:tc>
          <w:tcPr>
            <w:tcW w:w="3081" w:type="dxa"/>
            <w:tcBorders>
              <w:top w:val="single" w:sz="4" w:space="0" w:color="auto"/>
              <w:left w:val="single" w:sz="4" w:space="0" w:color="auto"/>
              <w:bottom w:val="single" w:sz="4" w:space="0" w:color="auto"/>
              <w:right w:val="single" w:sz="4" w:space="0" w:color="auto"/>
            </w:tcBorders>
          </w:tcPr>
          <w:p w14:paraId="1B7959B7" w14:textId="77777777" w:rsidR="008E73A8" w:rsidRPr="006A2BF9" w:rsidRDefault="008E73A8" w:rsidP="008856B1">
            <w:pPr>
              <w:keepNext/>
              <w:keepLines/>
              <w:jc w:val="center"/>
              <w:rPr>
                <w:szCs w:val="22"/>
                <w:lang w:val="it-IT"/>
              </w:rPr>
            </w:pPr>
            <w:r w:rsidRPr="006A2BF9">
              <w:rPr>
                <w:szCs w:val="22"/>
                <w:lang w:val="it-IT"/>
              </w:rPr>
              <w:t>14</w:t>
            </w:r>
            <w:r w:rsidR="008856B1" w:rsidRPr="006A2BF9">
              <w:rPr>
                <w:szCs w:val="22"/>
                <w:lang w:val="it-IT"/>
              </w:rPr>
              <w:t>,</w:t>
            </w:r>
            <w:r w:rsidRPr="006A2BF9">
              <w:rPr>
                <w:szCs w:val="22"/>
                <w:lang w:val="it-IT"/>
              </w:rPr>
              <w:t>1</w:t>
            </w:r>
          </w:p>
        </w:tc>
        <w:tc>
          <w:tcPr>
            <w:tcW w:w="2452" w:type="dxa"/>
            <w:tcBorders>
              <w:top w:val="single" w:sz="4" w:space="0" w:color="auto"/>
              <w:left w:val="single" w:sz="4" w:space="0" w:color="auto"/>
              <w:bottom w:val="single" w:sz="4" w:space="0" w:color="auto"/>
              <w:right w:val="single" w:sz="4" w:space="0" w:color="auto"/>
            </w:tcBorders>
          </w:tcPr>
          <w:p w14:paraId="1973775B" w14:textId="77777777" w:rsidR="008E73A8" w:rsidRPr="006A2BF9" w:rsidRDefault="008E73A8" w:rsidP="0011036F">
            <w:pPr>
              <w:keepNext/>
              <w:keepLines/>
              <w:jc w:val="center"/>
              <w:rPr>
                <w:szCs w:val="22"/>
                <w:lang w:val="it-IT"/>
              </w:rPr>
            </w:pPr>
            <w:r w:rsidRPr="006A2BF9">
              <w:rPr>
                <w:szCs w:val="22"/>
                <w:lang w:val="it-IT"/>
              </w:rPr>
              <w:t>13,7</w:t>
            </w:r>
          </w:p>
        </w:tc>
      </w:tr>
      <w:tr w:rsidR="008E73A8" w:rsidRPr="006A2BF9" w14:paraId="40E32965" w14:textId="77777777" w:rsidTr="00CC1687">
        <w:tc>
          <w:tcPr>
            <w:tcW w:w="2972" w:type="dxa"/>
            <w:tcBorders>
              <w:top w:val="single" w:sz="4" w:space="0" w:color="auto"/>
              <w:left w:val="single" w:sz="4" w:space="0" w:color="auto"/>
              <w:bottom w:val="single" w:sz="4" w:space="0" w:color="auto"/>
              <w:right w:val="single" w:sz="4" w:space="0" w:color="auto"/>
            </w:tcBorders>
          </w:tcPr>
          <w:p w14:paraId="636C7EBD" w14:textId="77777777" w:rsidR="008E73A8" w:rsidRPr="00330A40" w:rsidRDefault="008E73A8" w:rsidP="0011036F">
            <w:pPr>
              <w:pStyle w:val="TableText10"/>
              <w:keepNext/>
              <w:keepLines/>
              <w:spacing w:line="280" w:lineRule="atLeast"/>
              <w:jc w:val="center"/>
              <w:rPr>
                <w:sz w:val="22"/>
                <w:szCs w:val="22"/>
                <w:lang w:val="it-IT"/>
              </w:rPr>
            </w:pPr>
            <w:r w:rsidRPr="000F0246">
              <w:rPr>
                <w:i/>
                <w:szCs w:val="22"/>
                <w:lang w:val="it-IT"/>
              </w:rPr>
              <w:t>Hazard ratio</w:t>
            </w:r>
            <w:r w:rsidRPr="00330A40">
              <w:rPr>
                <w:szCs w:val="22"/>
                <w:lang w:val="it-IT"/>
              </w:rPr>
              <w:t xml:space="preserve"> </w:t>
            </w:r>
            <w:r w:rsidR="00996C58" w:rsidRPr="00330A40">
              <w:rPr>
                <w:szCs w:val="22"/>
                <w:lang w:val="it-IT"/>
              </w:rPr>
              <w:t>(</w:t>
            </w:r>
            <w:r w:rsidR="00340523" w:rsidRPr="00330A40">
              <w:rPr>
                <w:szCs w:val="22"/>
                <w:lang w:val="it-IT"/>
              </w:rPr>
              <w:t xml:space="preserve">IC </w:t>
            </w:r>
            <w:r w:rsidR="00831FDE">
              <w:rPr>
                <w:szCs w:val="22"/>
                <w:lang w:val="it-IT"/>
              </w:rPr>
              <w:t xml:space="preserve">al </w:t>
            </w:r>
            <w:r w:rsidR="00996C58" w:rsidRPr="00330A40">
              <w:rPr>
                <w:szCs w:val="22"/>
                <w:lang w:val="it-IT"/>
              </w:rPr>
              <w:t>95%</w:t>
            </w:r>
            <w:r w:rsidRPr="00330A40">
              <w:rPr>
                <w:szCs w:val="22"/>
                <w:lang w:val="it-IT"/>
              </w:rPr>
              <w:t>)</w:t>
            </w:r>
          </w:p>
        </w:tc>
        <w:tc>
          <w:tcPr>
            <w:tcW w:w="5533" w:type="dxa"/>
            <w:gridSpan w:val="2"/>
            <w:tcBorders>
              <w:top w:val="single" w:sz="4" w:space="0" w:color="auto"/>
              <w:left w:val="single" w:sz="4" w:space="0" w:color="auto"/>
              <w:bottom w:val="single" w:sz="4" w:space="0" w:color="auto"/>
              <w:right w:val="single" w:sz="4" w:space="0" w:color="auto"/>
            </w:tcBorders>
          </w:tcPr>
          <w:p w14:paraId="5446F2F3" w14:textId="77777777" w:rsidR="008E73A8" w:rsidRPr="00330A40" w:rsidRDefault="008E73A8" w:rsidP="0011036F">
            <w:pPr>
              <w:keepNext/>
              <w:keepLines/>
              <w:jc w:val="center"/>
              <w:rPr>
                <w:szCs w:val="22"/>
                <w:lang w:val="it-IT"/>
              </w:rPr>
            </w:pPr>
            <w:r w:rsidRPr="00330A40">
              <w:rPr>
                <w:szCs w:val="22"/>
                <w:lang w:val="it-IT"/>
              </w:rPr>
              <w:t>0</w:t>
            </w:r>
            <w:r w:rsidR="00066295" w:rsidRPr="00330A40">
              <w:rPr>
                <w:szCs w:val="22"/>
                <w:lang w:val="it-IT"/>
              </w:rPr>
              <w:t>,</w:t>
            </w:r>
            <w:r w:rsidRPr="00330A40">
              <w:rPr>
                <w:szCs w:val="22"/>
                <w:lang w:val="it-IT"/>
              </w:rPr>
              <w:t>91 [0</w:t>
            </w:r>
            <w:r w:rsidR="00E14086" w:rsidRPr="00330A40">
              <w:rPr>
                <w:szCs w:val="22"/>
                <w:lang w:val="it-IT"/>
              </w:rPr>
              <w:t>,</w:t>
            </w:r>
            <w:r w:rsidRPr="00330A40">
              <w:rPr>
                <w:szCs w:val="22"/>
                <w:lang w:val="it-IT"/>
              </w:rPr>
              <w:t>61</w:t>
            </w:r>
            <w:r w:rsidR="00066295" w:rsidRPr="00330A40">
              <w:rPr>
                <w:szCs w:val="22"/>
                <w:lang w:val="it-IT"/>
              </w:rPr>
              <w:t>;</w:t>
            </w:r>
            <w:r w:rsidRPr="00330A40">
              <w:rPr>
                <w:szCs w:val="22"/>
                <w:lang w:val="it-IT"/>
              </w:rPr>
              <w:t xml:space="preserve"> 1</w:t>
            </w:r>
            <w:r w:rsidR="00066295" w:rsidRPr="00330A40">
              <w:rPr>
                <w:szCs w:val="22"/>
                <w:lang w:val="it-IT"/>
              </w:rPr>
              <w:t>,</w:t>
            </w:r>
            <w:r w:rsidRPr="00330A40">
              <w:rPr>
                <w:szCs w:val="22"/>
                <w:lang w:val="it-IT"/>
              </w:rPr>
              <w:t>35]</w:t>
            </w:r>
          </w:p>
        </w:tc>
      </w:tr>
    </w:tbl>
    <w:p w14:paraId="65B7EEB7" w14:textId="77777777" w:rsidR="008E3703" w:rsidRPr="006A2BF9" w:rsidRDefault="008E3703" w:rsidP="00570B43">
      <w:pPr>
        <w:keepNext/>
        <w:keepLines/>
        <w:rPr>
          <w:i/>
          <w:u w:val="single"/>
          <w:lang w:val="it-IT"/>
        </w:rPr>
      </w:pPr>
    </w:p>
    <w:p w14:paraId="5C4DD951" w14:textId="77777777" w:rsidR="00C50843" w:rsidRPr="006A2BF9" w:rsidRDefault="004B455F" w:rsidP="00C50843">
      <w:pPr>
        <w:keepNext/>
        <w:outlineLvl w:val="0"/>
        <w:rPr>
          <w:i/>
          <w:u w:val="single"/>
          <w:lang w:val="it-IT"/>
        </w:rPr>
      </w:pPr>
      <w:r w:rsidRPr="006A2BF9">
        <w:rPr>
          <w:i/>
          <w:u w:val="single"/>
          <w:lang w:val="it-IT"/>
        </w:rPr>
        <w:t xml:space="preserve">Cancro </w:t>
      </w:r>
      <w:r w:rsidR="00C50843" w:rsidRPr="006A2BF9">
        <w:rPr>
          <w:i/>
          <w:u w:val="single"/>
          <w:lang w:val="it-IT"/>
        </w:rPr>
        <w:t>della cervice</w:t>
      </w:r>
    </w:p>
    <w:p w14:paraId="3196D56A" w14:textId="77777777" w:rsidR="00C50843" w:rsidRPr="006A2BF9" w:rsidRDefault="00C50843" w:rsidP="00C50843">
      <w:pPr>
        <w:keepNext/>
        <w:ind w:firstLine="567"/>
        <w:outlineLvl w:val="0"/>
        <w:rPr>
          <w:lang w:val="it-IT"/>
        </w:rPr>
      </w:pPr>
    </w:p>
    <w:p w14:paraId="028606F3" w14:textId="77777777" w:rsidR="00C50843" w:rsidRPr="006A2BF9" w:rsidRDefault="00C50843" w:rsidP="00C50843">
      <w:pPr>
        <w:keepNext/>
        <w:outlineLvl w:val="0"/>
        <w:rPr>
          <w:i/>
          <w:lang w:val="it-IT"/>
        </w:rPr>
      </w:pPr>
      <w:r w:rsidRPr="006A2BF9">
        <w:rPr>
          <w:i/>
          <w:lang w:val="it-IT"/>
        </w:rPr>
        <w:t>GOG-0240</w:t>
      </w:r>
    </w:p>
    <w:p w14:paraId="6AC537AC" w14:textId="77777777" w:rsidR="00C50843" w:rsidRPr="006A2BF9" w:rsidRDefault="00C50843" w:rsidP="00C50843">
      <w:pPr>
        <w:keepNext/>
        <w:outlineLvl w:val="0"/>
        <w:rPr>
          <w:lang w:val="it-IT"/>
        </w:rPr>
      </w:pPr>
      <w:r w:rsidRPr="006A2BF9">
        <w:rPr>
          <w:lang w:val="it-IT"/>
        </w:rPr>
        <w:t>L’efficacia e la sicure</w:t>
      </w:r>
      <w:r w:rsidR="002E7A16" w:rsidRPr="006A2BF9">
        <w:rPr>
          <w:lang w:val="it-IT"/>
        </w:rPr>
        <w:t xml:space="preserve">zza di </w:t>
      </w:r>
      <w:r w:rsidR="008856B1" w:rsidRPr="006A2BF9">
        <w:rPr>
          <w:lang w:val="it-IT"/>
        </w:rPr>
        <w:t xml:space="preserve">bevacizumab </w:t>
      </w:r>
      <w:r w:rsidR="002E7A16" w:rsidRPr="006A2BF9">
        <w:rPr>
          <w:lang w:val="it-IT"/>
        </w:rPr>
        <w:t xml:space="preserve">in associazione </w:t>
      </w:r>
      <w:r w:rsidR="004B455F" w:rsidRPr="006A2BF9">
        <w:rPr>
          <w:lang w:val="it-IT"/>
        </w:rPr>
        <w:t xml:space="preserve">a </w:t>
      </w:r>
      <w:r w:rsidRPr="006A2BF9">
        <w:rPr>
          <w:lang w:val="it-IT"/>
        </w:rPr>
        <w:t xml:space="preserve">chemioterapia </w:t>
      </w:r>
      <w:r w:rsidR="00936A9E" w:rsidRPr="006A2BF9">
        <w:rPr>
          <w:lang w:val="it-IT"/>
        </w:rPr>
        <w:t>(paclitaxel e cisplatino o paclitaxel e topotecan) nel trattamento di pazienti affett</w:t>
      </w:r>
      <w:r w:rsidR="0082035C" w:rsidRPr="006A2BF9">
        <w:rPr>
          <w:lang w:val="it-IT"/>
        </w:rPr>
        <w:t>e</w:t>
      </w:r>
      <w:r w:rsidR="00936A9E" w:rsidRPr="006A2BF9">
        <w:rPr>
          <w:lang w:val="it-IT"/>
        </w:rPr>
        <w:t xml:space="preserve"> da </w:t>
      </w:r>
      <w:r w:rsidR="00806E4B" w:rsidRPr="006A2BF9">
        <w:rPr>
          <w:lang w:val="it-IT"/>
        </w:rPr>
        <w:t xml:space="preserve">cancro </w:t>
      </w:r>
      <w:r w:rsidR="00936A9E" w:rsidRPr="006A2BF9">
        <w:rPr>
          <w:lang w:val="it-IT"/>
        </w:rPr>
        <w:t xml:space="preserve">della cervice persistente, </w:t>
      </w:r>
      <w:r w:rsidR="00053210" w:rsidRPr="006A2BF9">
        <w:rPr>
          <w:lang w:val="it-IT"/>
        </w:rPr>
        <w:t>ricorrente</w:t>
      </w:r>
      <w:r w:rsidR="00936A9E" w:rsidRPr="006A2BF9">
        <w:rPr>
          <w:lang w:val="it-IT"/>
        </w:rPr>
        <w:t xml:space="preserve"> o metastatico sono state analizzate </w:t>
      </w:r>
      <w:r w:rsidR="008457A4" w:rsidRPr="006A2BF9">
        <w:rPr>
          <w:lang w:val="it-IT"/>
        </w:rPr>
        <w:t>nella sperimentazione</w:t>
      </w:r>
      <w:r w:rsidR="00936A9E" w:rsidRPr="006A2BF9">
        <w:rPr>
          <w:lang w:val="it-IT"/>
        </w:rPr>
        <w:t xml:space="preserve"> GOG-0240, </w:t>
      </w:r>
      <w:r w:rsidR="008457A4" w:rsidRPr="006A2BF9">
        <w:rPr>
          <w:lang w:val="it-IT"/>
        </w:rPr>
        <w:t>uno studio</w:t>
      </w:r>
      <w:r w:rsidR="00936A9E" w:rsidRPr="006A2BF9">
        <w:rPr>
          <w:lang w:val="it-IT"/>
        </w:rPr>
        <w:t xml:space="preserve"> </w:t>
      </w:r>
      <w:r w:rsidR="008457A4" w:rsidRPr="006A2BF9">
        <w:rPr>
          <w:lang w:val="it-IT"/>
        </w:rPr>
        <w:t>di fase</w:t>
      </w:r>
      <w:r w:rsidR="008856B1" w:rsidRPr="006A2BF9">
        <w:rPr>
          <w:lang w:val="it-IT"/>
        </w:rPr>
        <w:t> </w:t>
      </w:r>
      <w:r w:rsidR="008457A4" w:rsidRPr="006A2BF9">
        <w:rPr>
          <w:lang w:val="it-IT"/>
        </w:rPr>
        <w:t xml:space="preserve">III, </w:t>
      </w:r>
      <w:r w:rsidR="00936A9E" w:rsidRPr="006A2BF9">
        <w:rPr>
          <w:lang w:val="it-IT"/>
        </w:rPr>
        <w:t>randomizzat</w:t>
      </w:r>
      <w:r w:rsidR="008457A4" w:rsidRPr="006A2BF9">
        <w:rPr>
          <w:lang w:val="it-IT"/>
        </w:rPr>
        <w:t>o, a quattro bracci, in aperto e multicentrico.</w:t>
      </w:r>
    </w:p>
    <w:p w14:paraId="2AF59F73" w14:textId="77777777" w:rsidR="00C50843" w:rsidRPr="006A2BF9" w:rsidRDefault="00C50843" w:rsidP="00C50843">
      <w:pPr>
        <w:keepNext/>
        <w:outlineLvl w:val="0"/>
        <w:rPr>
          <w:lang w:val="it-IT"/>
        </w:rPr>
      </w:pPr>
    </w:p>
    <w:p w14:paraId="2BF2C0CA" w14:textId="77777777" w:rsidR="008457A4" w:rsidRPr="006A2BF9" w:rsidRDefault="008457A4" w:rsidP="00C50843">
      <w:pPr>
        <w:keepNext/>
        <w:outlineLvl w:val="0"/>
        <w:rPr>
          <w:lang w:val="it-IT"/>
        </w:rPr>
      </w:pPr>
      <w:r w:rsidRPr="006A2BF9">
        <w:rPr>
          <w:lang w:val="it-IT"/>
        </w:rPr>
        <w:t>Complessivamente 452</w:t>
      </w:r>
      <w:r w:rsidR="008856B1" w:rsidRPr="006A2BF9">
        <w:rPr>
          <w:lang w:val="it-IT"/>
        </w:rPr>
        <w:t> </w:t>
      </w:r>
      <w:r w:rsidRPr="006A2BF9">
        <w:rPr>
          <w:lang w:val="it-IT"/>
        </w:rPr>
        <w:t>pazienti sono stat</w:t>
      </w:r>
      <w:r w:rsidR="0082035C" w:rsidRPr="006A2BF9">
        <w:rPr>
          <w:lang w:val="it-IT"/>
        </w:rPr>
        <w:t>e</w:t>
      </w:r>
      <w:r w:rsidRPr="006A2BF9">
        <w:rPr>
          <w:lang w:val="it-IT"/>
        </w:rPr>
        <w:t xml:space="preserve"> randomizzat</w:t>
      </w:r>
      <w:r w:rsidR="0082035C" w:rsidRPr="006A2BF9">
        <w:rPr>
          <w:lang w:val="it-IT"/>
        </w:rPr>
        <w:t>e</w:t>
      </w:r>
      <w:r w:rsidRPr="006A2BF9">
        <w:rPr>
          <w:lang w:val="it-IT"/>
        </w:rPr>
        <w:t xml:space="preserve"> al trattamento con:</w:t>
      </w:r>
    </w:p>
    <w:p w14:paraId="1ADAE033" w14:textId="77777777" w:rsidR="00C50843" w:rsidRPr="006A2BF9" w:rsidRDefault="00C50843" w:rsidP="00C50843">
      <w:pPr>
        <w:keepNext/>
        <w:outlineLvl w:val="0"/>
        <w:rPr>
          <w:lang w:val="it-IT"/>
        </w:rPr>
      </w:pPr>
    </w:p>
    <w:p w14:paraId="59D7BDB2" w14:textId="77777777" w:rsidR="00C50843" w:rsidRPr="00330A40" w:rsidRDefault="00D33A78" w:rsidP="00C65E97">
      <w:pPr>
        <w:keepNext/>
        <w:ind w:left="567" w:hanging="567"/>
        <w:outlineLvl w:val="0"/>
        <w:rPr>
          <w:lang w:val="it-IT"/>
        </w:rPr>
      </w:pPr>
      <w:r w:rsidRPr="00330A40">
        <w:rPr>
          <w:lang w:val="it-IT"/>
        </w:rPr>
        <w:sym w:font="Symbol" w:char="F0B7"/>
      </w:r>
      <w:r w:rsidRPr="00330A40">
        <w:rPr>
          <w:lang w:val="it-IT"/>
        </w:rPr>
        <w:tab/>
      </w:r>
      <w:r w:rsidR="00806E4B" w:rsidRPr="00330A40">
        <w:rPr>
          <w:lang w:val="it-IT"/>
        </w:rPr>
        <w:t xml:space="preserve">paclitaxel </w:t>
      </w:r>
      <w:r w:rsidR="00C50843" w:rsidRPr="00330A40">
        <w:rPr>
          <w:lang w:val="it-IT"/>
        </w:rPr>
        <w:t>135</w:t>
      </w:r>
      <w:r w:rsidR="008856B1" w:rsidRPr="00330A40">
        <w:rPr>
          <w:lang w:val="it-IT"/>
        </w:rPr>
        <w:t> </w:t>
      </w:r>
      <w:r w:rsidR="00C50843" w:rsidRPr="00330A40">
        <w:rPr>
          <w:lang w:val="it-IT"/>
        </w:rPr>
        <w:t>mg/m</w:t>
      </w:r>
      <w:r w:rsidR="00C50843" w:rsidRPr="00330A40">
        <w:rPr>
          <w:vertAlign w:val="superscript"/>
          <w:lang w:val="it-IT"/>
        </w:rPr>
        <w:t>2</w:t>
      </w:r>
      <w:r w:rsidR="00C50843" w:rsidRPr="00330A40">
        <w:rPr>
          <w:lang w:val="it-IT"/>
        </w:rPr>
        <w:t xml:space="preserve"> </w:t>
      </w:r>
      <w:r w:rsidR="00BD598C">
        <w:rPr>
          <w:lang w:val="it-IT"/>
        </w:rPr>
        <w:t xml:space="preserve">per via endovenosa </w:t>
      </w:r>
      <w:r w:rsidR="008457A4" w:rsidRPr="00330A40">
        <w:rPr>
          <w:lang w:val="it-IT"/>
        </w:rPr>
        <w:t>nell’arco di</w:t>
      </w:r>
      <w:r w:rsidR="00C50843" w:rsidRPr="00330A40">
        <w:rPr>
          <w:lang w:val="it-IT"/>
        </w:rPr>
        <w:t xml:space="preserve"> 24</w:t>
      </w:r>
      <w:r w:rsidR="008856B1" w:rsidRPr="00330A40">
        <w:rPr>
          <w:lang w:val="it-IT"/>
        </w:rPr>
        <w:t> </w:t>
      </w:r>
      <w:r w:rsidR="008457A4" w:rsidRPr="00330A40">
        <w:rPr>
          <w:lang w:val="it-IT"/>
        </w:rPr>
        <w:t>ore</w:t>
      </w:r>
      <w:r w:rsidR="00C50843" w:rsidRPr="00330A40">
        <w:rPr>
          <w:lang w:val="it-IT"/>
        </w:rPr>
        <w:t xml:space="preserve"> </w:t>
      </w:r>
      <w:r w:rsidR="008457A4" w:rsidRPr="00330A40">
        <w:rPr>
          <w:lang w:val="it-IT"/>
        </w:rPr>
        <w:t>al Giorno</w:t>
      </w:r>
      <w:r w:rsidR="008856B1" w:rsidRPr="00330A40">
        <w:rPr>
          <w:lang w:val="it-IT"/>
        </w:rPr>
        <w:t> </w:t>
      </w:r>
      <w:r w:rsidR="00C50843" w:rsidRPr="00330A40">
        <w:rPr>
          <w:lang w:val="it-IT"/>
        </w:rPr>
        <w:t xml:space="preserve">1 </w:t>
      </w:r>
      <w:r w:rsidR="008457A4" w:rsidRPr="00330A40">
        <w:rPr>
          <w:lang w:val="it-IT"/>
        </w:rPr>
        <w:t>e</w:t>
      </w:r>
      <w:r w:rsidR="00C50843" w:rsidRPr="00330A40">
        <w:rPr>
          <w:lang w:val="it-IT"/>
        </w:rPr>
        <w:t xml:space="preserve"> cisplatin</w:t>
      </w:r>
      <w:r w:rsidR="008457A4" w:rsidRPr="00330A40">
        <w:rPr>
          <w:lang w:val="it-IT"/>
        </w:rPr>
        <w:t>o</w:t>
      </w:r>
      <w:r w:rsidR="00C50843" w:rsidRPr="00330A40">
        <w:rPr>
          <w:lang w:val="it-IT"/>
        </w:rPr>
        <w:t xml:space="preserve"> 50</w:t>
      </w:r>
      <w:r w:rsidR="008856B1" w:rsidRPr="00330A40">
        <w:rPr>
          <w:lang w:val="it-IT"/>
        </w:rPr>
        <w:t> </w:t>
      </w:r>
      <w:r w:rsidR="00C50843" w:rsidRPr="00330A40">
        <w:rPr>
          <w:lang w:val="it-IT"/>
        </w:rPr>
        <w:t>mg/m</w:t>
      </w:r>
      <w:r w:rsidR="00C50843" w:rsidRPr="00330A40">
        <w:rPr>
          <w:vertAlign w:val="superscript"/>
          <w:lang w:val="it-IT"/>
        </w:rPr>
        <w:t>2</w:t>
      </w:r>
      <w:r w:rsidR="00C50843" w:rsidRPr="00330A40">
        <w:rPr>
          <w:lang w:val="it-IT"/>
        </w:rPr>
        <w:t xml:space="preserve"> </w:t>
      </w:r>
      <w:r w:rsidR="00BD598C">
        <w:rPr>
          <w:lang w:val="it-IT"/>
        </w:rPr>
        <w:t xml:space="preserve">per via endovenosa </w:t>
      </w:r>
      <w:r w:rsidR="008457A4" w:rsidRPr="00330A40">
        <w:rPr>
          <w:lang w:val="it-IT"/>
        </w:rPr>
        <w:t>al Giorno</w:t>
      </w:r>
      <w:r w:rsidR="008856B1" w:rsidRPr="00330A40">
        <w:rPr>
          <w:lang w:val="it-IT"/>
        </w:rPr>
        <w:t> </w:t>
      </w:r>
      <w:r w:rsidR="00C50843" w:rsidRPr="00330A40">
        <w:rPr>
          <w:lang w:val="it-IT"/>
        </w:rPr>
        <w:t xml:space="preserve">2, </w:t>
      </w:r>
      <w:r w:rsidR="008457A4" w:rsidRPr="00330A40">
        <w:rPr>
          <w:lang w:val="it-IT"/>
        </w:rPr>
        <w:t>ogni</w:t>
      </w:r>
      <w:r w:rsidR="00C50843" w:rsidRPr="00330A40">
        <w:rPr>
          <w:lang w:val="it-IT"/>
        </w:rPr>
        <w:t xml:space="preserve"> 3</w:t>
      </w:r>
      <w:r w:rsidR="008856B1" w:rsidRPr="00330A40">
        <w:rPr>
          <w:lang w:val="it-IT"/>
        </w:rPr>
        <w:t> </w:t>
      </w:r>
      <w:r w:rsidR="008457A4" w:rsidRPr="00330A40">
        <w:rPr>
          <w:lang w:val="it-IT"/>
        </w:rPr>
        <w:t>settimane (q3w); o</w:t>
      </w:r>
    </w:p>
    <w:p w14:paraId="44954635" w14:textId="77777777" w:rsidR="00C50843" w:rsidRPr="006A2BF9" w:rsidRDefault="00806E4B" w:rsidP="00C65E97">
      <w:pPr>
        <w:keepNext/>
        <w:ind w:left="567" w:hanging="6"/>
        <w:outlineLvl w:val="0"/>
        <w:rPr>
          <w:lang w:val="it-IT"/>
        </w:rPr>
      </w:pPr>
      <w:r w:rsidRPr="006A2BF9">
        <w:rPr>
          <w:lang w:val="it-IT"/>
        </w:rPr>
        <w:t xml:space="preserve">paclitaxel </w:t>
      </w:r>
      <w:r w:rsidR="00C50843" w:rsidRPr="006A2BF9">
        <w:rPr>
          <w:lang w:val="it-IT"/>
        </w:rPr>
        <w:t>175</w:t>
      </w:r>
      <w:r w:rsidR="008856B1" w:rsidRPr="006A2BF9">
        <w:rPr>
          <w:lang w:val="it-IT"/>
        </w:rPr>
        <w:t> </w:t>
      </w:r>
      <w:r w:rsidR="00C50843" w:rsidRPr="006A2BF9">
        <w:rPr>
          <w:lang w:val="it-IT"/>
        </w:rPr>
        <w:t>mg/m</w:t>
      </w:r>
      <w:r w:rsidR="00C50843" w:rsidRPr="006A2BF9">
        <w:rPr>
          <w:vertAlign w:val="superscript"/>
          <w:lang w:val="it-IT"/>
        </w:rPr>
        <w:t>2</w:t>
      </w:r>
      <w:r w:rsidR="00C50843" w:rsidRPr="006A2BF9">
        <w:rPr>
          <w:lang w:val="it-IT"/>
        </w:rPr>
        <w:t xml:space="preserve"> </w:t>
      </w:r>
      <w:r w:rsidR="00BD598C">
        <w:rPr>
          <w:lang w:val="it-IT"/>
        </w:rPr>
        <w:t xml:space="preserve">per via endovenosa </w:t>
      </w:r>
      <w:r w:rsidR="008457A4" w:rsidRPr="006A2BF9">
        <w:rPr>
          <w:lang w:val="it-IT"/>
        </w:rPr>
        <w:t xml:space="preserve">nell’arco di </w:t>
      </w:r>
      <w:r w:rsidR="00C50843" w:rsidRPr="006A2BF9">
        <w:rPr>
          <w:lang w:val="it-IT"/>
        </w:rPr>
        <w:t>3</w:t>
      </w:r>
      <w:r w:rsidR="008856B1" w:rsidRPr="006A2BF9">
        <w:rPr>
          <w:lang w:val="it-IT"/>
        </w:rPr>
        <w:t> </w:t>
      </w:r>
      <w:r w:rsidR="008457A4" w:rsidRPr="006A2BF9">
        <w:rPr>
          <w:lang w:val="it-IT"/>
        </w:rPr>
        <w:t>ore al Giorno</w:t>
      </w:r>
      <w:r w:rsidR="008856B1" w:rsidRPr="006A2BF9">
        <w:rPr>
          <w:lang w:val="it-IT"/>
        </w:rPr>
        <w:t> </w:t>
      </w:r>
      <w:r w:rsidR="008457A4" w:rsidRPr="006A2BF9">
        <w:rPr>
          <w:lang w:val="it-IT"/>
        </w:rPr>
        <w:t xml:space="preserve">1 e cisplatino </w:t>
      </w:r>
      <w:r w:rsidR="00C50843" w:rsidRPr="006A2BF9">
        <w:rPr>
          <w:lang w:val="it-IT"/>
        </w:rPr>
        <w:t>50</w:t>
      </w:r>
      <w:r w:rsidR="008856B1" w:rsidRPr="006A2BF9">
        <w:rPr>
          <w:lang w:val="it-IT"/>
        </w:rPr>
        <w:t> </w:t>
      </w:r>
      <w:r w:rsidR="00C50843" w:rsidRPr="006A2BF9">
        <w:rPr>
          <w:lang w:val="it-IT"/>
        </w:rPr>
        <w:t>mg/m</w:t>
      </w:r>
      <w:r w:rsidR="00C50843" w:rsidRPr="006A2BF9">
        <w:rPr>
          <w:vertAlign w:val="superscript"/>
          <w:lang w:val="it-IT"/>
        </w:rPr>
        <w:t>2</w:t>
      </w:r>
      <w:r w:rsidR="00C50843" w:rsidRPr="006A2BF9">
        <w:rPr>
          <w:lang w:val="it-IT"/>
        </w:rPr>
        <w:t xml:space="preserve"> </w:t>
      </w:r>
      <w:r w:rsidR="00BD598C">
        <w:rPr>
          <w:lang w:val="it-IT"/>
        </w:rPr>
        <w:t xml:space="preserve">per via endovenosa </w:t>
      </w:r>
      <w:r w:rsidR="008457A4" w:rsidRPr="006A2BF9">
        <w:rPr>
          <w:lang w:val="it-IT"/>
        </w:rPr>
        <w:t>al Giorno</w:t>
      </w:r>
      <w:r w:rsidR="008856B1" w:rsidRPr="006A2BF9">
        <w:rPr>
          <w:lang w:val="it-IT"/>
        </w:rPr>
        <w:t> </w:t>
      </w:r>
      <w:r w:rsidR="008457A4" w:rsidRPr="006A2BF9">
        <w:rPr>
          <w:lang w:val="it-IT"/>
        </w:rPr>
        <w:t xml:space="preserve">2 </w:t>
      </w:r>
      <w:r w:rsidR="00C50843" w:rsidRPr="006A2BF9">
        <w:rPr>
          <w:lang w:val="it-IT"/>
        </w:rPr>
        <w:t>(q3w); o</w:t>
      </w:r>
    </w:p>
    <w:p w14:paraId="2DB3325A" w14:textId="77777777" w:rsidR="00C50843" w:rsidRPr="006A2BF9" w:rsidRDefault="00806E4B" w:rsidP="00C65E97">
      <w:pPr>
        <w:keepNext/>
        <w:ind w:left="567" w:hanging="6"/>
        <w:outlineLvl w:val="0"/>
        <w:rPr>
          <w:lang w:val="it-IT"/>
        </w:rPr>
      </w:pPr>
      <w:r w:rsidRPr="006A2BF9">
        <w:rPr>
          <w:lang w:val="it-IT"/>
        </w:rPr>
        <w:t xml:space="preserve">paclitaxel </w:t>
      </w:r>
      <w:r w:rsidR="00C50843" w:rsidRPr="006A2BF9">
        <w:rPr>
          <w:lang w:val="it-IT"/>
        </w:rPr>
        <w:t>175</w:t>
      </w:r>
      <w:r w:rsidR="008856B1" w:rsidRPr="006A2BF9">
        <w:rPr>
          <w:lang w:val="it-IT"/>
        </w:rPr>
        <w:t> </w:t>
      </w:r>
      <w:r w:rsidR="00C50843" w:rsidRPr="006A2BF9">
        <w:rPr>
          <w:lang w:val="it-IT"/>
        </w:rPr>
        <w:t>mg/m</w:t>
      </w:r>
      <w:r w:rsidR="00C50843" w:rsidRPr="006A2BF9">
        <w:rPr>
          <w:vertAlign w:val="superscript"/>
          <w:lang w:val="it-IT"/>
        </w:rPr>
        <w:t>2</w:t>
      </w:r>
      <w:r w:rsidR="00C50843" w:rsidRPr="006A2BF9">
        <w:rPr>
          <w:lang w:val="it-IT"/>
        </w:rPr>
        <w:t xml:space="preserve"> </w:t>
      </w:r>
      <w:r w:rsidR="00BD598C">
        <w:rPr>
          <w:lang w:val="it-IT"/>
        </w:rPr>
        <w:t xml:space="preserve">per via endovenosa </w:t>
      </w:r>
      <w:r w:rsidR="008457A4" w:rsidRPr="006A2BF9">
        <w:rPr>
          <w:lang w:val="it-IT"/>
        </w:rPr>
        <w:t>nell’arco di 3</w:t>
      </w:r>
      <w:r w:rsidR="008856B1" w:rsidRPr="006A2BF9">
        <w:rPr>
          <w:lang w:val="it-IT"/>
        </w:rPr>
        <w:t> </w:t>
      </w:r>
      <w:r w:rsidR="008457A4" w:rsidRPr="006A2BF9">
        <w:rPr>
          <w:lang w:val="it-IT"/>
        </w:rPr>
        <w:t>ore al Giorno</w:t>
      </w:r>
      <w:r w:rsidR="008856B1" w:rsidRPr="006A2BF9">
        <w:rPr>
          <w:lang w:val="it-IT"/>
        </w:rPr>
        <w:t> </w:t>
      </w:r>
      <w:r w:rsidR="008457A4" w:rsidRPr="006A2BF9">
        <w:rPr>
          <w:lang w:val="it-IT"/>
        </w:rPr>
        <w:t xml:space="preserve">1 e cisplatino </w:t>
      </w:r>
      <w:r w:rsidR="00C50843" w:rsidRPr="006A2BF9">
        <w:rPr>
          <w:lang w:val="it-IT"/>
        </w:rPr>
        <w:t>50</w:t>
      </w:r>
      <w:r w:rsidR="008856B1" w:rsidRPr="006A2BF9">
        <w:rPr>
          <w:lang w:val="it-IT"/>
        </w:rPr>
        <w:t> </w:t>
      </w:r>
      <w:r w:rsidR="00C50843" w:rsidRPr="006A2BF9">
        <w:rPr>
          <w:lang w:val="it-IT"/>
        </w:rPr>
        <w:t>mg/m</w:t>
      </w:r>
      <w:r w:rsidR="00C50843" w:rsidRPr="006A2BF9">
        <w:rPr>
          <w:vertAlign w:val="superscript"/>
          <w:lang w:val="it-IT"/>
        </w:rPr>
        <w:t>2</w:t>
      </w:r>
      <w:r w:rsidR="00C50843" w:rsidRPr="006A2BF9">
        <w:rPr>
          <w:lang w:val="it-IT"/>
        </w:rPr>
        <w:t xml:space="preserve"> </w:t>
      </w:r>
      <w:r w:rsidR="00BD598C">
        <w:rPr>
          <w:lang w:val="it-IT"/>
        </w:rPr>
        <w:t xml:space="preserve">per via endovenosa </w:t>
      </w:r>
      <w:r w:rsidR="008457A4" w:rsidRPr="006A2BF9">
        <w:rPr>
          <w:lang w:val="it-IT"/>
        </w:rPr>
        <w:t>al Giorno</w:t>
      </w:r>
      <w:r w:rsidR="008856B1" w:rsidRPr="006A2BF9">
        <w:rPr>
          <w:lang w:val="it-IT"/>
        </w:rPr>
        <w:t> </w:t>
      </w:r>
      <w:r w:rsidR="00C50843" w:rsidRPr="006A2BF9">
        <w:rPr>
          <w:lang w:val="it-IT"/>
        </w:rPr>
        <w:t>1 (q3w)</w:t>
      </w:r>
    </w:p>
    <w:p w14:paraId="4E9F6B08" w14:textId="77777777" w:rsidR="00C50843" w:rsidRPr="006A2BF9" w:rsidRDefault="00C50843" w:rsidP="00C65E97">
      <w:pPr>
        <w:keepNext/>
        <w:ind w:left="567" w:hanging="567"/>
        <w:outlineLvl w:val="0"/>
        <w:rPr>
          <w:lang w:val="it-IT"/>
        </w:rPr>
      </w:pPr>
    </w:p>
    <w:p w14:paraId="54D9DE8F" w14:textId="77777777" w:rsidR="00C50843" w:rsidRPr="00330A40" w:rsidRDefault="00D33A78" w:rsidP="00C65E97">
      <w:pPr>
        <w:keepNext/>
        <w:ind w:left="567" w:hanging="567"/>
        <w:outlineLvl w:val="0"/>
        <w:rPr>
          <w:lang w:val="it-IT"/>
        </w:rPr>
      </w:pPr>
      <w:r w:rsidRPr="00330A40">
        <w:rPr>
          <w:lang w:val="it-IT"/>
        </w:rPr>
        <w:sym w:font="Symbol" w:char="F0B7"/>
      </w:r>
      <w:r w:rsidRPr="00330A40">
        <w:rPr>
          <w:lang w:val="it-IT"/>
        </w:rPr>
        <w:tab/>
      </w:r>
      <w:r w:rsidR="00806E4B" w:rsidRPr="00330A40">
        <w:rPr>
          <w:lang w:val="it-IT"/>
        </w:rPr>
        <w:t xml:space="preserve">paclitaxel </w:t>
      </w:r>
      <w:r w:rsidR="00C50843" w:rsidRPr="00330A40">
        <w:rPr>
          <w:lang w:val="it-IT"/>
        </w:rPr>
        <w:t>135</w:t>
      </w:r>
      <w:r w:rsidR="008856B1" w:rsidRPr="00330A40">
        <w:rPr>
          <w:lang w:val="it-IT"/>
        </w:rPr>
        <w:t> </w:t>
      </w:r>
      <w:r w:rsidR="00C50843" w:rsidRPr="00330A40">
        <w:rPr>
          <w:lang w:val="it-IT"/>
        </w:rPr>
        <w:t>mg/m</w:t>
      </w:r>
      <w:r w:rsidR="00C50843" w:rsidRPr="00330A40">
        <w:rPr>
          <w:vertAlign w:val="superscript"/>
          <w:lang w:val="it-IT"/>
        </w:rPr>
        <w:t>2</w:t>
      </w:r>
      <w:r w:rsidR="00C50843" w:rsidRPr="00330A40">
        <w:rPr>
          <w:lang w:val="it-IT"/>
        </w:rPr>
        <w:t xml:space="preserve"> </w:t>
      </w:r>
      <w:r w:rsidR="00BD598C">
        <w:rPr>
          <w:lang w:val="it-IT"/>
        </w:rPr>
        <w:t xml:space="preserve">per via endovenosa </w:t>
      </w:r>
      <w:r w:rsidR="008457A4" w:rsidRPr="00330A40">
        <w:rPr>
          <w:lang w:val="it-IT"/>
        </w:rPr>
        <w:t>nell’arco di 24</w:t>
      </w:r>
      <w:r w:rsidR="00BE35F3" w:rsidRPr="00330A40">
        <w:rPr>
          <w:lang w:val="it-IT"/>
        </w:rPr>
        <w:t> </w:t>
      </w:r>
      <w:r w:rsidR="008457A4" w:rsidRPr="00330A40">
        <w:rPr>
          <w:lang w:val="it-IT"/>
        </w:rPr>
        <w:t>ore al Giorno</w:t>
      </w:r>
      <w:r w:rsidR="008856B1" w:rsidRPr="00330A40">
        <w:rPr>
          <w:lang w:val="it-IT"/>
        </w:rPr>
        <w:t> </w:t>
      </w:r>
      <w:r w:rsidR="008457A4" w:rsidRPr="00330A40">
        <w:rPr>
          <w:lang w:val="it-IT"/>
        </w:rPr>
        <w:t xml:space="preserve">1 e cisplatino </w:t>
      </w:r>
      <w:r w:rsidR="00C50843" w:rsidRPr="00330A40">
        <w:rPr>
          <w:lang w:val="it-IT"/>
        </w:rPr>
        <w:t>50</w:t>
      </w:r>
      <w:r w:rsidR="008856B1" w:rsidRPr="00330A40">
        <w:rPr>
          <w:lang w:val="it-IT"/>
        </w:rPr>
        <w:t> </w:t>
      </w:r>
      <w:r w:rsidR="00C50843" w:rsidRPr="00330A40">
        <w:rPr>
          <w:lang w:val="it-IT"/>
        </w:rPr>
        <w:t>mg/m</w:t>
      </w:r>
      <w:r w:rsidR="00C50843" w:rsidRPr="00330A40">
        <w:rPr>
          <w:vertAlign w:val="superscript"/>
          <w:lang w:val="it-IT"/>
        </w:rPr>
        <w:t>2</w:t>
      </w:r>
      <w:r w:rsidR="00C50843" w:rsidRPr="00330A40">
        <w:rPr>
          <w:lang w:val="it-IT"/>
        </w:rPr>
        <w:t xml:space="preserve"> </w:t>
      </w:r>
      <w:r w:rsidR="00BD598C">
        <w:rPr>
          <w:lang w:val="it-IT"/>
        </w:rPr>
        <w:t xml:space="preserve">per via endovenosa </w:t>
      </w:r>
      <w:r w:rsidR="008457A4" w:rsidRPr="00330A40">
        <w:rPr>
          <w:lang w:val="it-IT"/>
        </w:rPr>
        <w:t>al Giorno</w:t>
      </w:r>
      <w:r w:rsidR="00BE35F3" w:rsidRPr="00330A40">
        <w:rPr>
          <w:lang w:val="it-IT"/>
        </w:rPr>
        <w:t> </w:t>
      </w:r>
      <w:r w:rsidR="008457A4" w:rsidRPr="00330A40">
        <w:rPr>
          <w:lang w:val="it-IT"/>
        </w:rPr>
        <w:t>2</w:t>
      </w:r>
      <w:r w:rsidR="00BE35F3" w:rsidRPr="00330A40">
        <w:rPr>
          <w:lang w:val="it-IT"/>
        </w:rPr>
        <w:t> </w:t>
      </w:r>
      <w:r w:rsidR="008457A4" w:rsidRPr="00330A40">
        <w:rPr>
          <w:lang w:val="it-IT"/>
        </w:rPr>
        <w:t>+</w:t>
      </w:r>
      <w:r w:rsidR="00BE35F3" w:rsidRPr="00330A40">
        <w:rPr>
          <w:lang w:val="it-IT"/>
        </w:rPr>
        <w:t> </w:t>
      </w:r>
      <w:r w:rsidR="00C50843" w:rsidRPr="00330A40">
        <w:rPr>
          <w:lang w:val="it-IT"/>
        </w:rPr>
        <w:t>bevacizumab 15</w:t>
      </w:r>
      <w:r w:rsidR="008856B1" w:rsidRPr="00330A40">
        <w:rPr>
          <w:lang w:val="it-IT"/>
        </w:rPr>
        <w:t> </w:t>
      </w:r>
      <w:r w:rsidR="00C50843" w:rsidRPr="00330A40">
        <w:rPr>
          <w:lang w:val="it-IT"/>
        </w:rPr>
        <w:t xml:space="preserve">mg/kg </w:t>
      </w:r>
      <w:r w:rsidR="00BD598C">
        <w:rPr>
          <w:lang w:val="it-IT"/>
        </w:rPr>
        <w:t xml:space="preserve">per via endovenosa </w:t>
      </w:r>
      <w:r w:rsidR="008457A4" w:rsidRPr="00330A40">
        <w:rPr>
          <w:lang w:val="it-IT"/>
        </w:rPr>
        <w:t>al Giorno</w:t>
      </w:r>
      <w:r w:rsidR="00BE35F3" w:rsidRPr="00330A40">
        <w:rPr>
          <w:lang w:val="it-IT"/>
        </w:rPr>
        <w:t> </w:t>
      </w:r>
      <w:r w:rsidR="008457A4" w:rsidRPr="00330A40">
        <w:rPr>
          <w:lang w:val="it-IT"/>
        </w:rPr>
        <w:t>2 (q3w); o</w:t>
      </w:r>
    </w:p>
    <w:p w14:paraId="453BE6D2" w14:textId="77777777" w:rsidR="00C50843" w:rsidRPr="006A2BF9" w:rsidRDefault="00806E4B" w:rsidP="00C65E97">
      <w:pPr>
        <w:keepNext/>
        <w:ind w:left="567" w:hanging="6"/>
        <w:outlineLvl w:val="0"/>
        <w:rPr>
          <w:lang w:val="it-IT"/>
        </w:rPr>
      </w:pPr>
      <w:r w:rsidRPr="006A2BF9">
        <w:rPr>
          <w:lang w:val="it-IT"/>
        </w:rPr>
        <w:t xml:space="preserve">paclitaxel </w:t>
      </w:r>
      <w:r w:rsidR="00C50843" w:rsidRPr="006A2BF9">
        <w:rPr>
          <w:lang w:val="it-IT"/>
        </w:rPr>
        <w:t>175</w:t>
      </w:r>
      <w:r w:rsidR="008856B1" w:rsidRPr="006A2BF9">
        <w:rPr>
          <w:lang w:val="it-IT"/>
        </w:rPr>
        <w:t> </w:t>
      </w:r>
      <w:r w:rsidR="00C50843" w:rsidRPr="006A2BF9">
        <w:rPr>
          <w:lang w:val="it-IT"/>
        </w:rPr>
        <w:t>mg/m</w:t>
      </w:r>
      <w:r w:rsidR="00C50843" w:rsidRPr="006A2BF9">
        <w:rPr>
          <w:vertAlign w:val="superscript"/>
          <w:lang w:val="it-IT"/>
        </w:rPr>
        <w:t>2</w:t>
      </w:r>
      <w:r w:rsidR="00C50843" w:rsidRPr="006A2BF9">
        <w:rPr>
          <w:lang w:val="it-IT"/>
        </w:rPr>
        <w:t xml:space="preserve"> </w:t>
      </w:r>
      <w:r w:rsidR="00BD598C">
        <w:rPr>
          <w:lang w:val="it-IT"/>
        </w:rPr>
        <w:t xml:space="preserve">per via endovenosa </w:t>
      </w:r>
      <w:r w:rsidR="008457A4" w:rsidRPr="006A2BF9">
        <w:rPr>
          <w:lang w:val="it-IT"/>
        </w:rPr>
        <w:t>nell’arco di 3</w:t>
      </w:r>
      <w:r w:rsidR="008856B1" w:rsidRPr="006A2BF9">
        <w:rPr>
          <w:lang w:val="it-IT"/>
        </w:rPr>
        <w:t> </w:t>
      </w:r>
      <w:r w:rsidR="008457A4" w:rsidRPr="006A2BF9">
        <w:rPr>
          <w:lang w:val="it-IT"/>
        </w:rPr>
        <w:t>ore al Giorno</w:t>
      </w:r>
      <w:r w:rsidR="008856B1" w:rsidRPr="006A2BF9">
        <w:rPr>
          <w:lang w:val="it-IT"/>
        </w:rPr>
        <w:t> </w:t>
      </w:r>
      <w:r w:rsidR="008457A4" w:rsidRPr="006A2BF9">
        <w:rPr>
          <w:lang w:val="it-IT"/>
        </w:rPr>
        <w:t xml:space="preserve">1 e cisplatino </w:t>
      </w:r>
      <w:r w:rsidR="00C50843" w:rsidRPr="006A2BF9">
        <w:rPr>
          <w:lang w:val="it-IT"/>
        </w:rPr>
        <w:t>50</w:t>
      </w:r>
      <w:r w:rsidR="008856B1" w:rsidRPr="006A2BF9">
        <w:rPr>
          <w:lang w:val="it-IT"/>
        </w:rPr>
        <w:t> </w:t>
      </w:r>
      <w:r w:rsidR="00C50843" w:rsidRPr="006A2BF9">
        <w:rPr>
          <w:lang w:val="it-IT"/>
        </w:rPr>
        <w:t>mg/m</w:t>
      </w:r>
      <w:r w:rsidR="00C50843" w:rsidRPr="006A2BF9">
        <w:rPr>
          <w:vertAlign w:val="superscript"/>
          <w:lang w:val="it-IT"/>
        </w:rPr>
        <w:t>2</w:t>
      </w:r>
      <w:r w:rsidR="00C50843" w:rsidRPr="006A2BF9">
        <w:rPr>
          <w:lang w:val="it-IT"/>
        </w:rPr>
        <w:t xml:space="preserve"> </w:t>
      </w:r>
      <w:r w:rsidR="00BD598C">
        <w:rPr>
          <w:lang w:val="it-IT"/>
        </w:rPr>
        <w:t xml:space="preserve">per via endovenosa </w:t>
      </w:r>
      <w:r w:rsidR="008457A4" w:rsidRPr="006A2BF9">
        <w:rPr>
          <w:lang w:val="it-IT"/>
        </w:rPr>
        <w:t>al Giorno</w:t>
      </w:r>
      <w:r w:rsidR="008856B1" w:rsidRPr="006A2BF9">
        <w:rPr>
          <w:lang w:val="it-IT"/>
        </w:rPr>
        <w:t> </w:t>
      </w:r>
      <w:r w:rsidR="008457A4" w:rsidRPr="006A2BF9">
        <w:rPr>
          <w:lang w:val="it-IT"/>
        </w:rPr>
        <w:t>2</w:t>
      </w:r>
      <w:r w:rsidR="00BE35F3" w:rsidRPr="006A2BF9">
        <w:rPr>
          <w:lang w:val="it-IT"/>
        </w:rPr>
        <w:t> </w:t>
      </w:r>
      <w:r w:rsidR="008457A4" w:rsidRPr="006A2BF9">
        <w:rPr>
          <w:lang w:val="it-IT"/>
        </w:rPr>
        <w:t>+</w:t>
      </w:r>
      <w:r w:rsidR="00BE35F3" w:rsidRPr="006A2BF9">
        <w:rPr>
          <w:lang w:val="it-IT"/>
        </w:rPr>
        <w:t> </w:t>
      </w:r>
      <w:r w:rsidR="00C50843" w:rsidRPr="006A2BF9">
        <w:rPr>
          <w:lang w:val="it-IT"/>
        </w:rPr>
        <w:t>bevacizumab 15</w:t>
      </w:r>
      <w:r w:rsidR="008856B1" w:rsidRPr="006A2BF9">
        <w:rPr>
          <w:lang w:val="it-IT"/>
        </w:rPr>
        <w:t> </w:t>
      </w:r>
      <w:r w:rsidR="00C50843" w:rsidRPr="006A2BF9">
        <w:rPr>
          <w:lang w:val="it-IT"/>
        </w:rPr>
        <w:t xml:space="preserve">mg/kg </w:t>
      </w:r>
      <w:r w:rsidR="00BD598C">
        <w:rPr>
          <w:lang w:val="it-IT"/>
        </w:rPr>
        <w:t>per via endovenosa</w:t>
      </w:r>
      <w:r w:rsidR="008457A4" w:rsidRPr="006A2BF9">
        <w:rPr>
          <w:lang w:val="it-IT"/>
        </w:rPr>
        <w:t xml:space="preserve"> al Giorno</w:t>
      </w:r>
      <w:r w:rsidR="008856B1" w:rsidRPr="006A2BF9">
        <w:rPr>
          <w:lang w:val="it-IT"/>
        </w:rPr>
        <w:t> </w:t>
      </w:r>
      <w:r w:rsidR="008457A4" w:rsidRPr="006A2BF9">
        <w:rPr>
          <w:lang w:val="it-IT"/>
        </w:rPr>
        <w:t>2 (q3w); o</w:t>
      </w:r>
    </w:p>
    <w:p w14:paraId="2612DC15" w14:textId="77777777" w:rsidR="00C50843" w:rsidRPr="006A2BF9" w:rsidRDefault="00806E4B" w:rsidP="00C65E97">
      <w:pPr>
        <w:keepNext/>
        <w:ind w:left="567" w:hanging="6"/>
        <w:outlineLvl w:val="0"/>
        <w:rPr>
          <w:lang w:val="it-IT"/>
        </w:rPr>
      </w:pPr>
      <w:r w:rsidRPr="006A2BF9">
        <w:rPr>
          <w:lang w:val="it-IT"/>
        </w:rPr>
        <w:t xml:space="preserve">paclitaxel </w:t>
      </w:r>
      <w:r w:rsidR="00C50843" w:rsidRPr="006A2BF9">
        <w:rPr>
          <w:lang w:val="it-IT"/>
        </w:rPr>
        <w:t>175</w:t>
      </w:r>
      <w:r w:rsidR="008856B1" w:rsidRPr="006A2BF9">
        <w:rPr>
          <w:lang w:val="it-IT"/>
        </w:rPr>
        <w:t> </w:t>
      </w:r>
      <w:r w:rsidR="00C50843" w:rsidRPr="006A2BF9">
        <w:rPr>
          <w:lang w:val="it-IT"/>
        </w:rPr>
        <w:t>mg/m</w:t>
      </w:r>
      <w:r w:rsidR="00C50843" w:rsidRPr="006A2BF9">
        <w:rPr>
          <w:vertAlign w:val="superscript"/>
          <w:lang w:val="it-IT"/>
        </w:rPr>
        <w:t>2</w:t>
      </w:r>
      <w:r w:rsidR="00C50843" w:rsidRPr="006A2BF9">
        <w:rPr>
          <w:lang w:val="it-IT"/>
        </w:rPr>
        <w:t xml:space="preserve"> </w:t>
      </w:r>
      <w:r w:rsidR="00BD598C">
        <w:rPr>
          <w:lang w:val="it-IT"/>
        </w:rPr>
        <w:t xml:space="preserve">per via endovenosa </w:t>
      </w:r>
      <w:r w:rsidR="008457A4" w:rsidRPr="006A2BF9">
        <w:rPr>
          <w:lang w:val="it-IT"/>
        </w:rPr>
        <w:t>nell’arco di 3</w:t>
      </w:r>
      <w:r w:rsidR="008856B1" w:rsidRPr="006A2BF9">
        <w:rPr>
          <w:lang w:val="it-IT"/>
        </w:rPr>
        <w:t> </w:t>
      </w:r>
      <w:r w:rsidR="008457A4" w:rsidRPr="006A2BF9">
        <w:rPr>
          <w:lang w:val="it-IT"/>
        </w:rPr>
        <w:t>ore al Giorno</w:t>
      </w:r>
      <w:r w:rsidR="008856B1" w:rsidRPr="006A2BF9">
        <w:rPr>
          <w:lang w:val="it-IT"/>
        </w:rPr>
        <w:t> </w:t>
      </w:r>
      <w:r w:rsidR="008457A4" w:rsidRPr="006A2BF9">
        <w:rPr>
          <w:lang w:val="it-IT"/>
        </w:rPr>
        <w:t xml:space="preserve">1 e cisplatino </w:t>
      </w:r>
      <w:r w:rsidR="00C50843" w:rsidRPr="006A2BF9">
        <w:rPr>
          <w:lang w:val="it-IT"/>
        </w:rPr>
        <w:t>50</w:t>
      </w:r>
      <w:r w:rsidR="008856B1" w:rsidRPr="006A2BF9">
        <w:rPr>
          <w:lang w:val="it-IT"/>
        </w:rPr>
        <w:t> </w:t>
      </w:r>
      <w:r w:rsidR="00C50843" w:rsidRPr="006A2BF9">
        <w:rPr>
          <w:lang w:val="it-IT"/>
        </w:rPr>
        <w:t>mg/m</w:t>
      </w:r>
      <w:r w:rsidR="00C50843" w:rsidRPr="006A2BF9">
        <w:rPr>
          <w:vertAlign w:val="superscript"/>
          <w:lang w:val="it-IT"/>
        </w:rPr>
        <w:t>2</w:t>
      </w:r>
      <w:r w:rsidR="00C50843" w:rsidRPr="006A2BF9">
        <w:rPr>
          <w:lang w:val="it-IT"/>
        </w:rPr>
        <w:t xml:space="preserve"> </w:t>
      </w:r>
      <w:r w:rsidR="00BD598C">
        <w:rPr>
          <w:lang w:val="it-IT"/>
        </w:rPr>
        <w:t>per via endovenosa</w:t>
      </w:r>
      <w:r w:rsidR="008457A4" w:rsidRPr="006A2BF9">
        <w:rPr>
          <w:lang w:val="it-IT"/>
        </w:rPr>
        <w:t xml:space="preserve"> al Giorno</w:t>
      </w:r>
      <w:r w:rsidR="008856B1" w:rsidRPr="006A2BF9">
        <w:rPr>
          <w:lang w:val="it-IT"/>
        </w:rPr>
        <w:t> </w:t>
      </w:r>
      <w:r w:rsidR="00C50843" w:rsidRPr="006A2BF9">
        <w:rPr>
          <w:lang w:val="it-IT"/>
        </w:rPr>
        <w:t>1</w:t>
      </w:r>
      <w:r w:rsidR="00BE35F3" w:rsidRPr="006A2BF9">
        <w:rPr>
          <w:lang w:val="it-IT"/>
        </w:rPr>
        <w:t> </w:t>
      </w:r>
      <w:r w:rsidR="008457A4" w:rsidRPr="006A2BF9">
        <w:rPr>
          <w:lang w:val="it-IT"/>
        </w:rPr>
        <w:t>+</w:t>
      </w:r>
      <w:r w:rsidR="00BE35F3" w:rsidRPr="006A2BF9">
        <w:rPr>
          <w:lang w:val="it-IT"/>
        </w:rPr>
        <w:t> </w:t>
      </w:r>
      <w:r w:rsidR="00C50843" w:rsidRPr="006A2BF9">
        <w:rPr>
          <w:lang w:val="it-IT"/>
        </w:rPr>
        <w:t>bevacizumab 15</w:t>
      </w:r>
      <w:r w:rsidR="008856B1" w:rsidRPr="006A2BF9">
        <w:rPr>
          <w:lang w:val="it-IT"/>
        </w:rPr>
        <w:t> </w:t>
      </w:r>
      <w:r w:rsidR="00C50843" w:rsidRPr="006A2BF9">
        <w:rPr>
          <w:lang w:val="it-IT"/>
        </w:rPr>
        <w:t xml:space="preserve">mg/kg </w:t>
      </w:r>
      <w:r w:rsidR="00BD598C">
        <w:rPr>
          <w:lang w:val="it-IT"/>
        </w:rPr>
        <w:t>per via endovenosa</w:t>
      </w:r>
      <w:r w:rsidR="008457A4" w:rsidRPr="006A2BF9">
        <w:rPr>
          <w:lang w:val="it-IT"/>
        </w:rPr>
        <w:t xml:space="preserve"> al Giorno</w:t>
      </w:r>
      <w:r w:rsidR="008856B1" w:rsidRPr="006A2BF9">
        <w:rPr>
          <w:lang w:val="it-IT"/>
        </w:rPr>
        <w:t> </w:t>
      </w:r>
      <w:r w:rsidR="00C50843" w:rsidRPr="006A2BF9">
        <w:rPr>
          <w:lang w:val="it-IT"/>
        </w:rPr>
        <w:t>1 (q3w)</w:t>
      </w:r>
    </w:p>
    <w:p w14:paraId="3C91EAA5" w14:textId="77777777" w:rsidR="00C50843" w:rsidRPr="006A2BF9" w:rsidRDefault="00C50843" w:rsidP="00C65E97">
      <w:pPr>
        <w:keepNext/>
        <w:ind w:left="567" w:hanging="567"/>
        <w:outlineLvl w:val="0"/>
        <w:rPr>
          <w:lang w:val="it-IT"/>
        </w:rPr>
      </w:pPr>
    </w:p>
    <w:p w14:paraId="44E38DB0" w14:textId="77777777" w:rsidR="00C50843" w:rsidRPr="00330A40" w:rsidRDefault="00D33A78" w:rsidP="00C65E97">
      <w:pPr>
        <w:keepNext/>
        <w:ind w:left="567" w:hanging="567"/>
        <w:outlineLvl w:val="0"/>
        <w:rPr>
          <w:lang w:val="it-IT"/>
        </w:rPr>
      </w:pPr>
      <w:r w:rsidRPr="00330A40">
        <w:rPr>
          <w:lang w:val="it-IT"/>
        </w:rPr>
        <w:sym w:font="Symbol" w:char="F0B7"/>
      </w:r>
      <w:r w:rsidRPr="00330A40">
        <w:rPr>
          <w:lang w:val="it-IT"/>
        </w:rPr>
        <w:tab/>
      </w:r>
      <w:r w:rsidR="00806E4B" w:rsidRPr="00330A40">
        <w:rPr>
          <w:lang w:val="it-IT"/>
        </w:rPr>
        <w:t xml:space="preserve">paclitaxel </w:t>
      </w:r>
      <w:r w:rsidR="00C50843" w:rsidRPr="00330A40">
        <w:rPr>
          <w:lang w:val="it-IT"/>
        </w:rPr>
        <w:t>175</w:t>
      </w:r>
      <w:r w:rsidR="008856B1" w:rsidRPr="00330A40">
        <w:rPr>
          <w:lang w:val="it-IT"/>
        </w:rPr>
        <w:t> </w:t>
      </w:r>
      <w:r w:rsidR="00C50843" w:rsidRPr="00330A40">
        <w:rPr>
          <w:lang w:val="it-IT"/>
        </w:rPr>
        <w:t>mg/m</w:t>
      </w:r>
      <w:r w:rsidR="00C50843" w:rsidRPr="00330A40">
        <w:rPr>
          <w:vertAlign w:val="superscript"/>
          <w:lang w:val="it-IT"/>
        </w:rPr>
        <w:t>2</w:t>
      </w:r>
      <w:r w:rsidR="002B3493" w:rsidRPr="00330A40">
        <w:rPr>
          <w:vertAlign w:val="superscript"/>
          <w:lang w:val="it-IT"/>
        </w:rPr>
        <w:t xml:space="preserve"> </w:t>
      </w:r>
      <w:r w:rsidR="00BD598C">
        <w:rPr>
          <w:lang w:val="it-IT"/>
        </w:rPr>
        <w:t xml:space="preserve">per via endovenosa </w:t>
      </w:r>
      <w:r w:rsidR="008457A4" w:rsidRPr="00330A40">
        <w:rPr>
          <w:lang w:val="it-IT"/>
        </w:rPr>
        <w:t>nell’arco di 3</w:t>
      </w:r>
      <w:r w:rsidR="008856B1" w:rsidRPr="00330A40">
        <w:rPr>
          <w:lang w:val="it-IT"/>
        </w:rPr>
        <w:t> </w:t>
      </w:r>
      <w:r w:rsidR="008457A4" w:rsidRPr="00330A40">
        <w:rPr>
          <w:lang w:val="it-IT"/>
        </w:rPr>
        <w:t>ore al Giorno</w:t>
      </w:r>
      <w:r w:rsidR="008856B1" w:rsidRPr="00330A40">
        <w:rPr>
          <w:lang w:val="it-IT"/>
        </w:rPr>
        <w:t> </w:t>
      </w:r>
      <w:r w:rsidR="008457A4" w:rsidRPr="00330A40">
        <w:rPr>
          <w:lang w:val="it-IT"/>
        </w:rPr>
        <w:t>1 e topotecan 0,</w:t>
      </w:r>
      <w:r w:rsidR="00C50843" w:rsidRPr="00330A40">
        <w:rPr>
          <w:lang w:val="it-IT"/>
        </w:rPr>
        <w:t>75</w:t>
      </w:r>
      <w:r w:rsidR="008856B1" w:rsidRPr="00330A40">
        <w:rPr>
          <w:lang w:val="it-IT"/>
        </w:rPr>
        <w:t> </w:t>
      </w:r>
      <w:r w:rsidR="00C50843" w:rsidRPr="00330A40">
        <w:rPr>
          <w:lang w:val="it-IT"/>
        </w:rPr>
        <w:t>mg/m</w:t>
      </w:r>
      <w:r w:rsidR="00C50843" w:rsidRPr="00330A40">
        <w:rPr>
          <w:vertAlign w:val="superscript"/>
          <w:lang w:val="it-IT"/>
        </w:rPr>
        <w:t>2</w:t>
      </w:r>
      <w:r w:rsidR="00C50843" w:rsidRPr="00330A40">
        <w:rPr>
          <w:lang w:val="it-IT"/>
        </w:rPr>
        <w:t xml:space="preserve"> </w:t>
      </w:r>
      <w:r w:rsidR="00BD598C">
        <w:rPr>
          <w:lang w:val="it-IT"/>
        </w:rPr>
        <w:t xml:space="preserve">per via endovenosa </w:t>
      </w:r>
      <w:r w:rsidR="008457A4" w:rsidRPr="00330A40">
        <w:rPr>
          <w:lang w:val="it-IT"/>
        </w:rPr>
        <w:t>nell’arco di</w:t>
      </w:r>
      <w:r w:rsidR="00C50843" w:rsidRPr="00330A40">
        <w:rPr>
          <w:lang w:val="it-IT"/>
        </w:rPr>
        <w:t xml:space="preserve"> 30</w:t>
      </w:r>
      <w:r w:rsidR="008856B1" w:rsidRPr="00330A40">
        <w:rPr>
          <w:lang w:val="it-IT"/>
        </w:rPr>
        <w:t> </w:t>
      </w:r>
      <w:r w:rsidR="00C50843" w:rsidRPr="00330A40">
        <w:rPr>
          <w:lang w:val="it-IT"/>
        </w:rPr>
        <w:t>minut</w:t>
      </w:r>
      <w:r w:rsidR="008457A4" w:rsidRPr="00330A40">
        <w:rPr>
          <w:lang w:val="it-IT"/>
        </w:rPr>
        <w:t>i nei Giorni</w:t>
      </w:r>
      <w:r w:rsidR="008856B1" w:rsidRPr="00330A40">
        <w:rPr>
          <w:lang w:val="it-IT"/>
        </w:rPr>
        <w:t> </w:t>
      </w:r>
      <w:r w:rsidR="00C50843" w:rsidRPr="00330A40">
        <w:rPr>
          <w:lang w:val="it-IT"/>
        </w:rPr>
        <w:t>1</w:t>
      </w:r>
      <w:r w:rsidR="00BE35F3" w:rsidRPr="00330A40">
        <w:rPr>
          <w:lang w:val="it-IT"/>
        </w:rPr>
        <w:noBreakHyphen/>
      </w:r>
      <w:r w:rsidR="00C50843" w:rsidRPr="00330A40">
        <w:rPr>
          <w:lang w:val="it-IT"/>
        </w:rPr>
        <w:t>3 (q3w)</w:t>
      </w:r>
    </w:p>
    <w:p w14:paraId="68BF794B" w14:textId="77777777" w:rsidR="00C50843" w:rsidRPr="00330A40" w:rsidRDefault="00C50843" w:rsidP="00C65E97">
      <w:pPr>
        <w:keepNext/>
        <w:ind w:left="567" w:hanging="567"/>
        <w:outlineLvl w:val="0"/>
        <w:rPr>
          <w:lang w:val="it-IT"/>
        </w:rPr>
      </w:pPr>
    </w:p>
    <w:p w14:paraId="149D22B7" w14:textId="77777777" w:rsidR="00C50843" w:rsidRPr="00330A40" w:rsidRDefault="00D33A78" w:rsidP="00C65E97">
      <w:pPr>
        <w:keepNext/>
        <w:ind w:left="567" w:hanging="567"/>
        <w:outlineLvl w:val="0"/>
        <w:rPr>
          <w:lang w:val="it-IT"/>
        </w:rPr>
      </w:pPr>
      <w:r w:rsidRPr="00330A40">
        <w:rPr>
          <w:lang w:val="it-IT"/>
        </w:rPr>
        <w:sym w:font="Symbol" w:char="F0B7"/>
      </w:r>
      <w:r w:rsidRPr="00330A40">
        <w:rPr>
          <w:lang w:val="it-IT"/>
        </w:rPr>
        <w:tab/>
      </w:r>
      <w:r w:rsidR="00806E4B" w:rsidRPr="00330A40">
        <w:rPr>
          <w:lang w:val="it-IT"/>
        </w:rPr>
        <w:t xml:space="preserve">paclitaxel </w:t>
      </w:r>
      <w:r w:rsidR="00C50843" w:rsidRPr="00330A40">
        <w:rPr>
          <w:lang w:val="it-IT"/>
        </w:rPr>
        <w:t>175</w:t>
      </w:r>
      <w:r w:rsidR="008856B1" w:rsidRPr="00330A40">
        <w:rPr>
          <w:lang w:val="it-IT"/>
        </w:rPr>
        <w:t> </w:t>
      </w:r>
      <w:r w:rsidR="00C50843" w:rsidRPr="00330A40">
        <w:rPr>
          <w:lang w:val="it-IT"/>
        </w:rPr>
        <w:t>mg/m</w:t>
      </w:r>
      <w:r w:rsidR="00C50843" w:rsidRPr="00330A40">
        <w:rPr>
          <w:vertAlign w:val="superscript"/>
          <w:lang w:val="it-IT"/>
        </w:rPr>
        <w:t>2</w:t>
      </w:r>
      <w:r w:rsidR="00C50843" w:rsidRPr="00330A40">
        <w:rPr>
          <w:lang w:val="it-IT"/>
        </w:rPr>
        <w:t xml:space="preserve"> </w:t>
      </w:r>
      <w:r w:rsidR="00BD598C">
        <w:rPr>
          <w:lang w:val="it-IT"/>
        </w:rPr>
        <w:t>per via endovenosa</w:t>
      </w:r>
      <w:r w:rsidR="002B3493" w:rsidRPr="00330A40">
        <w:rPr>
          <w:lang w:val="it-IT"/>
        </w:rPr>
        <w:t xml:space="preserve"> </w:t>
      </w:r>
      <w:r w:rsidR="008457A4" w:rsidRPr="00330A40">
        <w:rPr>
          <w:lang w:val="it-IT"/>
        </w:rPr>
        <w:t>nell’arco di 3</w:t>
      </w:r>
      <w:r w:rsidR="008856B1" w:rsidRPr="00330A40">
        <w:rPr>
          <w:lang w:val="it-IT"/>
        </w:rPr>
        <w:t> </w:t>
      </w:r>
      <w:r w:rsidR="008457A4" w:rsidRPr="00330A40">
        <w:rPr>
          <w:lang w:val="it-IT"/>
        </w:rPr>
        <w:t>ore al Giorno</w:t>
      </w:r>
      <w:r w:rsidR="008856B1" w:rsidRPr="00330A40">
        <w:rPr>
          <w:lang w:val="it-IT"/>
        </w:rPr>
        <w:t> </w:t>
      </w:r>
      <w:r w:rsidR="008457A4" w:rsidRPr="00330A40">
        <w:rPr>
          <w:lang w:val="it-IT"/>
        </w:rPr>
        <w:t>1 e topotecan 0,</w:t>
      </w:r>
      <w:r w:rsidR="00C50843" w:rsidRPr="00330A40">
        <w:rPr>
          <w:lang w:val="it-IT"/>
        </w:rPr>
        <w:t>75</w:t>
      </w:r>
      <w:r w:rsidR="008856B1" w:rsidRPr="00330A40">
        <w:rPr>
          <w:lang w:val="it-IT"/>
        </w:rPr>
        <w:t> </w:t>
      </w:r>
      <w:r w:rsidR="00C50843" w:rsidRPr="00330A40">
        <w:rPr>
          <w:lang w:val="it-IT"/>
        </w:rPr>
        <w:t>mg/m</w:t>
      </w:r>
      <w:r w:rsidR="00C50843" w:rsidRPr="00330A40">
        <w:rPr>
          <w:vertAlign w:val="superscript"/>
          <w:lang w:val="it-IT"/>
        </w:rPr>
        <w:t>2</w:t>
      </w:r>
      <w:r w:rsidR="00C50843" w:rsidRPr="00330A40">
        <w:rPr>
          <w:lang w:val="it-IT"/>
        </w:rPr>
        <w:t xml:space="preserve"> </w:t>
      </w:r>
      <w:r w:rsidR="00BD598C">
        <w:rPr>
          <w:lang w:val="it-IT"/>
        </w:rPr>
        <w:t>per via endovenosa</w:t>
      </w:r>
      <w:r w:rsidR="002B3493" w:rsidRPr="00330A40">
        <w:rPr>
          <w:lang w:val="it-IT"/>
        </w:rPr>
        <w:t xml:space="preserve"> </w:t>
      </w:r>
      <w:r w:rsidR="008457A4" w:rsidRPr="00330A40">
        <w:rPr>
          <w:lang w:val="it-IT"/>
        </w:rPr>
        <w:t>nell’arco di 30</w:t>
      </w:r>
      <w:r w:rsidR="008856B1" w:rsidRPr="00330A40">
        <w:rPr>
          <w:lang w:val="it-IT"/>
        </w:rPr>
        <w:t> </w:t>
      </w:r>
      <w:r w:rsidR="008457A4" w:rsidRPr="00330A40">
        <w:rPr>
          <w:lang w:val="it-IT"/>
        </w:rPr>
        <w:t>minuti nei Giorni</w:t>
      </w:r>
      <w:r w:rsidR="008856B1" w:rsidRPr="00330A40">
        <w:rPr>
          <w:lang w:val="it-IT"/>
        </w:rPr>
        <w:t> </w:t>
      </w:r>
      <w:r w:rsidR="008457A4" w:rsidRPr="00330A40">
        <w:rPr>
          <w:lang w:val="it-IT"/>
        </w:rPr>
        <w:t>1</w:t>
      </w:r>
      <w:r w:rsidR="00BE35F3" w:rsidRPr="00330A40">
        <w:rPr>
          <w:lang w:val="it-IT"/>
        </w:rPr>
        <w:noBreakHyphen/>
      </w:r>
      <w:r w:rsidR="008457A4" w:rsidRPr="00330A40">
        <w:rPr>
          <w:lang w:val="it-IT"/>
        </w:rPr>
        <w:t>3</w:t>
      </w:r>
      <w:r w:rsidR="00BE35F3" w:rsidRPr="00330A40">
        <w:rPr>
          <w:lang w:val="it-IT"/>
        </w:rPr>
        <w:t> </w:t>
      </w:r>
      <w:r w:rsidR="008457A4" w:rsidRPr="00330A40">
        <w:rPr>
          <w:lang w:val="it-IT"/>
        </w:rPr>
        <w:t>+</w:t>
      </w:r>
      <w:r w:rsidR="00BE35F3" w:rsidRPr="00330A40">
        <w:rPr>
          <w:lang w:val="it-IT"/>
        </w:rPr>
        <w:t> </w:t>
      </w:r>
      <w:r w:rsidR="00C50843" w:rsidRPr="00330A40">
        <w:rPr>
          <w:lang w:val="it-IT"/>
        </w:rPr>
        <w:t>bevacizumab 15</w:t>
      </w:r>
      <w:r w:rsidR="008856B1" w:rsidRPr="00330A40">
        <w:rPr>
          <w:lang w:val="it-IT"/>
        </w:rPr>
        <w:t> </w:t>
      </w:r>
      <w:r w:rsidR="00C50843" w:rsidRPr="00330A40">
        <w:rPr>
          <w:lang w:val="it-IT"/>
        </w:rPr>
        <w:t xml:space="preserve">mg/kg </w:t>
      </w:r>
      <w:r w:rsidR="00BD598C">
        <w:rPr>
          <w:lang w:val="it-IT"/>
        </w:rPr>
        <w:t xml:space="preserve">per via endovenosa </w:t>
      </w:r>
      <w:r w:rsidR="008457A4" w:rsidRPr="00330A40">
        <w:rPr>
          <w:lang w:val="it-IT"/>
        </w:rPr>
        <w:t>al Giorno</w:t>
      </w:r>
      <w:r w:rsidR="008856B1" w:rsidRPr="00330A40">
        <w:rPr>
          <w:lang w:val="it-IT"/>
        </w:rPr>
        <w:t> </w:t>
      </w:r>
      <w:r w:rsidR="00C50843" w:rsidRPr="00330A40">
        <w:rPr>
          <w:lang w:val="it-IT"/>
        </w:rPr>
        <w:t>1 (q3w)</w:t>
      </w:r>
      <w:r w:rsidR="008457A4" w:rsidRPr="00330A40">
        <w:rPr>
          <w:lang w:val="it-IT"/>
        </w:rPr>
        <w:t>.</w:t>
      </w:r>
    </w:p>
    <w:p w14:paraId="6B49929B" w14:textId="77777777" w:rsidR="00C50843" w:rsidRPr="00330A40" w:rsidRDefault="00C50843" w:rsidP="00C65E97">
      <w:pPr>
        <w:ind w:left="567" w:hanging="567"/>
        <w:outlineLvl w:val="0"/>
        <w:rPr>
          <w:lang w:val="it-IT"/>
        </w:rPr>
      </w:pPr>
    </w:p>
    <w:p w14:paraId="008A3322" w14:textId="77777777" w:rsidR="008457A4" w:rsidRPr="00330A40" w:rsidRDefault="0082035C" w:rsidP="00806E4B">
      <w:pPr>
        <w:keepNext/>
        <w:keepLines/>
        <w:outlineLvl w:val="0"/>
        <w:rPr>
          <w:color w:val="000000"/>
          <w:lang w:val="it-IT"/>
        </w:rPr>
      </w:pPr>
      <w:r w:rsidRPr="00330A40">
        <w:rPr>
          <w:lang w:val="it-IT"/>
        </w:rPr>
        <w:lastRenderedPageBreak/>
        <w:t xml:space="preserve">Le </w:t>
      </w:r>
      <w:r w:rsidR="008457A4" w:rsidRPr="006A2BF9">
        <w:rPr>
          <w:lang w:val="it-IT"/>
        </w:rPr>
        <w:t xml:space="preserve">pazienti eleggibili presentavano carcinoma </w:t>
      </w:r>
      <w:r w:rsidR="00806E4B" w:rsidRPr="006A2BF9">
        <w:rPr>
          <w:lang w:val="it-IT"/>
        </w:rPr>
        <w:t>a cellule squamose</w:t>
      </w:r>
      <w:r w:rsidR="008457A4" w:rsidRPr="00330A40">
        <w:rPr>
          <w:lang w:val="it-IT"/>
        </w:rPr>
        <w:t xml:space="preserve">, </w:t>
      </w:r>
      <w:r w:rsidR="001D3D9E" w:rsidRPr="00330A40">
        <w:rPr>
          <w:lang w:val="it-IT"/>
        </w:rPr>
        <w:t xml:space="preserve">carcinoma </w:t>
      </w:r>
      <w:r w:rsidR="008457A4" w:rsidRPr="00330A40">
        <w:rPr>
          <w:lang w:val="it-IT"/>
        </w:rPr>
        <w:t>adenosquamoso o</w:t>
      </w:r>
      <w:r w:rsidR="00806E4B" w:rsidRPr="00330A40">
        <w:rPr>
          <w:lang w:val="it-IT"/>
        </w:rPr>
        <w:t xml:space="preserve"> </w:t>
      </w:r>
      <w:r w:rsidR="008457A4" w:rsidRPr="00330A40">
        <w:rPr>
          <w:lang w:val="it-IT"/>
        </w:rPr>
        <w:t xml:space="preserve">adenocarcinoma della cervice persistente, </w:t>
      </w:r>
      <w:r w:rsidR="00053210" w:rsidRPr="00330A40">
        <w:rPr>
          <w:lang w:val="it-IT"/>
        </w:rPr>
        <w:t>ricorrente</w:t>
      </w:r>
      <w:r w:rsidR="008457A4" w:rsidRPr="00330A40">
        <w:rPr>
          <w:lang w:val="it-IT"/>
        </w:rPr>
        <w:t xml:space="preserve"> o metastatico </w:t>
      </w:r>
      <w:r w:rsidR="001D3D9E" w:rsidRPr="00330A40">
        <w:rPr>
          <w:lang w:val="it-IT"/>
        </w:rPr>
        <w:t>non suscettibile di trattamento con</w:t>
      </w:r>
      <w:r w:rsidR="00806E4B" w:rsidRPr="00330A40">
        <w:rPr>
          <w:lang w:val="it-IT"/>
        </w:rPr>
        <w:t xml:space="preserve"> </w:t>
      </w:r>
      <w:r w:rsidR="001D3D9E" w:rsidRPr="00330A40">
        <w:rPr>
          <w:lang w:val="it-IT"/>
        </w:rPr>
        <w:t>intento curativo</w:t>
      </w:r>
      <w:r w:rsidR="00DC43E9" w:rsidRPr="00330A40">
        <w:rPr>
          <w:lang w:val="it-IT"/>
        </w:rPr>
        <w:t xml:space="preserve"> mediante intervento chirurgico e/o radioterapia e non erano stat</w:t>
      </w:r>
      <w:r w:rsidRPr="00330A40">
        <w:rPr>
          <w:lang w:val="it-IT"/>
        </w:rPr>
        <w:t>e</w:t>
      </w:r>
      <w:r w:rsidR="00DC43E9" w:rsidRPr="00330A40">
        <w:rPr>
          <w:lang w:val="it-IT"/>
        </w:rPr>
        <w:t xml:space="preserve"> pretrattat</w:t>
      </w:r>
      <w:r w:rsidRPr="00330A40">
        <w:rPr>
          <w:lang w:val="it-IT"/>
        </w:rPr>
        <w:t>e</w:t>
      </w:r>
      <w:r w:rsidR="00DC43E9" w:rsidRPr="00330A40">
        <w:rPr>
          <w:lang w:val="it-IT"/>
        </w:rPr>
        <w:t xml:space="preserve"> con</w:t>
      </w:r>
      <w:r w:rsidR="00806E4B" w:rsidRPr="00330A40">
        <w:rPr>
          <w:lang w:val="it-IT"/>
        </w:rPr>
        <w:t xml:space="preserve"> </w:t>
      </w:r>
      <w:r w:rsidR="00DC43E9" w:rsidRPr="00330A40">
        <w:rPr>
          <w:color w:val="000000"/>
          <w:lang w:val="it-IT"/>
        </w:rPr>
        <w:t xml:space="preserve">bevacizumab o altri inibitori del VEGF oppure con agenti </w:t>
      </w:r>
      <w:r w:rsidR="009309FC" w:rsidRPr="00330A40">
        <w:rPr>
          <w:color w:val="000000"/>
          <w:lang w:val="it-IT"/>
        </w:rPr>
        <w:t>mirati ai recettori VEGF.</w:t>
      </w:r>
    </w:p>
    <w:p w14:paraId="50D84557" w14:textId="77777777" w:rsidR="001A78BF" w:rsidRPr="006A2BF9" w:rsidRDefault="001A78BF" w:rsidP="00925B80">
      <w:pPr>
        <w:keepNext/>
        <w:keepLines/>
        <w:outlineLvl w:val="0"/>
        <w:rPr>
          <w:color w:val="000000"/>
          <w:lang w:val="it-IT"/>
        </w:rPr>
      </w:pPr>
    </w:p>
    <w:p w14:paraId="13E8F7F8" w14:textId="77777777" w:rsidR="008457A4" w:rsidRPr="006A2BF9" w:rsidRDefault="009309FC" w:rsidP="00C50843">
      <w:pPr>
        <w:keepNext/>
        <w:outlineLvl w:val="0"/>
        <w:rPr>
          <w:szCs w:val="22"/>
          <w:lang w:val="it-IT"/>
        </w:rPr>
      </w:pPr>
      <w:r w:rsidRPr="006A2BF9">
        <w:rPr>
          <w:color w:val="000000"/>
          <w:lang w:val="it-IT"/>
        </w:rPr>
        <w:t>L’età mediana era di 46,0</w:t>
      </w:r>
      <w:r w:rsidR="00BE35F3" w:rsidRPr="006A2BF9">
        <w:rPr>
          <w:color w:val="000000"/>
          <w:lang w:val="it-IT"/>
        </w:rPr>
        <w:t> </w:t>
      </w:r>
      <w:r w:rsidRPr="006A2BF9">
        <w:rPr>
          <w:color w:val="000000"/>
          <w:lang w:val="it-IT"/>
        </w:rPr>
        <w:t>anni (range:</w:t>
      </w:r>
      <w:r w:rsidR="00BE35F3" w:rsidRPr="006A2BF9">
        <w:rPr>
          <w:color w:val="000000"/>
          <w:lang w:val="it-IT"/>
        </w:rPr>
        <w:t> </w:t>
      </w:r>
      <w:r w:rsidRPr="006A2BF9">
        <w:rPr>
          <w:color w:val="000000"/>
          <w:lang w:val="it-IT"/>
        </w:rPr>
        <w:t>20</w:t>
      </w:r>
      <w:r w:rsidR="00BE35F3" w:rsidRPr="006A2BF9">
        <w:rPr>
          <w:color w:val="000000"/>
          <w:lang w:val="it-IT"/>
        </w:rPr>
        <w:noBreakHyphen/>
      </w:r>
      <w:r w:rsidRPr="006A2BF9">
        <w:rPr>
          <w:color w:val="000000"/>
          <w:lang w:val="it-IT"/>
        </w:rPr>
        <w:t>83) nel gruppo trattato con sola chemioterapia e di 48,0</w:t>
      </w:r>
      <w:r w:rsidR="00BE35F3" w:rsidRPr="006A2BF9">
        <w:rPr>
          <w:color w:val="000000"/>
          <w:lang w:val="it-IT"/>
        </w:rPr>
        <w:t> </w:t>
      </w:r>
      <w:r w:rsidRPr="006A2BF9">
        <w:rPr>
          <w:color w:val="000000"/>
          <w:lang w:val="it-IT"/>
        </w:rPr>
        <w:t xml:space="preserve">anni </w:t>
      </w:r>
      <w:r w:rsidRPr="006A2BF9">
        <w:rPr>
          <w:szCs w:val="22"/>
          <w:lang w:val="it-IT"/>
        </w:rPr>
        <w:t>(range: 22</w:t>
      </w:r>
      <w:r w:rsidR="00BE35F3" w:rsidRPr="006A2BF9">
        <w:rPr>
          <w:szCs w:val="22"/>
          <w:lang w:val="it-IT"/>
        </w:rPr>
        <w:noBreakHyphen/>
      </w:r>
      <w:r w:rsidRPr="006A2BF9">
        <w:rPr>
          <w:szCs w:val="22"/>
          <w:lang w:val="it-IT"/>
        </w:rPr>
        <w:t>85) nel gruppo trattato con chemioterapia</w:t>
      </w:r>
      <w:r w:rsidR="00BE35F3" w:rsidRPr="006A2BF9">
        <w:rPr>
          <w:szCs w:val="22"/>
          <w:lang w:val="it-IT"/>
        </w:rPr>
        <w:t> </w:t>
      </w:r>
      <w:r w:rsidRPr="006A2BF9">
        <w:rPr>
          <w:szCs w:val="22"/>
          <w:lang w:val="it-IT"/>
        </w:rPr>
        <w:t>+</w:t>
      </w:r>
      <w:r w:rsidR="00BE35F3" w:rsidRPr="006A2BF9">
        <w:rPr>
          <w:szCs w:val="22"/>
          <w:lang w:val="it-IT"/>
        </w:rPr>
        <w:t> </w:t>
      </w:r>
      <w:r w:rsidR="001A78BF" w:rsidRPr="006A2BF9">
        <w:rPr>
          <w:color w:val="000000"/>
          <w:lang w:val="it-IT"/>
        </w:rPr>
        <w:t>bevacizumab</w:t>
      </w:r>
      <w:r w:rsidRPr="006A2BF9">
        <w:rPr>
          <w:szCs w:val="22"/>
          <w:lang w:val="it-IT"/>
        </w:rPr>
        <w:t xml:space="preserve">, con </w:t>
      </w:r>
      <w:r w:rsidR="0082035C" w:rsidRPr="006A2BF9">
        <w:rPr>
          <w:szCs w:val="22"/>
          <w:lang w:val="it-IT"/>
        </w:rPr>
        <w:t>una percentuale di pazienti di età superiore ai 65</w:t>
      </w:r>
      <w:r w:rsidR="00BE35F3" w:rsidRPr="006A2BF9">
        <w:rPr>
          <w:szCs w:val="22"/>
          <w:lang w:val="it-IT"/>
        </w:rPr>
        <w:t> </w:t>
      </w:r>
      <w:r w:rsidR="0082035C" w:rsidRPr="006A2BF9">
        <w:rPr>
          <w:szCs w:val="22"/>
          <w:lang w:val="it-IT"/>
        </w:rPr>
        <w:t>anni rispettivamente del</w:t>
      </w:r>
      <w:r w:rsidRPr="006A2BF9">
        <w:rPr>
          <w:szCs w:val="22"/>
          <w:lang w:val="it-IT"/>
        </w:rPr>
        <w:t xml:space="preserve"> 9,3% </w:t>
      </w:r>
      <w:r w:rsidR="0082035C" w:rsidRPr="006A2BF9">
        <w:rPr>
          <w:szCs w:val="22"/>
          <w:lang w:val="it-IT"/>
        </w:rPr>
        <w:t>n</w:t>
      </w:r>
      <w:r w:rsidRPr="006A2BF9">
        <w:rPr>
          <w:szCs w:val="22"/>
          <w:lang w:val="it-IT"/>
        </w:rPr>
        <w:t>el gruppo trattato con sola chemioterapia</w:t>
      </w:r>
      <w:r w:rsidR="0082035C" w:rsidRPr="006A2BF9">
        <w:rPr>
          <w:szCs w:val="22"/>
          <w:lang w:val="it-IT"/>
        </w:rPr>
        <w:t xml:space="preserve"> e de</w:t>
      </w:r>
      <w:r w:rsidRPr="006A2BF9">
        <w:rPr>
          <w:szCs w:val="22"/>
          <w:lang w:val="it-IT"/>
        </w:rPr>
        <w:t xml:space="preserve">l 7,5% </w:t>
      </w:r>
      <w:r w:rsidR="0082035C" w:rsidRPr="006A2BF9">
        <w:rPr>
          <w:szCs w:val="22"/>
          <w:lang w:val="it-IT"/>
        </w:rPr>
        <w:t>n</w:t>
      </w:r>
      <w:r w:rsidRPr="006A2BF9">
        <w:rPr>
          <w:szCs w:val="22"/>
          <w:lang w:val="it-IT"/>
        </w:rPr>
        <w:t xml:space="preserve">el gruppo </w:t>
      </w:r>
      <w:r w:rsidR="0082035C" w:rsidRPr="006A2BF9">
        <w:rPr>
          <w:szCs w:val="22"/>
          <w:lang w:val="it-IT"/>
        </w:rPr>
        <w:t xml:space="preserve">trattato con </w:t>
      </w:r>
      <w:r w:rsidRPr="006A2BF9">
        <w:rPr>
          <w:szCs w:val="22"/>
          <w:lang w:val="it-IT"/>
        </w:rPr>
        <w:t>chemioterapia</w:t>
      </w:r>
      <w:r w:rsidR="00BE35F3" w:rsidRPr="006A2BF9">
        <w:rPr>
          <w:szCs w:val="22"/>
          <w:lang w:val="it-IT"/>
        </w:rPr>
        <w:t> </w:t>
      </w:r>
      <w:r w:rsidRPr="006A2BF9">
        <w:rPr>
          <w:szCs w:val="22"/>
          <w:lang w:val="it-IT"/>
        </w:rPr>
        <w:t>+</w:t>
      </w:r>
      <w:r w:rsidR="00BE35F3" w:rsidRPr="006A2BF9">
        <w:rPr>
          <w:szCs w:val="22"/>
          <w:lang w:val="it-IT"/>
        </w:rPr>
        <w:t> </w:t>
      </w:r>
      <w:r w:rsidR="001A78BF" w:rsidRPr="006A2BF9">
        <w:rPr>
          <w:color w:val="000000"/>
          <w:lang w:val="it-IT"/>
        </w:rPr>
        <w:t>bevacizumab</w:t>
      </w:r>
      <w:r w:rsidR="0082035C" w:rsidRPr="006A2BF9">
        <w:rPr>
          <w:szCs w:val="22"/>
          <w:lang w:val="it-IT"/>
        </w:rPr>
        <w:t>.</w:t>
      </w:r>
    </w:p>
    <w:p w14:paraId="6B7DB078" w14:textId="77777777" w:rsidR="00C446F1" w:rsidRPr="006A2BF9" w:rsidRDefault="00C446F1" w:rsidP="00C50843">
      <w:pPr>
        <w:keepNext/>
        <w:outlineLvl w:val="0"/>
        <w:rPr>
          <w:szCs w:val="22"/>
          <w:lang w:val="it-IT"/>
        </w:rPr>
      </w:pPr>
    </w:p>
    <w:p w14:paraId="4FE7E175" w14:textId="77777777" w:rsidR="009309FC" w:rsidRPr="00330A40" w:rsidRDefault="009309FC" w:rsidP="00C50843">
      <w:pPr>
        <w:keepNext/>
        <w:outlineLvl w:val="0"/>
        <w:rPr>
          <w:szCs w:val="22"/>
          <w:lang w:val="it-IT"/>
        </w:rPr>
      </w:pPr>
      <w:r w:rsidRPr="006A2BF9">
        <w:rPr>
          <w:szCs w:val="22"/>
          <w:lang w:val="it-IT"/>
        </w:rPr>
        <w:t>La maggior parte de</w:t>
      </w:r>
      <w:r w:rsidR="0082035C" w:rsidRPr="006A2BF9">
        <w:rPr>
          <w:szCs w:val="22"/>
          <w:lang w:val="it-IT"/>
        </w:rPr>
        <w:t>lle</w:t>
      </w:r>
      <w:r w:rsidRPr="006A2BF9">
        <w:rPr>
          <w:szCs w:val="22"/>
          <w:lang w:val="it-IT"/>
        </w:rPr>
        <w:t xml:space="preserve"> 452</w:t>
      </w:r>
      <w:r w:rsidR="00BE35F3" w:rsidRPr="006A2BF9">
        <w:rPr>
          <w:szCs w:val="22"/>
          <w:lang w:val="it-IT"/>
        </w:rPr>
        <w:t> </w:t>
      </w:r>
      <w:r w:rsidRPr="006A2BF9">
        <w:rPr>
          <w:szCs w:val="22"/>
          <w:lang w:val="it-IT"/>
        </w:rPr>
        <w:t>pazienti randomizzat</w:t>
      </w:r>
      <w:r w:rsidR="0082035C" w:rsidRPr="006A2BF9">
        <w:rPr>
          <w:szCs w:val="22"/>
          <w:lang w:val="it-IT"/>
        </w:rPr>
        <w:t>e</w:t>
      </w:r>
      <w:r w:rsidRPr="006A2BF9">
        <w:rPr>
          <w:szCs w:val="22"/>
          <w:lang w:val="it-IT"/>
        </w:rPr>
        <w:t xml:space="preserve"> al basale era </w:t>
      </w:r>
      <w:r w:rsidR="0082035C" w:rsidRPr="006A2BF9">
        <w:rPr>
          <w:szCs w:val="22"/>
          <w:lang w:val="it-IT"/>
        </w:rPr>
        <w:t>caucasica (80,0% nel gruppo trattato con sola chemioterapia e 75,3% nel gruppo trattato con chemioterapia</w:t>
      </w:r>
      <w:r w:rsidR="00BE35F3" w:rsidRPr="006A2BF9">
        <w:rPr>
          <w:szCs w:val="22"/>
          <w:lang w:val="it-IT"/>
        </w:rPr>
        <w:t> </w:t>
      </w:r>
      <w:r w:rsidR="0082035C" w:rsidRPr="006A2BF9">
        <w:rPr>
          <w:szCs w:val="22"/>
          <w:lang w:val="it-IT"/>
        </w:rPr>
        <w:t>+</w:t>
      </w:r>
      <w:r w:rsidR="00BE35F3" w:rsidRPr="006A2BF9">
        <w:rPr>
          <w:szCs w:val="22"/>
          <w:lang w:val="it-IT"/>
        </w:rPr>
        <w:t> </w:t>
      </w:r>
      <w:r w:rsidR="001A78BF" w:rsidRPr="006A2BF9">
        <w:rPr>
          <w:color w:val="000000"/>
          <w:lang w:val="it-IT"/>
        </w:rPr>
        <w:t>bevacizumab</w:t>
      </w:r>
      <w:r w:rsidR="0082035C" w:rsidRPr="006A2BF9">
        <w:rPr>
          <w:szCs w:val="22"/>
          <w:lang w:val="it-IT"/>
        </w:rPr>
        <w:t xml:space="preserve">), presentava carcinoma </w:t>
      </w:r>
      <w:r w:rsidR="00DC5BF4" w:rsidRPr="006A2BF9">
        <w:rPr>
          <w:szCs w:val="22"/>
          <w:lang w:val="it-IT"/>
        </w:rPr>
        <w:t xml:space="preserve">a cellule squamose </w:t>
      </w:r>
      <w:r w:rsidR="0082035C" w:rsidRPr="006A2BF9">
        <w:rPr>
          <w:szCs w:val="22"/>
          <w:lang w:val="it-IT"/>
        </w:rPr>
        <w:t>(67,1% nel gruppo trattato con sola chemioterapia e 69,</w:t>
      </w:r>
      <w:r w:rsidR="00DC1527" w:rsidRPr="006A2BF9">
        <w:rPr>
          <w:szCs w:val="22"/>
          <w:lang w:val="it-IT"/>
        </w:rPr>
        <w:t>6</w:t>
      </w:r>
      <w:r w:rsidR="0082035C" w:rsidRPr="006A2BF9">
        <w:rPr>
          <w:szCs w:val="22"/>
          <w:lang w:val="it-IT"/>
        </w:rPr>
        <w:t>% nel gruppo trattato con chemioterapia</w:t>
      </w:r>
      <w:r w:rsidR="00BE35F3" w:rsidRPr="006A2BF9">
        <w:rPr>
          <w:szCs w:val="22"/>
          <w:lang w:val="it-IT"/>
        </w:rPr>
        <w:t> </w:t>
      </w:r>
      <w:r w:rsidR="0082035C" w:rsidRPr="006A2BF9">
        <w:rPr>
          <w:szCs w:val="22"/>
          <w:lang w:val="it-IT"/>
        </w:rPr>
        <w:t>+</w:t>
      </w:r>
      <w:r w:rsidR="00BE35F3" w:rsidRPr="006A2BF9">
        <w:rPr>
          <w:szCs w:val="22"/>
          <w:lang w:val="it-IT"/>
        </w:rPr>
        <w:t> </w:t>
      </w:r>
      <w:r w:rsidR="001A78BF" w:rsidRPr="006A2BF9">
        <w:rPr>
          <w:color w:val="000000"/>
          <w:lang w:val="it-IT"/>
        </w:rPr>
        <w:t>bevacizumab</w:t>
      </w:r>
      <w:r w:rsidR="0082035C" w:rsidRPr="006A2BF9">
        <w:rPr>
          <w:szCs w:val="22"/>
          <w:lang w:val="it-IT"/>
        </w:rPr>
        <w:t>), persistenza/recidiva di malattia (83,6% nel gruppo trattato con sola chemioterapia e 82,8% nel gruppo trattato con chemioterapia</w:t>
      </w:r>
      <w:r w:rsidR="00BE35F3" w:rsidRPr="006A2BF9">
        <w:rPr>
          <w:szCs w:val="22"/>
          <w:lang w:val="it-IT"/>
        </w:rPr>
        <w:t> </w:t>
      </w:r>
      <w:r w:rsidR="0082035C" w:rsidRPr="006A2BF9">
        <w:rPr>
          <w:szCs w:val="22"/>
          <w:lang w:val="it-IT"/>
        </w:rPr>
        <w:t>+</w:t>
      </w:r>
      <w:r w:rsidR="00BE35F3" w:rsidRPr="006A2BF9">
        <w:rPr>
          <w:szCs w:val="22"/>
          <w:lang w:val="it-IT"/>
        </w:rPr>
        <w:t> </w:t>
      </w:r>
      <w:r w:rsidR="001A78BF" w:rsidRPr="006A2BF9">
        <w:rPr>
          <w:color w:val="000000"/>
          <w:lang w:val="it-IT"/>
        </w:rPr>
        <w:t>bevacizumab</w:t>
      </w:r>
      <w:r w:rsidR="0082035C" w:rsidRPr="006A2BF9">
        <w:rPr>
          <w:szCs w:val="22"/>
          <w:lang w:val="it-IT"/>
        </w:rPr>
        <w:t>), 1</w:t>
      </w:r>
      <w:r w:rsidR="00BE35F3" w:rsidRPr="006A2BF9">
        <w:rPr>
          <w:szCs w:val="22"/>
          <w:lang w:val="it-IT"/>
        </w:rPr>
        <w:noBreakHyphen/>
      </w:r>
      <w:r w:rsidR="0082035C" w:rsidRPr="006A2BF9">
        <w:rPr>
          <w:szCs w:val="22"/>
          <w:lang w:val="it-IT"/>
        </w:rPr>
        <w:t>2 sedi metastatiche (72,0% nel gruppo trattato con sola chemioterapia e 76,2% nel gruppo trattato con chemioterapia</w:t>
      </w:r>
      <w:r w:rsidR="00BE35F3" w:rsidRPr="006A2BF9">
        <w:rPr>
          <w:szCs w:val="22"/>
          <w:lang w:val="it-IT"/>
        </w:rPr>
        <w:t> </w:t>
      </w:r>
      <w:r w:rsidR="0082035C" w:rsidRPr="006A2BF9">
        <w:rPr>
          <w:szCs w:val="22"/>
          <w:lang w:val="it-IT"/>
        </w:rPr>
        <w:t>+</w:t>
      </w:r>
      <w:r w:rsidR="00BE35F3" w:rsidRPr="006A2BF9">
        <w:rPr>
          <w:szCs w:val="22"/>
          <w:lang w:val="it-IT"/>
        </w:rPr>
        <w:t> </w:t>
      </w:r>
      <w:r w:rsidR="001A78BF" w:rsidRPr="006A2BF9">
        <w:rPr>
          <w:color w:val="000000"/>
          <w:lang w:val="it-IT"/>
        </w:rPr>
        <w:t>bevacizumab</w:t>
      </w:r>
      <w:r w:rsidR="0082035C" w:rsidRPr="006A2BF9">
        <w:rPr>
          <w:szCs w:val="22"/>
          <w:lang w:val="it-IT"/>
        </w:rPr>
        <w:t>), coinvolgimento linfonodale (50,2% nel gruppo trattato con sola chemioterapia e 56,4% nel gruppo trattato con chemioterapia</w:t>
      </w:r>
      <w:r w:rsidR="00D76537" w:rsidRPr="006A2BF9">
        <w:rPr>
          <w:szCs w:val="22"/>
          <w:lang w:val="it-IT"/>
        </w:rPr>
        <w:t> </w:t>
      </w:r>
      <w:r w:rsidR="0082035C" w:rsidRPr="006A2BF9">
        <w:rPr>
          <w:szCs w:val="22"/>
          <w:lang w:val="it-IT"/>
        </w:rPr>
        <w:t>+</w:t>
      </w:r>
      <w:r w:rsidR="00D76537" w:rsidRPr="006A2BF9">
        <w:rPr>
          <w:szCs w:val="22"/>
          <w:lang w:val="it-IT"/>
        </w:rPr>
        <w:t> </w:t>
      </w:r>
      <w:r w:rsidR="001A78BF" w:rsidRPr="006A2BF9">
        <w:rPr>
          <w:color w:val="000000"/>
          <w:lang w:val="it-IT"/>
        </w:rPr>
        <w:t>bevacizumab</w:t>
      </w:r>
      <w:r w:rsidR="0082035C" w:rsidRPr="006A2BF9">
        <w:rPr>
          <w:szCs w:val="22"/>
          <w:lang w:val="it-IT"/>
        </w:rPr>
        <w:t xml:space="preserve">) e intervallo libero da platino </w:t>
      </w:r>
      <w:r w:rsidR="0082035C" w:rsidRPr="00330A40">
        <w:rPr>
          <w:szCs w:val="22"/>
          <w:lang w:val="it-IT"/>
        </w:rPr>
        <w:sym w:font="Symbol" w:char="F0B3"/>
      </w:r>
      <w:r w:rsidR="00D76537" w:rsidRPr="00330A40">
        <w:rPr>
          <w:szCs w:val="22"/>
          <w:lang w:val="it-IT"/>
        </w:rPr>
        <w:t> </w:t>
      </w:r>
      <w:r w:rsidR="0082035C" w:rsidRPr="00330A40">
        <w:rPr>
          <w:szCs w:val="22"/>
          <w:lang w:val="it-IT"/>
        </w:rPr>
        <w:t>6 mesi (72,5% nel gruppo trattato con sola chemioterapia e 64,4% nel gruppo trattato con chemioterapia</w:t>
      </w:r>
      <w:r w:rsidR="00D76537" w:rsidRPr="00330A40">
        <w:rPr>
          <w:szCs w:val="22"/>
          <w:lang w:val="it-IT"/>
        </w:rPr>
        <w:t> </w:t>
      </w:r>
      <w:r w:rsidR="0082035C" w:rsidRPr="00330A40">
        <w:rPr>
          <w:szCs w:val="22"/>
          <w:lang w:val="it-IT"/>
        </w:rPr>
        <w:t>+</w:t>
      </w:r>
      <w:r w:rsidR="00D76537" w:rsidRPr="00330A40">
        <w:rPr>
          <w:szCs w:val="22"/>
          <w:lang w:val="it-IT"/>
        </w:rPr>
        <w:t> </w:t>
      </w:r>
      <w:r w:rsidR="001A78BF" w:rsidRPr="00330A40">
        <w:rPr>
          <w:color w:val="000000"/>
          <w:lang w:val="it-IT"/>
        </w:rPr>
        <w:t>bevacizumab</w:t>
      </w:r>
      <w:r w:rsidR="0082035C" w:rsidRPr="00330A40">
        <w:rPr>
          <w:szCs w:val="22"/>
          <w:lang w:val="it-IT"/>
        </w:rPr>
        <w:t>).</w:t>
      </w:r>
    </w:p>
    <w:p w14:paraId="0DC114B5" w14:textId="77777777" w:rsidR="0082035C" w:rsidRPr="00330A40" w:rsidRDefault="0082035C" w:rsidP="00C50843">
      <w:pPr>
        <w:keepNext/>
        <w:outlineLvl w:val="0"/>
        <w:rPr>
          <w:szCs w:val="22"/>
          <w:lang w:val="it-IT"/>
        </w:rPr>
      </w:pPr>
    </w:p>
    <w:p w14:paraId="43441701" w14:textId="77777777" w:rsidR="0082035C" w:rsidRPr="006A2BF9" w:rsidRDefault="0082035C" w:rsidP="00C50843">
      <w:pPr>
        <w:keepNext/>
        <w:outlineLvl w:val="0"/>
        <w:rPr>
          <w:szCs w:val="22"/>
          <w:lang w:val="it-IT"/>
        </w:rPr>
      </w:pPr>
      <w:r w:rsidRPr="00330A40">
        <w:rPr>
          <w:szCs w:val="22"/>
          <w:lang w:val="it-IT"/>
        </w:rPr>
        <w:t xml:space="preserve">L’endpoint primario di efficacia era la </w:t>
      </w:r>
      <w:r w:rsidR="00BD598C">
        <w:rPr>
          <w:szCs w:val="22"/>
          <w:lang w:val="it-IT"/>
        </w:rPr>
        <w:t>OS</w:t>
      </w:r>
      <w:r w:rsidRPr="00330A40">
        <w:rPr>
          <w:szCs w:val="22"/>
          <w:lang w:val="it-IT"/>
        </w:rPr>
        <w:t xml:space="preserve">. Gli endpoint secondari di efficacia comprendevano la </w:t>
      </w:r>
      <w:r w:rsidR="00BD598C">
        <w:rPr>
          <w:szCs w:val="22"/>
          <w:lang w:val="it-IT"/>
        </w:rPr>
        <w:t>PFS</w:t>
      </w:r>
      <w:r w:rsidRPr="00330A40">
        <w:rPr>
          <w:szCs w:val="22"/>
          <w:lang w:val="it-IT"/>
        </w:rPr>
        <w:t xml:space="preserve"> e il tasso di risposta obiettiva. I risultati</w:t>
      </w:r>
      <w:r w:rsidR="00F56FC8" w:rsidRPr="006A2BF9">
        <w:rPr>
          <w:szCs w:val="22"/>
          <w:lang w:val="it-IT"/>
        </w:rPr>
        <w:t xml:space="preserve"> </w:t>
      </w:r>
      <w:r w:rsidR="002B3493" w:rsidRPr="006A2BF9">
        <w:rPr>
          <w:szCs w:val="22"/>
          <w:lang w:val="it-IT"/>
        </w:rPr>
        <w:t xml:space="preserve">della analisi primaria e dell’analisi di follow-up </w:t>
      </w:r>
      <w:r w:rsidR="00F56FC8" w:rsidRPr="006A2BF9">
        <w:rPr>
          <w:szCs w:val="22"/>
          <w:lang w:val="it-IT"/>
        </w:rPr>
        <w:t xml:space="preserve">sono illustrati in funzione del trattamento con </w:t>
      </w:r>
      <w:r w:rsidR="001A78BF" w:rsidRPr="006A2BF9">
        <w:rPr>
          <w:color w:val="000000"/>
          <w:lang w:val="it-IT"/>
        </w:rPr>
        <w:t xml:space="preserve">bevacizumab </w:t>
      </w:r>
      <w:r w:rsidR="00F56FC8" w:rsidRPr="006A2BF9">
        <w:rPr>
          <w:szCs w:val="22"/>
          <w:lang w:val="it-IT"/>
        </w:rPr>
        <w:t>e del trattamento sperimentale rispettivamente nella Tabella</w:t>
      </w:r>
      <w:r w:rsidR="00D76537" w:rsidRPr="006A2BF9">
        <w:rPr>
          <w:szCs w:val="22"/>
          <w:lang w:val="it-IT"/>
        </w:rPr>
        <w:t> </w:t>
      </w:r>
      <w:r w:rsidR="00F56FC8" w:rsidRPr="006A2BF9">
        <w:rPr>
          <w:szCs w:val="22"/>
          <w:lang w:val="it-IT"/>
        </w:rPr>
        <w:t>2</w:t>
      </w:r>
      <w:r w:rsidR="002B58C8" w:rsidRPr="006A2BF9">
        <w:rPr>
          <w:szCs w:val="22"/>
          <w:lang w:val="it-IT"/>
        </w:rPr>
        <w:t>5</w:t>
      </w:r>
      <w:r w:rsidR="00F56FC8" w:rsidRPr="006A2BF9">
        <w:rPr>
          <w:szCs w:val="22"/>
          <w:lang w:val="it-IT"/>
        </w:rPr>
        <w:t xml:space="preserve"> e</w:t>
      </w:r>
      <w:r w:rsidR="00D76537" w:rsidRPr="006A2BF9">
        <w:rPr>
          <w:szCs w:val="22"/>
          <w:lang w:val="it-IT"/>
        </w:rPr>
        <w:t> </w:t>
      </w:r>
      <w:r w:rsidR="00F56FC8" w:rsidRPr="006A2BF9">
        <w:rPr>
          <w:szCs w:val="22"/>
          <w:lang w:val="it-IT"/>
        </w:rPr>
        <w:t>2</w:t>
      </w:r>
      <w:r w:rsidR="002B58C8" w:rsidRPr="006A2BF9">
        <w:rPr>
          <w:szCs w:val="22"/>
          <w:lang w:val="it-IT"/>
        </w:rPr>
        <w:t>6.</w:t>
      </w:r>
    </w:p>
    <w:p w14:paraId="2633647F" w14:textId="77777777" w:rsidR="00C50843" w:rsidRPr="006A2BF9" w:rsidRDefault="00C50843" w:rsidP="00C50843">
      <w:pPr>
        <w:outlineLvl w:val="0"/>
        <w:rPr>
          <w:lang w:val="it-IT"/>
        </w:rPr>
      </w:pPr>
    </w:p>
    <w:p w14:paraId="1CA31B87" w14:textId="77777777" w:rsidR="00D76537" w:rsidRPr="006A2BF9" w:rsidRDefault="00C50843" w:rsidP="00C50843">
      <w:pPr>
        <w:keepNext/>
        <w:rPr>
          <w:b/>
          <w:lang w:val="it-IT"/>
        </w:rPr>
      </w:pPr>
      <w:r w:rsidRPr="006A2BF9">
        <w:rPr>
          <w:b/>
          <w:lang w:val="it-IT"/>
        </w:rPr>
        <w:lastRenderedPageBreak/>
        <w:t>Ta</w:t>
      </w:r>
      <w:r w:rsidR="00F56FC8" w:rsidRPr="006A2BF9">
        <w:rPr>
          <w:b/>
          <w:lang w:val="it-IT"/>
        </w:rPr>
        <w:t>bella</w:t>
      </w:r>
      <w:r w:rsidRPr="006A2BF9">
        <w:rPr>
          <w:b/>
          <w:lang w:val="it-IT"/>
        </w:rPr>
        <w:t xml:space="preserve"> 2</w:t>
      </w:r>
      <w:r w:rsidR="000924C5" w:rsidRPr="006A2BF9">
        <w:rPr>
          <w:b/>
          <w:lang w:val="it-IT"/>
        </w:rPr>
        <w:t>5</w:t>
      </w:r>
      <w:r w:rsidRPr="006A2BF9">
        <w:rPr>
          <w:b/>
          <w:lang w:val="it-IT"/>
        </w:rPr>
        <w:tab/>
      </w:r>
      <w:r w:rsidR="00F56FC8" w:rsidRPr="006A2BF9">
        <w:rPr>
          <w:b/>
          <w:lang w:val="it-IT"/>
        </w:rPr>
        <w:t xml:space="preserve">Risultati di efficacia dello studio </w:t>
      </w:r>
      <w:r w:rsidRPr="006A2BF9">
        <w:rPr>
          <w:rFonts w:cs="Arial"/>
          <w:b/>
          <w:bCs/>
          <w:lang w:val="it-IT"/>
        </w:rPr>
        <w:t xml:space="preserve">GOG-0240 </w:t>
      </w:r>
      <w:r w:rsidR="00F56FC8" w:rsidRPr="006A2BF9">
        <w:rPr>
          <w:rFonts w:cs="Arial"/>
          <w:b/>
          <w:bCs/>
          <w:lang w:val="it-IT"/>
        </w:rPr>
        <w:t xml:space="preserve">con il trattamento a base di </w:t>
      </w:r>
      <w:r w:rsidR="00F0171F" w:rsidRPr="006A2BF9">
        <w:rPr>
          <w:b/>
          <w:lang w:val="it-IT"/>
        </w:rPr>
        <w:t>bevacizumab</w:t>
      </w:r>
      <w:r w:rsidR="00F0171F" w:rsidRPr="006A2BF9">
        <w:rPr>
          <w:lang w:val="it-I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2246"/>
        <w:gridCol w:w="2830"/>
      </w:tblGrid>
      <w:tr w:rsidR="00C50843" w:rsidRPr="006A2BF9" w14:paraId="1EE37723" w14:textId="77777777" w:rsidTr="00A837A5">
        <w:trPr>
          <w:jc w:val="center"/>
        </w:trPr>
        <w:tc>
          <w:tcPr>
            <w:tcW w:w="4114" w:type="dxa"/>
            <w:shd w:val="clear" w:color="auto" w:fill="auto"/>
          </w:tcPr>
          <w:p w14:paraId="3863D725" w14:textId="77777777" w:rsidR="00C50843" w:rsidRPr="006A2BF9" w:rsidRDefault="00C50843" w:rsidP="00C50843">
            <w:pPr>
              <w:keepNext/>
              <w:rPr>
                <w:rFonts w:ascii="Times" w:hAnsi="Times" w:cs="Arial"/>
                <w:sz w:val="20"/>
                <w:lang w:val="it-IT" w:eastAsia="da-DK"/>
              </w:rPr>
            </w:pPr>
          </w:p>
        </w:tc>
        <w:tc>
          <w:tcPr>
            <w:tcW w:w="2280" w:type="dxa"/>
            <w:shd w:val="clear" w:color="auto" w:fill="auto"/>
          </w:tcPr>
          <w:p w14:paraId="69417CC2" w14:textId="77777777" w:rsidR="00C50843" w:rsidRPr="000F0246" w:rsidRDefault="00C50843" w:rsidP="002C7DCE">
            <w:pPr>
              <w:keepNext/>
              <w:spacing w:line="280" w:lineRule="atLeast"/>
              <w:jc w:val="center"/>
              <w:rPr>
                <w:rFonts w:ascii="Times" w:eastAsia="SimSun" w:hAnsi="Times" w:cs="Arial"/>
                <w:b/>
                <w:sz w:val="20"/>
                <w:lang w:val="it-IT"/>
              </w:rPr>
            </w:pPr>
            <w:r w:rsidRPr="000F0246">
              <w:rPr>
                <w:rFonts w:ascii="Times" w:eastAsia="SimSun" w:hAnsi="Times" w:cs="Arial"/>
                <w:b/>
                <w:sz w:val="20"/>
                <w:lang w:val="it-IT"/>
              </w:rPr>
              <w:t>Che</w:t>
            </w:r>
            <w:r w:rsidR="00F56FC8" w:rsidRPr="000F0246">
              <w:rPr>
                <w:rFonts w:ascii="Times" w:eastAsia="SimSun" w:hAnsi="Times" w:cs="Arial"/>
                <w:b/>
                <w:sz w:val="20"/>
                <w:lang w:val="it-IT"/>
              </w:rPr>
              <w:t>mioterapia</w:t>
            </w:r>
          </w:p>
          <w:p w14:paraId="105C01E9" w14:textId="77777777" w:rsidR="00C50843" w:rsidRPr="000F0246" w:rsidRDefault="00C50843" w:rsidP="002C7DCE">
            <w:pPr>
              <w:keepNext/>
              <w:spacing w:line="280" w:lineRule="atLeast"/>
              <w:jc w:val="center"/>
              <w:rPr>
                <w:rFonts w:ascii="Times" w:hAnsi="Times" w:cs="Arial"/>
                <w:b/>
                <w:sz w:val="20"/>
                <w:lang w:val="it-IT" w:eastAsia="da-DK"/>
              </w:rPr>
            </w:pPr>
            <w:r w:rsidRPr="000F0246">
              <w:rPr>
                <w:rFonts w:ascii="Times" w:eastAsia="SimSun" w:hAnsi="Times" w:cs="Arial"/>
                <w:b/>
                <w:sz w:val="20"/>
                <w:lang w:val="it-IT"/>
              </w:rPr>
              <w:t>(n</w:t>
            </w:r>
            <w:r w:rsidR="00D76537" w:rsidRPr="000F0246">
              <w:rPr>
                <w:rFonts w:ascii="Times" w:eastAsia="SimSun" w:hAnsi="Times" w:cs="Arial"/>
                <w:b/>
                <w:sz w:val="20"/>
                <w:lang w:val="it-IT"/>
              </w:rPr>
              <w:t> </w:t>
            </w:r>
            <w:r w:rsidRPr="000F0246">
              <w:rPr>
                <w:rFonts w:ascii="Times" w:eastAsia="SimSun" w:hAnsi="Times" w:cs="Arial"/>
                <w:b/>
                <w:sz w:val="20"/>
                <w:lang w:val="it-IT"/>
              </w:rPr>
              <w:t>=</w:t>
            </w:r>
            <w:r w:rsidR="00D76537" w:rsidRPr="000F0246">
              <w:rPr>
                <w:rFonts w:ascii="Times" w:eastAsia="SimSun" w:hAnsi="Times" w:cs="Arial"/>
                <w:b/>
                <w:sz w:val="20"/>
                <w:lang w:val="it-IT"/>
              </w:rPr>
              <w:t> </w:t>
            </w:r>
            <w:r w:rsidRPr="000F0246">
              <w:rPr>
                <w:rFonts w:ascii="Times" w:eastAsia="SimSun" w:hAnsi="Times" w:cs="Arial"/>
                <w:b/>
                <w:sz w:val="20"/>
                <w:lang w:val="it-IT"/>
              </w:rPr>
              <w:t>225)</w:t>
            </w:r>
          </w:p>
        </w:tc>
        <w:tc>
          <w:tcPr>
            <w:tcW w:w="2522" w:type="dxa"/>
            <w:shd w:val="clear" w:color="auto" w:fill="auto"/>
          </w:tcPr>
          <w:p w14:paraId="34C1FC8B" w14:textId="77777777" w:rsidR="00C50843" w:rsidRPr="000F0246" w:rsidRDefault="00C50843" w:rsidP="002C7DCE">
            <w:pPr>
              <w:keepNext/>
              <w:spacing w:line="280" w:lineRule="atLeast"/>
              <w:jc w:val="center"/>
              <w:rPr>
                <w:rFonts w:ascii="Times" w:eastAsia="SimSun" w:hAnsi="Times" w:cs="Arial"/>
                <w:b/>
                <w:sz w:val="20"/>
                <w:lang w:val="it-IT"/>
              </w:rPr>
            </w:pPr>
            <w:r w:rsidRPr="000F0246">
              <w:rPr>
                <w:rFonts w:ascii="Times" w:eastAsia="SimSun" w:hAnsi="Times" w:cs="Arial"/>
                <w:b/>
                <w:sz w:val="20"/>
                <w:lang w:val="it-IT"/>
              </w:rPr>
              <w:t>Chem</w:t>
            </w:r>
            <w:r w:rsidR="00F56FC8" w:rsidRPr="000F0246">
              <w:rPr>
                <w:rFonts w:ascii="Times" w:eastAsia="SimSun" w:hAnsi="Times" w:cs="Arial"/>
                <w:b/>
                <w:sz w:val="20"/>
                <w:lang w:val="it-IT"/>
              </w:rPr>
              <w:t>ioterapia</w:t>
            </w:r>
            <w:r w:rsidR="00D76537" w:rsidRPr="000F0246">
              <w:rPr>
                <w:rFonts w:ascii="Times" w:eastAsia="SimSun" w:hAnsi="Times" w:cs="Arial"/>
                <w:b/>
                <w:sz w:val="20"/>
                <w:lang w:val="it-IT"/>
              </w:rPr>
              <w:t> </w:t>
            </w:r>
            <w:r w:rsidRPr="000F0246">
              <w:rPr>
                <w:rFonts w:ascii="Times" w:eastAsia="SimSun" w:hAnsi="Times" w:cs="Arial"/>
                <w:b/>
                <w:sz w:val="20"/>
                <w:lang w:val="it-IT"/>
              </w:rPr>
              <w:t>+</w:t>
            </w:r>
            <w:r w:rsidR="00D76537" w:rsidRPr="000F0246">
              <w:rPr>
                <w:rFonts w:ascii="Times" w:eastAsia="SimSun" w:hAnsi="Times" w:cs="Arial"/>
                <w:b/>
                <w:sz w:val="20"/>
                <w:lang w:val="it-IT"/>
              </w:rPr>
              <w:t> </w:t>
            </w:r>
            <w:r w:rsidR="001A78BF" w:rsidRPr="000F0246">
              <w:rPr>
                <w:b/>
                <w:color w:val="000000"/>
                <w:sz w:val="20"/>
                <w:lang w:val="it-IT"/>
              </w:rPr>
              <w:t>bevacizumab</w:t>
            </w:r>
          </w:p>
          <w:p w14:paraId="1102437B" w14:textId="77777777" w:rsidR="00C50843" w:rsidRPr="000F0246" w:rsidRDefault="00C50843" w:rsidP="002C7DCE">
            <w:pPr>
              <w:keepNext/>
              <w:spacing w:line="280" w:lineRule="atLeast"/>
              <w:jc w:val="center"/>
              <w:rPr>
                <w:rFonts w:ascii="Times" w:eastAsia="SimSun" w:hAnsi="Times" w:cs="Arial"/>
                <w:b/>
                <w:sz w:val="20"/>
                <w:lang w:val="it-IT"/>
              </w:rPr>
            </w:pPr>
            <w:r w:rsidRPr="000F0246">
              <w:rPr>
                <w:rFonts w:ascii="Times" w:eastAsia="SimSun" w:hAnsi="Times" w:cs="Arial"/>
                <w:b/>
                <w:sz w:val="20"/>
                <w:lang w:val="it-IT"/>
              </w:rPr>
              <w:t>(n</w:t>
            </w:r>
            <w:r w:rsidR="00D76537" w:rsidRPr="000F0246">
              <w:rPr>
                <w:rFonts w:ascii="Times" w:eastAsia="SimSun" w:hAnsi="Times" w:cs="Arial"/>
                <w:b/>
                <w:sz w:val="20"/>
                <w:lang w:val="it-IT"/>
              </w:rPr>
              <w:t> </w:t>
            </w:r>
            <w:r w:rsidRPr="000F0246">
              <w:rPr>
                <w:rFonts w:ascii="Times" w:eastAsia="SimSun" w:hAnsi="Times" w:cs="Arial"/>
                <w:b/>
                <w:sz w:val="20"/>
                <w:lang w:val="it-IT"/>
              </w:rPr>
              <w:t>=</w:t>
            </w:r>
            <w:r w:rsidR="00D76537" w:rsidRPr="000F0246">
              <w:rPr>
                <w:rFonts w:ascii="Times" w:eastAsia="SimSun" w:hAnsi="Times" w:cs="Arial"/>
                <w:b/>
                <w:sz w:val="20"/>
                <w:lang w:val="it-IT"/>
              </w:rPr>
              <w:t> </w:t>
            </w:r>
            <w:r w:rsidRPr="000F0246">
              <w:rPr>
                <w:rFonts w:ascii="Times" w:eastAsia="SimSun" w:hAnsi="Times" w:cs="Arial"/>
                <w:b/>
                <w:sz w:val="20"/>
                <w:lang w:val="it-IT" w:eastAsia="zh-CN"/>
              </w:rPr>
              <w:t>227)</w:t>
            </w:r>
          </w:p>
        </w:tc>
      </w:tr>
      <w:tr w:rsidR="00C50843" w:rsidRPr="006A2BF9" w14:paraId="180BC805" w14:textId="77777777" w:rsidTr="00A837A5">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175E4F10" w14:textId="77777777" w:rsidR="00C50843" w:rsidRPr="000F0246" w:rsidRDefault="00C50843" w:rsidP="002B3493">
            <w:pPr>
              <w:keepNext/>
              <w:spacing w:before="120" w:after="120" w:line="280" w:lineRule="atLeast"/>
              <w:jc w:val="center"/>
              <w:rPr>
                <w:rFonts w:ascii="Times" w:eastAsia="SimSun" w:hAnsi="Times" w:cs="Arial"/>
                <w:b/>
                <w:sz w:val="20"/>
                <w:u w:val="single"/>
                <w:lang w:val="it-IT"/>
              </w:rPr>
            </w:pPr>
            <w:r w:rsidRPr="000F0246">
              <w:rPr>
                <w:rFonts w:ascii="Times" w:eastAsia="SimSun" w:hAnsi="Times" w:cs="Arial"/>
                <w:b/>
                <w:sz w:val="20"/>
                <w:u w:val="single"/>
                <w:lang w:val="it-IT" w:eastAsia="zh-CN"/>
              </w:rPr>
              <w:t>Endpoint</w:t>
            </w:r>
            <w:r w:rsidR="00F56FC8" w:rsidRPr="000F0246">
              <w:rPr>
                <w:rFonts w:ascii="Times" w:eastAsia="SimSun" w:hAnsi="Times" w:cs="Arial"/>
                <w:b/>
                <w:sz w:val="20"/>
                <w:u w:val="single"/>
                <w:lang w:val="it-IT" w:eastAsia="zh-CN"/>
              </w:rPr>
              <w:t xml:space="preserve"> primario</w:t>
            </w:r>
          </w:p>
        </w:tc>
      </w:tr>
      <w:tr w:rsidR="00C50843" w:rsidRPr="006A2BF9" w14:paraId="3C730135" w14:textId="77777777" w:rsidTr="00A837A5">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17052BEE" w14:textId="77777777" w:rsidR="00C50843" w:rsidRPr="000F0246" w:rsidRDefault="00F56FC8" w:rsidP="00915325">
            <w:pPr>
              <w:keepNext/>
              <w:spacing w:before="120" w:after="120" w:line="280" w:lineRule="atLeast"/>
              <w:jc w:val="both"/>
              <w:rPr>
                <w:rFonts w:ascii="Times" w:eastAsia="SimSun" w:hAnsi="Times" w:cs="Arial"/>
                <w:b/>
                <w:sz w:val="20"/>
                <w:vertAlign w:val="superscript"/>
                <w:lang w:val="it-IT" w:eastAsia="zh-CN"/>
              </w:rPr>
            </w:pPr>
            <w:r w:rsidRPr="000F0246">
              <w:rPr>
                <w:rFonts w:ascii="Times" w:eastAsia="SimSun" w:hAnsi="Times" w:cs="Arial"/>
                <w:b/>
                <w:sz w:val="20"/>
                <w:lang w:val="it-IT" w:eastAsia="zh-CN"/>
              </w:rPr>
              <w:t>Sopravvivenza globale</w:t>
            </w:r>
            <w:r w:rsidR="00194F5C">
              <w:rPr>
                <w:rFonts w:ascii="Times" w:eastAsia="SimSun" w:hAnsi="Times" w:cs="Arial"/>
                <w:b/>
                <w:sz w:val="20"/>
                <w:lang w:val="it-IT" w:eastAsia="zh-CN"/>
              </w:rPr>
              <w:t xml:space="preserve"> </w:t>
            </w:r>
            <w:r w:rsidR="002B3493" w:rsidRPr="000F0246">
              <w:rPr>
                <w:rFonts w:ascii="Times" w:eastAsia="SimSun" w:hAnsi="Times" w:cs="Arial"/>
                <w:b/>
                <w:sz w:val="20"/>
                <w:lang w:val="it-IT" w:eastAsia="zh-CN"/>
              </w:rPr>
              <w:t xml:space="preserve">- Analisi </w:t>
            </w:r>
            <w:r w:rsidR="00915325" w:rsidRPr="00330A40">
              <w:rPr>
                <w:rFonts w:ascii="Times" w:eastAsia="SimSun" w:hAnsi="Times" w:cs="Arial"/>
                <w:b/>
                <w:sz w:val="20"/>
                <w:lang w:val="it-IT" w:eastAsia="zh-CN"/>
              </w:rPr>
              <w:t>p</w:t>
            </w:r>
            <w:r w:rsidR="00915325" w:rsidRPr="000F0246">
              <w:rPr>
                <w:rFonts w:ascii="Times" w:eastAsia="SimSun" w:hAnsi="Times" w:cs="Arial"/>
                <w:b/>
                <w:sz w:val="20"/>
                <w:lang w:val="it-IT" w:eastAsia="zh-CN"/>
              </w:rPr>
              <w:t>rimaria</w:t>
            </w:r>
            <w:r w:rsidR="00915325" w:rsidRPr="000F0246">
              <w:rPr>
                <w:rFonts w:ascii="Times" w:eastAsia="SimSun" w:hAnsi="Times" w:cs="Arial"/>
                <w:b/>
                <w:sz w:val="20"/>
                <w:vertAlign w:val="superscript"/>
                <w:lang w:val="it-IT" w:eastAsia="zh-CN"/>
              </w:rPr>
              <w:t>6</w:t>
            </w:r>
          </w:p>
        </w:tc>
      </w:tr>
      <w:tr w:rsidR="00C50843" w:rsidRPr="006A2BF9" w14:paraId="4DC952AB" w14:textId="77777777" w:rsidTr="00A837A5">
        <w:trPr>
          <w:jc w:val="center"/>
        </w:trPr>
        <w:tc>
          <w:tcPr>
            <w:tcW w:w="4114" w:type="dxa"/>
            <w:shd w:val="clear" w:color="auto" w:fill="auto"/>
          </w:tcPr>
          <w:p w14:paraId="23022D7D" w14:textId="77777777" w:rsidR="00C50843" w:rsidRPr="006A2BF9" w:rsidRDefault="00C50843" w:rsidP="00F56FC8">
            <w:pPr>
              <w:keepNext/>
              <w:rPr>
                <w:rFonts w:ascii="Times" w:hAnsi="Times" w:cs="Arial"/>
                <w:sz w:val="20"/>
                <w:lang w:val="it-IT" w:eastAsia="da-DK"/>
              </w:rPr>
            </w:pPr>
            <w:r w:rsidRPr="006A2BF9">
              <w:rPr>
                <w:rFonts w:ascii="Times" w:hAnsi="Times" w:cs="Arial"/>
                <w:sz w:val="20"/>
                <w:lang w:val="it-IT" w:eastAsia="da-DK"/>
              </w:rPr>
              <w:t>Median</w:t>
            </w:r>
            <w:r w:rsidR="00F56FC8" w:rsidRPr="006A2BF9">
              <w:rPr>
                <w:rFonts w:ascii="Times" w:hAnsi="Times" w:cs="Arial"/>
                <w:sz w:val="20"/>
                <w:lang w:val="it-IT" w:eastAsia="da-DK"/>
              </w:rPr>
              <w:t>a</w:t>
            </w:r>
            <w:r w:rsidRPr="006A2BF9">
              <w:rPr>
                <w:rFonts w:ascii="Times" w:hAnsi="Times" w:cs="Arial"/>
                <w:sz w:val="20"/>
                <w:lang w:val="it-IT" w:eastAsia="da-DK"/>
              </w:rPr>
              <w:t xml:space="preserve"> (</w:t>
            </w:r>
            <w:r w:rsidR="00F56FC8" w:rsidRPr="006A2BF9">
              <w:rPr>
                <w:rFonts w:ascii="Times" w:hAnsi="Times" w:cs="Arial"/>
                <w:sz w:val="20"/>
                <w:lang w:val="it-IT" w:eastAsia="da-DK"/>
              </w:rPr>
              <w:t>mesi</w:t>
            </w:r>
            <w:r w:rsidRPr="006A2BF9">
              <w:rPr>
                <w:rFonts w:ascii="Times" w:hAnsi="Times" w:cs="Arial"/>
                <w:sz w:val="20"/>
                <w:lang w:val="it-IT" w:eastAsia="da-DK"/>
              </w:rPr>
              <w:t>)</w:t>
            </w:r>
            <w:r w:rsidRPr="006A2BF9">
              <w:rPr>
                <w:rFonts w:ascii="Times" w:hAnsi="Times" w:cs="Arial"/>
                <w:sz w:val="20"/>
                <w:vertAlign w:val="superscript"/>
                <w:lang w:val="it-IT" w:eastAsia="da-DK"/>
              </w:rPr>
              <w:t>1</w:t>
            </w:r>
          </w:p>
        </w:tc>
        <w:tc>
          <w:tcPr>
            <w:tcW w:w="2280" w:type="dxa"/>
            <w:shd w:val="clear" w:color="auto" w:fill="auto"/>
          </w:tcPr>
          <w:p w14:paraId="2597E915" w14:textId="77777777" w:rsidR="00C50843" w:rsidRPr="006A2BF9" w:rsidRDefault="00C50843" w:rsidP="00F56FC8">
            <w:pPr>
              <w:keepNext/>
              <w:jc w:val="center"/>
              <w:rPr>
                <w:rFonts w:ascii="Times" w:hAnsi="Times" w:cs="Arial"/>
                <w:sz w:val="20"/>
                <w:lang w:val="it-IT" w:eastAsia="da-DK"/>
              </w:rPr>
            </w:pPr>
            <w:r w:rsidRPr="006A2BF9">
              <w:rPr>
                <w:rFonts w:ascii="Times" w:hAnsi="Times" w:cs="Arial"/>
                <w:sz w:val="20"/>
                <w:lang w:val="it-IT" w:eastAsia="da-DK"/>
              </w:rPr>
              <w:t>12</w:t>
            </w:r>
            <w:r w:rsidR="00F56FC8" w:rsidRPr="006A2BF9">
              <w:rPr>
                <w:rFonts w:ascii="Times" w:hAnsi="Times" w:cs="Arial"/>
                <w:sz w:val="20"/>
                <w:lang w:val="it-IT" w:eastAsia="da-DK"/>
              </w:rPr>
              <w:t>,</w:t>
            </w:r>
            <w:r w:rsidRPr="006A2BF9">
              <w:rPr>
                <w:rFonts w:ascii="Times" w:hAnsi="Times" w:cs="Arial"/>
                <w:sz w:val="20"/>
                <w:lang w:val="it-IT" w:eastAsia="da-DK"/>
              </w:rPr>
              <w:t>9</w:t>
            </w:r>
          </w:p>
        </w:tc>
        <w:tc>
          <w:tcPr>
            <w:tcW w:w="2522" w:type="dxa"/>
            <w:shd w:val="clear" w:color="auto" w:fill="auto"/>
          </w:tcPr>
          <w:p w14:paraId="4FD587D8" w14:textId="77777777" w:rsidR="00C50843" w:rsidRPr="006A2BF9" w:rsidRDefault="00C50843" w:rsidP="00C50843">
            <w:pPr>
              <w:keepNext/>
              <w:jc w:val="center"/>
              <w:rPr>
                <w:rFonts w:ascii="Times" w:hAnsi="Times" w:cs="Arial"/>
                <w:sz w:val="20"/>
                <w:lang w:val="it-IT" w:eastAsia="da-DK"/>
              </w:rPr>
            </w:pPr>
            <w:r w:rsidRPr="006A2BF9">
              <w:rPr>
                <w:rFonts w:ascii="Times" w:hAnsi="Times" w:cs="Arial"/>
                <w:sz w:val="20"/>
                <w:lang w:val="it-IT" w:eastAsia="da-DK"/>
              </w:rPr>
              <w:t>16</w:t>
            </w:r>
            <w:r w:rsidR="00F56FC8" w:rsidRPr="006A2BF9">
              <w:rPr>
                <w:rFonts w:ascii="Times" w:hAnsi="Times" w:cs="Arial"/>
                <w:sz w:val="20"/>
                <w:lang w:val="it-IT" w:eastAsia="da-DK"/>
              </w:rPr>
              <w:t>,</w:t>
            </w:r>
            <w:r w:rsidRPr="006A2BF9">
              <w:rPr>
                <w:rFonts w:ascii="Times" w:hAnsi="Times" w:cs="Arial"/>
                <w:sz w:val="20"/>
                <w:lang w:val="it-IT" w:eastAsia="da-DK"/>
              </w:rPr>
              <w:t>8</w:t>
            </w:r>
          </w:p>
        </w:tc>
      </w:tr>
      <w:tr w:rsidR="00C50843" w:rsidRPr="006A2BF9" w14:paraId="63E581D6" w14:textId="77777777" w:rsidTr="00A837A5">
        <w:trPr>
          <w:jc w:val="center"/>
        </w:trPr>
        <w:tc>
          <w:tcPr>
            <w:tcW w:w="4114" w:type="dxa"/>
            <w:shd w:val="clear" w:color="auto" w:fill="auto"/>
          </w:tcPr>
          <w:p w14:paraId="3F7544DC" w14:textId="77777777" w:rsidR="00C50843" w:rsidRPr="00330A40" w:rsidRDefault="00C50843" w:rsidP="00C50843">
            <w:pPr>
              <w:keepNext/>
              <w:rPr>
                <w:rFonts w:ascii="Times" w:hAnsi="Times" w:cs="Arial"/>
                <w:sz w:val="20"/>
                <w:lang w:val="it-IT" w:eastAsia="da-DK"/>
              </w:rPr>
            </w:pPr>
            <w:r w:rsidRPr="000F0246">
              <w:rPr>
                <w:rFonts w:ascii="Times" w:hAnsi="Times" w:cs="Arial"/>
                <w:i/>
                <w:sz w:val="20"/>
                <w:lang w:val="it-IT"/>
              </w:rPr>
              <w:t>Hazard ratio</w:t>
            </w:r>
            <w:r w:rsidRPr="00330A40">
              <w:rPr>
                <w:rFonts w:ascii="Times" w:hAnsi="Times" w:cs="Arial"/>
                <w:sz w:val="20"/>
                <w:lang w:val="it-IT"/>
              </w:rPr>
              <w:t xml:space="preserve"> [</w:t>
            </w:r>
            <w:r w:rsidR="00F56FC8" w:rsidRPr="00330A40">
              <w:rPr>
                <w:rFonts w:ascii="Times" w:hAnsi="Times" w:cs="Arial"/>
                <w:sz w:val="20"/>
                <w:lang w:val="it-IT"/>
              </w:rPr>
              <w:t>IC al 95%</w:t>
            </w:r>
            <w:r w:rsidRPr="00330A40">
              <w:rPr>
                <w:rFonts w:ascii="Times" w:hAnsi="Times" w:cs="Arial"/>
                <w:sz w:val="20"/>
                <w:lang w:val="it-IT"/>
              </w:rPr>
              <w:t>]</w:t>
            </w:r>
          </w:p>
        </w:tc>
        <w:tc>
          <w:tcPr>
            <w:tcW w:w="4802" w:type="dxa"/>
            <w:gridSpan w:val="2"/>
            <w:shd w:val="clear" w:color="auto" w:fill="auto"/>
          </w:tcPr>
          <w:p w14:paraId="10DF847E" w14:textId="77777777" w:rsidR="00C50843" w:rsidRPr="00330A40" w:rsidRDefault="00F56FC8" w:rsidP="00C50843">
            <w:pPr>
              <w:keepNext/>
              <w:jc w:val="center"/>
              <w:rPr>
                <w:rFonts w:ascii="Times" w:hAnsi="Times" w:cs="Arial"/>
                <w:sz w:val="20"/>
                <w:lang w:val="it-IT" w:eastAsia="da-DK"/>
              </w:rPr>
            </w:pPr>
            <w:r w:rsidRPr="00330A40">
              <w:rPr>
                <w:rFonts w:ascii="Times" w:hAnsi="Times" w:cs="Arial"/>
                <w:sz w:val="20"/>
                <w:lang w:val="it-IT" w:eastAsia="da-DK"/>
              </w:rPr>
              <w:t>0,74 [0,58; 0,</w:t>
            </w:r>
            <w:r w:rsidR="00C50843" w:rsidRPr="00330A40">
              <w:rPr>
                <w:rFonts w:ascii="Times" w:hAnsi="Times" w:cs="Arial"/>
                <w:sz w:val="20"/>
                <w:lang w:val="it-IT" w:eastAsia="da-DK"/>
              </w:rPr>
              <w:t>94]</w:t>
            </w:r>
          </w:p>
          <w:p w14:paraId="69EA7DB5" w14:textId="77777777" w:rsidR="00C50843" w:rsidRPr="00330A40" w:rsidRDefault="00C50843" w:rsidP="00F56FC8">
            <w:pPr>
              <w:keepNext/>
              <w:jc w:val="center"/>
              <w:rPr>
                <w:rFonts w:ascii="Times" w:hAnsi="Times" w:cs="Arial"/>
                <w:sz w:val="20"/>
                <w:lang w:val="it-IT" w:eastAsia="da-DK"/>
              </w:rPr>
            </w:pPr>
            <w:r w:rsidRPr="00330A40">
              <w:rPr>
                <w:rFonts w:ascii="Times" w:hAnsi="Times" w:cs="Arial"/>
                <w:sz w:val="20"/>
                <w:lang w:val="it-IT" w:eastAsia="da-DK"/>
              </w:rPr>
              <w:t>(</w:t>
            </w:r>
            <w:r w:rsidR="00F56FC8" w:rsidRPr="00330A40">
              <w:rPr>
                <w:rFonts w:ascii="Times" w:hAnsi="Times" w:cs="Arial"/>
                <w:sz w:val="20"/>
                <w:lang w:val="it-IT" w:eastAsia="da-DK"/>
              </w:rPr>
              <w:t>valore di p</w:t>
            </w:r>
            <w:r w:rsidRPr="00330A40">
              <w:rPr>
                <w:rFonts w:ascii="Times" w:hAnsi="Times" w:cs="Arial"/>
                <w:sz w:val="20"/>
                <w:vertAlign w:val="superscript"/>
                <w:lang w:val="it-IT" w:eastAsia="da-DK"/>
              </w:rPr>
              <w:t>5</w:t>
            </w:r>
            <w:r w:rsidR="00D76537" w:rsidRPr="00330A40">
              <w:rPr>
                <w:rFonts w:ascii="Times" w:hAnsi="Times" w:cs="Arial"/>
                <w:sz w:val="20"/>
                <w:lang w:val="it-IT" w:eastAsia="da-DK"/>
              </w:rPr>
              <w:t> </w:t>
            </w:r>
            <w:r w:rsidR="00F56FC8" w:rsidRPr="00330A40">
              <w:rPr>
                <w:rFonts w:ascii="Times" w:hAnsi="Times" w:cs="Arial"/>
                <w:sz w:val="20"/>
                <w:lang w:val="it-IT" w:eastAsia="da-DK"/>
              </w:rPr>
              <w:t>= 0,</w:t>
            </w:r>
            <w:r w:rsidRPr="00330A40">
              <w:rPr>
                <w:rFonts w:ascii="Times" w:hAnsi="Times" w:cs="Arial"/>
                <w:sz w:val="20"/>
                <w:lang w:val="it-IT" w:eastAsia="da-DK"/>
              </w:rPr>
              <w:t>0132)</w:t>
            </w:r>
          </w:p>
        </w:tc>
      </w:tr>
      <w:tr w:rsidR="002B3493" w:rsidRPr="006A2BF9" w14:paraId="46D3AAA0" w14:textId="77777777" w:rsidTr="00A837A5">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76B2DCF5" w14:textId="77777777" w:rsidR="002B3493" w:rsidRPr="000F0246" w:rsidRDefault="002B3493" w:rsidP="00915325">
            <w:pPr>
              <w:keepNext/>
              <w:spacing w:before="120" w:after="120" w:line="280" w:lineRule="atLeast"/>
              <w:rPr>
                <w:rFonts w:ascii="Times" w:eastAsia="SimSun" w:hAnsi="Times" w:cs="Arial"/>
                <w:b/>
                <w:sz w:val="20"/>
                <w:u w:val="single"/>
                <w:lang w:val="it-IT" w:eastAsia="zh-CN"/>
              </w:rPr>
            </w:pPr>
            <w:r w:rsidRPr="000F0246">
              <w:rPr>
                <w:rFonts w:ascii="Times" w:eastAsia="SimSun" w:hAnsi="Times" w:cs="Arial"/>
                <w:b/>
                <w:sz w:val="20"/>
                <w:lang w:val="it-IT" w:eastAsia="zh-CN"/>
              </w:rPr>
              <w:t>Sopravvivenza globale</w:t>
            </w:r>
            <w:r w:rsidR="00194F5C">
              <w:rPr>
                <w:rFonts w:ascii="Times" w:eastAsia="SimSun" w:hAnsi="Times" w:cs="Arial"/>
                <w:b/>
                <w:sz w:val="20"/>
                <w:lang w:val="it-IT" w:eastAsia="zh-CN"/>
              </w:rPr>
              <w:t xml:space="preserve"> </w:t>
            </w:r>
            <w:r w:rsidRPr="000F0246">
              <w:rPr>
                <w:rFonts w:ascii="Times" w:eastAsia="SimSun" w:hAnsi="Times" w:cs="Arial"/>
                <w:b/>
                <w:sz w:val="20"/>
                <w:lang w:val="it-IT" w:eastAsia="zh-CN"/>
              </w:rPr>
              <w:t xml:space="preserve">- Analisi di </w:t>
            </w:r>
            <w:r w:rsidR="00915325" w:rsidRPr="000F0246">
              <w:rPr>
                <w:rFonts w:ascii="Times" w:eastAsia="SimSun" w:hAnsi="Times" w:cs="Arial"/>
                <w:b/>
                <w:sz w:val="20"/>
                <w:lang w:val="it-IT" w:eastAsia="zh-CN"/>
              </w:rPr>
              <w:t>follow</w:t>
            </w:r>
            <w:r w:rsidRPr="000F0246">
              <w:rPr>
                <w:rFonts w:ascii="Times" w:eastAsia="SimSun" w:hAnsi="Times" w:cs="Arial"/>
                <w:b/>
                <w:sz w:val="20"/>
                <w:lang w:val="it-IT" w:eastAsia="zh-CN"/>
              </w:rPr>
              <w:t>-up</w:t>
            </w:r>
            <w:r w:rsidRPr="000F0246">
              <w:rPr>
                <w:rFonts w:ascii="Times" w:eastAsia="SimSun" w:hAnsi="Times" w:cs="Arial"/>
                <w:b/>
                <w:sz w:val="20"/>
                <w:vertAlign w:val="superscript"/>
                <w:lang w:val="it-IT" w:eastAsia="zh-CN"/>
              </w:rPr>
              <w:t>7</w:t>
            </w:r>
          </w:p>
        </w:tc>
      </w:tr>
      <w:tr w:rsidR="002B3493" w:rsidRPr="006A2BF9" w14:paraId="29B2C9E8" w14:textId="77777777" w:rsidTr="00A837A5">
        <w:trPr>
          <w:jc w:val="center"/>
        </w:trPr>
        <w:tc>
          <w:tcPr>
            <w:tcW w:w="4114" w:type="dxa"/>
            <w:shd w:val="clear" w:color="auto" w:fill="auto"/>
          </w:tcPr>
          <w:p w14:paraId="41458D46" w14:textId="77777777" w:rsidR="002B3493" w:rsidRPr="006A2BF9" w:rsidRDefault="002B3493" w:rsidP="00523F9A">
            <w:pPr>
              <w:keepNext/>
              <w:rPr>
                <w:rFonts w:ascii="Times" w:hAnsi="Times" w:cs="Arial"/>
                <w:sz w:val="20"/>
                <w:lang w:val="it-IT" w:eastAsia="da-DK"/>
              </w:rPr>
            </w:pPr>
            <w:r w:rsidRPr="006A2BF9">
              <w:rPr>
                <w:rFonts w:ascii="Times" w:hAnsi="Times" w:cs="Arial"/>
                <w:sz w:val="20"/>
                <w:lang w:val="it-IT" w:eastAsia="da-DK"/>
              </w:rPr>
              <w:t>Mediana (mesi)</w:t>
            </w:r>
            <w:r w:rsidRPr="006A2BF9">
              <w:rPr>
                <w:rFonts w:ascii="Times" w:hAnsi="Times" w:cs="Arial"/>
                <w:sz w:val="20"/>
                <w:vertAlign w:val="superscript"/>
                <w:lang w:val="it-IT" w:eastAsia="da-DK"/>
              </w:rPr>
              <w:t>1</w:t>
            </w:r>
          </w:p>
        </w:tc>
        <w:tc>
          <w:tcPr>
            <w:tcW w:w="2280" w:type="dxa"/>
            <w:shd w:val="clear" w:color="auto" w:fill="auto"/>
          </w:tcPr>
          <w:p w14:paraId="24498568" w14:textId="77777777" w:rsidR="002B3493" w:rsidRPr="006A2BF9" w:rsidRDefault="002B3493" w:rsidP="00523F9A">
            <w:pPr>
              <w:keepNext/>
              <w:jc w:val="center"/>
              <w:rPr>
                <w:rFonts w:ascii="Times" w:hAnsi="Times" w:cs="Arial"/>
                <w:sz w:val="20"/>
                <w:lang w:val="it-IT" w:eastAsia="da-DK"/>
              </w:rPr>
            </w:pPr>
            <w:r w:rsidRPr="006A2BF9">
              <w:rPr>
                <w:rFonts w:ascii="Times" w:hAnsi="Times" w:cs="Arial"/>
                <w:sz w:val="20"/>
                <w:lang w:val="it-IT" w:eastAsia="da-DK"/>
              </w:rPr>
              <w:t>13,3</w:t>
            </w:r>
          </w:p>
        </w:tc>
        <w:tc>
          <w:tcPr>
            <w:tcW w:w="2522" w:type="dxa"/>
            <w:shd w:val="clear" w:color="auto" w:fill="auto"/>
          </w:tcPr>
          <w:p w14:paraId="338FAB7E" w14:textId="77777777" w:rsidR="002B3493" w:rsidRPr="006A2BF9" w:rsidRDefault="002B3493" w:rsidP="00523F9A">
            <w:pPr>
              <w:keepNext/>
              <w:jc w:val="center"/>
              <w:rPr>
                <w:rFonts w:ascii="Times" w:hAnsi="Times" w:cs="Arial"/>
                <w:sz w:val="20"/>
                <w:lang w:val="it-IT" w:eastAsia="da-DK"/>
              </w:rPr>
            </w:pPr>
            <w:r w:rsidRPr="006A2BF9">
              <w:rPr>
                <w:rFonts w:ascii="Times" w:hAnsi="Times" w:cs="Arial"/>
                <w:sz w:val="20"/>
                <w:lang w:val="it-IT" w:eastAsia="da-DK"/>
              </w:rPr>
              <w:t>16,8</w:t>
            </w:r>
          </w:p>
        </w:tc>
      </w:tr>
      <w:tr w:rsidR="002B3493" w:rsidRPr="006A2BF9" w14:paraId="35525897" w14:textId="77777777" w:rsidTr="00A837A5">
        <w:trPr>
          <w:jc w:val="center"/>
        </w:trPr>
        <w:tc>
          <w:tcPr>
            <w:tcW w:w="4114" w:type="dxa"/>
            <w:shd w:val="clear" w:color="auto" w:fill="auto"/>
          </w:tcPr>
          <w:p w14:paraId="4AF8878C" w14:textId="77777777" w:rsidR="002B3493" w:rsidRPr="00330A40" w:rsidRDefault="002B3493" w:rsidP="00523F9A">
            <w:pPr>
              <w:keepNext/>
              <w:rPr>
                <w:rFonts w:ascii="Times" w:hAnsi="Times" w:cs="Arial"/>
                <w:sz w:val="20"/>
                <w:lang w:val="it-IT" w:eastAsia="da-DK"/>
              </w:rPr>
            </w:pPr>
            <w:r w:rsidRPr="000F0246">
              <w:rPr>
                <w:rFonts w:ascii="Times" w:hAnsi="Times" w:cs="Arial"/>
                <w:i/>
                <w:sz w:val="20"/>
                <w:lang w:val="it-IT"/>
              </w:rPr>
              <w:t>Hazard ratio</w:t>
            </w:r>
            <w:r w:rsidRPr="00330A40">
              <w:rPr>
                <w:rFonts w:ascii="Times" w:hAnsi="Times" w:cs="Arial"/>
                <w:sz w:val="20"/>
                <w:lang w:val="it-IT"/>
              </w:rPr>
              <w:t xml:space="preserve"> [IC al 95%]</w:t>
            </w:r>
          </w:p>
        </w:tc>
        <w:tc>
          <w:tcPr>
            <w:tcW w:w="4802" w:type="dxa"/>
            <w:gridSpan w:val="2"/>
            <w:shd w:val="clear" w:color="auto" w:fill="auto"/>
          </w:tcPr>
          <w:p w14:paraId="3B74DD87" w14:textId="77777777" w:rsidR="002B3493" w:rsidRPr="00330A40" w:rsidRDefault="002B3493" w:rsidP="00523F9A">
            <w:pPr>
              <w:keepNext/>
              <w:jc w:val="center"/>
              <w:rPr>
                <w:rFonts w:ascii="Times" w:hAnsi="Times" w:cs="Arial"/>
                <w:sz w:val="20"/>
                <w:lang w:val="it-IT" w:eastAsia="da-DK"/>
              </w:rPr>
            </w:pPr>
            <w:r w:rsidRPr="00330A40">
              <w:rPr>
                <w:rFonts w:ascii="Times" w:hAnsi="Times" w:cs="Arial"/>
                <w:sz w:val="20"/>
                <w:lang w:val="it-IT" w:eastAsia="da-DK"/>
              </w:rPr>
              <w:t>0,76 [0,62; 0,94]</w:t>
            </w:r>
          </w:p>
          <w:p w14:paraId="0D634B74" w14:textId="77777777" w:rsidR="002B3493" w:rsidRPr="00330A40" w:rsidRDefault="002B3493" w:rsidP="00523F9A">
            <w:pPr>
              <w:keepNext/>
              <w:jc w:val="center"/>
              <w:rPr>
                <w:rFonts w:ascii="Times" w:hAnsi="Times" w:cs="Arial"/>
                <w:sz w:val="20"/>
                <w:lang w:val="it-IT" w:eastAsia="da-DK"/>
              </w:rPr>
            </w:pPr>
            <w:r w:rsidRPr="00330A40">
              <w:rPr>
                <w:rFonts w:ascii="Times" w:hAnsi="Times" w:cs="Arial"/>
                <w:sz w:val="20"/>
                <w:lang w:val="it-IT" w:eastAsia="da-DK"/>
              </w:rPr>
              <w:t>(valore di p</w:t>
            </w:r>
            <w:r w:rsidRPr="00330A40">
              <w:rPr>
                <w:rFonts w:ascii="Times" w:hAnsi="Times" w:cs="Arial"/>
                <w:sz w:val="20"/>
                <w:vertAlign w:val="superscript"/>
                <w:lang w:val="it-IT" w:eastAsia="da-DK"/>
              </w:rPr>
              <w:t>5,8</w:t>
            </w:r>
            <w:r w:rsidR="00D76537" w:rsidRPr="00330A40">
              <w:rPr>
                <w:rFonts w:ascii="Times" w:hAnsi="Times" w:cs="Arial"/>
                <w:sz w:val="20"/>
                <w:lang w:val="it-IT" w:eastAsia="da-DK"/>
              </w:rPr>
              <w:t> </w:t>
            </w:r>
            <w:r w:rsidRPr="00330A40">
              <w:rPr>
                <w:rFonts w:ascii="Times" w:hAnsi="Times" w:cs="Arial"/>
                <w:sz w:val="20"/>
                <w:lang w:val="it-IT" w:eastAsia="da-DK"/>
              </w:rPr>
              <w:t>= 0,0126)</w:t>
            </w:r>
          </w:p>
        </w:tc>
      </w:tr>
      <w:tr w:rsidR="002B3493" w:rsidRPr="006A2BF9" w14:paraId="08678F23" w14:textId="77777777" w:rsidTr="00A837A5">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331D5C38" w14:textId="77777777" w:rsidR="002B3493" w:rsidRPr="000F0246" w:rsidRDefault="002B3493" w:rsidP="002B3493">
            <w:pPr>
              <w:keepNext/>
              <w:spacing w:before="120" w:after="120" w:line="280" w:lineRule="atLeast"/>
              <w:jc w:val="center"/>
              <w:rPr>
                <w:rFonts w:ascii="Times" w:eastAsia="SimSun" w:hAnsi="Times" w:cs="Arial"/>
                <w:b/>
                <w:sz w:val="20"/>
                <w:u w:val="single"/>
                <w:lang w:val="it-IT" w:eastAsia="zh-CN"/>
              </w:rPr>
            </w:pPr>
            <w:r w:rsidRPr="000F0246">
              <w:rPr>
                <w:rFonts w:ascii="Times" w:eastAsia="SimSun" w:hAnsi="Times" w:cs="Arial"/>
                <w:b/>
                <w:sz w:val="20"/>
                <w:u w:val="single"/>
                <w:lang w:val="it-IT" w:eastAsia="zh-CN"/>
              </w:rPr>
              <w:t>Endpoint secondari</w:t>
            </w:r>
          </w:p>
        </w:tc>
      </w:tr>
      <w:tr w:rsidR="002B3493" w:rsidRPr="006A2BF9" w14:paraId="5AA38C3F" w14:textId="77777777" w:rsidTr="00A837A5">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07EAED70" w14:textId="77777777" w:rsidR="002B3493" w:rsidRPr="000F0246" w:rsidRDefault="002B3493" w:rsidP="00915325">
            <w:pPr>
              <w:keepNext/>
              <w:spacing w:before="120" w:after="120" w:line="280" w:lineRule="atLeast"/>
              <w:jc w:val="both"/>
              <w:rPr>
                <w:rFonts w:ascii="Times" w:eastAsia="SimSun" w:hAnsi="Times" w:cs="Arial"/>
                <w:b/>
                <w:sz w:val="20"/>
                <w:lang w:val="it-IT" w:eastAsia="zh-CN"/>
              </w:rPr>
            </w:pPr>
            <w:r w:rsidRPr="000F0246">
              <w:rPr>
                <w:rFonts w:ascii="Times" w:eastAsia="SimSun" w:hAnsi="Times" w:cs="Arial"/>
                <w:b/>
                <w:sz w:val="20"/>
                <w:lang w:val="it-IT" w:eastAsia="zh-CN"/>
              </w:rPr>
              <w:t xml:space="preserve">Sopravvivenza libera da progressione- Analisi </w:t>
            </w:r>
            <w:r w:rsidR="00915325" w:rsidRPr="000F0246">
              <w:rPr>
                <w:rFonts w:ascii="Times" w:eastAsia="SimSun" w:hAnsi="Times" w:cs="Arial"/>
                <w:b/>
                <w:sz w:val="20"/>
                <w:lang w:val="it-IT" w:eastAsia="zh-CN"/>
              </w:rPr>
              <w:t>primaria</w:t>
            </w:r>
            <w:r w:rsidR="00915325" w:rsidRPr="000F0246">
              <w:rPr>
                <w:rFonts w:ascii="Times" w:eastAsia="SimSun" w:hAnsi="Times" w:cs="Arial"/>
                <w:b/>
                <w:sz w:val="20"/>
                <w:vertAlign w:val="superscript"/>
                <w:lang w:val="it-IT" w:eastAsia="zh-CN"/>
              </w:rPr>
              <w:t>6</w:t>
            </w:r>
          </w:p>
        </w:tc>
      </w:tr>
      <w:tr w:rsidR="002B3493" w:rsidRPr="006A2BF9" w14:paraId="0660DF15" w14:textId="77777777" w:rsidTr="00A837A5">
        <w:trPr>
          <w:jc w:val="center"/>
        </w:trPr>
        <w:tc>
          <w:tcPr>
            <w:tcW w:w="4114" w:type="dxa"/>
            <w:shd w:val="clear" w:color="auto" w:fill="auto"/>
          </w:tcPr>
          <w:p w14:paraId="4F482D52" w14:textId="77777777" w:rsidR="002B3493" w:rsidRPr="006A2BF9" w:rsidRDefault="002B3493" w:rsidP="00F56FC8">
            <w:pPr>
              <w:keepNext/>
              <w:spacing w:line="280" w:lineRule="atLeast"/>
              <w:rPr>
                <w:rFonts w:ascii="Times" w:eastAsia="SimSun" w:hAnsi="Times" w:cs="Arial"/>
                <w:sz w:val="20"/>
                <w:lang w:val="it-IT"/>
              </w:rPr>
            </w:pPr>
            <w:r w:rsidRPr="006A2BF9">
              <w:rPr>
                <w:rFonts w:ascii="Times" w:eastAsia="SimSun" w:hAnsi="Times" w:cs="Arial"/>
                <w:sz w:val="20"/>
                <w:lang w:val="it-IT"/>
              </w:rPr>
              <w:t>PFS mediana (mesi)</w:t>
            </w:r>
            <w:r w:rsidRPr="006A2BF9">
              <w:rPr>
                <w:rFonts w:ascii="Times" w:eastAsia="SimSun" w:hAnsi="Times" w:cs="Arial"/>
                <w:sz w:val="20"/>
                <w:vertAlign w:val="superscript"/>
                <w:lang w:val="it-IT"/>
              </w:rPr>
              <w:t>1</w:t>
            </w:r>
          </w:p>
        </w:tc>
        <w:tc>
          <w:tcPr>
            <w:tcW w:w="2280" w:type="dxa"/>
            <w:shd w:val="clear" w:color="auto" w:fill="auto"/>
          </w:tcPr>
          <w:p w14:paraId="1EFF73DD" w14:textId="77777777" w:rsidR="002B3493" w:rsidRPr="006A2BF9" w:rsidRDefault="002B3493" w:rsidP="00C50843">
            <w:pPr>
              <w:keepNext/>
              <w:spacing w:line="280" w:lineRule="atLeast"/>
              <w:jc w:val="center"/>
              <w:rPr>
                <w:rFonts w:ascii="Times" w:eastAsia="SimSun" w:hAnsi="Times" w:cs="Arial"/>
                <w:sz w:val="20"/>
                <w:lang w:val="it-IT"/>
              </w:rPr>
            </w:pPr>
            <w:r w:rsidRPr="006A2BF9">
              <w:rPr>
                <w:rFonts w:ascii="Times" w:eastAsia="SimSun" w:hAnsi="Times" w:cs="Arial"/>
                <w:sz w:val="20"/>
                <w:lang w:val="it-IT"/>
              </w:rPr>
              <w:t>6,0</w:t>
            </w:r>
          </w:p>
        </w:tc>
        <w:tc>
          <w:tcPr>
            <w:tcW w:w="2522" w:type="dxa"/>
            <w:shd w:val="clear" w:color="auto" w:fill="auto"/>
          </w:tcPr>
          <w:p w14:paraId="490CAD4B" w14:textId="77777777" w:rsidR="002B3493" w:rsidRPr="006A2BF9" w:rsidRDefault="002B3493" w:rsidP="00C50843">
            <w:pPr>
              <w:keepNext/>
              <w:spacing w:line="280" w:lineRule="atLeast"/>
              <w:jc w:val="center"/>
              <w:rPr>
                <w:rFonts w:ascii="Times" w:eastAsia="SimSun" w:hAnsi="Times" w:cs="Arial"/>
                <w:sz w:val="20"/>
                <w:lang w:val="it-IT"/>
              </w:rPr>
            </w:pPr>
            <w:r w:rsidRPr="006A2BF9">
              <w:rPr>
                <w:rFonts w:ascii="Times" w:eastAsia="SimSun" w:hAnsi="Times" w:cs="Arial"/>
                <w:sz w:val="20"/>
                <w:lang w:val="it-IT"/>
              </w:rPr>
              <w:t>8,3</w:t>
            </w:r>
          </w:p>
        </w:tc>
      </w:tr>
      <w:tr w:rsidR="002B3493" w:rsidRPr="006A2BF9" w14:paraId="133231E6" w14:textId="77777777" w:rsidTr="00A837A5">
        <w:trPr>
          <w:jc w:val="center"/>
        </w:trPr>
        <w:tc>
          <w:tcPr>
            <w:tcW w:w="4114" w:type="dxa"/>
            <w:shd w:val="clear" w:color="auto" w:fill="auto"/>
          </w:tcPr>
          <w:p w14:paraId="4D5ACB05" w14:textId="77777777" w:rsidR="002B3493" w:rsidRPr="00330A40" w:rsidRDefault="002B3493" w:rsidP="00F56FC8">
            <w:pPr>
              <w:keepNext/>
              <w:spacing w:line="280" w:lineRule="atLeast"/>
              <w:rPr>
                <w:rFonts w:ascii="Times" w:eastAsia="SimSun" w:hAnsi="Times" w:cs="Arial"/>
                <w:b/>
                <w:sz w:val="20"/>
                <w:lang w:val="it-IT"/>
              </w:rPr>
            </w:pPr>
            <w:r w:rsidRPr="000F0246">
              <w:rPr>
                <w:rFonts w:ascii="Times" w:eastAsia="SimSun" w:hAnsi="Times" w:cs="Arial"/>
                <w:i/>
                <w:sz w:val="20"/>
                <w:lang w:val="it-IT"/>
              </w:rPr>
              <w:t>Hazard ratio</w:t>
            </w:r>
            <w:r w:rsidRPr="00330A40">
              <w:rPr>
                <w:rFonts w:ascii="Times" w:eastAsia="SimSun" w:hAnsi="Times" w:cs="Arial"/>
                <w:sz w:val="20"/>
                <w:lang w:val="it-IT"/>
              </w:rPr>
              <w:t xml:space="preserve"> [IC al 95%]</w:t>
            </w:r>
          </w:p>
        </w:tc>
        <w:tc>
          <w:tcPr>
            <w:tcW w:w="4802" w:type="dxa"/>
            <w:gridSpan w:val="2"/>
            <w:shd w:val="clear" w:color="auto" w:fill="auto"/>
          </w:tcPr>
          <w:p w14:paraId="2F2B66F8" w14:textId="77777777" w:rsidR="002B3493" w:rsidRPr="00330A40" w:rsidRDefault="002B3493" w:rsidP="00C50843">
            <w:pPr>
              <w:keepNext/>
              <w:jc w:val="center"/>
              <w:rPr>
                <w:rFonts w:ascii="Times" w:hAnsi="Times" w:cs="Arial"/>
                <w:sz w:val="20"/>
                <w:lang w:val="it-IT" w:eastAsia="da-DK"/>
              </w:rPr>
            </w:pPr>
            <w:r w:rsidRPr="00330A40">
              <w:rPr>
                <w:rFonts w:ascii="Times" w:hAnsi="Times" w:cs="Arial"/>
                <w:sz w:val="20"/>
                <w:lang w:val="it-IT" w:eastAsia="da-DK"/>
              </w:rPr>
              <w:t>0,66 [0,54; 0,81]</w:t>
            </w:r>
          </w:p>
          <w:p w14:paraId="2F19FE01" w14:textId="77777777" w:rsidR="002B3493" w:rsidRPr="00330A40" w:rsidRDefault="002B3493" w:rsidP="00F56FC8">
            <w:pPr>
              <w:keepNext/>
              <w:spacing w:line="280" w:lineRule="atLeast"/>
              <w:jc w:val="center"/>
              <w:rPr>
                <w:rFonts w:ascii="Times" w:eastAsia="SimSun" w:hAnsi="Times" w:cs="Arial"/>
                <w:sz w:val="20"/>
                <w:lang w:val="it-IT"/>
              </w:rPr>
            </w:pPr>
            <w:r w:rsidRPr="00330A40">
              <w:rPr>
                <w:rFonts w:ascii="Times" w:eastAsia="SimSun" w:hAnsi="Times" w:cs="Arial"/>
                <w:sz w:val="20"/>
                <w:lang w:val="it-IT" w:eastAsia="zh-CN"/>
              </w:rPr>
              <w:t>(valore di p</w:t>
            </w:r>
            <w:r w:rsidRPr="00330A40">
              <w:rPr>
                <w:rFonts w:ascii="Times" w:hAnsi="Times" w:cs="Arial"/>
                <w:sz w:val="24"/>
                <w:vertAlign w:val="superscript"/>
                <w:lang w:val="it-IT"/>
              </w:rPr>
              <w:t>5</w:t>
            </w:r>
            <w:r w:rsidRPr="00330A40">
              <w:rPr>
                <w:rFonts w:ascii="Times" w:eastAsia="SimSun" w:hAnsi="Times" w:cs="Arial"/>
                <w:sz w:val="20"/>
                <w:lang w:val="it-IT" w:eastAsia="zh-CN"/>
              </w:rPr>
              <w:t> &lt;</w:t>
            </w:r>
            <w:r w:rsidR="00D76537" w:rsidRPr="00330A40">
              <w:rPr>
                <w:rFonts w:ascii="Times" w:eastAsia="SimSun" w:hAnsi="Times" w:cs="Arial"/>
                <w:sz w:val="20"/>
                <w:lang w:val="it-IT" w:eastAsia="zh-CN"/>
              </w:rPr>
              <w:t> </w:t>
            </w:r>
            <w:r w:rsidRPr="00330A40">
              <w:rPr>
                <w:rFonts w:ascii="Times" w:eastAsia="SimSun" w:hAnsi="Times" w:cs="Arial"/>
                <w:sz w:val="20"/>
                <w:lang w:val="it-IT" w:eastAsia="zh-CN"/>
              </w:rPr>
              <w:t>0,0001)</w:t>
            </w:r>
          </w:p>
        </w:tc>
      </w:tr>
      <w:tr w:rsidR="002B3493" w:rsidRPr="006A2BF9" w14:paraId="2E63F755" w14:textId="77777777" w:rsidTr="00A837A5">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07B10D9D" w14:textId="77777777" w:rsidR="002B3493" w:rsidRPr="000F0246" w:rsidRDefault="002B3493" w:rsidP="00915325">
            <w:pPr>
              <w:keepNext/>
              <w:spacing w:before="120" w:after="120" w:line="280" w:lineRule="atLeast"/>
              <w:jc w:val="both"/>
              <w:rPr>
                <w:rFonts w:ascii="Times" w:eastAsia="SimSun" w:hAnsi="Times" w:cs="Arial"/>
                <w:b/>
                <w:sz w:val="20"/>
                <w:lang w:val="it-IT" w:eastAsia="zh-CN"/>
              </w:rPr>
            </w:pPr>
            <w:r w:rsidRPr="000F0246">
              <w:rPr>
                <w:rFonts w:ascii="Times" w:eastAsia="SimSun" w:hAnsi="Times" w:cs="Arial"/>
                <w:b/>
                <w:sz w:val="20"/>
                <w:lang w:val="it-IT" w:eastAsia="zh-CN"/>
              </w:rPr>
              <w:t xml:space="preserve">Migliore risposta globale - Analisi </w:t>
            </w:r>
            <w:r w:rsidR="00915325" w:rsidRPr="000F0246">
              <w:rPr>
                <w:rFonts w:ascii="Times" w:eastAsia="SimSun" w:hAnsi="Times" w:cs="Arial"/>
                <w:b/>
                <w:sz w:val="20"/>
                <w:lang w:val="it-IT" w:eastAsia="zh-CN"/>
              </w:rPr>
              <w:t>primaria</w:t>
            </w:r>
            <w:r w:rsidR="00915325" w:rsidRPr="000F0246">
              <w:rPr>
                <w:rFonts w:ascii="Times" w:eastAsia="SimSun" w:hAnsi="Times" w:cs="Arial"/>
                <w:b/>
                <w:sz w:val="20"/>
                <w:vertAlign w:val="superscript"/>
                <w:lang w:val="it-IT" w:eastAsia="zh-CN"/>
              </w:rPr>
              <w:t>6</w:t>
            </w:r>
          </w:p>
        </w:tc>
      </w:tr>
      <w:tr w:rsidR="002B3493" w:rsidRPr="006A2BF9" w14:paraId="02D2B978" w14:textId="77777777" w:rsidTr="00A837A5">
        <w:trPr>
          <w:jc w:val="center"/>
        </w:trPr>
        <w:tc>
          <w:tcPr>
            <w:tcW w:w="4114" w:type="dxa"/>
            <w:shd w:val="clear" w:color="auto" w:fill="auto"/>
          </w:tcPr>
          <w:p w14:paraId="4C1453AA" w14:textId="77777777" w:rsidR="002B3493" w:rsidRPr="006A2BF9" w:rsidRDefault="00A60B82" w:rsidP="00C50843">
            <w:pPr>
              <w:keepNext/>
              <w:rPr>
                <w:rFonts w:ascii="Times" w:hAnsi="Times" w:cs="Arial"/>
                <w:sz w:val="20"/>
                <w:lang w:val="it-IT" w:eastAsia="da-DK"/>
              </w:rPr>
            </w:pPr>
            <w:r w:rsidRPr="006A2BF9">
              <w:rPr>
                <w:rFonts w:ascii="Times" w:hAnsi="Times" w:cs="Arial"/>
                <w:sz w:val="20"/>
                <w:lang w:val="it-IT" w:eastAsia="da-DK"/>
              </w:rPr>
              <w:t>Responsivi</w:t>
            </w:r>
            <w:r w:rsidR="002B3493" w:rsidRPr="006A2BF9">
              <w:rPr>
                <w:rFonts w:ascii="Times" w:hAnsi="Times" w:cs="Arial"/>
                <w:sz w:val="20"/>
                <w:lang w:val="it-IT" w:eastAsia="da-DK"/>
              </w:rPr>
              <w:t xml:space="preserve"> (</w:t>
            </w:r>
            <w:r w:rsidR="00194F5C">
              <w:rPr>
                <w:rFonts w:ascii="Times" w:hAnsi="Times" w:cs="Arial"/>
                <w:sz w:val="20"/>
                <w:lang w:val="it-IT" w:eastAsia="da-DK"/>
              </w:rPr>
              <w:t>t</w:t>
            </w:r>
            <w:r w:rsidR="002B3493" w:rsidRPr="006A2BF9">
              <w:rPr>
                <w:rFonts w:ascii="Times" w:hAnsi="Times" w:cs="Arial"/>
                <w:sz w:val="20"/>
                <w:lang w:val="it-IT" w:eastAsia="da-DK"/>
              </w:rPr>
              <w:t>asso di risposta</w:t>
            </w:r>
            <w:r w:rsidR="002B3493" w:rsidRPr="006A2BF9">
              <w:rPr>
                <w:rFonts w:ascii="Times" w:hAnsi="Times" w:cs="Arial"/>
                <w:sz w:val="20"/>
                <w:vertAlign w:val="superscript"/>
                <w:lang w:val="it-IT" w:eastAsia="da-DK"/>
              </w:rPr>
              <w:t>2</w:t>
            </w:r>
            <w:r w:rsidR="002B3493" w:rsidRPr="006A2BF9">
              <w:rPr>
                <w:rFonts w:ascii="Times" w:hAnsi="Times" w:cs="Arial"/>
                <w:sz w:val="20"/>
                <w:lang w:val="it-IT" w:eastAsia="da-DK"/>
              </w:rPr>
              <w:t>)</w:t>
            </w:r>
          </w:p>
        </w:tc>
        <w:tc>
          <w:tcPr>
            <w:tcW w:w="2280" w:type="dxa"/>
            <w:shd w:val="clear" w:color="auto" w:fill="auto"/>
          </w:tcPr>
          <w:p w14:paraId="42DA8E27" w14:textId="77777777" w:rsidR="002B3493" w:rsidRPr="006A2BF9" w:rsidRDefault="002B3493" w:rsidP="00F56FC8">
            <w:pPr>
              <w:keepNext/>
              <w:jc w:val="center"/>
              <w:rPr>
                <w:rFonts w:ascii="Times" w:hAnsi="Times" w:cs="Arial"/>
                <w:sz w:val="20"/>
                <w:lang w:val="it-IT" w:eastAsia="da-DK"/>
              </w:rPr>
            </w:pPr>
            <w:r w:rsidRPr="006A2BF9">
              <w:rPr>
                <w:rFonts w:ascii="Times" w:hAnsi="Times" w:cs="Arial"/>
                <w:sz w:val="20"/>
                <w:lang w:val="it-IT" w:eastAsia="da-DK"/>
              </w:rPr>
              <w:t>76 (33,8%)</w:t>
            </w:r>
          </w:p>
        </w:tc>
        <w:tc>
          <w:tcPr>
            <w:tcW w:w="2522" w:type="dxa"/>
            <w:shd w:val="clear" w:color="auto" w:fill="auto"/>
          </w:tcPr>
          <w:p w14:paraId="558C4F80" w14:textId="77777777" w:rsidR="002B3493" w:rsidRPr="006A2BF9" w:rsidRDefault="002B3493" w:rsidP="00C50843">
            <w:pPr>
              <w:keepNext/>
              <w:jc w:val="center"/>
              <w:rPr>
                <w:rFonts w:ascii="Times" w:hAnsi="Times" w:cs="Arial"/>
                <w:sz w:val="20"/>
                <w:lang w:val="it-IT" w:eastAsia="da-DK"/>
              </w:rPr>
            </w:pPr>
            <w:r w:rsidRPr="006A2BF9">
              <w:rPr>
                <w:rFonts w:ascii="Times" w:hAnsi="Times" w:cs="Arial"/>
                <w:sz w:val="20"/>
                <w:lang w:val="it-IT" w:eastAsia="da-DK"/>
              </w:rPr>
              <w:t>103 (45,4%)</w:t>
            </w:r>
          </w:p>
        </w:tc>
      </w:tr>
      <w:tr w:rsidR="002B3493" w:rsidRPr="006A2BF9" w14:paraId="53DCB1CC" w14:textId="77777777" w:rsidTr="00A837A5">
        <w:trPr>
          <w:jc w:val="center"/>
        </w:trPr>
        <w:tc>
          <w:tcPr>
            <w:tcW w:w="4114" w:type="dxa"/>
            <w:shd w:val="clear" w:color="auto" w:fill="auto"/>
          </w:tcPr>
          <w:p w14:paraId="6921ED82" w14:textId="77777777" w:rsidR="002B3493" w:rsidRPr="006A2BF9" w:rsidRDefault="002B3493" w:rsidP="00F56FC8">
            <w:pPr>
              <w:keepNext/>
              <w:spacing w:line="280" w:lineRule="atLeast"/>
              <w:rPr>
                <w:rFonts w:ascii="Times" w:eastAsia="SimSun" w:hAnsi="Times" w:cs="Arial"/>
                <w:sz w:val="20"/>
                <w:lang w:val="it-IT" w:eastAsia="zh-CN"/>
              </w:rPr>
            </w:pPr>
            <w:r w:rsidRPr="006A2BF9">
              <w:rPr>
                <w:rFonts w:ascii="Times" w:eastAsia="SimSun" w:hAnsi="Times" w:cs="Arial"/>
                <w:sz w:val="20"/>
                <w:lang w:val="it-IT" w:eastAsia="zh-CN"/>
              </w:rPr>
              <w:t>IC al 95% per i tassi di risposta</w:t>
            </w:r>
            <w:r w:rsidRPr="006A2BF9">
              <w:rPr>
                <w:rFonts w:ascii="Times" w:eastAsia="SimSun" w:hAnsi="Times" w:cs="Arial"/>
                <w:sz w:val="20"/>
                <w:vertAlign w:val="superscript"/>
                <w:lang w:val="it-IT" w:eastAsia="zh-CN"/>
              </w:rPr>
              <w:t>3</w:t>
            </w:r>
            <w:r w:rsidRPr="006A2BF9">
              <w:rPr>
                <w:rFonts w:ascii="Times" w:eastAsia="SimSun" w:hAnsi="Times" w:cs="Arial"/>
                <w:sz w:val="20"/>
                <w:lang w:val="it-IT" w:eastAsia="zh-CN"/>
              </w:rPr>
              <w:t xml:space="preserve"> </w:t>
            </w:r>
          </w:p>
        </w:tc>
        <w:tc>
          <w:tcPr>
            <w:tcW w:w="2280" w:type="dxa"/>
            <w:shd w:val="clear" w:color="auto" w:fill="auto"/>
          </w:tcPr>
          <w:p w14:paraId="55A187EB" w14:textId="77777777" w:rsidR="002B3493" w:rsidRPr="006A2BF9" w:rsidRDefault="002B3493" w:rsidP="002B3493">
            <w:pPr>
              <w:keepNext/>
              <w:jc w:val="center"/>
              <w:rPr>
                <w:rFonts w:ascii="Times" w:hAnsi="Times" w:cs="Arial"/>
                <w:sz w:val="20"/>
                <w:lang w:val="it-IT" w:eastAsia="da-DK"/>
              </w:rPr>
            </w:pPr>
            <w:r w:rsidRPr="006A2BF9">
              <w:rPr>
                <w:rFonts w:ascii="Times" w:hAnsi="Times" w:cs="Arial"/>
                <w:sz w:val="20"/>
                <w:lang w:val="it-IT" w:eastAsia="da-DK"/>
              </w:rPr>
              <w:t>[27,6%; 40,4%</w:t>
            </w:r>
          </w:p>
        </w:tc>
        <w:tc>
          <w:tcPr>
            <w:tcW w:w="2522" w:type="dxa"/>
            <w:shd w:val="clear" w:color="auto" w:fill="auto"/>
          </w:tcPr>
          <w:p w14:paraId="30E81E3C" w14:textId="77777777" w:rsidR="002B3493" w:rsidRPr="006A2BF9" w:rsidRDefault="002B3493" w:rsidP="00C50843">
            <w:pPr>
              <w:keepNext/>
              <w:jc w:val="center"/>
              <w:rPr>
                <w:rFonts w:ascii="Times" w:hAnsi="Times" w:cs="Arial"/>
                <w:sz w:val="20"/>
                <w:lang w:val="it-IT" w:eastAsia="da-DK"/>
              </w:rPr>
            </w:pPr>
            <w:r w:rsidRPr="006A2BF9">
              <w:rPr>
                <w:rFonts w:ascii="Times" w:hAnsi="Times" w:cs="Arial"/>
                <w:sz w:val="20"/>
                <w:lang w:val="it-IT" w:eastAsia="da-DK"/>
              </w:rPr>
              <w:t>[38,8%; 52,1%]</w:t>
            </w:r>
          </w:p>
        </w:tc>
      </w:tr>
      <w:tr w:rsidR="002B3493" w:rsidRPr="006A2BF9" w14:paraId="55E3C7BF" w14:textId="77777777" w:rsidTr="00A837A5">
        <w:trPr>
          <w:jc w:val="center"/>
        </w:trPr>
        <w:tc>
          <w:tcPr>
            <w:tcW w:w="4114" w:type="dxa"/>
            <w:shd w:val="clear" w:color="auto" w:fill="auto"/>
          </w:tcPr>
          <w:p w14:paraId="549DBC52" w14:textId="77777777" w:rsidR="002B3493" w:rsidRPr="006A2BF9" w:rsidRDefault="002B3493" w:rsidP="00EF1E34">
            <w:pPr>
              <w:keepNext/>
              <w:spacing w:line="280" w:lineRule="atLeast"/>
              <w:rPr>
                <w:rFonts w:ascii="Times" w:eastAsia="SimSun" w:hAnsi="Times" w:cs="Arial"/>
                <w:sz w:val="20"/>
                <w:lang w:val="it-IT" w:eastAsia="zh-CN"/>
              </w:rPr>
            </w:pPr>
            <w:r w:rsidRPr="006A2BF9">
              <w:rPr>
                <w:rFonts w:ascii="Times" w:eastAsia="SimSun" w:hAnsi="Times" w:cs="Arial"/>
                <w:sz w:val="20"/>
                <w:lang w:val="it-IT" w:eastAsia="zh-CN"/>
              </w:rPr>
              <w:t>Differenza tra i tassi di risposta</w:t>
            </w:r>
          </w:p>
        </w:tc>
        <w:tc>
          <w:tcPr>
            <w:tcW w:w="4802" w:type="dxa"/>
            <w:gridSpan w:val="2"/>
            <w:shd w:val="clear" w:color="auto" w:fill="auto"/>
          </w:tcPr>
          <w:p w14:paraId="424E6E21" w14:textId="77777777" w:rsidR="002B3493" w:rsidRPr="006A2BF9" w:rsidRDefault="002B3493" w:rsidP="00C50843">
            <w:pPr>
              <w:keepNext/>
              <w:jc w:val="center"/>
              <w:rPr>
                <w:rFonts w:ascii="Times" w:hAnsi="Times" w:cs="Arial"/>
                <w:sz w:val="20"/>
                <w:lang w:val="it-IT" w:eastAsia="da-DK"/>
              </w:rPr>
            </w:pPr>
            <w:r w:rsidRPr="006A2BF9">
              <w:rPr>
                <w:rFonts w:ascii="Times" w:hAnsi="Times" w:cs="Arial"/>
                <w:sz w:val="20"/>
                <w:lang w:val="it-IT" w:eastAsia="da-DK"/>
              </w:rPr>
              <w:t>11,60%</w:t>
            </w:r>
          </w:p>
        </w:tc>
      </w:tr>
      <w:tr w:rsidR="002B3493" w:rsidRPr="006A2BF9" w14:paraId="295664C3" w14:textId="77777777" w:rsidTr="00A837A5">
        <w:trPr>
          <w:jc w:val="center"/>
        </w:trPr>
        <w:tc>
          <w:tcPr>
            <w:tcW w:w="4114" w:type="dxa"/>
            <w:shd w:val="clear" w:color="auto" w:fill="auto"/>
          </w:tcPr>
          <w:p w14:paraId="1E72C979" w14:textId="77777777" w:rsidR="002B3493" w:rsidRPr="006A2BF9" w:rsidRDefault="002B3493" w:rsidP="00FE75E5">
            <w:pPr>
              <w:keepNext/>
              <w:spacing w:line="280" w:lineRule="atLeast"/>
              <w:rPr>
                <w:rFonts w:ascii="Times" w:eastAsia="SimSun" w:hAnsi="Times" w:cs="Arial"/>
                <w:sz w:val="20"/>
                <w:lang w:val="it-IT" w:eastAsia="zh-CN"/>
              </w:rPr>
            </w:pPr>
            <w:r w:rsidRPr="006A2BF9">
              <w:rPr>
                <w:rFonts w:ascii="Times" w:eastAsia="SimSun" w:hAnsi="Times" w:cs="Arial"/>
                <w:sz w:val="20"/>
                <w:lang w:val="it-IT" w:eastAsia="zh-CN"/>
              </w:rPr>
              <w:t>IC al 95% per la differenza tra i tassi di risposta</w:t>
            </w:r>
            <w:r w:rsidRPr="006A2BF9">
              <w:rPr>
                <w:rFonts w:ascii="Times" w:eastAsia="SimSun" w:hAnsi="Times" w:cs="Arial"/>
                <w:sz w:val="20"/>
                <w:vertAlign w:val="superscript"/>
                <w:lang w:val="it-IT" w:eastAsia="zh-CN"/>
              </w:rPr>
              <w:t>4</w:t>
            </w:r>
          </w:p>
        </w:tc>
        <w:tc>
          <w:tcPr>
            <w:tcW w:w="4802" w:type="dxa"/>
            <w:gridSpan w:val="2"/>
            <w:shd w:val="clear" w:color="auto" w:fill="auto"/>
          </w:tcPr>
          <w:p w14:paraId="34A7EDB1" w14:textId="77777777" w:rsidR="002B3493" w:rsidRPr="006A2BF9" w:rsidRDefault="002B3493" w:rsidP="00F56FC8">
            <w:pPr>
              <w:keepNext/>
              <w:jc w:val="center"/>
              <w:rPr>
                <w:rFonts w:ascii="Times" w:hAnsi="Times" w:cs="Arial"/>
                <w:sz w:val="20"/>
                <w:lang w:val="it-IT" w:eastAsia="da-DK"/>
              </w:rPr>
            </w:pPr>
            <w:r w:rsidRPr="006A2BF9">
              <w:rPr>
                <w:rFonts w:ascii="Times" w:hAnsi="Times" w:cs="Arial"/>
                <w:sz w:val="20"/>
                <w:lang w:val="it-IT" w:eastAsia="da-DK"/>
              </w:rPr>
              <w:t>[2,4%; 20,8%]</w:t>
            </w:r>
          </w:p>
        </w:tc>
      </w:tr>
      <w:tr w:rsidR="002B3493" w:rsidRPr="006A2BF9" w14:paraId="3B18823A" w14:textId="77777777" w:rsidTr="00A837A5">
        <w:trPr>
          <w:jc w:val="center"/>
        </w:trPr>
        <w:tc>
          <w:tcPr>
            <w:tcW w:w="4114" w:type="dxa"/>
            <w:shd w:val="clear" w:color="auto" w:fill="auto"/>
          </w:tcPr>
          <w:p w14:paraId="72644EED" w14:textId="65924B53" w:rsidR="002B3493" w:rsidRPr="006A2BF9" w:rsidRDefault="002B3493" w:rsidP="00F56FC8">
            <w:pPr>
              <w:keepNext/>
              <w:spacing w:line="280" w:lineRule="atLeast"/>
              <w:rPr>
                <w:rFonts w:ascii="Times" w:eastAsia="SimSun" w:hAnsi="Times" w:cs="Arial"/>
                <w:sz w:val="20"/>
                <w:lang w:val="it-IT" w:eastAsia="zh-CN"/>
              </w:rPr>
            </w:pPr>
            <w:r w:rsidRPr="006A2BF9">
              <w:rPr>
                <w:rFonts w:ascii="Times" w:eastAsia="SimSun" w:hAnsi="Times" w:cs="Arial"/>
                <w:sz w:val="20"/>
                <w:lang w:val="it-IT" w:eastAsia="zh-CN"/>
              </w:rPr>
              <w:t xml:space="preserve">Valore di p (test </w:t>
            </w:r>
            <w:r w:rsidR="00AC2E82">
              <w:rPr>
                <w:rFonts w:ascii="Times" w:eastAsia="SimSun" w:hAnsi="Times" w:cs="Arial"/>
                <w:sz w:val="20"/>
                <w:lang w:val="it-IT" w:eastAsia="zh-CN"/>
              </w:rPr>
              <w:t>c</w:t>
            </w:r>
            <w:r w:rsidRPr="006A2BF9">
              <w:rPr>
                <w:rFonts w:ascii="Times" w:eastAsia="SimSun" w:hAnsi="Times" w:cs="Arial"/>
                <w:sz w:val="20"/>
                <w:lang w:val="it-IT" w:eastAsia="zh-CN"/>
              </w:rPr>
              <w:t>hi-quadro)</w:t>
            </w:r>
          </w:p>
        </w:tc>
        <w:tc>
          <w:tcPr>
            <w:tcW w:w="4802" w:type="dxa"/>
            <w:gridSpan w:val="2"/>
            <w:shd w:val="clear" w:color="auto" w:fill="auto"/>
          </w:tcPr>
          <w:p w14:paraId="0D34BBE2" w14:textId="77777777" w:rsidR="002B3493" w:rsidRPr="006A2BF9" w:rsidRDefault="002B3493" w:rsidP="00C50843">
            <w:pPr>
              <w:keepNext/>
              <w:jc w:val="center"/>
              <w:rPr>
                <w:rFonts w:ascii="Times" w:hAnsi="Times" w:cs="Arial"/>
                <w:sz w:val="20"/>
                <w:lang w:val="it-IT" w:eastAsia="da-DK"/>
              </w:rPr>
            </w:pPr>
            <w:r w:rsidRPr="006A2BF9">
              <w:rPr>
                <w:rFonts w:ascii="Times" w:hAnsi="Times"/>
                <w:sz w:val="20"/>
                <w:lang w:val="it-IT" w:eastAsia="da-DK"/>
              </w:rPr>
              <w:t>0,0117</w:t>
            </w:r>
          </w:p>
        </w:tc>
      </w:tr>
    </w:tbl>
    <w:p w14:paraId="3648BC98" w14:textId="77777777" w:rsidR="00C50843" w:rsidRPr="006A2BF9" w:rsidRDefault="00C50843" w:rsidP="00C50843">
      <w:pPr>
        <w:keepNext/>
        <w:rPr>
          <w:rFonts w:ascii="Times" w:eastAsia="MS Mincho" w:hAnsi="Times" w:cs="Arial"/>
          <w:bCs/>
          <w:sz w:val="20"/>
          <w:lang w:val="it-IT"/>
        </w:rPr>
      </w:pPr>
      <w:r w:rsidRPr="006A2BF9">
        <w:rPr>
          <w:rFonts w:ascii="Times" w:eastAsia="MS Mincho" w:hAnsi="Times" w:cs="Arial"/>
          <w:bCs/>
          <w:sz w:val="20"/>
          <w:vertAlign w:val="superscript"/>
          <w:lang w:val="it-IT"/>
        </w:rPr>
        <w:t>1</w:t>
      </w:r>
      <w:r w:rsidRPr="006A2BF9">
        <w:rPr>
          <w:rFonts w:ascii="Times" w:eastAsia="MS Mincho" w:hAnsi="Times" w:cs="Arial"/>
          <w:bCs/>
          <w:sz w:val="20"/>
          <w:lang w:val="it-IT"/>
        </w:rPr>
        <w:t xml:space="preserve"> </w:t>
      </w:r>
      <w:r w:rsidR="00F56FC8" w:rsidRPr="006A2BF9">
        <w:rPr>
          <w:rFonts w:ascii="Times" w:eastAsia="MS Mincho" w:hAnsi="Times" w:cs="Arial"/>
          <w:bCs/>
          <w:sz w:val="20"/>
          <w:lang w:val="it-IT"/>
        </w:rPr>
        <w:t>Stime secondo Kaplan-Meier</w:t>
      </w:r>
    </w:p>
    <w:p w14:paraId="1F77DEAD" w14:textId="77777777" w:rsidR="00F56FC8" w:rsidRPr="006A2BF9" w:rsidRDefault="00C50843" w:rsidP="00C50843">
      <w:pPr>
        <w:keepNext/>
        <w:rPr>
          <w:rFonts w:ascii="Times" w:eastAsia="MS Mincho" w:hAnsi="Times" w:cs="Arial"/>
          <w:bCs/>
          <w:sz w:val="20"/>
          <w:lang w:val="it-IT"/>
        </w:rPr>
      </w:pPr>
      <w:r w:rsidRPr="006A2BF9">
        <w:rPr>
          <w:rFonts w:ascii="Times" w:eastAsia="MS Mincho" w:hAnsi="Times" w:cs="Arial"/>
          <w:bCs/>
          <w:sz w:val="20"/>
          <w:vertAlign w:val="superscript"/>
          <w:lang w:val="it-IT"/>
        </w:rPr>
        <w:t>2</w:t>
      </w:r>
      <w:r w:rsidRPr="006A2BF9">
        <w:rPr>
          <w:rFonts w:ascii="Times" w:eastAsia="MS Mincho" w:hAnsi="Times" w:cs="Arial"/>
          <w:bCs/>
          <w:sz w:val="20"/>
          <w:lang w:val="it-IT"/>
        </w:rPr>
        <w:t xml:space="preserve"> Pa</w:t>
      </w:r>
      <w:r w:rsidR="00F56FC8" w:rsidRPr="006A2BF9">
        <w:rPr>
          <w:rFonts w:ascii="Times" w:eastAsia="MS Mincho" w:hAnsi="Times" w:cs="Arial"/>
          <w:bCs/>
          <w:sz w:val="20"/>
          <w:lang w:val="it-IT"/>
        </w:rPr>
        <w:t xml:space="preserve">zienti </w:t>
      </w:r>
      <w:r w:rsidR="002B3493" w:rsidRPr="006A2BF9">
        <w:rPr>
          <w:rFonts w:ascii="Times" w:eastAsia="MS Mincho" w:hAnsi="Times" w:cs="Arial"/>
          <w:bCs/>
          <w:sz w:val="20"/>
          <w:lang w:val="it-IT"/>
        </w:rPr>
        <w:t xml:space="preserve">e percentuale di pazienti </w:t>
      </w:r>
      <w:r w:rsidR="00F56FC8" w:rsidRPr="006A2BF9">
        <w:rPr>
          <w:rFonts w:ascii="Times" w:eastAsia="MS Mincho" w:hAnsi="Times" w:cs="Arial"/>
          <w:bCs/>
          <w:sz w:val="20"/>
          <w:lang w:val="it-IT"/>
        </w:rPr>
        <w:t>con risposta parziale (PR) o risposta completa (CR)</w:t>
      </w:r>
      <w:r w:rsidR="002B3493" w:rsidRPr="006A2BF9">
        <w:rPr>
          <w:rFonts w:ascii="Times" w:eastAsia="MS Mincho" w:hAnsi="Times" w:cs="Arial"/>
          <w:bCs/>
          <w:sz w:val="20"/>
          <w:lang w:val="it-IT"/>
        </w:rPr>
        <w:t xml:space="preserve"> confermata come migliore risposta globale; percentuale calcolata su pazienti con pat</w:t>
      </w:r>
      <w:r w:rsidR="00EC3528" w:rsidRPr="006A2BF9">
        <w:rPr>
          <w:rFonts w:ascii="Times" w:eastAsia="MS Mincho" w:hAnsi="Times" w:cs="Arial"/>
          <w:bCs/>
          <w:sz w:val="20"/>
          <w:lang w:val="it-IT"/>
        </w:rPr>
        <w:t>o</w:t>
      </w:r>
      <w:r w:rsidR="002B3493" w:rsidRPr="006A2BF9">
        <w:rPr>
          <w:rFonts w:ascii="Times" w:eastAsia="MS Mincho" w:hAnsi="Times" w:cs="Arial"/>
          <w:bCs/>
          <w:sz w:val="20"/>
          <w:lang w:val="it-IT"/>
        </w:rPr>
        <w:t xml:space="preserve">logia misurabile al basale. </w:t>
      </w:r>
    </w:p>
    <w:p w14:paraId="54A642F3" w14:textId="77777777" w:rsidR="00C50843" w:rsidRPr="006A2BF9" w:rsidRDefault="00C50843" w:rsidP="00C50843">
      <w:pPr>
        <w:keepNext/>
        <w:rPr>
          <w:rFonts w:ascii="Times" w:eastAsia="MS Mincho" w:hAnsi="Times" w:cs="Arial"/>
          <w:bCs/>
          <w:sz w:val="20"/>
          <w:lang w:val="it-IT"/>
        </w:rPr>
      </w:pPr>
      <w:r w:rsidRPr="006A2BF9">
        <w:rPr>
          <w:rFonts w:ascii="Times" w:eastAsia="MS Mincho" w:hAnsi="Times" w:cs="Arial"/>
          <w:bCs/>
          <w:sz w:val="20"/>
          <w:vertAlign w:val="superscript"/>
          <w:lang w:val="it-IT"/>
        </w:rPr>
        <w:t>3</w:t>
      </w:r>
      <w:r w:rsidR="00446D4A" w:rsidRPr="006A2BF9">
        <w:rPr>
          <w:rFonts w:ascii="Times" w:eastAsia="MS Mincho" w:hAnsi="Times" w:cs="Arial"/>
          <w:bCs/>
          <w:sz w:val="20"/>
          <w:lang w:val="it-IT"/>
        </w:rPr>
        <w:t xml:space="preserve"> IC al 95% per un campione binomiale secondo il metodo di </w:t>
      </w:r>
      <w:r w:rsidRPr="006A2BF9">
        <w:rPr>
          <w:rFonts w:ascii="Times" w:eastAsia="MS Mincho" w:hAnsi="Times" w:cs="Arial"/>
          <w:bCs/>
          <w:sz w:val="20"/>
          <w:lang w:val="it-IT"/>
        </w:rPr>
        <w:t>Pearson-Clopper</w:t>
      </w:r>
    </w:p>
    <w:p w14:paraId="096355A6" w14:textId="77777777" w:rsidR="00C50843" w:rsidRPr="006A2BF9" w:rsidRDefault="00C50843" w:rsidP="00C50843">
      <w:pPr>
        <w:keepNext/>
        <w:rPr>
          <w:rFonts w:ascii="Times" w:eastAsia="MS Mincho" w:hAnsi="Times" w:cs="Arial"/>
          <w:bCs/>
          <w:sz w:val="20"/>
          <w:lang w:val="it-IT"/>
        </w:rPr>
      </w:pPr>
      <w:r w:rsidRPr="006A2BF9">
        <w:rPr>
          <w:rFonts w:ascii="Times" w:eastAsia="MS Mincho" w:hAnsi="Times" w:cs="Arial"/>
          <w:bCs/>
          <w:sz w:val="20"/>
          <w:vertAlign w:val="superscript"/>
          <w:lang w:val="it-IT"/>
        </w:rPr>
        <w:t>4</w:t>
      </w:r>
      <w:r w:rsidRPr="006A2BF9">
        <w:rPr>
          <w:rFonts w:ascii="Times" w:eastAsia="MS Mincho" w:hAnsi="Times" w:cs="Arial"/>
          <w:sz w:val="20"/>
          <w:lang w:val="it-IT"/>
        </w:rPr>
        <w:t xml:space="preserve"> </w:t>
      </w:r>
      <w:r w:rsidR="00EF1E34" w:rsidRPr="006A2BF9">
        <w:rPr>
          <w:rFonts w:ascii="Times" w:eastAsia="MS Mincho" w:hAnsi="Times" w:cs="Arial"/>
          <w:sz w:val="20"/>
          <w:lang w:val="it-IT"/>
        </w:rPr>
        <w:t xml:space="preserve">IC al </w:t>
      </w:r>
      <w:r w:rsidRPr="006A2BF9">
        <w:rPr>
          <w:rFonts w:ascii="Times" w:eastAsia="MS Mincho" w:hAnsi="Times" w:cs="Arial"/>
          <w:bCs/>
          <w:sz w:val="20"/>
          <w:lang w:val="it-IT"/>
        </w:rPr>
        <w:t xml:space="preserve">95% </w:t>
      </w:r>
      <w:r w:rsidR="00EF1E34" w:rsidRPr="006A2BF9">
        <w:rPr>
          <w:rFonts w:ascii="Times" w:eastAsia="MS Mincho" w:hAnsi="Times" w:cs="Arial"/>
          <w:bCs/>
          <w:sz w:val="20"/>
          <w:lang w:val="it-IT"/>
        </w:rPr>
        <w:t>approssimato per la differenza tra i due tassi secondo il metodo di</w:t>
      </w:r>
      <w:r w:rsidRPr="006A2BF9">
        <w:rPr>
          <w:rFonts w:ascii="Times" w:eastAsia="MS Mincho" w:hAnsi="Times" w:cs="Arial"/>
          <w:bCs/>
          <w:sz w:val="20"/>
          <w:lang w:val="it-IT"/>
        </w:rPr>
        <w:t xml:space="preserve"> Hauck-Anderson</w:t>
      </w:r>
    </w:p>
    <w:p w14:paraId="42D96DF6" w14:textId="77777777" w:rsidR="00C50843" w:rsidRPr="006A2BF9" w:rsidRDefault="00C50843" w:rsidP="00C50843">
      <w:pPr>
        <w:keepNext/>
        <w:rPr>
          <w:rFonts w:ascii="Times" w:eastAsia="MS Mincho" w:hAnsi="Times" w:cs="Arial"/>
          <w:bCs/>
          <w:sz w:val="20"/>
          <w:lang w:val="it-IT"/>
        </w:rPr>
      </w:pPr>
      <w:r w:rsidRPr="006A2BF9">
        <w:rPr>
          <w:rFonts w:ascii="Times" w:eastAsia="MS Mincho" w:hAnsi="Times" w:cs="Arial"/>
          <w:bCs/>
          <w:sz w:val="20"/>
          <w:vertAlign w:val="superscript"/>
          <w:lang w:val="it-IT"/>
        </w:rPr>
        <w:t>5</w:t>
      </w:r>
      <w:r w:rsidRPr="006A2BF9">
        <w:rPr>
          <w:rFonts w:ascii="Times" w:eastAsia="MS Mincho" w:hAnsi="Times" w:cs="Arial"/>
          <w:bCs/>
          <w:sz w:val="20"/>
          <w:lang w:val="it-IT"/>
        </w:rPr>
        <w:t xml:space="preserve"> </w:t>
      </w:r>
      <w:r w:rsidR="00EF1E34" w:rsidRPr="006A2BF9">
        <w:rPr>
          <w:rFonts w:ascii="Times" w:eastAsia="MS Mincho" w:hAnsi="Times" w:cs="Arial"/>
          <w:bCs/>
          <w:sz w:val="20"/>
          <w:lang w:val="it-IT"/>
        </w:rPr>
        <w:t xml:space="preserve">Test </w:t>
      </w:r>
      <w:r w:rsidRPr="006A2BF9">
        <w:rPr>
          <w:rFonts w:ascii="Times" w:eastAsia="MS Mincho" w:hAnsi="Times" w:cs="Arial"/>
          <w:bCs/>
          <w:sz w:val="20"/>
          <w:lang w:val="it-IT"/>
        </w:rPr>
        <w:t>log-rank (stratifi</w:t>
      </w:r>
      <w:r w:rsidR="00EF1E34" w:rsidRPr="006A2BF9">
        <w:rPr>
          <w:rFonts w:ascii="Times" w:eastAsia="MS Mincho" w:hAnsi="Times" w:cs="Arial"/>
          <w:bCs/>
          <w:sz w:val="20"/>
          <w:lang w:val="it-IT"/>
        </w:rPr>
        <w:t>cato</w:t>
      </w:r>
      <w:r w:rsidRPr="006A2BF9">
        <w:rPr>
          <w:rFonts w:ascii="Times" w:eastAsia="MS Mincho" w:hAnsi="Times" w:cs="Arial"/>
          <w:bCs/>
          <w:sz w:val="20"/>
          <w:lang w:val="it-IT"/>
        </w:rPr>
        <w:t>)</w:t>
      </w:r>
    </w:p>
    <w:p w14:paraId="2A5C5A19" w14:textId="77777777" w:rsidR="002B3493" w:rsidRPr="006A2BF9" w:rsidRDefault="002B3493" w:rsidP="00C50843">
      <w:pPr>
        <w:keepNext/>
        <w:rPr>
          <w:rFonts w:ascii="Times" w:eastAsia="MS Mincho" w:hAnsi="Times" w:cs="Arial"/>
          <w:bCs/>
          <w:sz w:val="20"/>
          <w:lang w:val="it-IT"/>
        </w:rPr>
      </w:pPr>
      <w:r w:rsidRPr="006A2BF9">
        <w:rPr>
          <w:rFonts w:ascii="Times" w:eastAsia="MS Mincho" w:hAnsi="Times" w:cs="Arial"/>
          <w:bCs/>
          <w:sz w:val="20"/>
          <w:vertAlign w:val="superscript"/>
          <w:lang w:val="it-IT"/>
        </w:rPr>
        <w:t xml:space="preserve">6 </w:t>
      </w:r>
      <w:r w:rsidRPr="006A2BF9">
        <w:rPr>
          <w:rFonts w:ascii="Times" w:eastAsia="MS Mincho" w:hAnsi="Times" w:cs="Arial"/>
          <w:bCs/>
          <w:sz w:val="20"/>
          <w:lang w:val="it-IT"/>
        </w:rPr>
        <w:t xml:space="preserve">L’analisi primaria è stata effettuata con una data di cut-off del 12 dicembre 2012 ed è considerata come analisi finale. </w:t>
      </w:r>
    </w:p>
    <w:p w14:paraId="33F941DB" w14:textId="77777777" w:rsidR="002B3493" w:rsidRPr="006A2BF9" w:rsidRDefault="002B3493" w:rsidP="00C50843">
      <w:pPr>
        <w:keepNext/>
        <w:rPr>
          <w:rFonts w:ascii="Times" w:eastAsia="MS Mincho" w:hAnsi="Times" w:cs="Arial"/>
          <w:bCs/>
          <w:sz w:val="20"/>
          <w:lang w:val="it-IT"/>
        </w:rPr>
      </w:pPr>
      <w:r w:rsidRPr="006A2BF9">
        <w:rPr>
          <w:rFonts w:ascii="Times" w:eastAsia="MS Mincho" w:hAnsi="Times" w:cs="Arial"/>
          <w:bCs/>
          <w:sz w:val="20"/>
          <w:vertAlign w:val="superscript"/>
          <w:lang w:val="it-IT"/>
        </w:rPr>
        <w:t xml:space="preserve">7 </w:t>
      </w:r>
      <w:r w:rsidRPr="006A2BF9">
        <w:rPr>
          <w:rFonts w:ascii="Times" w:eastAsia="MS Mincho" w:hAnsi="Times" w:cs="Arial"/>
          <w:bCs/>
          <w:sz w:val="20"/>
          <w:lang w:val="it-IT"/>
        </w:rPr>
        <w:t>L’an</w:t>
      </w:r>
      <w:r w:rsidR="00EC3528" w:rsidRPr="006A2BF9">
        <w:rPr>
          <w:rFonts w:ascii="Times" w:eastAsia="MS Mincho" w:hAnsi="Times" w:cs="Arial"/>
          <w:bCs/>
          <w:sz w:val="20"/>
          <w:lang w:val="it-IT"/>
        </w:rPr>
        <w:t>a</w:t>
      </w:r>
      <w:r w:rsidRPr="006A2BF9">
        <w:rPr>
          <w:rFonts w:ascii="Times" w:eastAsia="MS Mincho" w:hAnsi="Times" w:cs="Arial"/>
          <w:bCs/>
          <w:sz w:val="20"/>
          <w:lang w:val="it-IT"/>
        </w:rPr>
        <w:t>lisi di follow-up è stata effettuata con una data di cut-off del 7 marzo 2014.</w:t>
      </w:r>
    </w:p>
    <w:p w14:paraId="7C60410D" w14:textId="77777777" w:rsidR="002B3493" w:rsidRPr="006A2BF9" w:rsidRDefault="002B3493" w:rsidP="00C50843">
      <w:pPr>
        <w:keepNext/>
        <w:rPr>
          <w:rFonts w:ascii="Times" w:eastAsia="MS Mincho" w:hAnsi="Times" w:cs="Arial"/>
          <w:bCs/>
          <w:sz w:val="20"/>
          <w:lang w:val="it-IT"/>
        </w:rPr>
      </w:pPr>
      <w:r w:rsidRPr="006A2BF9">
        <w:rPr>
          <w:rFonts w:ascii="Times" w:eastAsia="MS Mincho" w:hAnsi="Times" w:cs="Arial"/>
          <w:bCs/>
          <w:sz w:val="20"/>
          <w:vertAlign w:val="superscript"/>
          <w:lang w:val="it-IT"/>
        </w:rPr>
        <w:t>8</w:t>
      </w:r>
      <w:r w:rsidRPr="006A2BF9">
        <w:rPr>
          <w:rFonts w:ascii="Times" w:eastAsia="MS Mincho" w:hAnsi="Times" w:cs="Arial"/>
          <w:bCs/>
          <w:sz w:val="20"/>
          <w:lang w:val="it-IT"/>
        </w:rPr>
        <w:t xml:space="preserve"> Il valore di p è mostrato solo a scopo descrittivo</w:t>
      </w:r>
    </w:p>
    <w:p w14:paraId="13AC8F67" w14:textId="77777777" w:rsidR="00C50843" w:rsidRPr="006A2BF9" w:rsidRDefault="00C50843" w:rsidP="00C50843">
      <w:pPr>
        <w:outlineLvl w:val="0"/>
        <w:rPr>
          <w:b/>
          <w:lang w:val="it-IT"/>
        </w:rPr>
      </w:pPr>
    </w:p>
    <w:p w14:paraId="5E0629AC" w14:textId="77777777" w:rsidR="00C50843" w:rsidRPr="006A2BF9" w:rsidRDefault="00C50843" w:rsidP="00C65E97">
      <w:pPr>
        <w:keepNext/>
        <w:ind w:left="1559" w:hanging="1559"/>
        <w:rPr>
          <w:rFonts w:cs="Arial"/>
          <w:b/>
          <w:bCs/>
          <w:lang w:val="it-IT"/>
        </w:rPr>
      </w:pPr>
      <w:r w:rsidRPr="006A2BF9">
        <w:rPr>
          <w:b/>
          <w:lang w:val="it-IT"/>
        </w:rPr>
        <w:lastRenderedPageBreak/>
        <w:t>Tab</w:t>
      </w:r>
      <w:r w:rsidR="005557CF" w:rsidRPr="006A2BF9">
        <w:rPr>
          <w:b/>
          <w:lang w:val="it-IT"/>
        </w:rPr>
        <w:t>ella</w:t>
      </w:r>
      <w:r w:rsidRPr="006A2BF9">
        <w:rPr>
          <w:b/>
          <w:lang w:val="it-IT"/>
        </w:rPr>
        <w:t xml:space="preserve"> 2</w:t>
      </w:r>
      <w:r w:rsidR="000924C5" w:rsidRPr="006A2BF9">
        <w:rPr>
          <w:b/>
          <w:lang w:val="it-IT"/>
        </w:rPr>
        <w:t>6</w:t>
      </w:r>
      <w:r w:rsidRPr="006A2BF9">
        <w:rPr>
          <w:b/>
          <w:lang w:val="it-IT"/>
        </w:rPr>
        <w:tab/>
      </w:r>
      <w:r w:rsidR="005557CF" w:rsidRPr="006A2BF9">
        <w:rPr>
          <w:rFonts w:cs="Arial"/>
          <w:b/>
          <w:bCs/>
          <w:lang w:val="it-IT"/>
        </w:rPr>
        <w:t xml:space="preserve">Risultati relativi alla sopravvivenza globale dello studio </w:t>
      </w:r>
      <w:r w:rsidRPr="006A2BF9">
        <w:rPr>
          <w:rFonts w:cs="Arial"/>
          <w:b/>
          <w:bCs/>
          <w:lang w:val="it-IT"/>
        </w:rPr>
        <w:t xml:space="preserve">GOG-0240 </w:t>
      </w:r>
      <w:r w:rsidR="005557CF" w:rsidRPr="006A2BF9">
        <w:rPr>
          <w:rFonts w:cs="Arial"/>
          <w:b/>
          <w:bCs/>
          <w:lang w:val="it-IT"/>
        </w:rPr>
        <w:t>con il trattamento sperimentale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00" w:firstRow="0" w:lastRow="0" w:firstColumn="0" w:lastColumn="0" w:noHBand="0" w:noVBand="0"/>
      </w:tblPr>
      <w:tblGrid>
        <w:gridCol w:w="1949"/>
        <w:gridCol w:w="1740"/>
        <w:gridCol w:w="2687"/>
        <w:gridCol w:w="2685"/>
      </w:tblGrid>
      <w:tr w:rsidR="002B3493" w:rsidRPr="006A2BF9" w14:paraId="78DBF7E3" w14:textId="77777777" w:rsidTr="00C65E97">
        <w:trPr>
          <w:cantSplit/>
        </w:trPr>
        <w:tc>
          <w:tcPr>
            <w:tcW w:w="976" w:type="pct"/>
            <w:shd w:val="clear" w:color="auto" w:fill="FFFFFF"/>
            <w:vAlign w:val="bottom"/>
          </w:tcPr>
          <w:p w14:paraId="2D79A1B9" w14:textId="77777777" w:rsidR="002B3493" w:rsidRPr="00330A40" w:rsidRDefault="002B3493" w:rsidP="00B47AC4">
            <w:pPr>
              <w:keepNext/>
              <w:keepLines/>
              <w:spacing w:line="280" w:lineRule="atLeast"/>
              <w:rPr>
                <w:rFonts w:ascii="Times" w:eastAsia="SimSun" w:hAnsi="Times" w:cs="Arial"/>
                <w:b/>
                <w:sz w:val="20"/>
                <w:lang w:val="it-IT" w:eastAsia="zh-CN"/>
              </w:rPr>
            </w:pPr>
            <w:r w:rsidRPr="00330A40">
              <w:rPr>
                <w:rFonts w:ascii="Times" w:eastAsia="SimSun" w:hAnsi="Times" w:cs="Arial"/>
                <w:b/>
                <w:sz w:val="20"/>
                <w:lang w:val="it-IT" w:eastAsia="zh-CN"/>
              </w:rPr>
              <w:t>Confronto tra trattamenti</w:t>
            </w:r>
          </w:p>
        </w:tc>
        <w:tc>
          <w:tcPr>
            <w:tcW w:w="993" w:type="pct"/>
            <w:shd w:val="clear" w:color="auto" w:fill="FFFFFF"/>
            <w:vAlign w:val="bottom"/>
          </w:tcPr>
          <w:p w14:paraId="2E3E01D0" w14:textId="77777777" w:rsidR="002B3493" w:rsidRPr="00330A40" w:rsidRDefault="002B3493" w:rsidP="00B47AC4">
            <w:pPr>
              <w:keepNext/>
              <w:keepLines/>
              <w:spacing w:line="280" w:lineRule="atLeast"/>
              <w:jc w:val="center"/>
              <w:rPr>
                <w:rFonts w:ascii="Times" w:eastAsia="SimSun" w:hAnsi="Times" w:cs="Arial"/>
                <w:b/>
                <w:sz w:val="20"/>
                <w:lang w:val="it-IT" w:eastAsia="zh-CN"/>
              </w:rPr>
            </w:pPr>
            <w:r w:rsidRPr="00330A40">
              <w:rPr>
                <w:rFonts w:ascii="Times" w:eastAsia="SimSun" w:hAnsi="Times" w:cs="Arial"/>
                <w:b/>
                <w:sz w:val="20"/>
                <w:lang w:val="it-IT" w:eastAsia="zh-CN"/>
              </w:rPr>
              <w:t>Altro fattore</w:t>
            </w:r>
          </w:p>
        </w:tc>
        <w:tc>
          <w:tcPr>
            <w:tcW w:w="1516" w:type="pct"/>
            <w:shd w:val="clear" w:color="auto" w:fill="FFFFFF"/>
            <w:vAlign w:val="bottom"/>
          </w:tcPr>
          <w:p w14:paraId="1BD8469B" w14:textId="77777777" w:rsidR="002B3493" w:rsidRPr="006A2BF9" w:rsidRDefault="002B3493" w:rsidP="00B47AC4">
            <w:pPr>
              <w:keepNext/>
              <w:keepLines/>
              <w:spacing w:line="280" w:lineRule="atLeast"/>
              <w:jc w:val="center"/>
              <w:rPr>
                <w:rFonts w:ascii="Times" w:eastAsia="SimSun" w:hAnsi="Times" w:cs="Arial"/>
                <w:b/>
                <w:sz w:val="20"/>
                <w:lang w:val="it-IT" w:eastAsia="zh-CN"/>
              </w:rPr>
            </w:pPr>
            <w:r w:rsidRPr="006A2BF9">
              <w:rPr>
                <w:rFonts w:ascii="Times" w:eastAsia="SimSun" w:hAnsi="Times" w:cs="Arial"/>
                <w:b/>
                <w:sz w:val="20"/>
                <w:lang w:val="it-IT" w:eastAsia="zh-CN"/>
              </w:rPr>
              <w:t>Sopravvivenza globale</w:t>
            </w:r>
            <w:r w:rsidR="001A78BF" w:rsidRPr="006A2BF9">
              <w:rPr>
                <w:rFonts w:ascii="Times" w:eastAsia="SimSun" w:hAnsi="Times" w:cs="Arial"/>
                <w:b/>
                <w:sz w:val="20"/>
                <w:lang w:val="it-IT" w:eastAsia="zh-CN"/>
              </w:rPr>
              <w:t xml:space="preserve"> </w:t>
            </w:r>
            <w:r w:rsidRPr="006A2BF9">
              <w:rPr>
                <w:rFonts w:ascii="Times" w:eastAsia="SimSun" w:hAnsi="Times" w:cs="Arial"/>
                <w:b/>
                <w:sz w:val="20"/>
                <w:lang w:val="it-IT" w:eastAsia="zh-CN"/>
              </w:rPr>
              <w:t>- analisi primaria</w:t>
            </w:r>
            <w:r w:rsidRPr="006A2BF9">
              <w:rPr>
                <w:rFonts w:ascii="Times" w:eastAsia="SimSun" w:hAnsi="Times" w:cs="Arial"/>
                <w:b/>
                <w:sz w:val="20"/>
                <w:vertAlign w:val="superscript"/>
                <w:lang w:val="it-IT" w:eastAsia="zh-CN"/>
              </w:rPr>
              <w:t>1</w:t>
            </w:r>
          </w:p>
          <w:p w14:paraId="53196B12" w14:textId="77777777" w:rsidR="002B3493" w:rsidRPr="00330A40" w:rsidRDefault="002B3493" w:rsidP="00B47AC4">
            <w:pPr>
              <w:keepNext/>
              <w:keepLines/>
              <w:spacing w:line="280" w:lineRule="atLeast"/>
              <w:jc w:val="center"/>
              <w:rPr>
                <w:rFonts w:ascii="Times" w:eastAsia="SimSun" w:hAnsi="Times" w:cs="Arial"/>
                <w:b/>
                <w:sz w:val="20"/>
                <w:lang w:val="it-IT" w:eastAsia="zh-CN"/>
              </w:rPr>
            </w:pPr>
            <w:r w:rsidRPr="000F0246">
              <w:rPr>
                <w:rFonts w:ascii="Times" w:eastAsia="SimSun" w:hAnsi="Times" w:cs="Arial"/>
                <w:b/>
                <w:i/>
                <w:sz w:val="20"/>
                <w:lang w:val="it-IT" w:eastAsia="zh-CN"/>
              </w:rPr>
              <w:t>Hazard ratio</w:t>
            </w:r>
            <w:r w:rsidRPr="00330A40">
              <w:rPr>
                <w:rFonts w:ascii="Times" w:eastAsia="SimSun" w:hAnsi="Times" w:cs="Arial"/>
                <w:b/>
                <w:sz w:val="20"/>
                <w:lang w:val="it-IT" w:eastAsia="zh-CN"/>
              </w:rPr>
              <w:t xml:space="preserve"> (IC al 95%)</w:t>
            </w:r>
          </w:p>
        </w:tc>
        <w:tc>
          <w:tcPr>
            <w:tcW w:w="1516" w:type="pct"/>
            <w:shd w:val="clear" w:color="auto" w:fill="FFFFFF"/>
            <w:vAlign w:val="bottom"/>
          </w:tcPr>
          <w:p w14:paraId="112D6550" w14:textId="77777777" w:rsidR="002B3493" w:rsidRPr="00330A40" w:rsidRDefault="002B3493" w:rsidP="00B47AC4">
            <w:pPr>
              <w:keepNext/>
              <w:keepLines/>
              <w:spacing w:line="280" w:lineRule="atLeast"/>
              <w:jc w:val="center"/>
              <w:rPr>
                <w:rFonts w:ascii="Times" w:eastAsia="SimSun" w:hAnsi="Times" w:cs="Arial"/>
                <w:b/>
                <w:sz w:val="20"/>
                <w:lang w:val="it-IT" w:eastAsia="zh-CN"/>
              </w:rPr>
            </w:pPr>
            <w:r w:rsidRPr="00330A40">
              <w:rPr>
                <w:rFonts w:ascii="Times" w:eastAsia="SimSun" w:hAnsi="Times" w:cs="Arial"/>
                <w:b/>
                <w:sz w:val="20"/>
                <w:lang w:val="it-IT" w:eastAsia="zh-CN"/>
              </w:rPr>
              <w:t>Sopravvivenza globale- analisi di follow-up</w:t>
            </w:r>
            <w:r w:rsidRPr="00330A40">
              <w:rPr>
                <w:rFonts w:ascii="Times" w:eastAsia="SimSun" w:hAnsi="Times" w:cs="Arial"/>
                <w:b/>
                <w:sz w:val="20"/>
                <w:vertAlign w:val="superscript"/>
                <w:lang w:val="it-IT" w:eastAsia="zh-CN"/>
              </w:rPr>
              <w:t>2</w:t>
            </w:r>
          </w:p>
          <w:p w14:paraId="15946463" w14:textId="77777777" w:rsidR="002B3493" w:rsidRPr="00330A40" w:rsidRDefault="002B3493" w:rsidP="00B47AC4">
            <w:pPr>
              <w:keepNext/>
              <w:keepLines/>
              <w:spacing w:line="280" w:lineRule="atLeast"/>
              <w:jc w:val="center"/>
              <w:rPr>
                <w:rFonts w:ascii="Times" w:eastAsia="SimSun" w:hAnsi="Times" w:cs="Arial"/>
                <w:b/>
                <w:sz w:val="20"/>
                <w:lang w:val="it-IT" w:eastAsia="zh-CN"/>
              </w:rPr>
            </w:pPr>
            <w:r w:rsidRPr="000F0246">
              <w:rPr>
                <w:rFonts w:ascii="Times" w:eastAsia="SimSun" w:hAnsi="Times" w:cs="Arial"/>
                <w:b/>
                <w:i/>
                <w:sz w:val="20"/>
                <w:lang w:val="it-IT" w:eastAsia="zh-CN"/>
              </w:rPr>
              <w:t>Hazard ratio</w:t>
            </w:r>
            <w:r w:rsidRPr="00330A40">
              <w:rPr>
                <w:rFonts w:ascii="Times" w:eastAsia="SimSun" w:hAnsi="Times" w:cs="Arial"/>
                <w:b/>
                <w:sz w:val="20"/>
                <w:lang w:val="it-IT" w:eastAsia="zh-CN"/>
              </w:rPr>
              <w:t xml:space="preserve"> (IC al 95%)</w:t>
            </w:r>
          </w:p>
        </w:tc>
      </w:tr>
      <w:tr w:rsidR="002B3493" w:rsidRPr="006A2BF9" w14:paraId="5FAA33A3" w14:textId="77777777" w:rsidTr="00C65E97">
        <w:trPr>
          <w:cantSplit/>
        </w:trPr>
        <w:tc>
          <w:tcPr>
            <w:tcW w:w="976" w:type="pct"/>
            <w:shd w:val="clear" w:color="auto" w:fill="FFFFFF"/>
          </w:tcPr>
          <w:p w14:paraId="29C1BC13" w14:textId="77777777" w:rsidR="002B3493" w:rsidRPr="006A2BF9" w:rsidRDefault="005477DC" w:rsidP="002B3493">
            <w:pPr>
              <w:keepNext/>
              <w:spacing w:line="280" w:lineRule="atLeast"/>
              <w:rPr>
                <w:rFonts w:ascii="Times" w:eastAsia="SimSun" w:hAnsi="Times" w:cs="Arial"/>
                <w:sz w:val="20"/>
                <w:lang w:val="it-IT" w:eastAsia="zh-CN"/>
              </w:rPr>
            </w:pPr>
            <w:r w:rsidRPr="006A2BF9">
              <w:rPr>
                <w:sz w:val="20"/>
                <w:lang w:val="it-IT"/>
              </w:rPr>
              <w:t>Bevacizumab</w:t>
            </w:r>
            <w:r w:rsidRPr="006A2BF9" w:rsidDel="00FD6236">
              <w:rPr>
                <w:lang w:val="it-IT"/>
              </w:rPr>
              <w:t xml:space="preserve"> </w:t>
            </w:r>
            <w:r w:rsidR="002B3493" w:rsidRPr="006A2BF9">
              <w:rPr>
                <w:rFonts w:ascii="Times" w:eastAsia="SimSun" w:hAnsi="Times" w:cs="Arial"/>
                <w:sz w:val="20"/>
                <w:lang w:val="it-IT" w:eastAsia="zh-CN"/>
              </w:rPr>
              <w:t xml:space="preserve">versus trattamento senza </w:t>
            </w:r>
            <w:r w:rsidRPr="006A2BF9">
              <w:rPr>
                <w:sz w:val="20"/>
                <w:lang w:val="it-IT"/>
              </w:rPr>
              <w:t>bevacizumab</w:t>
            </w:r>
          </w:p>
        </w:tc>
        <w:tc>
          <w:tcPr>
            <w:tcW w:w="993" w:type="pct"/>
            <w:shd w:val="clear" w:color="auto" w:fill="FFFFFF"/>
          </w:tcPr>
          <w:p w14:paraId="0858DB14" w14:textId="77777777" w:rsidR="002B3493" w:rsidRPr="006A2BF9" w:rsidRDefault="002B3493" w:rsidP="002B3493">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Cisplatino</w:t>
            </w:r>
            <w:r w:rsidR="00EC7EB8" w:rsidRPr="006A2BF9">
              <w:rPr>
                <w:rFonts w:ascii="Times" w:eastAsia="SimSun" w:hAnsi="Times" w:cs="Arial"/>
                <w:sz w:val="20"/>
                <w:lang w:val="it-IT" w:eastAsia="zh-CN"/>
              </w:rPr>
              <w:t> </w:t>
            </w:r>
            <w:r w:rsidRPr="006A2BF9">
              <w:rPr>
                <w:rFonts w:ascii="Times" w:eastAsia="SimSun" w:hAnsi="Times" w:cs="Arial"/>
                <w:sz w:val="20"/>
                <w:lang w:val="it-IT" w:eastAsia="zh-CN"/>
              </w:rPr>
              <w:t>+</w:t>
            </w:r>
          </w:p>
          <w:p w14:paraId="53D94E41" w14:textId="77777777" w:rsidR="002B3493" w:rsidRPr="006A2BF9" w:rsidRDefault="002B3493" w:rsidP="002B3493">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paclitaxel</w:t>
            </w:r>
          </w:p>
          <w:p w14:paraId="529BF219" w14:textId="77777777" w:rsidR="002B3493" w:rsidRPr="006A2BF9" w:rsidRDefault="002B3493" w:rsidP="002B3493">
            <w:pPr>
              <w:keepNext/>
              <w:spacing w:line="280" w:lineRule="atLeast"/>
              <w:rPr>
                <w:rFonts w:ascii="Times" w:eastAsia="SimSun" w:hAnsi="Times" w:cs="Arial"/>
                <w:sz w:val="20"/>
                <w:lang w:val="it-IT" w:eastAsia="zh-CN"/>
              </w:rPr>
            </w:pPr>
          </w:p>
          <w:p w14:paraId="43A384CB" w14:textId="77777777" w:rsidR="002B3493" w:rsidRPr="006A2BF9" w:rsidRDefault="002B3493" w:rsidP="002B3493">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Topotecan</w:t>
            </w:r>
            <w:r w:rsidR="00EC7EB8" w:rsidRPr="006A2BF9">
              <w:rPr>
                <w:rFonts w:ascii="Times" w:eastAsia="SimSun" w:hAnsi="Times" w:cs="Arial"/>
                <w:sz w:val="20"/>
                <w:lang w:val="it-IT" w:eastAsia="zh-CN"/>
              </w:rPr>
              <w:t> </w:t>
            </w:r>
            <w:r w:rsidRPr="006A2BF9">
              <w:rPr>
                <w:rFonts w:ascii="Times" w:eastAsia="SimSun" w:hAnsi="Times" w:cs="Arial"/>
                <w:sz w:val="20"/>
                <w:lang w:val="it-IT" w:eastAsia="zh-CN"/>
              </w:rPr>
              <w:t>+</w:t>
            </w:r>
          </w:p>
          <w:p w14:paraId="732A462C" w14:textId="77777777" w:rsidR="002B3493" w:rsidRPr="006A2BF9" w:rsidRDefault="002B3493" w:rsidP="002B3493">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 xml:space="preserve">paclitaxel </w:t>
            </w:r>
          </w:p>
        </w:tc>
        <w:tc>
          <w:tcPr>
            <w:tcW w:w="1516" w:type="pct"/>
            <w:shd w:val="clear" w:color="auto" w:fill="FFFFFF"/>
          </w:tcPr>
          <w:p w14:paraId="37D2EB70" w14:textId="77777777" w:rsidR="002B3493" w:rsidRPr="006A2BF9" w:rsidRDefault="002B3493" w:rsidP="002B3493">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0,72 (0,51; 1,02)</w:t>
            </w:r>
          </w:p>
          <w:p w14:paraId="319EFF6E" w14:textId="77777777" w:rsidR="002B3493" w:rsidRPr="00330A40" w:rsidRDefault="002B3493" w:rsidP="002B3493">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 xml:space="preserve">(17,5 </w:t>
            </w:r>
            <w:r w:rsidR="00916147" w:rsidRPr="006A2BF9">
              <w:rPr>
                <w:rFonts w:ascii="Times" w:eastAsia="SimSun" w:hAnsi="Times" w:cs="Arial"/>
                <w:sz w:val="20"/>
                <w:lang w:val="it-IT" w:eastAsia="zh-CN"/>
              </w:rPr>
              <w:t>v</w:t>
            </w:r>
            <w:r w:rsidR="00916147">
              <w:rPr>
                <w:rFonts w:ascii="Times" w:eastAsia="SimSun" w:hAnsi="Times" w:cs="Arial"/>
                <w:sz w:val="20"/>
                <w:lang w:val="it-IT" w:eastAsia="zh-CN"/>
              </w:rPr>
              <w:t>s</w:t>
            </w:r>
            <w:r w:rsidR="00916147" w:rsidRPr="00330A40">
              <w:rPr>
                <w:rFonts w:ascii="Times" w:eastAsia="SimSun" w:hAnsi="Times" w:cs="Arial"/>
                <w:sz w:val="20"/>
                <w:lang w:val="it-IT" w:eastAsia="zh-CN"/>
              </w:rPr>
              <w:t xml:space="preserve"> </w:t>
            </w:r>
            <w:r w:rsidRPr="00330A40">
              <w:rPr>
                <w:rFonts w:ascii="Times" w:eastAsia="SimSun" w:hAnsi="Times" w:cs="Arial"/>
                <w:sz w:val="20"/>
                <w:lang w:val="it-IT" w:eastAsia="zh-CN"/>
              </w:rPr>
              <w:t>14,3 mesi; p </w:t>
            </w:r>
            <w:r w:rsidRPr="00330A40">
              <w:rPr>
                <w:rFonts w:ascii="Times" w:eastAsia="SimSun" w:hAnsi="Times" w:cs="Arial"/>
                <w:sz w:val="20"/>
                <w:lang w:val="it-IT" w:eastAsia="zh-CN"/>
              </w:rPr>
              <w:sym w:font="Symbol" w:char="F03D"/>
            </w:r>
            <w:r w:rsidRPr="00330A40">
              <w:rPr>
                <w:rFonts w:ascii="Times" w:eastAsia="SimSun" w:hAnsi="Times" w:cs="Arial"/>
                <w:sz w:val="20"/>
                <w:lang w:val="it-IT" w:eastAsia="zh-CN"/>
              </w:rPr>
              <w:t> 0,0609)</w:t>
            </w:r>
          </w:p>
          <w:p w14:paraId="3BB9ED56" w14:textId="77777777" w:rsidR="002B3493" w:rsidRPr="00330A40" w:rsidRDefault="002B3493" w:rsidP="002B3493">
            <w:pPr>
              <w:keepNext/>
              <w:spacing w:line="280" w:lineRule="atLeast"/>
              <w:jc w:val="center"/>
              <w:rPr>
                <w:rFonts w:ascii="Times" w:eastAsia="SimSun" w:hAnsi="Times" w:cs="Arial"/>
                <w:sz w:val="20"/>
                <w:lang w:val="it-IT" w:eastAsia="zh-CN"/>
              </w:rPr>
            </w:pPr>
            <w:r w:rsidRPr="00330A40">
              <w:rPr>
                <w:rFonts w:ascii="Times" w:eastAsia="SimSun" w:hAnsi="Times" w:cs="Arial"/>
                <w:sz w:val="20"/>
                <w:lang w:val="it-IT" w:eastAsia="zh-CN"/>
              </w:rPr>
              <w:t>0,76 (0,55; 1,06)</w:t>
            </w:r>
          </w:p>
          <w:p w14:paraId="66D2D5EE" w14:textId="77777777" w:rsidR="002B3493" w:rsidRPr="00330A40" w:rsidRDefault="002B3493" w:rsidP="00916147">
            <w:pPr>
              <w:keepNext/>
              <w:spacing w:line="280" w:lineRule="atLeast"/>
              <w:jc w:val="center"/>
              <w:rPr>
                <w:rFonts w:ascii="Times" w:eastAsia="SimSun" w:hAnsi="Times" w:cs="Arial"/>
                <w:sz w:val="20"/>
                <w:lang w:val="it-IT" w:eastAsia="zh-CN"/>
              </w:rPr>
            </w:pPr>
            <w:r w:rsidRPr="00330A40">
              <w:rPr>
                <w:rFonts w:ascii="Times" w:eastAsia="SimSun" w:hAnsi="Times" w:cs="Arial"/>
                <w:sz w:val="20"/>
                <w:lang w:val="it-IT" w:eastAsia="zh-CN"/>
              </w:rPr>
              <w:t xml:space="preserve">(14,9 </w:t>
            </w:r>
            <w:r w:rsidR="00916147">
              <w:rPr>
                <w:rFonts w:ascii="Times" w:eastAsia="SimSun" w:hAnsi="Times" w:cs="Arial"/>
                <w:sz w:val="20"/>
                <w:lang w:val="it-IT" w:eastAsia="zh-CN"/>
              </w:rPr>
              <w:t>vs</w:t>
            </w:r>
            <w:r w:rsidR="00916147" w:rsidRPr="00330A40">
              <w:rPr>
                <w:rFonts w:ascii="Times" w:eastAsia="SimSun" w:hAnsi="Times" w:cs="Arial"/>
                <w:sz w:val="20"/>
                <w:lang w:val="it-IT" w:eastAsia="zh-CN"/>
              </w:rPr>
              <w:t xml:space="preserve"> </w:t>
            </w:r>
            <w:r w:rsidRPr="00330A40">
              <w:rPr>
                <w:rFonts w:ascii="Times" w:eastAsia="SimSun" w:hAnsi="Times" w:cs="Arial"/>
                <w:sz w:val="20"/>
                <w:lang w:val="it-IT" w:eastAsia="zh-CN"/>
              </w:rPr>
              <w:t>11,9 mesi; p </w:t>
            </w:r>
            <w:r w:rsidRPr="00330A40">
              <w:rPr>
                <w:rFonts w:ascii="Times" w:eastAsia="SimSun" w:hAnsi="Times" w:cs="Arial"/>
                <w:sz w:val="20"/>
                <w:lang w:val="it-IT" w:eastAsia="zh-CN"/>
              </w:rPr>
              <w:sym w:font="Symbol" w:char="F03D"/>
            </w:r>
            <w:r w:rsidRPr="00330A40">
              <w:rPr>
                <w:rFonts w:ascii="Times" w:eastAsia="SimSun" w:hAnsi="Times" w:cs="Arial"/>
                <w:sz w:val="20"/>
                <w:lang w:val="it-IT" w:eastAsia="zh-CN"/>
              </w:rPr>
              <w:t> 0,1061)</w:t>
            </w:r>
          </w:p>
        </w:tc>
        <w:tc>
          <w:tcPr>
            <w:tcW w:w="1516" w:type="pct"/>
            <w:shd w:val="clear" w:color="auto" w:fill="FFFFFF"/>
          </w:tcPr>
          <w:p w14:paraId="4165F58F" w14:textId="77777777" w:rsidR="002B3493" w:rsidRPr="00330A40" w:rsidRDefault="002B3493" w:rsidP="002B3493">
            <w:pPr>
              <w:keepNext/>
              <w:spacing w:line="280" w:lineRule="atLeast"/>
              <w:jc w:val="center"/>
              <w:rPr>
                <w:rFonts w:ascii="Times" w:eastAsia="SimSun" w:hAnsi="Times" w:cs="Arial"/>
                <w:sz w:val="20"/>
                <w:lang w:val="it-IT" w:eastAsia="zh-CN"/>
              </w:rPr>
            </w:pPr>
            <w:r w:rsidRPr="00330A40">
              <w:rPr>
                <w:rFonts w:ascii="Times" w:eastAsia="SimSun" w:hAnsi="Times" w:cs="Arial"/>
                <w:sz w:val="20"/>
                <w:lang w:val="it-IT" w:eastAsia="zh-CN"/>
              </w:rPr>
              <w:t>0,75 (0,55;1,01)</w:t>
            </w:r>
          </w:p>
          <w:p w14:paraId="7F8A5094" w14:textId="77777777" w:rsidR="002B3493" w:rsidRPr="00330A40" w:rsidRDefault="002B3493" w:rsidP="002B3493">
            <w:pPr>
              <w:keepNext/>
              <w:spacing w:line="280" w:lineRule="atLeast"/>
              <w:jc w:val="center"/>
              <w:rPr>
                <w:rFonts w:ascii="Times" w:eastAsia="SimSun" w:hAnsi="Times" w:cs="Arial"/>
                <w:sz w:val="20"/>
                <w:lang w:val="it-IT" w:eastAsia="zh-CN"/>
              </w:rPr>
            </w:pPr>
            <w:r w:rsidRPr="00330A40">
              <w:rPr>
                <w:rFonts w:ascii="Times" w:eastAsia="SimSun" w:hAnsi="Times" w:cs="Arial"/>
                <w:sz w:val="20"/>
                <w:lang w:val="it-IT" w:eastAsia="zh-CN"/>
              </w:rPr>
              <w:t>(17,5 vs. 15,0 mesi: p</w:t>
            </w:r>
            <w:r w:rsidR="00D76537" w:rsidRPr="00330A40">
              <w:rPr>
                <w:rFonts w:ascii="Times" w:eastAsia="SimSun" w:hAnsi="Times" w:cs="Arial"/>
                <w:sz w:val="20"/>
                <w:lang w:val="it-IT" w:eastAsia="zh-CN"/>
              </w:rPr>
              <w:t> </w:t>
            </w:r>
            <w:r w:rsidRPr="00330A40">
              <w:rPr>
                <w:rFonts w:ascii="Times" w:eastAsia="SimSun" w:hAnsi="Times" w:cs="Arial"/>
                <w:sz w:val="20"/>
                <w:lang w:val="it-IT" w:eastAsia="zh-CN"/>
              </w:rPr>
              <w:t>=</w:t>
            </w:r>
            <w:r w:rsidR="00D76537" w:rsidRPr="00330A40">
              <w:rPr>
                <w:rFonts w:ascii="Times" w:eastAsia="SimSun" w:hAnsi="Times" w:cs="Arial"/>
                <w:sz w:val="20"/>
                <w:lang w:val="it-IT" w:eastAsia="zh-CN"/>
              </w:rPr>
              <w:t> </w:t>
            </w:r>
            <w:r w:rsidRPr="00330A40">
              <w:rPr>
                <w:rFonts w:ascii="Times" w:eastAsia="SimSun" w:hAnsi="Times" w:cs="Arial"/>
                <w:sz w:val="20"/>
                <w:lang w:val="it-IT" w:eastAsia="zh-CN"/>
              </w:rPr>
              <w:t>0,0584)</w:t>
            </w:r>
          </w:p>
          <w:p w14:paraId="7842319A" w14:textId="77777777" w:rsidR="002B3493" w:rsidRPr="00330A40" w:rsidRDefault="002B3493" w:rsidP="002B3493">
            <w:pPr>
              <w:keepNext/>
              <w:spacing w:line="280" w:lineRule="atLeast"/>
              <w:jc w:val="center"/>
              <w:rPr>
                <w:rFonts w:ascii="Times" w:eastAsia="SimSun" w:hAnsi="Times" w:cs="Arial"/>
                <w:sz w:val="20"/>
                <w:lang w:val="it-IT" w:eastAsia="zh-CN"/>
              </w:rPr>
            </w:pPr>
          </w:p>
          <w:p w14:paraId="1E75DA42" w14:textId="77777777" w:rsidR="002B3493" w:rsidRPr="00330A40" w:rsidRDefault="002B3493" w:rsidP="002B3493">
            <w:pPr>
              <w:keepNext/>
              <w:spacing w:line="280" w:lineRule="atLeast"/>
              <w:jc w:val="center"/>
              <w:rPr>
                <w:rFonts w:ascii="Times" w:eastAsia="SimSun" w:hAnsi="Times" w:cs="Arial"/>
                <w:sz w:val="20"/>
                <w:lang w:val="it-IT" w:eastAsia="zh-CN"/>
              </w:rPr>
            </w:pPr>
            <w:r w:rsidRPr="00330A40">
              <w:rPr>
                <w:rFonts w:ascii="Times" w:eastAsia="SimSun" w:hAnsi="Times" w:cs="Arial"/>
                <w:sz w:val="20"/>
                <w:lang w:val="it-IT" w:eastAsia="zh-CN"/>
              </w:rPr>
              <w:t>0,79 (0,59;1,07)</w:t>
            </w:r>
          </w:p>
          <w:p w14:paraId="2A42CC73" w14:textId="77777777" w:rsidR="002B3493" w:rsidRPr="006A2BF9" w:rsidRDefault="002B3493" w:rsidP="002B3493">
            <w:pPr>
              <w:keepNext/>
              <w:spacing w:line="280" w:lineRule="atLeast"/>
              <w:jc w:val="center"/>
              <w:rPr>
                <w:rFonts w:ascii="Times" w:eastAsia="SimSun" w:hAnsi="Times" w:cs="Arial"/>
                <w:sz w:val="20"/>
                <w:lang w:val="it-IT" w:eastAsia="zh-CN"/>
              </w:rPr>
            </w:pPr>
            <w:r w:rsidRPr="00330A40">
              <w:rPr>
                <w:rFonts w:ascii="Times" w:eastAsia="SimSun" w:hAnsi="Times" w:cs="Arial"/>
                <w:sz w:val="20"/>
                <w:lang w:val="it-IT" w:eastAsia="zh-CN"/>
              </w:rPr>
              <w:t>(16,2 vs</w:t>
            </w:r>
            <w:r w:rsidR="001A78BF" w:rsidRPr="006A2BF9">
              <w:rPr>
                <w:rFonts w:ascii="Times" w:eastAsia="SimSun" w:hAnsi="Times" w:cs="Arial"/>
                <w:sz w:val="20"/>
                <w:lang w:val="it-IT" w:eastAsia="zh-CN"/>
              </w:rPr>
              <w:t xml:space="preserve"> </w:t>
            </w:r>
            <w:r w:rsidRPr="006A2BF9">
              <w:rPr>
                <w:rFonts w:ascii="Times" w:eastAsia="SimSun" w:hAnsi="Times" w:cs="Arial"/>
                <w:sz w:val="20"/>
                <w:lang w:val="it-IT" w:eastAsia="zh-CN"/>
              </w:rPr>
              <w:t>12,0 mesi: p</w:t>
            </w:r>
            <w:r w:rsidR="00D76537" w:rsidRPr="006A2BF9">
              <w:rPr>
                <w:rFonts w:ascii="Times" w:eastAsia="SimSun" w:hAnsi="Times" w:cs="Arial"/>
                <w:sz w:val="20"/>
                <w:lang w:val="it-IT" w:eastAsia="zh-CN"/>
              </w:rPr>
              <w:t> </w:t>
            </w:r>
            <w:r w:rsidRPr="006A2BF9">
              <w:rPr>
                <w:rFonts w:ascii="Times" w:eastAsia="SimSun" w:hAnsi="Times" w:cs="Arial"/>
                <w:sz w:val="20"/>
                <w:lang w:val="it-IT" w:eastAsia="zh-CN"/>
              </w:rPr>
              <w:t>=</w:t>
            </w:r>
            <w:r w:rsidR="00D76537" w:rsidRPr="006A2BF9">
              <w:rPr>
                <w:rFonts w:ascii="Times" w:eastAsia="SimSun" w:hAnsi="Times" w:cs="Arial"/>
                <w:sz w:val="20"/>
                <w:lang w:val="it-IT" w:eastAsia="zh-CN"/>
              </w:rPr>
              <w:t> </w:t>
            </w:r>
            <w:r w:rsidRPr="006A2BF9">
              <w:rPr>
                <w:rFonts w:ascii="Times" w:eastAsia="SimSun" w:hAnsi="Times" w:cs="Arial"/>
                <w:sz w:val="20"/>
                <w:lang w:val="it-IT" w:eastAsia="zh-CN"/>
              </w:rPr>
              <w:t>0,1342)</w:t>
            </w:r>
          </w:p>
        </w:tc>
      </w:tr>
      <w:tr w:rsidR="002B3493" w:rsidRPr="006A2BF9" w14:paraId="25AB8569" w14:textId="77777777" w:rsidTr="00C65E97">
        <w:trPr>
          <w:cantSplit/>
          <w:trHeight w:val="1046"/>
        </w:trPr>
        <w:tc>
          <w:tcPr>
            <w:tcW w:w="976" w:type="pct"/>
            <w:vMerge w:val="restart"/>
            <w:shd w:val="clear" w:color="auto" w:fill="FFFFFF"/>
          </w:tcPr>
          <w:p w14:paraId="1F8BE895" w14:textId="77777777" w:rsidR="002B3493" w:rsidRPr="006A2BF9" w:rsidRDefault="002B3493" w:rsidP="002B3493">
            <w:pPr>
              <w:keepNext/>
              <w:spacing w:line="280" w:lineRule="atLeast"/>
              <w:rPr>
                <w:rFonts w:ascii="Times" w:eastAsia="SimSun" w:hAnsi="Times" w:cs="Arial"/>
                <w:sz w:val="20"/>
                <w:lang w:val="it-IT" w:eastAsia="zh-CN"/>
              </w:rPr>
            </w:pPr>
            <w:r w:rsidRPr="006A2BF9">
              <w:rPr>
                <w:rFonts w:ascii="Times" w:eastAsia="SimSun" w:hAnsi="Times" w:cs="Arial"/>
                <w:sz w:val="20"/>
                <w:lang w:val="it-IT" w:eastAsia="zh-CN"/>
              </w:rPr>
              <w:t>Topotecan</w:t>
            </w:r>
            <w:r w:rsidR="00D76537" w:rsidRPr="006A2BF9">
              <w:rPr>
                <w:rFonts w:ascii="Times" w:eastAsia="SimSun" w:hAnsi="Times" w:cs="Arial"/>
                <w:sz w:val="20"/>
                <w:lang w:val="it-IT" w:eastAsia="zh-CN"/>
              </w:rPr>
              <w:t> </w:t>
            </w:r>
            <w:r w:rsidRPr="006A2BF9">
              <w:rPr>
                <w:rFonts w:ascii="Times" w:eastAsia="SimSun" w:hAnsi="Times" w:cs="Arial"/>
                <w:sz w:val="20"/>
                <w:lang w:val="it-IT" w:eastAsia="zh-CN"/>
              </w:rPr>
              <w:t>+</w:t>
            </w:r>
            <w:r w:rsidR="00D76537" w:rsidRPr="006A2BF9">
              <w:rPr>
                <w:rFonts w:ascii="Times" w:eastAsia="SimSun" w:hAnsi="Times" w:cs="Arial"/>
                <w:sz w:val="20"/>
                <w:lang w:val="it-IT" w:eastAsia="zh-CN"/>
              </w:rPr>
              <w:t> </w:t>
            </w:r>
            <w:r w:rsidRPr="006A2BF9">
              <w:rPr>
                <w:rFonts w:ascii="Times" w:eastAsia="SimSun" w:hAnsi="Times" w:cs="Arial"/>
                <w:sz w:val="20"/>
                <w:lang w:val="it-IT" w:eastAsia="zh-CN"/>
              </w:rPr>
              <w:t>paclitaxel versus cisplatino</w:t>
            </w:r>
            <w:r w:rsidR="00D76537" w:rsidRPr="006A2BF9">
              <w:rPr>
                <w:rFonts w:ascii="Times" w:eastAsia="SimSun" w:hAnsi="Times" w:cs="Arial"/>
                <w:sz w:val="20"/>
                <w:lang w:val="it-IT" w:eastAsia="zh-CN"/>
              </w:rPr>
              <w:t> </w:t>
            </w:r>
            <w:r w:rsidRPr="006A2BF9">
              <w:rPr>
                <w:rFonts w:ascii="Times" w:eastAsia="SimSun" w:hAnsi="Times" w:cs="Arial"/>
                <w:sz w:val="20"/>
                <w:lang w:val="it-IT" w:eastAsia="zh-CN"/>
              </w:rPr>
              <w:t>+</w:t>
            </w:r>
            <w:r w:rsidR="00D76537" w:rsidRPr="006A2BF9">
              <w:rPr>
                <w:rFonts w:ascii="Times" w:eastAsia="SimSun" w:hAnsi="Times" w:cs="Arial"/>
                <w:sz w:val="20"/>
                <w:lang w:val="it-IT" w:eastAsia="zh-CN"/>
              </w:rPr>
              <w:t> </w:t>
            </w:r>
            <w:r w:rsidRPr="006A2BF9">
              <w:rPr>
                <w:rFonts w:ascii="Times" w:eastAsia="SimSun" w:hAnsi="Times" w:cs="Arial"/>
                <w:sz w:val="20"/>
                <w:lang w:val="it-IT" w:eastAsia="zh-CN"/>
              </w:rPr>
              <w:t>paclitaxel</w:t>
            </w:r>
          </w:p>
        </w:tc>
        <w:tc>
          <w:tcPr>
            <w:tcW w:w="993" w:type="pct"/>
            <w:shd w:val="clear" w:color="auto" w:fill="FFFFFF"/>
          </w:tcPr>
          <w:p w14:paraId="556652FA" w14:textId="77777777" w:rsidR="002B3493" w:rsidRPr="006A2BF9" w:rsidRDefault="00D76537" w:rsidP="002B3493">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Bevacizumab</w:t>
            </w:r>
          </w:p>
        </w:tc>
        <w:tc>
          <w:tcPr>
            <w:tcW w:w="1516" w:type="pct"/>
            <w:shd w:val="clear" w:color="auto" w:fill="FFFFFF"/>
          </w:tcPr>
          <w:p w14:paraId="518A1929" w14:textId="77777777" w:rsidR="002B3493" w:rsidRPr="006A2BF9" w:rsidRDefault="002B3493" w:rsidP="002B3493">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1,15 (0,82; 1,61)</w:t>
            </w:r>
          </w:p>
          <w:p w14:paraId="39F419A7" w14:textId="77777777" w:rsidR="002B3493" w:rsidRPr="00330A40" w:rsidRDefault="002B3493" w:rsidP="00916147">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 xml:space="preserve">(14,9 </w:t>
            </w:r>
            <w:r w:rsidR="00916147">
              <w:rPr>
                <w:rFonts w:ascii="Times" w:eastAsia="SimSun" w:hAnsi="Times" w:cs="Arial"/>
                <w:sz w:val="20"/>
                <w:lang w:val="it-IT" w:eastAsia="zh-CN"/>
              </w:rPr>
              <w:t>vs</w:t>
            </w:r>
            <w:r w:rsidR="00916147" w:rsidRPr="00330A40">
              <w:rPr>
                <w:rFonts w:ascii="Times" w:eastAsia="SimSun" w:hAnsi="Times" w:cs="Arial"/>
                <w:sz w:val="20"/>
                <w:lang w:val="it-IT" w:eastAsia="zh-CN"/>
              </w:rPr>
              <w:t xml:space="preserve"> </w:t>
            </w:r>
            <w:r w:rsidRPr="00330A40">
              <w:rPr>
                <w:rFonts w:ascii="Times" w:eastAsia="SimSun" w:hAnsi="Times" w:cs="Arial"/>
                <w:sz w:val="20"/>
                <w:lang w:val="it-IT" w:eastAsia="zh-CN"/>
              </w:rPr>
              <w:t>17,5 mesi; p </w:t>
            </w:r>
            <w:r w:rsidRPr="00330A40">
              <w:rPr>
                <w:rFonts w:ascii="Times" w:eastAsia="SimSun" w:hAnsi="Times" w:cs="Arial"/>
                <w:sz w:val="20"/>
                <w:lang w:val="it-IT" w:eastAsia="zh-CN"/>
              </w:rPr>
              <w:sym w:font="Symbol" w:char="F03D"/>
            </w:r>
            <w:r w:rsidRPr="00330A40">
              <w:rPr>
                <w:rFonts w:ascii="Times" w:eastAsia="SimSun" w:hAnsi="Times" w:cs="Arial"/>
                <w:sz w:val="20"/>
                <w:lang w:val="it-IT" w:eastAsia="zh-CN"/>
              </w:rPr>
              <w:t> 0,4146)</w:t>
            </w:r>
          </w:p>
        </w:tc>
        <w:tc>
          <w:tcPr>
            <w:tcW w:w="1516" w:type="pct"/>
            <w:shd w:val="clear" w:color="auto" w:fill="FFFFFF"/>
          </w:tcPr>
          <w:p w14:paraId="6488FAC0" w14:textId="77777777" w:rsidR="002B3493" w:rsidRPr="00330A40" w:rsidRDefault="002B3493" w:rsidP="002B3493">
            <w:pPr>
              <w:keepNext/>
              <w:spacing w:line="280" w:lineRule="atLeast"/>
              <w:jc w:val="center"/>
              <w:rPr>
                <w:rFonts w:ascii="Times" w:eastAsia="SimSun" w:hAnsi="Times" w:cs="Arial"/>
                <w:sz w:val="20"/>
                <w:lang w:val="it-IT" w:eastAsia="zh-CN"/>
              </w:rPr>
            </w:pPr>
            <w:r w:rsidRPr="00330A40">
              <w:rPr>
                <w:rFonts w:ascii="Times" w:eastAsia="SimSun" w:hAnsi="Times" w:cs="Arial"/>
                <w:sz w:val="20"/>
                <w:lang w:val="it-IT" w:eastAsia="zh-CN"/>
              </w:rPr>
              <w:t>1,15 (0,85;1,56)</w:t>
            </w:r>
          </w:p>
          <w:p w14:paraId="760884D8" w14:textId="77777777" w:rsidR="002B3493" w:rsidRPr="00330A40" w:rsidRDefault="002B3493" w:rsidP="002B3493">
            <w:pPr>
              <w:keepNext/>
              <w:spacing w:line="280" w:lineRule="atLeast"/>
              <w:jc w:val="center"/>
              <w:rPr>
                <w:rFonts w:ascii="Times" w:eastAsia="SimSun" w:hAnsi="Times" w:cs="Arial"/>
                <w:sz w:val="20"/>
                <w:lang w:val="it-IT" w:eastAsia="zh-CN"/>
              </w:rPr>
            </w:pPr>
            <w:r w:rsidRPr="00330A40">
              <w:rPr>
                <w:rFonts w:ascii="Times" w:eastAsia="SimSun" w:hAnsi="Times" w:cs="Arial"/>
                <w:sz w:val="20"/>
                <w:lang w:val="it-IT" w:eastAsia="zh-CN"/>
              </w:rPr>
              <w:t>(16,2 vs 17,5</w:t>
            </w:r>
            <w:r w:rsidR="0066521F" w:rsidRPr="00330A40">
              <w:rPr>
                <w:rFonts w:ascii="Times" w:eastAsia="SimSun" w:hAnsi="Times" w:cs="Arial"/>
                <w:sz w:val="20"/>
                <w:lang w:val="it-IT" w:eastAsia="zh-CN"/>
              </w:rPr>
              <w:t xml:space="preserve"> mesi</w:t>
            </w:r>
            <w:r w:rsidRPr="00330A40">
              <w:rPr>
                <w:rFonts w:ascii="Times" w:eastAsia="SimSun" w:hAnsi="Times" w:cs="Arial"/>
                <w:sz w:val="20"/>
                <w:lang w:val="it-IT" w:eastAsia="zh-CN"/>
              </w:rPr>
              <w:t>; p</w:t>
            </w:r>
            <w:r w:rsidR="00D76537" w:rsidRPr="00330A40">
              <w:rPr>
                <w:rFonts w:ascii="Times" w:eastAsia="SimSun" w:hAnsi="Times" w:cs="Arial"/>
                <w:sz w:val="20"/>
                <w:lang w:val="it-IT" w:eastAsia="zh-CN"/>
              </w:rPr>
              <w:t> </w:t>
            </w:r>
            <w:r w:rsidRPr="00330A40">
              <w:rPr>
                <w:rFonts w:ascii="Times" w:eastAsia="SimSun" w:hAnsi="Times" w:cs="Arial"/>
                <w:sz w:val="20"/>
                <w:lang w:val="it-IT" w:eastAsia="zh-CN"/>
              </w:rPr>
              <w:t>=</w:t>
            </w:r>
            <w:r w:rsidR="00D76537" w:rsidRPr="00330A40">
              <w:rPr>
                <w:rFonts w:ascii="Times" w:eastAsia="SimSun" w:hAnsi="Times" w:cs="Arial"/>
                <w:sz w:val="20"/>
                <w:lang w:val="it-IT" w:eastAsia="zh-CN"/>
              </w:rPr>
              <w:t> </w:t>
            </w:r>
            <w:r w:rsidRPr="00330A40">
              <w:rPr>
                <w:rFonts w:ascii="Times" w:eastAsia="SimSun" w:hAnsi="Times" w:cs="Arial"/>
                <w:sz w:val="20"/>
                <w:lang w:val="it-IT" w:eastAsia="zh-CN"/>
              </w:rPr>
              <w:t>0,3769)</w:t>
            </w:r>
          </w:p>
          <w:p w14:paraId="3FDD3E4A" w14:textId="77777777" w:rsidR="002B3493" w:rsidRPr="00330A40" w:rsidRDefault="002B3493" w:rsidP="002B3493">
            <w:pPr>
              <w:keepNext/>
              <w:spacing w:line="280" w:lineRule="atLeast"/>
              <w:jc w:val="center"/>
              <w:rPr>
                <w:rFonts w:ascii="Times" w:eastAsia="SimSun" w:hAnsi="Times" w:cs="Arial"/>
                <w:sz w:val="20"/>
                <w:lang w:val="it-IT" w:eastAsia="zh-CN"/>
              </w:rPr>
            </w:pPr>
          </w:p>
        </w:tc>
      </w:tr>
      <w:tr w:rsidR="002B3493" w:rsidRPr="006A2BF9" w14:paraId="502A2640" w14:textId="77777777" w:rsidTr="00C65E97">
        <w:trPr>
          <w:cantSplit/>
        </w:trPr>
        <w:tc>
          <w:tcPr>
            <w:tcW w:w="976" w:type="pct"/>
            <w:vMerge/>
            <w:shd w:val="clear" w:color="auto" w:fill="FFFFFF"/>
          </w:tcPr>
          <w:p w14:paraId="4029CF88" w14:textId="77777777" w:rsidR="002B3493" w:rsidRPr="006A2BF9" w:rsidRDefault="002B3493" w:rsidP="002B3493">
            <w:pPr>
              <w:keepNext/>
              <w:spacing w:line="280" w:lineRule="atLeast"/>
              <w:rPr>
                <w:rFonts w:ascii="Times" w:eastAsia="SimSun" w:hAnsi="Times" w:cs="Arial"/>
                <w:sz w:val="20"/>
                <w:lang w:val="it-IT" w:eastAsia="zh-CN"/>
              </w:rPr>
            </w:pPr>
          </w:p>
        </w:tc>
        <w:tc>
          <w:tcPr>
            <w:tcW w:w="993" w:type="pct"/>
            <w:shd w:val="clear" w:color="auto" w:fill="FFFFFF"/>
          </w:tcPr>
          <w:p w14:paraId="1F0B6BB3" w14:textId="77777777" w:rsidR="002B3493" w:rsidRPr="006A2BF9" w:rsidRDefault="002B3493" w:rsidP="002B3493">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 xml:space="preserve">Trattamento senza </w:t>
            </w:r>
            <w:r w:rsidR="001A78BF" w:rsidRPr="006A2BF9">
              <w:rPr>
                <w:color w:val="000000"/>
                <w:sz w:val="20"/>
                <w:lang w:val="it-IT"/>
              </w:rPr>
              <w:t>bevacizumab</w:t>
            </w:r>
          </w:p>
        </w:tc>
        <w:tc>
          <w:tcPr>
            <w:tcW w:w="1516" w:type="pct"/>
            <w:shd w:val="clear" w:color="auto" w:fill="FFFFFF"/>
          </w:tcPr>
          <w:p w14:paraId="142F7CF5" w14:textId="77777777" w:rsidR="002B3493" w:rsidRPr="006A2BF9" w:rsidRDefault="002B3493" w:rsidP="002B3493">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1,13 (0,81; 1,57)</w:t>
            </w:r>
          </w:p>
          <w:p w14:paraId="7CD98F0E" w14:textId="77777777" w:rsidR="002B3493" w:rsidRPr="00330A40" w:rsidRDefault="002B3493" w:rsidP="00916147">
            <w:pPr>
              <w:keepNext/>
              <w:spacing w:line="280" w:lineRule="atLeast"/>
              <w:jc w:val="center"/>
              <w:rPr>
                <w:rFonts w:ascii="Times" w:eastAsia="SimSun" w:hAnsi="Times" w:cs="Arial"/>
                <w:sz w:val="20"/>
                <w:lang w:val="it-IT" w:eastAsia="zh-CN"/>
              </w:rPr>
            </w:pPr>
            <w:r w:rsidRPr="006A2BF9">
              <w:rPr>
                <w:rFonts w:ascii="Times" w:eastAsia="SimSun" w:hAnsi="Times" w:cs="Arial"/>
                <w:sz w:val="20"/>
                <w:lang w:val="it-IT" w:eastAsia="zh-CN"/>
              </w:rPr>
              <w:t xml:space="preserve">(11,9 </w:t>
            </w:r>
            <w:r w:rsidR="00916147">
              <w:rPr>
                <w:rFonts w:ascii="Times" w:eastAsia="SimSun" w:hAnsi="Times" w:cs="Arial"/>
                <w:sz w:val="20"/>
                <w:lang w:val="it-IT" w:eastAsia="zh-CN"/>
              </w:rPr>
              <w:t>vs</w:t>
            </w:r>
            <w:r w:rsidR="00916147" w:rsidRPr="00330A40">
              <w:rPr>
                <w:rFonts w:ascii="Times" w:eastAsia="SimSun" w:hAnsi="Times" w:cs="Arial"/>
                <w:sz w:val="20"/>
                <w:lang w:val="it-IT" w:eastAsia="zh-CN"/>
              </w:rPr>
              <w:t xml:space="preserve"> </w:t>
            </w:r>
            <w:r w:rsidRPr="00330A40">
              <w:rPr>
                <w:rFonts w:ascii="Times" w:eastAsia="SimSun" w:hAnsi="Times" w:cs="Arial"/>
                <w:sz w:val="20"/>
                <w:lang w:val="it-IT" w:eastAsia="zh-CN"/>
              </w:rPr>
              <w:t>14,3 mesi; p </w:t>
            </w:r>
            <w:r w:rsidRPr="00330A40">
              <w:rPr>
                <w:rFonts w:ascii="Times" w:eastAsia="SimSun" w:hAnsi="Times" w:cs="Arial"/>
                <w:sz w:val="20"/>
                <w:lang w:val="it-IT" w:eastAsia="zh-CN"/>
              </w:rPr>
              <w:sym w:font="Symbol" w:char="F03D"/>
            </w:r>
            <w:r w:rsidRPr="00330A40">
              <w:rPr>
                <w:rFonts w:ascii="Times" w:eastAsia="SimSun" w:hAnsi="Times" w:cs="Arial"/>
                <w:sz w:val="20"/>
                <w:lang w:val="it-IT" w:eastAsia="zh-CN"/>
              </w:rPr>
              <w:t> 0,4825)</w:t>
            </w:r>
          </w:p>
        </w:tc>
        <w:tc>
          <w:tcPr>
            <w:tcW w:w="1516" w:type="pct"/>
            <w:shd w:val="clear" w:color="auto" w:fill="FFFFFF"/>
          </w:tcPr>
          <w:p w14:paraId="4151F3F0" w14:textId="77777777" w:rsidR="002B3493" w:rsidRPr="00330A40" w:rsidRDefault="002B3493" w:rsidP="002B3493">
            <w:pPr>
              <w:keepNext/>
              <w:spacing w:line="280" w:lineRule="atLeast"/>
              <w:jc w:val="center"/>
              <w:rPr>
                <w:rFonts w:ascii="Times" w:eastAsia="SimSun" w:hAnsi="Times" w:cs="Arial"/>
                <w:sz w:val="20"/>
                <w:lang w:val="it-IT" w:eastAsia="zh-CN"/>
              </w:rPr>
            </w:pPr>
            <w:r w:rsidRPr="00330A40">
              <w:rPr>
                <w:rFonts w:ascii="Times" w:eastAsia="SimSun" w:hAnsi="Times" w:cs="Arial"/>
                <w:sz w:val="20"/>
                <w:lang w:val="it-IT" w:eastAsia="zh-CN"/>
              </w:rPr>
              <w:t>1,08 (0,80; 1,45)</w:t>
            </w:r>
          </w:p>
          <w:p w14:paraId="00080EBD" w14:textId="77777777" w:rsidR="002B3493" w:rsidRPr="00330A40" w:rsidRDefault="0066521F" w:rsidP="002B3493">
            <w:pPr>
              <w:keepNext/>
              <w:spacing w:line="280" w:lineRule="atLeast"/>
              <w:jc w:val="center"/>
              <w:rPr>
                <w:rFonts w:ascii="Times" w:eastAsia="SimSun" w:hAnsi="Times" w:cs="Arial"/>
                <w:sz w:val="20"/>
                <w:lang w:val="it-IT" w:eastAsia="zh-CN"/>
              </w:rPr>
            </w:pPr>
            <w:r w:rsidRPr="00330A40">
              <w:rPr>
                <w:rFonts w:ascii="Times" w:eastAsia="SimSun" w:hAnsi="Times" w:cs="Arial"/>
                <w:sz w:val="20"/>
                <w:lang w:val="it-IT" w:eastAsia="zh-CN"/>
              </w:rPr>
              <w:t>(12,0 vs 15,0 mesi; p</w:t>
            </w:r>
            <w:r w:rsidR="00D76537" w:rsidRPr="00330A40">
              <w:rPr>
                <w:rFonts w:ascii="Times" w:eastAsia="SimSun" w:hAnsi="Times" w:cs="Arial"/>
                <w:sz w:val="20"/>
                <w:lang w:val="it-IT" w:eastAsia="zh-CN"/>
              </w:rPr>
              <w:t> </w:t>
            </w:r>
            <w:r w:rsidRPr="00330A40">
              <w:rPr>
                <w:rFonts w:ascii="Times" w:eastAsia="SimSun" w:hAnsi="Times" w:cs="Arial"/>
                <w:sz w:val="20"/>
                <w:lang w:val="it-IT" w:eastAsia="zh-CN"/>
              </w:rPr>
              <w:t>=</w:t>
            </w:r>
            <w:r w:rsidR="00D76537" w:rsidRPr="00330A40">
              <w:rPr>
                <w:rFonts w:ascii="Times" w:eastAsia="SimSun" w:hAnsi="Times" w:cs="Arial"/>
                <w:sz w:val="20"/>
                <w:lang w:val="it-IT" w:eastAsia="zh-CN"/>
              </w:rPr>
              <w:t> </w:t>
            </w:r>
            <w:r w:rsidR="002B3493" w:rsidRPr="00330A40">
              <w:rPr>
                <w:rFonts w:ascii="Times" w:eastAsia="SimSun" w:hAnsi="Times" w:cs="Arial"/>
                <w:sz w:val="20"/>
                <w:lang w:val="it-IT" w:eastAsia="zh-CN"/>
              </w:rPr>
              <w:t>0,6267)</w:t>
            </w:r>
          </w:p>
        </w:tc>
      </w:tr>
    </w:tbl>
    <w:p w14:paraId="7C0A4AED" w14:textId="77777777" w:rsidR="002B3493" w:rsidRPr="006A2BF9" w:rsidRDefault="002B3493" w:rsidP="002B3493">
      <w:pPr>
        <w:keepNext/>
        <w:rPr>
          <w:rFonts w:ascii="Times" w:eastAsia="MS Mincho" w:hAnsi="Times" w:cs="Arial"/>
          <w:bCs/>
          <w:sz w:val="20"/>
          <w:lang w:val="it-IT"/>
        </w:rPr>
      </w:pPr>
      <w:r w:rsidRPr="006A2BF9">
        <w:rPr>
          <w:rFonts w:ascii="Times" w:eastAsia="MS Mincho" w:hAnsi="Times" w:cs="Arial"/>
          <w:bCs/>
          <w:sz w:val="20"/>
          <w:vertAlign w:val="superscript"/>
          <w:lang w:val="it-IT"/>
        </w:rPr>
        <w:t xml:space="preserve">1 </w:t>
      </w:r>
      <w:r w:rsidRPr="006A2BF9">
        <w:rPr>
          <w:rFonts w:ascii="Times" w:eastAsia="MS Mincho" w:hAnsi="Times" w:cs="Arial"/>
          <w:bCs/>
          <w:sz w:val="20"/>
          <w:lang w:val="it-IT"/>
        </w:rPr>
        <w:t xml:space="preserve">L’analisi primaria è stata effettuata con una data di cut-off del 12 dicembre 2012 ed è considerata come analisi finale. </w:t>
      </w:r>
    </w:p>
    <w:p w14:paraId="31E9603B" w14:textId="77777777" w:rsidR="002B3493" w:rsidRPr="00330A40" w:rsidRDefault="002B3493" w:rsidP="002B3493">
      <w:pPr>
        <w:keepNext/>
        <w:rPr>
          <w:rFonts w:ascii="Times" w:eastAsia="MS Mincho" w:hAnsi="Times" w:cs="Arial"/>
          <w:bCs/>
          <w:sz w:val="20"/>
          <w:lang w:val="it-IT"/>
        </w:rPr>
      </w:pPr>
      <w:r w:rsidRPr="006A2BF9">
        <w:rPr>
          <w:rFonts w:ascii="Times" w:eastAsia="MS Mincho" w:hAnsi="Times" w:cs="Arial"/>
          <w:bCs/>
          <w:sz w:val="20"/>
          <w:vertAlign w:val="superscript"/>
          <w:lang w:val="it-IT"/>
        </w:rPr>
        <w:t xml:space="preserve">2 </w:t>
      </w:r>
      <w:r w:rsidRPr="006A2BF9">
        <w:rPr>
          <w:rFonts w:ascii="Times" w:eastAsia="MS Mincho" w:hAnsi="Times" w:cs="Arial"/>
          <w:bCs/>
          <w:sz w:val="20"/>
          <w:lang w:val="it-IT"/>
        </w:rPr>
        <w:t>L’an</w:t>
      </w:r>
      <w:r w:rsidR="00EC3528" w:rsidRPr="006A2BF9">
        <w:rPr>
          <w:rFonts w:ascii="Times" w:eastAsia="MS Mincho" w:hAnsi="Times" w:cs="Arial"/>
          <w:bCs/>
          <w:sz w:val="20"/>
          <w:lang w:val="it-IT"/>
        </w:rPr>
        <w:t>a</w:t>
      </w:r>
      <w:r w:rsidRPr="006A2BF9">
        <w:rPr>
          <w:rFonts w:ascii="Times" w:eastAsia="MS Mincho" w:hAnsi="Times" w:cs="Arial"/>
          <w:bCs/>
          <w:sz w:val="20"/>
          <w:lang w:val="it-IT"/>
        </w:rPr>
        <w:t xml:space="preserve">lisi di follow-up è stata effettuata con una data di cut-off del 7 marzo </w:t>
      </w:r>
      <w:r w:rsidR="00D24B6D" w:rsidRPr="00330A40">
        <w:rPr>
          <w:rFonts w:ascii="Times" w:eastAsia="MS Mincho" w:hAnsi="Times" w:cs="Arial"/>
          <w:bCs/>
          <w:sz w:val="20"/>
          <w:lang w:val="it-IT"/>
        </w:rPr>
        <w:t>2014.</w:t>
      </w:r>
      <w:r w:rsidR="00D24B6D">
        <w:rPr>
          <w:rFonts w:ascii="Times" w:eastAsia="MS Mincho" w:hAnsi="Times" w:cs="Arial"/>
          <w:bCs/>
          <w:sz w:val="20"/>
          <w:lang w:val="it-IT"/>
        </w:rPr>
        <w:t xml:space="preserve"> </w:t>
      </w:r>
      <w:r w:rsidR="00D24B6D" w:rsidRPr="00330A40">
        <w:rPr>
          <w:rFonts w:ascii="Times" w:eastAsia="MS Mincho" w:hAnsi="Times" w:cs="Arial"/>
          <w:bCs/>
          <w:sz w:val="20"/>
          <w:lang w:val="it-IT"/>
        </w:rPr>
        <w:t>Tutti</w:t>
      </w:r>
      <w:r w:rsidRPr="00330A40">
        <w:rPr>
          <w:rFonts w:ascii="Times" w:eastAsia="MS Mincho" w:hAnsi="Times" w:cs="Arial"/>
          <w:bCs/>
          <w:sz w:val="20"/>
          <w:lang w:val="it-IT"/>
        </w:rPr>
        <w:t xml:space="preserve"> i valori di p sono mostrati solo a scopo descrittivo</w:t>
      </w:r>
      <w:r w:rsidR="00915325" w:rsidRPr="00330A40">
        <w:rPr>
          <w:rFonts w:ascii="Times" w:eastAsia="MS Mincho" w:hAnsi="Times" w:cs="Arial"/>
          <w:bCs/>
          <w:sz w:val="20"/>
          <w:lang w:val="it-IT"/>
        </w:rPr>
        <w:t>.</w:t>
      </w:r>
    </w:p>
    <w:p w14:paraId="611D9445" w14:textId="77777777" w:rsidR="00C50843" w:rsidRPr="00330A40" w:rsidRDefault="00C50843" w:rsidP="00570B43">
      <w:pPr>
        <w:keepNext/>
        <w:keepLines/>
        <w:rPr>
          <w:i/>
          <w:u w:val="single"/>
          <w:lang w:val="it-IT"/>
        </w:rPr>
      </w:pPr>
    </w:p>
    <w:p w14:paraId="46CDF6EE" w14:textId="77777777" w:rsidR="001056EF" w:rsidRPr="00330A40" w:rsidRDefault="001056EF" w:rsidP="00570B43">
      <w:pPr>
        <w:keepNext/>
        <w:keepLines/>
        <w:rPr>
          <w:i/>
          <w:u w:val="single"/>
          <w:lang w:val="it-IT"/>
        </w:rPr>
      </w:pPr>
      <w:r w:rsidRPr="00330A40">
        <w:rPr>
          <w:i/>
          <w:u w:val="single"/>
          <w:lang w:val="it-IT"/>
        </w:rPr>
        <w:t>Popolazione pediatrica</w:t>
      </w:r>
    </w:p>
    <w:p w14:paraId="6686D676" w14:textId="77777777" w:rsidR="001056EF" w:rsidRPr="006A2BF9" w:rsidRDefault="001056EF" w:rsidP="00197876">
      <w:pPr>
        <w:rPr>
          <w:lang w:val="it-IT"/>
        </w:rPr>
      </w:pPr>
      <w:r w:rsidRPr="00330A40">
        <w:rPr>
          <w:lang w:val="it-IT"/>
        </w:rPr>
        <w:t xml:space="preserve">L’Agenzia </w:t>
      </w:r>
      <w:r w:rsidR="00915325" w:rsidRPr="00330A40">
        <w:rPr>
          <w:lang w:val="it-IT"/>
        </w:rPr>
        <w:t xml:space="preserve">europea </w:t>
      </w:r>
      <w:r w:rsidRPr="00330A40">
        <w:rPr>
          <w:lang w:val="it-IT"/>
        </w:rPr>
        <w:t xml:space="preserve">dei </w:t>
      </w:r>
      <w:r w:rsidR="00915325" w:rsidRPr="00330A40">
        <w:rPr>
          <w:lang w:val="it-IT"/>
        </w:rPr>
        <w:t xml:space="preserve">medicinali </w:t>
      </w:r>
      <w:r w:rsidRPr="00330A40">
        <w:rPr>
          <w:lang w:val="it-IT"/>
        </w:rPr>
        <w:t>ha previsto l’esonero dall’obbligo di presentare i risultati degli studi con bevacizumab in tutti i sottogruppi della popolazione pediatrica</w:t>
      </w:r>
      <w:r w:rsidR="00594D6C" w:rsidRPr="00330A40">
        <w:rPr>
          <w:lang w:val="it-IT"/>
        </w:rPr>
        <w:t>,</w:t>
      </w:r>
      <w:r w:rsidR="009E2FFC" w:rsidRPr="00330A40">
        <w:rPr>
          <w:lang w:val="it-IT"/>
        </w:rPr>
        <w:t xml:space="preserve"> nel carcinoma della mammella, nell’adenocarcinoma del colon e del retto, nel carcinoma del polmone (</w:t>
      </w:r>
      <w:r w:rsidR="00915325" w:rsidRPr="006A2BF9">
        <w:rPr>
          <w:lang w:val="it-IT"/>
        </w:rPr>
        <w:t xml:space="preserve">carcinoma a piccole cellule e carcinoma </w:t>
      </w:r>
      <w:r w:rsidR="009E2FFC" w:rsidRPr="006A2BF9">
        <w:rPr>
          <w:lang w:val="it-IT"/>
        </w:rPr>
        <w:t xml:space="preserve">non a piccole cellule), nel carcinoma del rene e della pelvi renale (esclusi </w:t>
      </w:r>
      <w:r w:rsidR="008D29AF" w:rsidRPr="006A2BF9">
        <w:rPr>
          <w:lang w:val="it-IT"/>
        </w:rPr>
        <w:t>nefro</w:t>
      </w:r>
      <w:r w:rsidR="009E2FFC" w:rsidRPr="006A2BF9">
        <w:rPr>
          <w:lang w:val="it-IT"/>
        </w:rPr>
        <w:t>blastoma, nefroblastomatosi, sarcoma a cellule chiare, nefroma me</w:t>
      </w:r>
      <w:r w:rsidR="00916147">
        <w:rPr>
          <w:lang w:val="it-IT"/>
        </w:rPr>
        <w:t>s</w:t>
      </w:r>
      <w:r w:rsidR="009E2FFC" w:rsidRPr="00330A40">
        <w:rPr>
          <w:lang w:val="it-IT"/>
        </w:rPr>
        <w:t>oblastico, carcinoma renale midollare e tumore rabdoide del rene)</w:t>
      </w:r>
      <w:r w:rsidR="00531E89" w:rsidRPr="00330A40">
        <w:rPr>
          <w:lang w:val="it-IT"/>
        </w:rPr>
        <w:t xml:space="preserve">, carcinoma </w:t>
      </w:r>
      <w:r w:rsidR="00915325" w:rsidRPr="00330A40">
        <w:rPr>
          <w:lang w:val="it-IT"/>
        </w:rPr>
        <w:t xml:space="preserve">dell’ovaio </w:t>
      </w:r>
      <w:r w:rsidR="00531E89" w:rsidRPr="00330A40">
        <w:rPr>
          <w:lang w:val="it-IT"/>
        </w:rPr>
        <w:t xml:space="preserve">(escluso il rabdomiosarcoma e i tumori a cellule germinali), il carcinoma </w:t>
      </w:r>
      <w:r w:rsidR="00506543" w:rsidRPr="006A2BF9">
        <w:rPr>
          <w:lang w:val="it-IT"/>
        </w:rPr>
        <w:t xml:space="preserve">della tuba </w:t>
      </w:r>
      <w:r w:rsidR="00531E89" w:rsidRPr="006A2BF9">
        <w:rPr>
          <w:lang w:val="it-IT"/>
        </w:rPr>
        <w:t xml:space="preserve">di </w:t>
      </w:r>
      <w:r w:rsidR="00CF262D" w:rsidRPr="006A2BF9">
        <w:rPr>
          <w:lang w:val="it-IT"/>
        </w:rPr>
        <w:t>F</w:t>
      </w:r>
      <w:r w:rsidR="00531E89" w:rsidRPr="006A2BF9">
        <w:rPr>
          <w:lang w:val="it-IT"/>
        </w:rPr>
        <w:t>alloppio (escluso il rabdomiosarcoma e i tumori a cellule germinali)</w:t>
      </w:r>
      <w:r w:rsidR="00CD1206" w:rsidRPr="006A2BF9">
        <w:rPr>
          <w:lang w:val="it-IT"/>
        </w:rPr>
        <w:t>,</w:t>
      </w:r>
      <w:r w:rsidR="00531E89" w:rsidRPr="006A2BF9">
        <w:rPr>
          <w:lang w:val="it-IT"/>
        </w:rPr>
        <w:t xml:space="preserve"> il carcinoma peritoneale (esclusi </w:t>
      </w:r>
      <w:r w:rsidR="009064B9" w:rsidRPr="006A2BF9">
        <w:rPr>
          <w:lang w:val="it-IT"/>
        </w:rPr>
        <w:t xml:space="preserve">i </w:t>
      </w:r>
      <w:r w:rsidR="00531E89" w:rsidRPr="006A2BF9">
        <w:rPr>
          <w:lang w:val="it-IT"/>
        </w:rPr>
        <w:t>blastomi e i sarcomi)</w:t>
      </w:r>
      <w:r w:rsidR="00CD1206" w:rsidRPr="006A2BF9">
        <w:rPr>
          <w:lang w:val="it-IT"/>
        </w:rPr>
        <w:t xml:space="preserve"> e il carcinoma della cervice e del corpo dell’utero</w:t>
      </w:r>
      <w:r w:rsidR="00594D6C" w:rsidRPr="006A2BF9">
        <w:rPr>
          <w:lang w:val="it-IT"/>
        </w:rPr>
        <w:t>.</w:t>
      </w:r>
    </w:p>
    <w:p w14:paraId="5DDE4A14" w14:textId="77777777" w:rsidR="00113F82" w:rsidRPr="006A2BF9" w:rsidRDefault="00113F82" w:rsidP="00197876">
      <w:pPr>
        <w:rPr>
          <w:lang w:val="it-IT"/>
        </w:rPr>
      </w:pPr>
    </w:p>
    <w:p w14:paraId="33CCB99B" w14:textId="77777777" w:rsidR="00764C05" w:rsidRPr="006A2BF9" w:rsidRDefault="00764C05" w:rsidP="00197876">
      <w:pPr>
        <w:rPr>
          <w:i/>
          <w:lang w:val="it-IT"/>
        </w:rPr>
      </w:pPr>
      <w:r w:rsidRPr="006A2BF9">
        <w:rPr>
          <w:i/>
          <w:lang w:val="it-IT"/>
        </w:rPr>
        <w:t>Glioma di alto grado</w:t>
      </w:r>
    </w:p>
    <w:p w14:paraId="4FF94F11" w14:textId="77777777" w:rsidR="00113F82" w:rsidRPr="006A2BF9" w:rsidRDefault="00113F82" w:rsidP="00197876">
      <w:pPr>
        <w:rPr>
          <w:lang w:val="it-IT"/>
        </w:rPr>
      </w:pPr>
      <w:r w:rsidRPr="006A2BF9">
        <w:rPr>
          <w:lang w:val="it-IT"/>
        </w:rPr>
        <w:t xml:space="preserve">Non è stata osservata attività antitumorale in due studi </w:t>
      </w:r>
      <w:r w:rsidR="00764C05" w:rsidRPr="006A2BF9">
        <w:rPr>
          <w:lang w:val="it-IT"/>
        </w:rPr>
        <w:t>pre</w:t>
      </w:r>
      <w:r w:rsidR="002C22E4" w:rsidRPr="006A2BF9">
        <w:rPr>
          <w:lang w:val="it-IT"/>
        </w:rPr>
        <w:t>cedenti</w:t>
      </w:r>
      <w:r w:rsidR="00764C05" w:rsidRPr="006A2BF9">
        <w:rPr>
          <w:lang w:val="it-IT"/>
        </w:rPr>
        <w:t xml:space="preserve"> </w:t>
      </w:r>
      <w:r w:rsidRPr="006A2BF9">
        <w:rPr>
          <w:lang w:val="it-IT"/>
        </w:rPr>
        <w:t>su un totale di 30</w:t>
      </w:r>
      <w:r w:rsidR="00D76537" w:rsidRPr="006A2BF9">
        <w:rPr>
          <w:lang w:val="it-IT"/>
        </w:rPr>
        <w:t> </w:t>
      </w:r>
      <w:r w:rsidRPr="006A2BF9">
        <w:rPr>
          <w:lang w:val="it-IT"/>
        </w:rPr>
        <w:t>bambini di età &gt;</w:t>
      </w:r>
      <w:r w:rsidR="00D76537" w:rsidRPr="006A2BF9">
        <w:rPr>
          <w:lang w:val="it-IT"/>
        </w:rPr>
        <w:t> </w:t>
      </w:r>
      <w:r w:rsidRPr="006A2BF9">
        <w:rPr>
          <w:lang w:val="it-IT"/>
        </w:rPr>
        <w:t>3 anni con glioma di alto grado recidivante o progressivo quando trattati con bevacizumab e irinotecan</w:t>
      </w:r>
      <w:r w:rsidR="00764C05" w:rsidRPr="006A2BF9">
        <w:rPr>
          <w:lang w:val="it-IT"/>
        </w:rPr>
        <w:t xml:space="preserve"> </w:t>
      </w:r>
      <w:r w:rsidR="00764C05" w:rsidRPr="006A2BF9">
        <w:rPr>
          <w:iCs/>
          <w:lang w:val="it-IT"/>
        </w:rPr>
        <w:t>(CPT-11)</w:t>
      </w:r>
      <w:r w:rsidRPr="006A2BF9">
        <w:rPr>
          <w:lang w:val="it-IT"/>
        </w:rPr>
        <w:t>. Non ci sono informazioni sufficienti per determinare la sicurezza e l'efficacia di bevacizumab nei bambini con nuova diagnosi di glioma di alto grado.</w:t>
      </w:r>
    </w:p>
    <w:p w14:paraId="2A5B1E43" w14:textId="77777777" w:rsidR="00113F82" w:rsidRPr="006A2BF9" w:rsidRDefault="00113F82" w:rsidP="00197876">
      <w:pPr>
        <w:rPr>
          <w:lang w:val="it-IT"/>
        </w:rPr>
      </w:pPr>
    </w:p>
    <w:p w14:paraId="04A4B713" w14:textId="77777777" w:rsidR="00113F82" w:rsidRPr="00EA21A5" w:rsidRDefault="00113F82" w:rsidP="00C65E97">
      <w:pPr>
        <w:rPr>
          <w:lang w:val="it-IT"/>
        </w:rPr>
      </w:pPr>
      <w:r w:rsidRPr="006A2BF9">
        <w:rPr>
          <w:lang w:val="it-IT"/>
        </w:rPr>
        <w:t>In uno studio a braccio singolo (PBTC-022), 18</w:t>
      </w:r>
      <w:r w:rsidR="00D76537" w:rsidRPr="006A2BF9">
        <w:rPr>
          <w:lang w:val="it-IT"/>
        </w:rPr>
        <w:t> </w:t>
      </w:r>
      <w:r w:rsidRPr="006A2BF9">
        <w:rPr>
          <w:lang w:val="it-IT"/>
        </w:rPr>
        <w:t>bambini con glioma di alto grado non-pontino recidivante o progressivo (di cui 8</w:t>
      </w:r>
      <w:r w:rsidR="00D76537" w:rsidRPr="006A2BF9">
        <w:rPr>
          <w:lang w:val="it-IT"/>
        </w:rPr>
        <w:t> </w:t>
      </w:r>
      <w:r w:rsidRPr="006A2BF9">
        <w:rPr>
          <w:lang w:val="it-IT"/>
        </w:rPr>
        <w:t>con glioblastoma [</w:t>
      </w:r>
      <w:r w:rsidR="002A7EAF" w:rsidRPr="006A2BF9">
        <w:rPr>
          <w:lang w:val="it-IT"/>
        </w:rPr>
        <w:t>G</w:t>
      </w:r>
      <w:r w:rsidRPr="006A2BF9">
        <w:rPr>
          <w:lang w:val="it-IT"/>
        </w:rPr>
        <w:t>rado IV OMS], 9</w:t>
      </w:r>
      <w:r w:rsidR="00D76537" w:rsidRPr="006A2BF9">
        <w:rPr>
          <w:lang w:val="it-IT"/>
        </w:rPr>
        <w:t> </w:t>
      </w:r>
      <w:r w:rsidRPr="006A2BF9">
        <w:rPr>
          <w:lang w:val="it-IT"/>
        </w:rPr>
        <w:t>con astrocitoma anaplastico [</w:t>
      </w:r>
      <w:r w:rsidR="002A7EAF" w:rsidRPr="006A2BF9">
        <w:rPr>
          <w:lang w:val="it-IT"/>
        </w:rPr>
        <w:t>G</w:t>
      </w:r>
      <w:r w:rsidRPr="006A2BF9">
        <w:rPr>
          <w:lang w:val="it-IT"/>
        </w:rPr>
        <w:t>rado</w:t>
      </w:r>
      <w:r w:rsidR="00D76537" w:rsidRPr="006A2BF9">
        <w:rPr>
          <w:lang w:val="it-IT"/>
        </w:rPr>
        <w:t> </w:t>
      </w:r>
      <w:r w:rsidRPr="006A2BF9">
        <w:rPr>
          <w:lang w:val="it-IT"/>
        </w:rPr>
        <w:t>III] e 1</w:t>
      </w:r>
      <w:r w:rsidR="00D76537" w:rsidRPr="006A2BF9">
        <w:rPr>
          <w:lang w:val="it-IT"/>
        </w:rPr>
        <w:t> </w:t>
      </w:r>
      <w:r w:rsidRPr="006A2BF9">
        <w:rPr>
          <w:lang w:val="it-IT"/>
        </w:rPr>
        <w:t>con oligodendroglioma anaplastico [</w:t>
      </w:r>
      <w:r w:rsidR="002A7EAF" w:rsidRPr="006A2BF9">
        <w:rPr>
          <w:lang w:val="it-IT"/>
        </w:rPr>
        <w:t>G</w:t>
      </w:r>
      <w:r w:rsidRPr="006A2BF9">
        <w:rPr>
          <w:lang w:val="it-IT"/>
        </w:rPr>
        <w:t>rado</w:t>
      </w:r>
      <w:r w:rsidR="00D76537" w:rsidRPr="006A2BF9">
        <w:rPr>
          <w:lang w:val="it-IT"/>
        </w:rPr>
        <w:t> </w:t>
      </w:r>
      <w:r w:rsidRPr="006A2BF9">
        <w:rPr>
          <w:lang w:val="it-IT"/>
        </w:rPr>
        <w:t>III]) sono sta</w:t>
      </w:r>
      <w:r w:rsidR="009A0BB1" w:rsidRPr="006A2BF9">
        <w:rPr>
          <w:lang w:val="it-IT"/>
        </w:rPr>
        <w:t>ti trattati con bevacizumab (10 </w:t>
      </w:r>
      <w:r w:rsidRPr="006A2BF9">
        <w:rPr>
          <w:lang w:val="it-IT"/>
        </w:rPr>
        <w:t>mg</w:t>
      </w:r>
      <w:r w:rsidR="009A0BB1" w:rsidRPr="006A2BF9">
        <w:rPr>
          <w:lang w:val="it-IT"/>
        </w:rPr>
        <w:t>/</w:t>
      </w:r>
      <w:r w:rsidRPr="006A2BF9">
        <w:rPr>
          <w:lang w:val="it-IT"/>
        </w:rPr>
        <w:t xml:space="preserve">kg) a due settimane di distanza e poi con bevacizumab in </w:t>
      </w:r>
      <w:r w:rsidR="003A32A4" w:rsidRPr="006A2BF9">
        <w:rPr>
          <w:lang w:val="it-IT"/>
        </w:rPr>
        <w:t xml:space="preserve">associazione </w:t>
      </w:r>
      <w:r w:rsidR="002D18D8" w:rsidRPr="006A2BF9">
        <w:rPr>
          <w:lang w:val="it-IT"/>
        </w:rPr>
        <w:t xml:space="preserve">a </w:t>
      </w:r>
      <w:r w:rsidR="009A0BB1" w:rsidRPr="006A2BF9">
        <w:rPr>
          <w:lang w:val="it-IT"/>
        </w:rPr>
        <w:t>CPT-11 (125-350 </w:t>
      </w:r>
      <w:r w:rsidRPr="006A2BF9">
        <w:rPr>
          <w:lang w:val="it-IT"/>
        </w:rPr>
        <w:t>mg/m²) una volta ogni due settimane fino alla progressione. Non ci sono state delle risposte radiologiche (criteri di Mac</w:t>
      </w:r>
      <w:r w:rsidR="009A0BB1" w:rsidRPr="006A2BF9">
        <w:rPr>
          <w:lang w:val="it-IT"/>
        </w:rPr>
        <w:t>D</w:t>
      </w:r>
      <w:r w:rsidRPr="006A2BF9">
        <w:rPr>
          <w:lang w:val="it-IT"/>
        </w:rPr>
        <w:t xml:space="preserve">onald) </w:t>
      </w:r>
      <w:r w:rsidR="00340523" w:rsidRPr="006A2BF9">
        <w:rPr>
          <w:lang w:val="it-IT"/>
        </w:rPr>
        <w:t xml:space="preserve">obiettive </w:t>
      </w:r>
      <w:r w:rsidRPr="006A2BF9">
        <w:rPr>
          <w:lang w:val="it-IT"/>
        </w:rPr>
        <w:t xml:space="preserve">(parziali o complete). La tossicità e </w:t>
      </w:r>
      <w:r w:rsidR="00BC483C" w:rsidRPr="006A2BF9">
        <w:rPr>
          <w:lang w:val="it-IT"/>
        </w:rPr>
        <w:t>le reazioni</w:t>
      </w:r>
      <w:r w:rsidRPr="006A2BF9">
        <w:rPr>
          <w:lang w:val="it-IT"/>
        </w:rPr>
        <w:t xml:space="preserve"> avvers</w:t>
      </w:r>
      <w:r w:rsidR="00BC483C" w:rsidRPr="006A2BF9">
        <w:rPr>
          <w:lang w:val="it-IT"/>
        </w:rPr>
        <w:t>e</w:t>
      </w:r>
      <w:r w:rsidRPr="006A2BF9">
        <w:rPr>
          <w:lang w:val="it-IT"/>
        </w:rPr>
        <w:t xml:space="preserve"> </w:t>
      </w:r>
      <w:r w:rsidRPr="00EA21A5">
        <w:rPr>
          <w:lang w:val="it-IT"/>
        </w:rPr>
        <w:t>hanno compreso ipertensione arteriosa e</w:t>
      </w:r>
      <w:r w:rsidR="009A0BB1" w:rsidRPr="00EA21A5">
        <w:rPr>
          <w:lang w:val="it-IT"/>
        </w:rPr>
        <w:t xml:space="preserve"> fatica così come ischemia</w:t>
      </w:r>
      <w:r w:rsidRPr="00EA21A5">
        <w:rPr>
          <w:lang w:val="it-IT"/>
        </w:rPr>
        <w:t xml:space="preserve"> del SNC con deficit neurologico acuto.</w:t>
      </w:r>
    </w:p>
    <w:p w14:paraId="3E10195C" w14:textId="77777777" w:rsidR="00113F82" w:rsidRPr="00EA21A5" w:rsidRDefault="00113F82" w:rsidP="00323494">
      <w:pPr>
        <w:ind w:left="720" w:hanging="360"/>
        <w:rPr>
          <w:lang w:val="it-IT"/>
        </w:rPr>
      </w:pPr>
    </w:p>
    <w:p w14:paraId="0AA9C6E0" w14:textId="77777777" w:rsidR="00113F82" w:rsidRPr="006A2BF9" w:rsidRDefault="00C81217" w:rsidP="00C65E97">
      <w:pPr>
        <w:rPr>
          <w:lang w:val="it-IT"/>
        </w:rPr>
      </w:pPr>
      <w:r w:rsidRPr="00EA21A5">
        <w:rPr>
          <w:lang w:val="it-IT"/>
        </w:rPr>
        <w:t xml:space="preserve">In una serie retrospettiva </w:t>
      </w:r>
      <w:r w:rsidR="00482C89" w:rsidRPr="006A2BF9">
        <w:rPr>
          <w:lang w:val="it-IT"/>
        </w:rPr>
        <w:t xml:space="preserve">effettuata </w:t>
      </w:r>
      <w:r w:rsidRPr="006A2BF9">
        <w:rPr>
          <w:lang w:val="it-IT"/>
        </w:rPr>
        <w:t>presso una singola istituzione, 12</w:t>
      </w:r>
      <w:r w:rsidR="00D76537" w:rsidRPr="006A2BF9">
        <w:rPr>
          <w:lang w:val="it-IT"/>
        </w:rPr>
        <w:t> </w:t>
      </w:r>
      <w:r w:rsidR="00CC2609" w:rsidRPr="006A2BF9">
        <w:rPr>
          <w:lang w:val="it-IT"/>
        </w:rPr>
        <w:t>bambini</w:t>
      </w:r>
      <w:r w:rsidR="00A819BA" w:rsidRPr="006A2BF9">
        <w:rPr>
          <w:lang w:val="it-IT"/>
        </w:rPr>
        <w:t xml:space="preserve"> </w:t>
      </w:r>
      <w:r w:rsidR="00113F82" w:rsidRPr="006A2BF9">
        <w:rPr>
          <w:lang w:val="it-IT"/>
        </w:rPr>
        <w:t>con glioma di alto grado recidivante o progressivo (3</w:t>
      </w:r>
      <w:r w:rsidR="00D76537" w:rsidRPr="006A2BF9">
        <w:rPr>
          <w:lang w:val="it-IT"/>
        </w:rPr>
        <w:t> </w:t>
      </w:r>
      <w:r w:rsidR="00113F82" w:rsidRPr="006A2BF9">
        <w:rPr>
          <w:lang w:val="it-IT"/>
        </w:rPr>
        <w:t xml:space="preserve">con </w:t>
      </w:r>
      <w:r w:rsidR="00BC483C" w:rsidRPr="006A2BF9">
        <w:rPr>
          <w:lang w:val="it-IT"/>
        </w:rPr>
        <w:t>G</w:t>
      </w:r>
      <w:r w:rsidR="00113F82" w:rsidRPr="006A2BF9">
        <w:rPr>
          <w:lang w:val="it-IT"/>
        </w:rPr>
        <w:t>rado</w:t>
      </w:r>
      <w:r w:rsidR="00D76537" w:rsidRPr="006A2BF9">
        <w:rPr>
          <w:lang w:val="it-IT"/>
        </w:rPr>
        <w:t> </w:t>
      </w:r>
      <w:r w:rsidR="00113F82" w:rsidRPr="006A2BF9">
        <w:rPr>
          <w:lang w:val="it-IT"/>
        </w:rPr>
        <w:t>IV OMS, 9</w:t>
      </w:r>
      <w:r w:rsidR="00D76537" w:rsidRPr="006A2BF9">
        <w:rPr>
          <w:lang w:val="it-IT"/>
        </w:rPr>
        <w:t> </w:t>
      </w:r>
      <w:r w:rsidR="00113F82" w:rsidRPr="006A2BF9">
        <w:rPr>
          <w:lang w:val="it-IT"/>
        </w:rPr>
        <w:t xml:space="preserve">con </w:t>
      </w:r>
      <w:r w:rsidR="002A7EAF" w:rsidRPr="006A2BF9">
        <w:rPr>
          <w:lang w:val="it-IT"/>
        </w:rPr>
        <w:t>G</w:t>
      </w:r>
      <w:r w:rsidR="00113F82" w:rsidRPr="006A2BF9">
        <w:rPr>
          <w:lang w:val="it-IT"/>
        </w:rPr>
        <w:t>rado</w:t>
      </w:r>
      <w:r w:rsidR="00D76537" w:rsidRPr="006A2BF9">
        <w:rPr>
          <w:lang w:val="it-IT"/>
        </w:rPr>
        <w:t> </w:t>
      </w:r>
      <w:r w:rsidR="00113F82" w:rsidRPr="006A2BF9">
        <w:rPr>
          <w:lang w:val="it-IT"/>
        </w:rPr>
        <w:t>III) sono sta</w:t>
      </w:r>
      <w:r w:rsidR="009A0BB1" w:rsidRPr="006A2BF9">
        <w:rPr>
          <w:lang w:val="it-IT"/>
        </w:rPr>
        <w:t>ti trattati</w:t>
      </w:r>
      <w:r w:rsidR="00482C89" w:rsidRPr="006A2BF9">
        <w:rPr>
          <w:lang w:val="it-IT"/>
        </w:rPr>
        <w:t xml:space="preserve"> consecutivamente (dal 2005 al 2008) </w:t>
      </w:r>
      <w:r w:rsidR="009A0BB1" w:rsidRPr="006A2BF9">
        <w:rPr>
          <w:lang w:val="it-IT"/>
        </w:rPr>
        <w:t>con bevacizumab (10 </w:t>
      </w:r>
      <w:r w:rsidR="00113F82" w:rsidRPr="006A2BF9">
        <w:rPr>
          <w:lang w:val="it-IT"/>
        </w:rPr>
        <w:t>mg/kg) e irinotecan (125</w:t>
      </w:r>
      <w:r w:rsidR="009A0BB1" w:rsidRPr="006A2BF9">
        <w:rPr>
          <w:lang w:val="it-IT"/>
        </w:rPr>
        <w:t> </w:t>
      </w:r>
      <w:r w:rsidR="00113F82" w:rsidRPr="006A2BF9">
        <w:rPr>
          <w:lang w:val="it-IT"/>
        </w:rPr>
        <w:t>mg/m²) ogni 2</w:t>
      </w:r>
      <w:r w:rsidR="00D76537" w:rsidRPr="006A2BF9">
        <w:rPr>
          <w:lang w:val="it-IT"/>
        </w:rPr>
        <w:t> </w:t>
      </w:r>
      <w:r w:rsidR="00113F82" w:rsidRPr="006A2BF9">
        <w:rPr>
          <w:lang w:val="it-IT"/>
        </w:rPr>
        <w:t xml:space="preserve">settimane. </w:t>
      </w:r>
      <w:r w:rsidR="002D18D8" w:rsidRPr="006A2BF9">
        <w:rPr>
          <w:lang w:val="it-IT"/>
        </w:rPr>
        <w:t xml:space="preserve">Sono state registrate </w:t>
      </w:r>
      <w:r w:rsidR="00340523" w:rsidRPr="006A2BF9">
        <w:rPr>
          <w:lang w:val="it-IT"/>
        </w:rPr>
        <w:t>2</w:t>
      </w:r>
      <w:r w:rsidR="00D76537" w:rsidRPr="006A2BF9">
        <w:rPr>
          <w:lang w:val="it-IT"/>
        </w:rPr>
        <w:t> </w:t>
      </w:r>
      <w:r w:rsidR="00113F82" w:rsidRPr="006A2BF9">
        <w:rPr>
          <w:lang w:val="it-IT"/>
        </w:rPr>
        <w:t>risposte</w:t>
      </w:r>
      <w:r w:rsidR="00340523" w:rsidRPr="006A2BF9">
        <w:rPr>
          <w:lang w:val="it-IT"/>
        </w:rPr>
        <w:t xml:space="preserve"> parziali e nessuna </w:t>
      </w:r>
      <w:r w:rsidR="00113F82" w:rsidRPr="006A2BF9">
        <w:rPr>
          <w:lang w:val="it-IT"/>
        </w:rPr>
        <w:t>rispost</w:t>
      </w:r>
      <w:r w:rsidR="00340523" w:rsidRPr="006A2BF9">
        <w:rPr>
          <w:lang w:val="it-IT"/>
        </w:rPr>
        <w:t>a completa</w:t>
      </w:r>
      <w:r w:rsidR="009A0BB1" w:rsidRPr="006A2BF9">
        <w:rPr>
          <w:lang w:val="it-IT"/>
        </w:rPr>
        <w:t xml:space="preserve"> (criteri di MacD</w:t>
      </w:r>
      <w:r w:rsidR="00113F82" w:rsidRPr="006A2BF9">
        <w:rPr>
          <w:lang w:val="it-IT"/>
        </w:rPr>
        <w:t>onald).</w:t>
      </w:r>
    </w:p>
    <w:p w14:paraId="2E3F3ACB" w14:textId="77777777" w:rsidR="001056EF" w:rsidRPr="006A2BF9" w:rsidRDefault="001056EF" w:rsidP="009C0666">
      <w:pPr>
        <w:rPr>
          <w:lang w:val="it-IT"/>
        </w:rPr>
      </w:pPr>
    </w:p>
    <w:p w14:paraId="4ABF5929" w14:textId="77777777" w:rsidR="00764C05" w:rsidRPr="006A2BF9" w:rsidRDefault="00764C05" w:rsidP="00764C05">
      <w:pPr>
        <w:rPr>
          <w:lang w:val="it-IT"/>
        </w:rPr>
      </w:pPr>
      <w:r w:rsidRPr="006A2BF9">
        <w:rPr>
          <w:lang w:val="it-IT"/>
        </w:rPr>
        <w:t>In uno studio randomizzato di fase II (</w:t>
      </w:r>
      <w:r w:rsidRPr="006A2BF9">
        <w:rPr>
          <w:iCs/>
          <w:lang w:val="it-IT"/>
        </w:rPr>
        <w:t>BO25041</w:t>
      </w:r>
      <w:r w:rsidRPr="006A2BF9">
        <w:rPr>
          <w:lang w:val="it-IT"/>
        </w:rPr>
        <w:t xml:space="preserve">), </w:t>
      </w:r>
      <w:r w:rsidR="005778CA" w:rsidRPr="006A2BF9">
        <w:rPr>
          <w:lang w:val="it-IT"/>
        </w:rPr>
        <w:t>un totale di</w:t>
      </w:r>
      <w:r w:rsidRPr="006A2BF9">
        <w:rPr>
          <w:lang w:val="it-IT"/>
        </w:rPr>
        <w:t xml:space="preserve"> 121</w:t>
      </w:r>
      <w:r w:rsidR="00D76537" w:rsidRPr="006A2BF9">
        <w:rPr>
          <w:lang w:val="it-IT"/>
        </w:rPr>
        <w:t> </w:t>
      </w:r>
      <w:r w:rsidRPr="006A2BF9">
        <w:rPr>
          <w:lang w:val="it-IT"/>
        </w:rPr>
        <w:t xml:space="preserve">pazienti di età </w:t>
      </w:r>
      <w:r w:rsidR="005778CA" w:rsidRPr="006A2BF9">
        <w:rPr>
          <w:lang w:val="it-IT"/>
        </w:rPr>
        <w:t xml:space="preserve">compresa tra </w:t>
      </w:r>
      <w:r w:rsidRPr="006A2BF9">
        <w:rPr>
          <w:lang w:val="it-IT"/>
        </w:rPr>
        <w:t>≥</w:t>
      </w:r>
      <w:r w:rsidR="00D76537" w:rsidRPr="006A2BF9">
        <w:rPr>
          <w:lang w:val="it-IT"/>
        </w:rPr>
        <w:t> </w:t>
      </w:r>
      <w:r w:rsidRPr="006A2BF9">
        <w:rPr>
          <w:lang w:val="it-IT"/>
        </w:rPr>
        <w:t>3</w:t>
      </w:r>
      <w:r w:rsidR="00D76537" w:rsidRPr="006A2BF9">
        <w:rPr>
          <w:lang w:val="it-IT"/>
        </w:rPr>
        <w:t> </w:t>
      </w:r>
      <w:r w:rsidRPr="006A2BF9">
        <w:rPr>
          <w:lang w:val="it-IT"/>
        </w:rPr>
        <w:t>anni e &lt;</w:t>
      </w:r>
      <w:r w:rsidR="00D76537" w:rsidRPr="006A2BF9">
        <w:rPr>
          <w:lang w:val="it-IT"/>
        </w:rPr>
        <w:t> </w:t>
      </w:r>
      <w:r w:rsidRPr="006A2BF9">
        <w:rPr>
          <w:lang w:val="it-IT"/>
        </w:rPr>
        <w:t>18</w:t>
      </w:r>
      <w:r w:rsidR="00D76537" w:rsidRPr="006A2BF9">
        <w:rPr>
          <w:lang w:val="it-IT"/>
        </w:rPr>
        <w:t> </w:t>
      </w:r>
      <w:r w:rsidR="005146E8" w:rsidRPr="006A2BF9">
        <w:rPr>
          <w:lang w:val="it-IT"/>
        </w:rPr>
        <w:t xml:space="preserve">anni </w:t>
      </w:r>
      <w:r w:rsidRPr="006A2BF9">
        <w:rPr>
          <w:lang w:val="it-IT"/>
        </w:rPr>
        <w:t>affetti da glioma di alto grado (HGG)</w:t>
      </w:r>
      <w:r w:rsidR="00B830A7" w:rsidRPr="006A2BF9">
        <w:rPr>
          <w:lang w:val="it-IT"/>
        </w:rPr>
        <w:t xml:space="preserve"> di nuova diagnosi</w:t>
      </w:r>
      <w:r w:rsidRPr="006A2BF9">
        <w:rPr>
          <w:lang w:val="it-IT"/>
        </w:rPr>
        <w:t xml:space="preserve"> s</w:t>
      </w:r>
      <w:r w:rsidR="00D829A3" w:rsidRPr="006A2BF9">
        <w:rPr>
          <w:lang w:val="it-IT"/>
        </w:rPr>
        <w:t>ovratentoriale o</w:t>
      </w:r>
      <w:r w:rsidR="002C08B8" w:rsidRPr="006A2BF9">
        <w:rPr>
          <w:lang w:val="it-IT"/>
        </w:rPr>
        <w:t xml:space="preserve"> infratentoriale</w:t>
      </w:r>
      <w:r w:rsidRPr="00330A40">
        <w:rPr>
          <w:lang w:val="it-IT"/>
        </w:rPr>
        <w:t xml:space="preserve"> cerebellare o peduncolare sono stati trattati con radioterapia (RT) post-operatoria e temozolomide (T) adiuvante in </w:t>
      </w:r>
      <w:r w:rsidR="00D829A3" w:rsidRPr="00330A40">
        <w:rPr>
          <w:lang w:val="it-IT"/>
        </w:rPr>
        <w:t>associazione o meno a</w:t>
      </w:r>
      <w:r w:rsidRPr="00330A40">
        <w:rPr>
          <w:lang w:val="it-IT"/>
        </w:rPr>
        <w:t xml:space="preserve"> bevaciz</w:t>
      </w:r>
      <w:r w:rsidRPr="006A2BF9">
        <w:rPr>
          <w:lang w:val="it-IT"/>
        </w:rPr>
        <w:t>umab: 10</w:t>
      </w:r>
      <w:r w:rsidR="00BF1C02" w:rsidRPr="006A2BF9">
        <w:rPr>
          <w:lang w:val="it-IT"/>
        </w:rPr>
        <w:t> </w:t>
      </w:r>
      <w:r w:rsidRPr="006A2BF9">
        <w:rPr>
          <w:lang w:val="it-IT"/>
        </w:rPr>
        <w:t xml:space="preserve">mg/kg ogni 2 settimane </w:t>
      </w:r>
      <w:r w:rsidR="009002E5">
        <w:rPr>
          <w:lang w:val="it-IT"/>
        </w:rPr>
        <w:t>per via endovenosa</w:t>
      </w:r>
      <w:r w:rsidR="00194F5C">
        <w:rPr>
          <w:lang w:val="it-IT"/>
        </w:rPr>
        <w:t>.</w:t>
      </w:r>
    </w:p>
    <w:p w14:paraId="29CC4473" w14:textId="77777777" w:rsidR="00D829A3" w:rsidRPr="006A2BF9" w:rsidRDefault="00D829A3" w:rsidP="00764C05">
      <w:pPr>
        <w:rPr>
          <w:lang w:val="it-IT"/>
        </w:rPr>
      </w:pPr>
    </w:p>
    <w:p w14:paraId="1C6ABF5B" w14:textId="77777777" w:rsidR="00D829A3" w:rsidRPr="00330A40" w:rsidRDefault="00D829A3" w:rsidP="00764C05">
      <w:pPr>
        <w:rPr>
          <w:lang w:val="it-IT"/>
        </w:rPr>
      </w:pPr>
      <w:r w:rsidRPr="006A2BF9">
        <w:rPr>
          <w:lang w:val="it-IT"/>
        </w:rPr>
        <w:t xml:space="preserve">Lo studio non ha </w:t>
      </w:r>
      <w:r w:rsidR="00B23E1E" w:rsidRPr="006A2BF9">
        <w:rPr>
          <w:lang w:val="it-IT"/>
        </w:rPr>
        <w:t>raggiunto</w:t>
      </w:r>
      <w:r w:rsidRPr="006A2BF9">
        <w:rPr>
          <w:lang w:val="it-IT"/>
        </w:rPr>
        <w:t xml:space="preserve"> l’endpoint primario che prevedeva di dimostrare un miglioramento significativo della sopravvivenza libera da eventi (EFS; valutata dal comitato di revisione radiologico centrale [Central Radiology Review Committee, CRRC]) con l’aggiunta di bevacizumab al braccio RT/T rispetto al solo trattamento con RT/T (HR </w:t>
      </w:r>
      <w:r w:rsidRPr="00330A40">
        <w:rPr>
          <w:lang w:val="it-IT"/>
        </w:rPr>
        <w:sym w:font="Symbol" w:char="F03D"/>
      </w:r>
      <w:r w:rsidRPr="00330A40">
        <w:rPr>
          <w:lang w:val="it-IT"/>
        </w:rPr>
        <w:t xml:space="preserve"> 1,44; IC al 95%: 0,90, 2,30). Questi risultati si sono rivelati </w:t>
      </w:r>
      <w:r w:rsidR="003E3815" w:rsidRPr="00330A40">
        <w:rPr>
          <w:lang w:val="it-IT"/>
        </w:rPr>
        <w:t xml:space="preserve">coerenti </w:t>
      </w:r>
      <w:r w:rsidRPr="00330A40">
        <w:rPr>
          <w:lang w:val="it-IT"/>
        </w:rPr>
        <w:t>con quelli ottenuti in varie analisi di sensibilità e</w:t>
      </w:r>
      <w:r w:rsidR="005778CA" w:rsidRPr="00330A40">
        <w:rPr>
          <w:lang w:val="it-IT"/>
        </w:rPr>
        <w:t>d</w:t>
      </w:r>
      <w:r w:rsidRPr="00330A40">
        <w:rPr>
          <w:lang w:val="it-IT"/>
        </w:rPr>
        <w:t xml:space="preserve"> in sottogruppi clinicamente rilevanti. Gli esiti di tutti gli endpoint secondari (EFS valutata dallo sperimentatore, ORR e OS) hanno confermato l’assenza di miglioramenti associati all’aggiunta di bevacizumab al braccio RT/T rispetto al </w:t>
      </w:r>
      <w:r w:rsidR="002C22E4" w:rsidRPr="00330A40">
        <w:rPr>
          <w:lang w:val="it-IT"/>
        </w:rPr>
        <w:t xml:space="preserve">braccio trattato </w:t>
      </w:r>
      <w:r w:rsidRPr="00330A40">
        <w:rPr>
          <w:lang w:val="it-IT"/>
        </w:rPr>
        <w:t xml:space="preserve">con </w:t>
      </w:r>
      <w:r w:rsidR="00B830A7" w:rsidRPr="00330A40">
        <w:rPr>
          <w:lang w:val="it-IT"/>
        </w:rPr>
        <w:t xml:space="preserve">solo </w:t>
      </w:r>
      <w:r w:rsidRPr="00330A40">
        <w:rPr>
          <w:lang w:val="it-IT"/>
        </w:rPr>
        <w:t>RT/T.</w:t>
      </w:r>
    </w:p>
    <w:p w14:paraId="463BB5CA" w14:textId="77777777" w:rsidR="00D829A3" w:rsidRPr="00330A40" w:rsidRDefault="00D829A3" w:rsidP="00764C05">
      <w:pPr>
        <w:rPr>
          <w:lang w:val="it-IT"/>
        </w:rPr>
      </w:pPr>
    </w:p>
    <w:p w14:paraId="7BB9D4E8" w14:textId="77777777" w:rsidR="00D829A3" w:rsidRPr="006A2BF9" w:rsidRDefault="005778CA" w:rsidP="00764C05">
      <w:pPr>
        <w:rPr>
          <w:lang w:val="it-IT"/>
        </w:rPr>
      </w:pPr>
      <w:r w:rsidRPr="00330A40">
        <w:rPr>
          <w:iCs/>
          <w:lang w:val="it-IT"/>
        </w:rPr>
        <w:t>L</w:t>
      </w:r>
      <w:r w:rsidR="00B830A7" w:rsidRPr="00330A40">
        <w:rPr>
          <w:lang w:val="it-IT"/>
        </w:rPr>
        <w:t xml:space="preserve">’aggiunta di </w:t>
      </w:r>
      <w:r w:rsidR="001A78BF" w:rsidRPr="006A2BF9">
        <w:rPr>
          <w:color w:val="000000"/>
          <w:lang w:val="it-IT"/>
        </w:rPr>
        <w:t xml:space="preserve">bevacizumab </w:t>
      </w:r>
      <w:r w:rsidR="00B830A7" w:rsidRPr="006A2BF9">
        <w:rPr>
          <w:lang w:val="it-IT"/>
        </w:rPr>
        <w:t xml:space="preserve">al trattamento con RT/T non ha dimostrato alcun beneficio clinico nello studio </w:t>
      </w:r>
      <w:r w:rsidR="00B830A7" w:rsidRPr="006A2BF9">
        <w:rPr>
          <w:iCs/>
          <w:lang w:val="it-IT"/>
        </w:rPr>
        <w:t>BO25041</w:t>
      </w:r>
      <w:r w:rsidR="00B830A7" w:rsidRPr="006A2BF9">
        <w:rPr>
          <w:lang w:val="it-IT"/>
        </w:rPr>
        <w:t xml:space="preserve"> i</w:t>
      </w:r>
      <w:r w:rsidR="00D829A3" w:rsidRPr="006A2BF9">
        <w:rPr>
          <w:lang w:val="it-IT"/>
        </w:rPr>
        <w:t>n 60</w:t>
      </w:r>
      <w:r w:rsidR="00D76537" w:rsidRPr="006A2BF9">
        <w:rPr>
          <w:lang w:val="it-IT"/>
        </w:rPr>
        <w:t> </w:t>
      </w:r>
      <w:r w:rsidR="00D829A3" w:rsidRPr="006A2BF9">
        <w:rPr>
          <w:lang w:val="it-IT"/>
        </w:rPr>
        <w:t>bambini valutabili</w:t>
      </w:r>
      <w:r w:rsidR="00B830A7" w:rsidRPr="006A2BF9">
        <w:rPr>
          <w:lang w:val="it-IT"/>
        </w:rPr>
        <w:t xml:space="preserve"> </w:t>
      </w:r>
      <w:r w:rsidR="00D829A3" w:rsidRPr="006A2BF9">
        <w:rPr>
          <w:iCs/>
          <w:lang w:val="it-IT"/>
        </w:rPr>
        <w:t xml:space="preserve">affetti da glioma di alto grado (HGG) </w:t>
      </w:r>
      <w:r w:rsidR="00B830A7" w:rsidRPr="006A2BF9">
        <w:rPr>
          <w:iCs/>
          <w:lang w:val="it-IT"/>
        </w:rPr>
        <w:t xml:space="preserve">di nuova diagnosi </w:t>
      </w:r>
      <w:r w:rsidR="00D829A3" w:rsidRPr="006A2BF9">
        <w:rPr>
          <w:iCs/>
          <w:lang w:val="it-IT"/>
        </w:rPr>
        <w:t xml:space="preserve">sovratentoriale o infratentoriale cerebellare o peduncolare </w:t>
      </w:r>
      <w:r w:rsidR="00D829A3" w:rsidRPr="006A2BF9">
        <w:rPr>
          <w:lang w:val="it-IT"/>
        </w:rPr>
        <w:t>(per informazioni sull’uso pediatrico, vedere paragrafo</w:t>
      </w:r>
      <w:r w:rsidR="00D76537" w:rsidRPr="006A2BF9">
        <w:rPr>
          <w:lang w:val="it-IT"/>
        </w:rPr>
        <w:t> </w:t>
      </w:r>
      <w:r w:rsidR="00D829A3" w:rsidRPr="006A2BF9">
        <w:rPr>
          <w:lang w:val="it-IT"/>
        </w:rPr>
        <w:t>4.2).</w:t>
      </w:r>
    </w:p>
    <w:p w14:paraId="2329AFE9" w14:textId="77777777" w:rsidR="00764C05" w:rsidRPr="006A2BF9" w:rsidRDefault="00764C05" w:rsidP="00764C05">
      <w:pPr>
        <w:rPr>
          <w:rFonts w:eastAsia="Calibri"/>
          <w:lang w:val="it-IT" w:eastAsia="en-US"/>
        </w:rPr>
      </w:pPr>
    </w:p>
    <w:p w14:paraId="114E3937" w14:textId="77777777" w:rsidR="002429CE" w:rsidRPr="006A2BF9" w:rsidRDefault="00D829A3" w:rsidP="009C0666">
      <w:pPr>
        <w:rPr>
          <w:lang w:val="it-IT"/>
        </w:rPr>
      </w:pPr>
      <w:r w:rsidRPr="006A2BF9">
        <w:rPr>
          <w:rFonts w:eastAsia="Calibri"/>
          <w:i/>
          <w:lang w:val="it-IT" w:eastAsia="en-US"/>
        </w:rPr>
        <w:t>S</w:t>
      </w:r>
      <w:r w:rsidR="00764C05" w:rsidRPr="006A2BF9">
        <w:rPr>
          <w:rFonts w:eastAsia="Calibri"/>
          <w:i/>
          <w:lang w:val="it-IT" w:eastAsia="en-US"/>
        </w:rPr>
        <w:t>arcoma</w:t>
      </w:r>
      <w:r w:rsidRPr="006A2BF9">
        <w:rPr>
          <w:rFonts w:eastAsia="Calibri"/>
          <w:i/>
          <w:lang w:val="it-IT" w:eastAsia="en-US"/>
        </w:rPr>
        <w:t xml:space="preserve"> dei tessuti molli</w:t>
      </w:r>
    </w:p>
    <w:p w14:paraId="00F5B5F8" w14:textId="77777777" w:rsidR="009D29C7" w:rsidRPr="006A2BF9" w:rsidRDefault="009D29C7" w:rsidP="00803BFF">
      <w:pPr>
        <w:rPr>
          <w:rFonts w:eastAsia="Calibri"/>
          <w:iCs/>
          <w:lang w:val="it-IT" w:eastAsia="en-US"/>
        </w:rPr>
      </w:pPr>
      <w:r w:rsidRPr="006A2BF9">
        <w:rPr>
          <w:lang w:val="it-IT"/>
        </w:rPr>
        <w:t xml:space="preserve">In uno studio randomizzato di fase II (BO20924), </w:t>
      </w:r>
      <w:r w:rsidR="00803BFF" w:rsidRPr="006A2BF9">
        <w:rPr>
          <w:lang w:val="it-IT"/>
        </w:rPr>
        <w:t>154</w:t>
      </w:r>
      <w:r w:rsidR="00D76537" w:rsidRPr="006A2BF9">
        <w:rPr>
          <w:lang w:val="it-IT"/>
        </w:rPr>
        <w:t> </w:t>
      </w:r>
      <w:r w:rsidR="00803BFF" w:rsidRPr="006A2BF9">
        <w:rPr>
          <w:lang w:val="it-IT"/>
        </w:rPr>
        <w:t>pazienti di età</w:t>
      </w:r>
      <w:r w:rsidR="005778CA" w:rsidRPr="006A2BF9">
        <w:rPr>
          <w:lang w:val="it-IT"/>
        </w:rPr>
        <w:t xml:space="preserve"> compresa tra</w:t>
      </w:r>
      <w:r w:rsidR="00803BFF" w:rsidRPr="006A2BF9">
        <w:rPr>
          <w:lang w:val="it-IT"/>
        </w:rPr>
        <w:t xml:space="preserve"> ≥</w:t>
      </w:r>
      <w:r w:rsidR="00D76537" w:rsidRPr="006A2BF9">
        <w:rPr>
          <w:lang w:val="it-IT"/>
        </w:rPr>
        <w:t> </w:t>
      </w:r>
      <w:r w:rsidR="00803BFF" w:rsidRPr="006A2BF9">
        <w:rPr>
          <w:lang w:val="it-IT"/>
        </w:rPr>
        <w:t>6</w:t>
      </w:r>
      <w:r w:rsidR="00D76537" w:rsidRPr="006A2BF9">
        <w:rPr>
          <w:lang w:val="it-IT"/>
        </w:rPr>
        <w:t> </w:t>
      </w:r>
      <w:r w:rsidR="00803BFF" w:rsidRPr="006A2BF9">
        <w:rPr>
          <w:lang w:val="it-IT"/>
        </w:rPr>
        <w:t>mesi e &lt;</w:t>
      </w:r>
      <w:r w:rsidR="00D76537" w:rsidRPr="006A2BF9">
        <w:rPr>
          <w:lang w:val="it-IT"/>
        </w:rPr>
        <w:t> </w:t>
      </w:r>
      <w:r w:rsidR="00803BFF" w:rsidRPr="006A2BF9">
        <w:rPr>
          <w:lang w:val="it-IT"/>
        </w:rPr>
        <w:t>18</w:t>
      </w:r>
      <w:r w:rsidR="00D76537" w:rsidRPr="006A2BF9">
        <w:rPr>
          <w:lang w:val="it-IT"/>
        </w:rPr>
        <w:t> </w:t>
      </w:r>
      <w:r w:rsidR="00803BFF" w:rsidRPr="006A2BF9">
        <w:rPr>
          <w:lang w:val="it-IT"/>
        </w:rPr>
        <w:t xml:space="preserve">anni affetti da sarcoma dei tessuti molli rabdomiosarcoma e non rabdomiosarcoma metastatico di nuova diagnosi </w:t>
      </w:r>
      <w:r w:rsidR="008538A9" w:rsidRPr="006A2BF9">
        <w:rPr>
          <w:lang w:val="it-IT"/>
        </w:rPr>
        <w:t>sono</w:t>
      </w:r>
      <w:r w:rsidR="00803BFF" w:rsidRPr="006A2BF9">
        <w:rPr>
          <w:lang w:val="it-IT"/>
        </w:rPr>
        <w:t xml:space="preserve"> stati trattati con la terapia standard (induzione con IVADO/IVA</w:t>
      </w:r>
      <w:r w:rsidR="00D76537" w:rsidRPr="006A2BF9">
        <w:rPr>
          <w:lang w:val="it-IT"/>
        </w:rPr>
        <w:t> </w:t>
      </w:r>
      <w:r w:rsidR="00803BFF" w:rsidRPr="006A2BF9">
        <w:rPr>
          <w:lang w:val="it-IT"/>
        </w:rPr>
        <w:t>+/-</w:t>
      </w:r>
      <w:r w:rsidR="00D76537" w:rsidRPr="006A2BF9">
        <w:rPr>
          <w:lang w:val="it-IT"/>
        </w:rPr>
        <w:t> </w:t>
      </w:r>
      <w:r w:rsidR="00803BFF" w:rsidRPr="006A2BF9">
        <w:rPr>
          <w:lang w:val="it-IT"/>
        </w:rPr>
        <w:t>terapia locale seguita da vinorelbina e ciclofosfamide di mantenimento) associata o meno a bevacizumab (2,5</w:t>
      </w:r>
      <w:r w:rsidR="00D76537" w:rsidRPr="006A2BF9">
        <w:rPr>
          <w:lang w:val="it-IT"/>
        </w:rPr>
        <w:t> </w:t>
      </w:r>
      <w:r w:rsidR="00803BFF" w:rsidRPr="006A2BF9">
        <w:rPr>
          <w:lang w:val="it-IT"/>
        </w:rPr>
        <w:t>mg/kg/settimana) per un trattamento della durata complessiva di circa 18</w:t>
      </w:r>
      <w:r w:rsidR="00D76537" w:rsidRPr="006A2BF9">
        <w:rPr>
          <w:lang w:val="it-IT"/>
        </w:rPr>
        <w:t> </w:t>
      </w:r>
      <w:r w:rsidR="00803BFF" w:rsidRPr="006A2BF9">
        <w:rPr>
          <w:lang w:val="it-IT"/>
        </w:rPr>
        <w:t>mesi. Al momento dell’analisi primaria finale, l’endpoint primario di sopravvivenza libera da eventi (EFS) valutato dalla commissione di revision</w:t>
      </w:r>
      <w:r w:rsidR="00684A98" w:rsidRPr="006A2BF9">
        <w:rPr>
          <w:lang w:val="it-IT"/>
        </w:rPr>
        <w:t>e</w:t>
      </w:r>
      <w:r w:rsidR="00803BFF" w:rsidRPr="006A2BF9">
        <w:rPr>
          <w:lang w:val="it-IT"/>
        </w:rPr>
        <w:t xml:space="preserve"> centrale indipendente non ha evidenziato alcuna differenza statisticamente significativa tra i due bracci di trattamento, con un HR pari a 0,93 (IC al 95%: 0,61-1,41; valore di p </w:t>
      </w:r>
      <w:r w:rsidR="00803BFF" w:rsidRPr="00330A40">
        <w:rPr>
          <w:lang w:val="it-IT"/>
        </w:rPr>
        <w:sym w:font="Symbol" w:char="F03D"/>
      </w:r>
      <w:r w:rsidR="00803BFF" w:rsidRPr="00330A40">
        <w:rPr>
          <w:lang w:val="it-IT"/>
        </w:rPr>
        <w:t xml:space="preserve"> 0,72). </w:t>
      </w:r>
      <w:r w:rsidRPr="00330A40">
        <w:rPr>
          <w:lang w:val="it-IT"/>
        </w:rPr>
        <w:t>La differenza in ORR valutata dalla commissione di revisione centrale indipendente è stata di 18% (IC: 0,6%-35,3%) fra i due bracci di trattamento nei pochi pazienti che avevano un tumore valutabile al basale e che avevano ricevuto una risposta prima di ricevere qualsiasi terapia locale: 27/75</w:t>
      </w:r>
      <w:r w:rsidR="00D76537" w:rsidRPr="00330A40">
        <w:rPr>
          <w:lang w:val="it-IT"/>
        </w:rPr>
        <w:t> </w:t>
      </w:r>
      <w:r w:rsidRPr="00330A40">
        <w:rPr>
          <w:lang w:val="it-IT"/>
        </w:rPr>
        <w:t>pazienti (36%; IC al 95%: 25,2%,47,9%) nel braccio della chemioterapia e 34/63</w:t>
      </w:r>
      <w:r w:rsidR="00D76537" w:rsidRPr="00330A40">
        <w:rPr>
          <w:lang w:val="it-IT"/>
        </w:rPr>
        <w:t> </w:t>
      </w:r>
      <w:r w:rsidRPr="00330A40">
        <w:rPr>
          <w:lang w:val="it-IT"/>
        </w:rPr>
        <w:t xml:space="preserve">pazienti (54,0%, IC al 95%:40,9%,66,6%) nel braccio bevacizumab e chemioterapia. </w:t>
      </w:r>
      <w:r w:rsidR="00803BFF" w:rsidRPr="00330A40">
        <w:rPr>
          <w:lang w:val="it-IT"/>
        </w:rPr>
        <w:t>L</w:t>
      </w:r>
      <w:r w:rsidR="008C738C">
        <w:rPr>
          <w:lang w:val="it-IT"/>
        </w:rPr>
        <w:t>e</w:t>
      </w:r>
      <w:r w:rsidR="00EF464D">
        <w:rPr>
          <w:lang w:val="it-IT"/>
        </w:rPr>
        <w:t xml:space="preserve"> analisi </w:t>
      </w:r>
      <w:r w:rsidR="007723A8">
        <w:rPr>
          <w:lang w:val="it-IT"/>
        </w:rPr>
        <w:t xml:space="preserve">finali </w:t>
      </w:r>
      <w:r w:rsidR="00803BFF" w:rsidRPr="00330A40">
        <w:rPr>
          <w:lang w:val="it-IT"/>
        </w:rPr>
        <w:t xml:space="preserve">di </w:t>
      </w:r>
      <w:r w:rsidR="009002E5">
        <w:rPr>
          <w:lang w:val="it-IT"/>
        </w:rPr>
        <w:t>OS</w:t>
      </w:r>
      <w:r w:rsidR="00EF464D">
        <w:rPr>
          <w:lang w:val="it-IT"/>
        </w:rPr>
        <w:t xml:space="preserve"> non ha</w:t>
      </w:r>
      <w:r w:rsidR="00674568">
        <w:rPr>
          <w:lang w:val="it-IT"/>
        </w:rPr>
        <w:t>nno</w:t>
      </w:r>
      <w:r w:rsidR="00EF464D">
        <w:rPr>
          <w:lang w:val="it-IT"/>
        </w:rPr>
        <w:t xml:space="preserve"> evidenziato benefici clinici </w:t>
      </w:r>
      <w:r w:rsidR="008B6436">
        <w:rPr>
          <w:lang w:val="it-IT"/>
        </w:rPr>
        <w:t xml:space="preserve">significativi </w:t>
      </w:r>
      <w:r w:rsidR="00EF464D">
        <w:rPr>
          <w:lang w:val="it-IT"/>
        </w:rPr>
        <w:t xml:space="preserve">dall’aggiunta di </w:t>
      </w:r>
      <w:r w:rsidR="00EF464D" w:rsidRPr="00330A40">
        <w:rPr>
          <w:lang w:val="it-IT"/>
        </w:rPr>
        <w:t>bevacizumab</w:t>
      </w:r>
      <w:r w:rsidR="00EF464D">
        <w:rPr>
          <w:lang w:val="it-IT"/>
        </w:rPr>
        <w:t xml:space="preserve"> alla chemioterapia in questa popolazione di pazienti.</w:t>
      </w:r>
    </w:p>
    <w:p w14:paraId="6D52AD67" w14:textId="77777777" w:rsidR="001A78BF" w:rsidRPr="006A2BF9" w:rsidRDefault="001A78BF" w:rsidP="009D29C7">
      <w:pPr>
        <w:rPr>
          <w:rFonts w:eastAsia="Calibri"/>
          <w:iCs/>
          <w:lang w:val="it-IT" w:eastAsia="en-US"/>
        </w:rPr>
      </w:pPr>
    </w:p>
    <w:p w14:paraId="17D33F1C" w14:textId="77777777" w:rsidR="009D29C7" w:rsidRPr="006A2BF9" w:rsidRDefault="009D29C7" w:rsidP="009D29C7">
      <w:pPr>
        <w:rPr>
          <w:rFonts w:eastAsia="Calibri"/>
          <w:iCs/>
          <w:lang w:val="it-IT" w:eastAsia="en-US"/>
        </w:rPr>
      </w:pPr>
      <w:r w:rsidRPr="006A2BF9">
        <w:rPr>
          <w:rFonts w:eastAsia="Calibri"/>
          <w:iCs/>
          <w:lang w:val="it-IT" w:eastAsia="en-US"/>
        </w:rPr>
        <w:t>L</w:t>
      </w:r>
      <w:r w:rsidR="001A78BF" w:rsidRPr="006A2BF9">
        <w:rPr>
          <w:rFonts w:eastAsia="Calibri"/>
          <w:iCs/>
          <w:lang w:val="it-IT" w:eastAsia="en-US"/>
        </w:rPr>
        <w:t>’</w:t>
      </w:r>
      <w:r w:rsidRPr="006A2BF9">
        <w:rPr>
          <w:rFonts w:eastAsia="Calibri"/>
          <w:iCs/>
          <w:lang w:val="it-IT" w:eastAsia="en-US"/>
        </w:rPr>
        <w:t xml:space="preserve">aggiunta di </w:t>
      </w:r>
      <w:r w:rsidR="001A78BF" w:rsidRPr="006A2BF9">
        <w:rPr>
          <w:color w:val="000000"/>
          <w:lang w:val="it-IT"/>
        </w:rPr>
        <w:t xml:space="preserve">bevacizumab </w:t>
      </w:r>
      <w:r w:rsidRPr="006A2BF9">
        <w:rPr>
          <w:rFonts w:eastAsia="Calibri"/>
          <w:iCs/>
          <w:lang w:val="it-IT" w:eastAsia="en-US"/>
        </w:rPr>
        <w:t>alla terapia standard non ha dimostrato un beneficio clinico nello studio clinico BO20</w:t>
      </w:r>
      <w:r w:rsidR="00300372" w:rsidRPr="006A2BF9">
        <w:rPr>
          <w:rFonts w:eastAsia="Calibri"/>
          <w:iCs/>
          <w:lang w:val="it-IT" w:eastAsia="en-US"/>
        </w:rPr>
        <w:t>924, in 71</w:t>
      </w:r>
      <w:r w:rsidR="00D76537" w:rsidRPr="006A2BF9">
        <w:rPr>
          <w:rFonts w:eastAsia="Calibri"/>
          <w:iCs/>
          <w:lang w:val="it-IT" w:eastAsia="en-US"/>
        </w:rPr>
        <w:t> </w:t>
      </w:r>
      <w:r w:rsidR="00300372" w:rsidRPr="006A2BF9">
        <w:rPr>
          <w:rFonts w:eastAsia="Calibri"/>
          <w:iCs/>
          <w:lang w:val="it-IT" w:eastAsia="en-US"/>
        </w:rPr>
        <w:t>bambini valutabili (</w:t>
      </w:r>
      <w:r w:rsidRPr="006A2BF9">
        <w:rPr>
          <w:rFonts w:eastAsia="Calibri"/>
          <w:iCs/>
          <w:lang w:val="it-IT" w:eastAsia="en-US"/>
        </w:rPr>
        <w:t xml:space="preserve">dall'età di 6 mesi a meno di 18 anni) affetti da </w:t>
      </w:r>
      <w:r w:rsidRPr="006A2BF9">
        <w:rPr>
          <w:lang w:val="it-IT"/>
        </w:rPr>
        <w:t>sarcoma dei tessuti molli rabdomiosarcoma e non rabdomiosarcoma metastatico (vedere paragrafo</w:t>
      </w:r>
      <w:r w:rsidR="00B8505C" w:rsidRPr="006A2BF9">
        <w:rPr>
          <w:rFonts w:eastAsia="Calibri"/>
          <w:iCs/>
          <w:lang w:val="it-IT" w:eastAsia="en-US"/>
        </w:rPr>
        <w:t> </w:t>
      </w:r>
      <w:r w:rsidRPr="006A2BF9">
        <w:rPr>
          <w:rFonts w:eastAsia="Calibri"/>
          <w:iCs/>
          <w:lang w:val="it-IT" w:eastAsia="en-US"/>
        </w:rPr>
        <w:t>4.2</w:t>
      </w:r>
      <w:r w:rsidR="00D76537" w:rsidRPr="006A2BF9">
        <w:rPr>
          <w:rFonts w:eastAsia="Calibri"/>
          <w:iCs/>
          <w:lang w:val="it-IT" w:eastAsia="en-US"/>
        </w:rPr>
        <w:t> </w:t>
      </w:r>
      <w:r w:rsidRPr="006A2BF9">
        <w:rPr>
          <w:rFonts w:eastAsia="Calibri"/>
          <w:iCs/>
          <w:lang w:val="it-IT" w:eastAsia="en-US"/>
        </w:rPr>
        <w:t>per informazioni sull’uso pediatrico).</w:t>
      </w:r>
    </w:p>
    <w:p w14:paraId="1E28C966" w14:textId="77777777" w:rsidR="00461E48" w:rsidRPr="006A2BF9" w:rsidRDefault="00461E48" w:rsidP="009D29C7">
      <w:pPr>
        <w:rPr>
          <w:rFonts w:eastAsia="Calibri"/>
          <w:iCs/>
          <w:highlight w:val="yellow"/>
          <w:lang w:val="it-IT" w:eastAsia="en-US"/>
        </w:rPr>
      </w:pPr>
    </w:p>
    <w:p w14:paraId="1DC318B0" w14:textId="77777777" w:rsidR="00803BFF" w:rsidRPr="00330A40" w:rsidRDefault="00803BFF" w:rsidP="00803BFF">
      <w:pPr>
        <w:rPr>
          <w:lang w:val="it-IT"/>
        </w:rPr>
      </w:pPr>
      <w:r w:rsidRPr="006A2BF9">
        <w:rPr>
          <w:lang w:val="it-IT"/>
        </w:rPr>
        <w:t>L’incidenza degli eventi avversi (AE), ivi inclusi gli AE di grado </w:t>
      </w:r>
      <w:r w:rsidRPr="00330A40">
        <w:rPr>
          <w:lang w:val="it-IT"/>
        </w:rPr>
        <w:sym w:font="Symbol" w:char="F0B3"/>
      </w:r>
      <w:r w:rsidRPr="00330A40">
        <w:rPr>
          <w:lang w:val="it-IT"/>
        </w:rPr>
        <w:t xml:space="preserve"> 3 e gli eventi avversi gravi (SAE), è risultata simile tra i due bracci di trattamento. In essi non sono stati osservati AE fatali; tutti i decessi sono stati attribuiti alla progressione della malattia. </w:t>
      </w:r>
      <w:r w:rsidR="00684A98" w:rsidRPr="00330A40">
        <w:rPr>
          <w:lang w:val="it-IT"/>
        </w:rPr>
        <w:t>L’aggiunta di b</w:t>
      </w:r>
      <w:r w:rsidRPr="00330A40">
        <w:rPr>
          <w:lang w:val="it-IT"/>
        </w:rPr>
        <w:t>evacizumab alla terapia standard multimodale è pars</w:t>
      </w:r>
      <w:r w:rsidR="00684A98" w:rsidRPr="00330A40">
        <w:rPr>
          <w:lang w:val="it-IT"/>
        </w:rPr>
        <w:t>a</w:t>
      </w:r>
      <w:r w:rsidRPr="00330A40">
        <w:rPr>
          <w:lang w:val="it-IT"/>
        </w:rPr>
        <w:t xml:space="preserve"> essere tollerat</w:t>
      </w:r>
      <w:r w:rsidR="00684A98" w:rsidRPr="00330A40">
        <w:rPr>
          <w:lang w:val="it-IT"/>
        </w:rPr>
        <w:t>a</w:t>
      </w:r>
      <w:r w:rsidRPr="00330A40">
        <w:rPr>
          <w:lang w:val="it-IT"/>
        </w:rPr>
        <w:t xml:space="preserve"> in questa popolazione pediatrica.</w:t>
      </w:r>
    </w:p>
    <w:p w14:paraId="6096C81D" w14:textId="77777777" w:rsidR="005D7DB3" w:rsidRPr="00330A40" w:rsidRDefault="005D7DB3" w:rsidP="009C0666">
      <w:pPr>
        <w:rPr>
          <w:lang w:val="it-IT"/>
        </w:rPr>
      </w:pPr>
    </w:p>
    <w:p w14:paraId="1387F8DF" w14:textId="77777777" w:rsidR="009C0666" w:rsidRPr="00330A40" w:rsidRDefault="009C0666" w:rsidP="0011036F">
      <w:pPr>
        <w:keepNext/>
        <w:keepLines/>
        <w:ind w:left="567" w:hanging="567"/>
        <w:outlineLvl w:val="0"/>
        <w:rPr>
          <w:b/>
          <w:bCs/>
          <w:lang w:val="it-IT"/>
        </w:rPr>
      </w:pPr>
      <w:r w:rsidRPr="00330A40">
        <w:rPr>
          <w:b/>
          <w:bCs/>
          <w:lang w:val="it-IT"/>
        </w:rPr>
        <w:t>5.2</w:t>
      </w:r>
      <w:r w:rsidRPr="00330A40">
        <w:rPr>
          <w:b/>
          <w:bCs/>
          <w:lang w:val="it-IT"/>
        </w:rPr>
        <w:tab/>
        <w:t>Proprietà farmacocinetiche</w:t>
      </w:r>
    </w:p>
    <w:p w14:paraId="626351E9" w14:textId="77777777" w:rsidR="009C0666" w:rsidRPr="006A2BF9" w:rsidRDefault="009C0666" w:rsidP="0011036F">
      <w:pPr>
        <w:keepNext/>
        <w:keepLines/>
        <w:rPr>
          <w:lang w:val="it-IT"/>
        </w:rPr>
      </w:pPr>
    </w:p>
    <w:p w14:paraId="174A3BC0" w14:textId="77777777" w:rsidR="009C0666" w:rsidRPr="006A2BF9" w:rsidRDefault="009C0666" w:rsidP="0011036F">
      <w:pPr>
        <w:keepNext/>
        <w:keepLines/>
        <w:rPr>
          <w:lang w:val="it-IT"/>
        </w:rPr>
      </w:pPr>
      <w:r w:rsidRPr="006A2BF9">
        <w:rPr>
          <w:lang w:val="it-IT"/>
        </w:rPr>
        <w:t xml:space="preserve">Sono disponibili i dati farmacocinetici relativi a bevacizumab raccolti in </w:t>
      </w:r>
      <w:r w:rsidR="00DE54D6" w:rsidRPr="006A2BF9">
        <w:rPr>
          <w:lang w:val="it-IT"/>
        </w:rPr>
        <w:t xml:space="preserve">dieci </w:t>
      </w:r>
      <w:r w:rsidRPr="006A2BF9">
        <w:rPr>
          <w:lang w:val="it-IT"/>
        </w:rPr>
        <w:t xml:space="preserve">studi clinici effettuati su pazienti con neoplasie solide. In tutti gli studi clinici bevacizumab è stato somministrato in infusione </w:t>
      </w:r>
      <w:r w:rsidR="009002E5">
        <w:rPr>
          <w:lang w:val="it-IT"/>
        </w:rPr>
        <w:t>endovenosa</w:t>
      </w:r>
      <w:r w:rsidR="00EC06A3">
        <w:rPr>
          <w:lang w:val="it-IT"/>
        </w:rPr>
        <w:t>.</w:t>
      </w:r>
      <w:r w:rsidRPr="006A2BF9">
        <w:rPr>
          <w:lang w:val="it-IT"/>
        </w:rPr>
        <w:t xml:space="preserve"> La velocità di infusione è dipesa dalla tollerabilità, con una durata iniziale di infusione pari a 90</w:t>
      </w:r>
      <w:r w:rsidR="00D76537" w:rsidRPr="006A2BF9">
        <w:rPr>
          <w:lang w:val="it-IT"/>
        </w:rPr>
        <w:t> </w:t>
      </w:r>
      <w:r w:rsidRPr="006A2BF9">
        <w:rPr>
          <w:lang w:val="it-IT"/>
        </w:rPr>
        <w:t>minuti. Il profilo farmacocinetico di bevacizumab è risultato lineare a dosaggi da</w:t>
      </w:r>
      <w:r w:rsidR="00D76537" w:rsidRPr="006A2BF9">
        <w:rPr>
          <w:lang w:val="it-IT"/>
        </w:rPr>
        <w:t> </w:t>
      </w:r>
      <w:r w:rsidRPr="006A2BF9">
        <w:rPr>
          <w:lang w:val="it-IT"/>
        </w:rPr>
        <w:t>1 a</w:t>
      </w:r>
      <w:r w:rsidR="00D76537" w:rsidRPr="006A2BF9">
        <w:rPr>
          <w:lang w:val="it-IT"/>
        </w:rPr>
        <w:t> </w:t>
      </w:r>
      <w:r w:rsidRPr="006A2BF9">
        <w:rPr>
          <w:lang w:val="it-IT"/>
        </w:rPr>
        <w:t>10 mg/kg.</w:t>
      </w:r>
    </w:p>
    <w:p w14:paraId="15E30201" w14:textId="77777777" w:rsidR="009C0666" w:rsidRPr="006A2BF9" w:rsidRDefault="009C0666" w:rsidP="0011036F">
      <w:pPr>
        <w:keepNext/>
        <w:keepLines/>
        <w:rPr>
          <w:u w:val="single"/>
          <w:lang w:val="it-IT"/>
        </w:rPr>
      </w:pPr>
    </w:p>
    <w:p w14:paraId="40D09E41" w14:textId="77777777" w:rsidR="009C0666" w:rsidRPr="006A2BF9" w:rsidRDefault="009C0666" w:rsidP="001B5FB1">
      <w:pPr>
        <w:keepNext/>
        <w:rPr>
          <w:iCs/>
          <w:u w:val="single"/>
          <w:lang w:val="it-IT"/>
        </w:rPr>
      </w:pPr>
      <w:r w:rsidRPr="006A2BF9">
        <w:rPr>
          <w:iCs/>
          <w:u w:val="single"/>
          <w:lang w:val="it-IT"/>
        </w:rPr>
        <w:t>Distribuzione</w:t>
      </w:r>
    </w:p>
    <w:p w14:paraId="1E53FECE" w14:textId="77777777" w:rsidR="009C0666" w:rsidRPr="006A2BF9" w:rsidRDefault="00DE54D6" w:rsidP="009C0666">
      <w:pPr>
        <w:rPr>
          <w:lang w:val="it-IT"/>
        </w:rPr>
      </w:pPr>
      <w:r w:rsidRPr="006A2BF9">
        <w:rPr>
          <w:lang w:val="it-IT"/>
        </w:rPr>
        <w:t>Il tipico valore del volume del compartimento centrale (V</w:t>
      </w:r>
      <w:r w:rsidRPr="006A2BF9">
        <w:rPr>
          <w:vertAlign w:val="subscript"/>
          <w:lang w:val="it-IT"/>
        </w:rPr>
        <w:t>c</w:t>
      </w:r>
      <w:r w:rsidRPr="006A2BF9">
        <w:rPr>
          <w:lang w:val="it-IT"/>
        </w:rPr>
        <w:t>) è stato di 2,73 </w:t>
      </w:r>
      <w:r w:rsidR="001A78BF" w:rsidRPr="006A2BF9">
        <w:rPr>
          <w:lang w:val="it-IT"/>
        </w:rPr>
        <w:t>L</w:t>
      </w:r>
      <w:r w:rsidRPr="006A2BF9">
        <w:rPr>
          <w:lang w:val="it-IT"/>
        </w:rPr>
        <w:t xml:space="preserve"> e 3,28 </w:t>
      </w:r>
      <w:r w:rsidR="001A78BF" w:rsidRPr="006A2BF9">
        <w:rPr>
          <w:lang w:val="it-IT"/>
        </w:rPr>
        <w:t>L</w:t>
      </w:r>
      <w:r w:rsidRPr="006A2BF9">
        <w:rPr>
          <w:lang w:val="it-IT"/>
        </w:rPr>
        <w:t xml:space="preserve"> </w:t>
      </w:r>
      <w:r w:rsidR="00187741" w:rsidRPr="006A2BF9">
        <w:rPr>
          <w:lang w:val="it-IT"/>
        </w:rPr>
        <w:t xml:space="preserve">rispettivamente </w:t>
      </w:r>
      <w:r w:rsidRPr="006A2BF9">
        <w:rPr>
          <w:lang w:val="it-IT"/>
        </w:rPr>
        <w:t>per i pazienti di sesso femminile e maschile, valori nell’intervallo che è stato descritto per le IgG e gli altri anticorpi monoclonali. Il tipico valore del volume del compartimento periferico (V</w:t>
      </w:r>
      <w:r w:rsidRPr="006A2BF9">
        <w:rPr>
          <w:vertAlign w:val="subscript"/>
          <w:lang w:val="it-IT"/>
        </w:rPr>
        <w:t>p</w:t>
      </w:r>
      <w:r w:rsidRPr="006A2BF9">
        <w:rPr>
          <w:lang w:val="it-IT"/>
        </w:rPr>
        <w:t>) è stato di 1,69</w:t>
      </w:r>
      <w:r w:rsidR="001A78BF" w:rsidRPr="006A2BF9">
        <w:rPr>
          <w:lang w:val="it-IT"/>
        </w:rPr>
        <w:t> L</w:t>
      </w:r>
      <w:r w:rsidRPr="006A2BF9">
        <w:rPr>
          <w:lang w:val="it-IT"/>
        </w:rPr>
        <w:t xml:space="preserve"> e 2,35 </w:t>
      </w:r>
      <w:r w:rsidR="001A78BF" w:rsidRPr="006A2BF9">
        <w:rPr>
          <w:lang w:val="it-IT"/>
        </w:rPr>
        <w:t>L</w:t>
      </w:r>
      <w:r w:rsidRPr="006A2BF9">
        <w:rPr>
          <w:lang w:val="it-IT"/>
        </w:rPr>
        <w:t xml:space="preserve"> </w:t>
      </w:r>
      <w:r w:rsidR="00187741" w:rsidRPr="006A2BF9">
        <w:rPr>
          <w:lang w:val="it-IT"/>
        </w:rPr>
        <w:t xml:space="preserve">rispettivamente </w:t>
      </w:r>
      <w:r w:rsidRPr="006A2BF9">
        <w:rPr>
          <w:lang w:val="it-IT"/>
        </w:rPr>
        <w:t>per i pazienti di sesso femminile e maschile, quando b</w:t>
      </w:r>
      <w:r w:rsidR="00854CA4" w:rsidRPr="006A2BF9">
        <w:rPr>
          <w:lang w:val="it-IT"/>
        </w:rPr>
        <w:t>e</w:t>
      </w:r>
      <w:r w:rsidRPr="006A2BF9">
        <w:rPr>
          <w:lang w:val="it-IT"/>
        </w:rPr>
        <w:t>vacizumab è somministrato con agenti antineoplastici. Dopo correzione per il peso corporeo, i pazienti di sesso maschile avevano un V</w:t>
      </w:r>
      <w:r w:rsidRPr="006A2BF9">
        <w:rPr>
          <w:vertAlign w:val="subscript"/>
          <w:lang w:val="it-IT"/>
        </w:rPr>
        <w:t>c</w:t>
      </w:r>
      <w:r w:rsidRPr="006A2BF9">
        <w:rPr>
          <w:lang w:val="it-IT"/>
        </w:rPr>
        <w:t xml:space="preserve"> più ampio (+</w:t>
      </w:r>
      <w:r w:rsidR="00D76537" w:rsidRPr="006A2BF9">
        <w:rPr>
          <w:lang w:val="it-IT"/>
        </w:rPr>
        <w:t> </w:t>
      </w:r>
      <w:r w:rsidRPr="006A2BF9">
        <w:rPr>
          <w:lang w:val="it-IT"/>
        </w:rPr>
        <w:t>20%) rispetto alle pazienti di sesso femminile.</w:t>
      </w:r>
      <w:r w:rsidR="009C0666" w:rsidRPr="006A2BF9">
        <w:rPr>
          <w:lang w:val="it-IT"/>
        </w:rPr>
        <w:t xml:space="preserve"> </w:t>
      </w:r>
    </w:p>
    <w:p w14:paraId="1762DA7D" w14:textId="77777777" w:rsidR="009C0666" w:rsidRPr="006A2BF9" w:rsidRDefault="009C0666" w:rsidP="009C0666">
      <w:pPr>
        <w:rPr>
          <w:lang w:val="it-IT"/>
        </w:rPr>
      </w:pPr>
    </w:p>
    <w:p w14:paraId="4664A2FC" w14:textId="77777777" w:rsidR="009C0666" w:rsidRPr="006A2BF9" w:rsidRDefault="00AD5FB1" w:rsidP="001B5FB1">
      <w:pPr>
        <w:keepNext/>
        <w:outlineLvl w:val="0"/>
        <w:rPr>
          <w:iCs/>
          <w:u w:val="single"/>
          <w:lang w:val="it-IT"/>
        </w:rPr>
      </w:pPr>
      <w:r w:rsidRPr="006A2BF9">
        <w:rPr>
          <w:iCs/>
          <w:u w:val="single"/>
          <w:lang w:val="it-IT"/>
        </w:rPr>
        <w:t>Biotrasformazione</w:t>
      </w:r>
    </w:p>
    <w:p w14:paraId="1DCD7285" w14:textId="77777777" w:rsidR="009C0666" w:rsidRPr="006A2BF9" w:rsidRDefault="009C0666" w:rsidP="009C0666">
      <w:pPr>
        <w:rPr>
          <w:lang w:val="it-IT"/>
        </w:rPr>
      </w:pPr>
      <w:r w:rsidRPr="006A2BF9">
        <w:rPr>
          <w:lang w:val="it-IT"/>
        </w:rPr>
        <w:t>Dall’analisi del metabolismo d</w:t>
      </w:r>
      <w:r w:rsidR="000414A8" w:rsidRPr="006A2BF9">
        <w:rPr>
          <w:lang w:val="it-IT"/>
        </w:rPr>
        <w:t>i</w:t>
      </w:r>
      <w:r w:rsidRPr="006A2BF9">
        <w:rPr>
          <w:lang w:val="it-IT"/>
        </w:rPr>
        <w:t xml:space="preserve"> bevacizumab in conigli trattati con una singola dose </w:t>
      </w:r>
      <w:r w:rsidR="009002E5">
        <w:rPr>
          <w:lang w:val="it-IT"/>
        </w:rPr>
        <w:t>endovenosa</w:t>
      </w:r>
      <w:r w:rsidRPr="006A2BF9">
        <w:rPr>
          <w:lang w:val="it-IT"/>
        </w:rPr>
        <w:t xml:space="preserve"> di </w:t>
      </w:r>
      <w:r w:rsidRPr="006A2BF9">
        <w:rPr>
          <w:vertAlign w:val="superscript"/>
          <w:lang w:val="it-IT"/>
        </w:rPr>
        <w:t>125</w:t>
      </w:r>
      <w:r w:rsidR="00445E7B" w:rsidRPr="006A2BF9">
        <w:rPr>
          <w:lang w:val="it-IT"/>
        </w:rPr>
        <w:t>I</w:t>
      </w:r>
      <w:r w:rsidRPr="006A2BF9">
        <w:rPr>
          <w:lang w:val="it-IT"/>
        </w:rPr>
        <w:noBreakHyphen/>
        <w:t>bevacizumab, è emerso un profilo metabolico simile a quello atteso per una molecola di IgG nativa, che non si lega al VEGF. Il metabolismo e l’eliminazione di bevacizumab è simile a quello delle IgG endogene, quindi primariamente attraverso il catabolismo proteolitico in ogni parte del corpo, incluse le cellule endoteliali e non si basa primariamente sull’eliminazione attraverso i reni e il fegato. Il legame delle IgG al recettore FcRn determina una protezione dal metabolismo cellulare e una lunga emivita terminale.</w:t>
      </w:r>
    </w:p>
    <w:p w14:paraId="6DAF0B0A" w14:textId="77777777" w:rsidR="009C0666" w:rsidRPr="006A2BF9" w:rsidRDefault="009C0666" w:rsidP="009C0666">
      <w:pPr>
        <w:rPr>
          <w:lang w:val="it-IT"/>
        </w:rPr>
      </w:pPr>
    </w:p>
    <w:p w14:paraId="6F477DB5" w14:textId="77777777" w:rsidR="009C0666" w:rsidRPr="006A2BF9" w:rsidRDefault="009C0666" w:rsidP="009C0666">
      <w:pPr>
        <w:outlineLvl w:val="0"/>
        <w:rPr>
          <w:iCs/>
          <w:u w:val="single"/>
          <w:lang w:val="it-IT"/>
        </w:rPr>
      </w:pPr>
      <w:r w:rsidRPr="006A2BF9">
        <w:rPr>
          <w:iCs/>
          <w:u w:val="single"/>
          <w:lang w:val="it-IT"/>
        </w:rPr>
        <w:t>Eliminazione</w:t>
      </w:r>
    </w:p>
    <w:p w14:paraId="24AE8B5B" w14:textId="77777777" w:rsidR="00DE54D6" w:rsidRPr="006A2BF9" w:rsidRDefault="00DE54D6" w:rsidP="00DE54D6">
      <w:pPr>
        <w:rPr>
          <w:lang w:val="it-IT"/>
        </w:rPr>
      </w:pPr>
      <w:r w:rsidRPr="006A2BF9">
        <w:rPr>
          <w:lang w:val="it-IT"/>
        </w:rPr>
        <w:t>Il valore della clearance è in media uguale a 0,188 e a 0,22</w:t>
      </w:r>
      <w:r w:rsidR="00340523" w:rsidRPr="006A2BF9">
        <w:rPr>
          <w:lang w:val="it-IT"/>
        </w:rPr>
        <w:t>0</w:t>
      </w:r>
      <w:r w:rsidR="00D76537" w:rsidRPr="006A2BF9">
        <w:rPr>
          <w:lang w:val="it-IT"/>
        </w:rPr>
        <w:t> L</w:t>
      </w:r>
      <w:r w:rsidRPr="006A2BF9">
        <w:rPr>
          <w:lang w:val="it-IT"/>
        </w:rPr>
        <w:t xml:space="preserve">/die </w:t>
      </w:r>
      <w:r w:rsidR="00187741" w:rsidRPr="006A2BF9">
        <w:rPr>
          <w:lang w:val="it-IT"/>
        </w:rPr>
        <w:t xml:space="preserve">rispettivamente </w:t>
      </w:r>
      <w:r w:rsidRPr="006A2BF9">
        <w:rPr>
          <w:lang w:val="it-IT"/>
        </w:rPr>
        <w:t>per i pazienti di sesso femminile e maschile. Dopo correzione per il peso corporeo, i pazienti di sesso masch</w:t>
      </w:r>
      <w:r w:rsidR="004C3C77" w:rsidRPr="006A2BF9">
        <w:rPr>
          <w:lang w:val="it-IT"/>
        </w:rPr>
        <w:t>ile avevano una clearance d</w:t>
      </w:r>
      <w:r w:rsidR="00187741" w:rsidRPr="006A2BF9">
        <w:rPr>
          <w:lang w:val="it-IT"/>
        </w:rPr>
        <w:t>i</w:t>
      </w:r>
      <w:r w:rsidR="004C3C77" w:rsidRPr="006A2BF9">
        <w:rPr>
          <w:lang w:val="it-IT"/>
        </w:rPr>
        <w:t xml:space="preserve"> be</w:t>
      </w:r>
      <w:r w:rsidRPr="006A2BF9">
        <w:rPr>
          <w:lang w:val="it-IT"/>
        </w:rPr>
        <w:t>vacizumab più alta (+</w:t>
      </w:r>
      <w:r w:rsidR="00D76537" w:rsidRPr="006A2BF9">
        <w:rPr>
          <w:lang w:val="it-IT"/>
        </w:rPr>
        <w:t> </w:t>
      </w:r>
      <w:r w:rsidRPr="006A2BF9">
        <w:rPr>
          <w:lang w:val="it-IT"/>
        </w:rPr>
        <w:t>17%) delle pazienti di sesso femminile. In relazione al modello bicompartimentale, l’emivita di eliminazione è di 18</w:t>
      </w:r>
      <w:r w:rsidR="00D76537" w:rsidRPr="006A2BF9">
        <w:rPr>
          <w:lang w:val="it-IT"/>
        </w:rPr>
        <w:t> </w:t>
      </w:r>
      <w:r w:rsidRPr="006A2BF9">
        <w:rPr>
          <w:lang w:val="it-IT"/>
        </w:rPr>
        <w:t>giorni per una tipica paziente di sesso femminile e 20</w:t>
      </w:r>
      <w:r w:rsidR="004E42B7" w:rsidRPr="006A2BF9">
        <w:rPr>
          <w:lang w:val="it-IT"/>
        </w:rPr>
        <w:t> </w:t>
      </w:r>
      <w:r w:rsidRPr="006A2BF9">
        <w:rPr>
          <w:lang w:val="it-IT"/>
        </w:rPr>
        <w:t>giorni per un tipico paziente di sesso maschile.</w:t>
      </w:r>
    </w:p>
    <w:p w14:paraId="5724EC9C" w14:textId="77777777" w:rsidR="00DE54D6" w:rsidRPr="006A2BF9" w:rsidRDefault="00DE54D6" w:rsidP="00DE54D6">
      <w:pPr>
        <w:rPr>
          <w:lang w:val="it-IT"/>
        </w:rPr>
      </w:pPr>
    </w:p>
    <w:p w14:paraId="3E96129C" w14:textId="77777777" w:rsidR="00DE54D6" w:rsidRPr="006A2BF9" w:rsidRDefault="00DE54D6" w:rsidP="00DE54D6">
      <w:pPr>
        <w:rPr>
          <w:lang w:val="it-IT"/>
        </w:rPr>
      </w:pPr>
      <w:r w:rsidRPr="006A2BF9">
        <w:rPr>
          <w:lang w:val="it-IT"/>
        </w:rPr>
        <w:t xml:space="preserve">Bassi valori di albumina e un grosso carico </w:t>
      </w:r>
      <w:r w:rsidR="00B17751" w:rsidRPr="006A2BF9">
        <w:rPr>
          <w:lang w:val="it-IT"/>
        </w:rPr>
        <w:t xml:space="preserve">(burden) tumorale </w:t>
      </w:r>
      <w:r w:rsidRPr="006A2BF9">
        <w:rPr>
          <w:lang w:val="it-IT"/>
        </w:rPr>
        <w:t xml:space="preserve">sono generalmente indicatori di </w:t>
      </w:r>
      <w:r w:rsidR="00DB7900" w:rsidRPr="006A2BF9">
        <w:rPr>
          <w:lang w:val="it-IT"/>
        </w:rPr>
        <w:t xml:space="preserve">severità </w:t>
      </w:r>
      <w:r w:rsidRPr="006A2BF9">
        <w:rPr>
          <w:lang w:val="it-IT"/>
        </w:rPr>
        <w:t>di malattia. La clearance d</w:t>
      </w:r>
      <w:r w:rsidR="000414A8" w:rsidRPr="006A2BF9">
        <w:rPr>
          <w:lang w:val="it-IT"/>
        </w:rPr>
        <w:t>i</w:t>
      </w:r>
      <w:r w:rsidR="004C3C77" w:rsidRPr="006A2BF9">
        <w:rPr>
          <w:lang w:val="it-IT"/>
        </w:rPr>
        <w:t xml:space="preserve"> </w:t>
      </w:r>
      <w:r w:rsidR="00CD78D8" w:rsidRPr="006A2BF9">
        <w:rPr>
          <w:lang w:val="it-IT"/>
        </w:rPr>
        <w:t>bevacizumab</w:t>
      </w:r>
      <w:r w:rsidRPr="006A2BF9">
        <w:rPr>
          <w:lang w:val="it-IT"/>
        </w:rPr>
        <w:t xml:space="preserve"> è stata approssimativamente il 30% più rapida nei pazienti con bassi livelli sierici di albumina ed il 7% più rapida in soggetti con grosso </w:t>
      </w:r>
      <w:r w:rsidR="00B17751" w:rsidRPr="006A2BF9">
        <w:rPr>
          <w:lang w:val="it-IT"/>
        </w:rPr>
        <w:t xml:space="preserve">burden tumorale </w:t>
      </w:r>
      <w:r w:rsidRPr="006A2BF9">
        <w:rPr>
          <w:lang w:val="it-IT"/>
        </w:rPr>
        <w:t xml:space="preserve">quando confrontati con un tipico paziente con valori di albumina e con un </w:t>
      </w:r>
      <w:r w:rsidR="00B17751" w:rsidRPr="006A2BF9">
        <w:rPr>
          <w:lang w:val="it-IT"/>
        </w:rPr>
        <w:t xml:space="preserve">burden tumorale </w:t>
      </w:r>
      <w:r w:rsidRPr="006A2BF9">
        <w:rPr>
          <w:lang w:val="it-IT"/>
        </w:rPr>
        <w:t>nella media.</w:t>
      </w:r>
    </w:p>
    <w:p w14:paraId="1E54C0C4" w14:textId="77777777" w:rsidR="00DE54D6" w:rsidRPr="006A2BF9" w:rsidRDefault="00DE54D6" w:rsidP="00DE54D6">
      <w:pPr>
        <w:rPr>
          <w:lang w:val="it-IT"/>
        </w:rPr>
      </w:pPr>
    </w:p>
    <w:p w14:paraId="3473EDBB" w14:textId="77777777" w:rsidR="009C0666" w:rsidRPr="006A2BF9" w:rsidRDefault="009C0666" w:rsidP="0011036F">
      <w:pPr>
        <w:outlineLvl w:val="0"/>
        <w:rPr>
          <w:bCs/>
          <w:iCs/>
          <w:u w:val="single"/>
          <w:lang w:val="it-IT"/>
        </w:rPr>
      </w:pPr>
      <w:r w:rsidRPr="006A2BF9">
        <w:rPr>
          <w:bCs/>
          <w:iCs/>
          <w:u w:val="single"/>
          <w:lang w:val="it-IT"/>
        </w:rPr>
        <w:t>Farmacocinetica in particolari popolazioni di pazienti</w:t>
      </w:r>
    </w:p>
    <w:p w14:paraId="5E73E032" w14:textId="77777777" w:rsidR="009C0666" w:rsidRPr="006A2BF9" w:rsidRDefault="009C0666" w:rsidP="0011036F">
      <w:pPr>
        <w:rPr>
          <w:lang w:val="it-IT"/>
        </w:rPr>
      </w:pPr>
      <w:r w:rsidRPr="006A2BF9">
        <w:rPr>
          <w:lang w:val="it-IT"/>
        </w:rPr>
        <w:t xml:space="preserve">La farmacocinetica di popolazione è stata analizzata </w:t>
      </w:r>
      <w:r w:rsidR="00FD2D60" w:rsidRPr="006A2BF9">
        <w:rPr>
          <w:lang w:val="it-IT"/>
        </w:rPr>
        <w:t xml:space="preserve">in pazienti adulti e pediatrici </w:t>
      </w:r>
      <w:r w:rsidRPr="006A2BF9">
        <w:rPr>
          <w:lang w:val="it-IT"/>
        </w:rPr>
        <w:t xml:space="preserve">per valutare gli effetti delle caratteristiche demografiche. Dai risultati di tale analisi </w:t>
      </w:r>
      <w:r w:rsidR="00AD1EC0" w:rsidRPr="006A2BF9">
        <w:rPr>
          <w:lang w:val="it-IT"/>
        </w:rPr>
        <w:t xml:space="preserve">sugli adulti </w:t>
      </w:r>
      <w:r w:rsidRPr="006A2BF9">
        <w:rPr>
          <w:lang w:val="it-IT"/>
        </w:rPr>
        <w:t>non è emersa una differenza significativa nella farmacocinetica d</w:t>
      </w:r>
      <w:r w:rsidR="000414A8" w:rsidRPr="006A2BF9">
        <w:rPr>
          <w:lang w:val="it-IT"/>
        </w:rPr>
        <w:t>i</w:t>
      </w:r>
      <w:r w:rsidRPr="006A2BF9">
        <w:rPr>
          <w:lang w:val="it-IT"/>
        </w:rPr>
        <w:t xml:space="preserve"> bevacizumab in base all’età.</w:t>
      </w:r>
    </w:p>
    <w:p w14:paraId="1E6CC006" w14:textId="77777777" w:rsidR="009C0666" w:rsidRPr="006A2BF9" w:rsidRDefault="009C0666" w:rsidP="0011036F">
      <w:pPr>
        <w:rPr>
          <w:i/>
          <w:iCs/>
          <w:lang w:val="it-IT"/>
        </w:rPr>
      </w:pPr>
    </w:p>
    <w:p w14:paraId="4D0F6232" w14:textId="77777777" w:rsidR="00661A78" w:rsidRPr="006A2BF9" w:rsidRDefault="00AC540E" w:rsidP="0011036F">
      <w:pPr>
        <w:rPr>
          <w:u w:val="single"/>
          <w:lang w:val="it-IT"/>
        </w:rPr>
      </w:pPr>
      <w:r w:rsidRPr="006A2BF9">
        <w:rPr>
          <w:i/>
          <w:iCs/>
          <w:u w:val="single"/>
          <w:lang w:val="it-IT"/>
        </w:rPr>
        <w:t xml:space="preserve">Compromissione </w:t>
      </w:r>
      <w:r w:rsidR="009C0666" w:rsidRPr="006A2BF9">
        <w:rPr>
          <w:i/>
          <w:iCs/>
          <w:u w:val="single"/>
          <w:lang w:val="it-IT"/>
        </w:rPr>
        <w:t>renale</w:t>
      </w:r>
      <w:r w:rsidR="009C0666" w:rsidRPr="006A2BF9">
        <w:rPr>
          <w:u w:val="single"/>
          <w:lang w:val="it-IT"/>
        </w:rPr>
        <w:t xml:space="preserve"> </w:t>
      </w:r>
    </w:p>
    <w:p w14:paraId="623704F5" w14:textId="77777777" w:rsidR="009C0666" w:rsidRPr="006A2BF9" w:rsidRDefault="00661A78" w:rsidP="0011036F">
      <w:pPr>
        <w:rPr>
          <w:lang w:val="it-IT"/>
        </w:rPr>
      </w:pPr>
      <w:r w:rsidRPr="006A2BF9">
        <w:rPr>
          <w:lang w:val="it-IT"/>
        </w:rPr>
        <w:t>N</w:t>
      </w:r>
      <w:r w:rsidR="009C0666" w:rsidRPr="006A2BF9">
        <w:rPr>
          <w:lang w:val="it-IT"/>
        </w:rPr>
        <w:t>on sono stati effettuati studi per analizzare la farmacocinetica d</w:t>
      </w:r>
      <w:r w:rsidR="000414A8" w:rsidRPr="006A2BF9">
        <w:rPr>
          <w:lang w:val="it-IT"/>
        </w:rPr>
        <w:t>i</w:t>
      </w:r>
      <w:r w:rsidR="009C0666" w:rsidRPr="006A2BF9">
        <w:rPr>
          <w:lang w:val="it-IT"/>
        </w:rPr>
        <w:t xml:space="preserve"> bevacizumab in pazienti con </w:t>
      </w:r>
      <w:r w:rsidR="00AC540E" w:rsidRPr="006A2BF9">
        <w:rPr>
          <w:lang w:val="it-IT"/>
        </w:rPr>
        <w:t xml:space="preserve">compromissione </w:t>
      </w:r>
      <w:r w:rsidR="009C0666" w:rsidRPr="006A2BF9">
        <w:rPr>
          <w:lang w:val="it-IT"/>
        </w:rPr>
        <w:t xml:space="preserve">renale dal momento che i reni non sono un organo fondamentale per il metabolismo o l’escrezione </w:t>
      </w:r>
      <w:r w:rsidR="00AC540E" w:rsidRPr="006A2BF9">
        <w:rPr>
          <w:lang w:val="it-IT"/>
        </w:rPr>
        <w:t xml:space="preserve">di </w:t>
      </w:r>
      <w:r w:rsidR="009C0666" w:rsidRPr="006A2BF9">
        <w:rPr>
          <w:lang w:val="it-IT"/>
        </w:rPr>
        <w:t>bevacizumab.</w:t>
      </w:r>
    </w:p>
    <w:p w14:paraId="73C62150" w14:textId="77777777" w:rsidR="009C0666" w:rsidRPr="006A2BF9" w:rsidRDefault="009C0666" w:rsidP="0011036F">
      <w:pPr>
        <w:rPr>
          <w:i/>
          <w:iCs/>
          <w:lang w:val="it-IT"/>
        </w:rPr>
      </w:pPr>
    </w:p>
    <w:p w14:paraId="12F8F300" w14:textId="77777777" w:rsidR="00661A78" w:rsidRPr="006A2BF9" w:rsidRDefault="00AC540E" w:rsidP="0011036F">
      <w:pPr>
        <w:rPr>
          <w:u w:val="single"/>
          <w:lang w:val="it-IT"/>
        </w:rPr>
      </w:pPr>
      <w:r w:rsidRPr="006A2BF9">
        <w:rPr>
          <w:i/>
          <w:iCs/>
          <w:u w:val="single"/>
          <w:lang w:val="it-IT"/>
        </w:rPr>
        <w:t xml:space="preserve">Compromissione </w:t>
      </w:r>
      <w:r w:rsidR="009C0666" w:rsidRPr="006A2BF9">
        <w:rPr>
          <w:i/>
          <w:iCs/>
          <w:u w:val="single"/>
          <w:lang w:val="it-IT"/>
        </w:rPr>
        <w:t>epatica</w:t>
      </w:r>
    </w:p>
    <w:p w14:paraId="738F0111" w14:textId="77777777" w:rsidR="00CB05AE" w:rsidRPr="006A2BF9" w:rsidRDefault="00661A78" w:rsidP="0011036F">
      <w:pPr>
        <w:rPr>
          <w:lang w:val="it-IT"/>
        </w:rPr>
      </w:pPr>
      <w:r w:rsidRPr="006A2BF9">
        <w:rPr>
          <w:lang w:val="it-IT"/>
        </w:rPr>
        <w:t>N</w:t>
      </w:r>
      <w:r w:rsidR="009C0666" w:rsidRPr="006A2BF9">
        <w:rPr>
          <w:lang w:val="it-IT"/>
        </w:rPr>
        <w:t>on sono stati effettuati studi per analizzare la farmacocinetica d</w:t>
      </w:r>
      <w:r w:rsidR="000414A8" w:rsidRPr="006A2BF9">
        <w:rPr>
          <w:lang w:val="it-IT"/>
        </w:rPr>
        <w:t>i</w:t>
      </w:r>
      <w:r w:rsidR="009C0666" w:rsidRPr="006A2BF9">
        <w:rPr>
          <w:lang w:val="it-IT"/>
        </w:rPr>
        <w:t xml:space="preserve"> bevacizumab in pazienti con </w:t>
      </w:r>
      <w:r w:rsidR="00AC540E" w:rsidRPr="006A2BF9">
        <w:rPr>
          <w:lang w:val="it-IT"/>
        </w:rPr>
        <w:t xml:space="preserve">compromissione </w:t>
      </w:r>
      <w:r w:rsidR="009C0666" w:rsidRPr="006A2BF9">
        <w:rPr>
          <w:lang w:val="it-IT"/>
        </w:rPr>
        <w:t xml:space="preserve">epatica dal momento che il fegato non è un organo fondamentale per il metabolismo o l’escrezione </w:t>
      </w:r>
      <w:r w:rsidR="00AC540E" w:rsidRPr="006A2BF9">
        <w:rPr>
          <w:lang w:val="it-IT"/>
        </w:rPr>
        <w:t xml:space="preserve">di </w:t>
      </w:r>
      <w:r w:rsidR="009C0666" w:rsidRPr="006A2BF9">
        <w:rPr>
          <w:lang w:val="it-IT"/>
        </w:rPr>
        <w:t>bevacizumab.</w:t>
      </w:r>
    </w:p>
    <w:p w14:paraId="5028E09C" w14:textId="77777777" w:rsidR="009C0666" w:rsidRPr="006A2BF9" w:rsidRDefault="009C0666" w:rsidP="0011036F">
      <w:pPr>
        <w:rPr>
          <w:lang w:val="it-IT"/>
        </w:rPr>
      </w:pPr>
    </w:p>
    <w:p w14:paraId="4B3DAF31" w14:textId="77777777" w:rsidR="001056EF" w:rsidRPr="006A2BF9" w:rsidRDefault="001056EF" w:rsidP="0011036F">
      <w:pPr>
        <w:rPr>
          <w:i/>
          <w:u w:val="single"/>
          <w:lang w:val="it-IT"/>
        </w:rPr>
      </w:pPr>
      <w:r w:rsidRPr="006A2BF9">
        <w:rPr>
          <w:i/>
          <w:u w:val="single"/>
          <w:lang w:val="it-IT"/>
        </w:rPr>
        <w:t>Popolazione pediatrica</w:t>
      </w:r>
    </w:p>
    <w:p w14:paraId="1876C192" w14:textId="77777777" w:rsidR="001056EF" w:rsidRPr="006A2BF9" w:rsidRDefault="001056EF" w:rsidP="0011036F">
      <w:pPr>
        <w:rPr>
          <w:lang w:val="it-IT"/>
        </w:rPr>
      </w:pPr>
      <w:r w:rsidRPr="006A2BF9">
        <w:rPr>
          <w:lang w:val="it-IT"/>
        </w:rPr>
        <w:t>La farmacocinetica d</w:t>
      </w:r>
      <w:r w:rsidR="000414A8" w:rsidRPr="006A2BF9">
        <w:rPr>
          <w:lang w:val="it-IT"/>
        </w:rPr>
        <w:t>i</w:t>
      </w:r>
      <w:r w:rsidRPr="006A2BF9">
        <w:rPr>
          <w:lang w:val="it-IT"/>
        </w:rPr>
        <w:t xml:space="preserve"> bevacizumab è stata </w:t>
      </w:r>
      <w:r w:rsidR="005D7DB3" w:rsidRPr="006A2BF9">
        <w:rPr>
          <w:lang w:val="it-IT"/>
        </w:rPr>
        <w:t>valutata mediante un modello farmacocinetico di popolazione in 152</w:t>
      </w:r>
      <w:r w:rsidR="00D76537" w:rsidRPr="006A2BF9">
        <w:rPr>
          <w:lang w:val="it-IT"/>
        </w:rPr>
        <w:t> </w:t>
      </w:r>
      <w:r w:rsidR="00AD1EC0" w:rsidRPr="006A2BF9">
        <w:rPr>
          <w:lang w:val="it-IT"/>
        </w:rPr>
        <w:t>bambini, adolescenti e giovani adulti</w:t>
      </w:r>
      <w:r w:rsidR="005D7DB3" w:rsidRPr="006A2BF9">
        <w:rPr>
          <w:lang w:val="it-IT"/>
        </w:rPr>
        <w:t xml:space="preserve"> (di età compresa tra 7</w:t>
      </w:r>
      <w:r w:rsidR="00D76537" w:rsidRPr="006A2BF9">
        <w:rPr>
          <w:lang w:val="it-IT"/>
        </w:rPr>
        <w:t> </w:t>
      </w:r>
      <w:r w:rsidR="005D7DB3" w:rsidRPr="006A2BF9">
        <w:rPr>
          <w:lang w:val="it-IT"/>
        </w:rPr>
        <w:t>mesi e 21</w:t>
      </w:r>
      <w:r w:rsidR="00D76537" w:rsidRPr="006A2BF9">
        <w:rPr>
          <w:lang w:val="it-IT"/>
        </w:rPr>
        <w:t> </w:t>
      </w:r>
      <w:r w:rsidR="005D7DB3" w:rsidRPr="006A2BF9">
        <w:rPr>
          <w:lang w:val="it-IT"/>
        </w:rPr>
        <w:t xml:space="preserve">anni e di peso corporeo </w:t>
      </w:r>
      <w:r w:rsidR="00EC46CA" w:rsidRPr="006A2BF9">
        <w:rPr>
          <w:lang w:val="it-IT"/>
        </w:rPr>
        <w:t xml:space="preserve">tra </w:t>
      </w:r>
      <w:r w:rsidR="005D7DB3" w:rsidRPr="006A2BF9">
        <w:rPr>
          <w:lang w:val="it-IT"/>
        </w:rPr>
        <w:t>5,9</w:t>
      </w:r>
      <w:r w:rsidR="00D76537" w:rsidRPr="006A2BF9">
        <w:rPr>
          <w:lang w:val="it-IT"/>
        </w:rPr>
        <w:noBreakHyphen/>
      </w:r>
      <w:r w:rsidR="005D7DB3" w:rsidRPr="006A2BF9">
        <w:rPr>
          <w:lang w:val="it-IT"/>
        </w:rPr>
        <w:t>125</w:t>
      </w:r>
      <w:r w:rsidR="00D76537" w:rsidRPr="006A2BF9">
        <w:rPr>
          <w:lang w:val="it-IT"/>
        </w:rPr>
        <w:t> </w:t>
      </w:r>
      <w:r w:rsidR="005D7DB3" w:rsidRPr="006A2BF9">
        <w:rPr>
          <w:lang w:val="it-IT"/>
        </w:rPr>
        <w:t>kg) afferenti a 4 studi clinici</w:t>
      </w:r>
      <w:r w:rsidRPr="006A2BF9">
        <w:rPr>
          <w:lang w:val="it-IT"/>
        </w:rPr>
        <w:t xml:space="preserve">. I </w:t>
      </w:r>
      <w:r w:rsidR="002A191B" w:rsidRPr="006A2BF9">
        <w:rPr>
          <w:lang w:val="it-IT"/>
        </w:rPr>
        <w:t xml:space="preserve">risultati </w:t>
      </w:r>
      <w:r w:rsidRPr="006A2BF9">
        <w:rPr>
          <w:lang w:val="it-IT"/>
        </w:rPr>
        <w:t xml:space="preserve">di farmacocinetica </w:t>
      </w:r>
      <w:r w:rsidR="001076D9" w:rsidRPr="006A2BF9">
        <w:rPr>
          <w:lang w:val="it-IT"/>
        </w:rPr>
        <w:t>di</w:t>
      </w:r>
      <w:r w:rsidR="002A191B" w:rsidRPr="006A2BF9">
        <w:rPr>
          <w:lang w:val="it-IT"/>
        </w:rPr>
        <w:t>mostrano</w:t>
      </w:r>
      <w:r w:rsidRPr="006A2BF9">
        <w:rPr>
          <w:lang w:val="it-IT"/>
        </w:rPr>
        <w:t xml:space="preserve"> che </w:t>
      </w:r>
      <w:r w:rsidR="002A191B" w:rsidRPr="006A2BF9">
        <w:rPr>
          <w:lang w:val="it-IT"/>
        </w:rPr>
        <w:t xml:space="preserve">la clearance e </w:t>
      </w:r>
      <w:r w:rsidRPr="006A2BF9">
        <w:rPr>
          <w:lang w:val="it-IT"/>
        </w:rPr>
        <w:t xml:space="preserve">il volume di distribuzione di bevacizumab </w:t>
      </w:r>
      <w:r w:rsidR="001A1652" w:rsidRPr="006A2BF9">
        <w:rPr>
          <w:lang w:val="it-IT"/>
        </w:rPr>
        <w:t xml:space="preserve">erano </w:t>
      </w:r>
      <w:r w:rsidRPr="006A2BF9">
        <w:rPr>
          <w:lang w:val="it-IT"/>
        </w:rPr>
        <w:t xml:space="preserve">comparabili </w:t>
      </w:r>
      <w:r w:rsidR="002A191B" w:rsidRPr="006A2BF9">
        <w:rPr>
          <w:lang w:val="it-IT"/>
        </w:rPr>
        <w:t>tra pazienti pediatrici</w:t>
      </w:r>
      <w:r w:rsidR="001A1652" w:rsidRPr="006A2BF9">
        <w:rPr>
          <w:lang w:val="it-IT"/>
        </w:rPr>
        <w:t xml:space="preserve"> e</w:t>
      </w:r>
      <w:r w:rsidR="002A191B" w:rsidRPr="006A2BF9">
        <w:rPr>
          <w:lang w:val="it-IT"/>
        </w:rPr>
        <w:t xml:space="preserve"> </w:t>
      </w:r>
      <w:r w:rsidR="001A1652" w:rsidRPr="006A2BF9">
        <w:rPr>
          <w:lang w:val="it-IT"/>
        </w:rPr>
        <w:t xml:space="preserve">giovani adulti </w:t>
      </w:r>
      <w:r w:rsidR="002A191B" w:rsidRPr="006A2BF9">
        <w:rPr>
          <w:lang w:val="it-IT"/>
        </w:rPr>
        <w:t>quando normalizzati in funzione del peso corporeo</w:t>
      </w:r>
      <w:r w:rsidR="00AD1EC0" w:rsidRPr="006A2BF9">
        <w:rPr>
          <w:lang w:val="it-IT"/>
        </w:rPr>
        <w:t xml:space="preserve">, </w:t>
      </w:r>
      <w:r w:rsidR="005D651F" w:rsidRPr="006A2BF9">
        <w:rPr>
          <w:lang w:val="it-IT"/>
        </w:rPr>
        <w:t>con un</w:t>
      </w:r>
      <w:r w:rsidR="006A57BE" w:rsidRPr="006A2BF9">
        <w:rPr>
          <w:lang w:val="it-IT"/>
        </w:rPr>
        <w:t>’esposizione caratterizzata dalla tendenza a diminuire</w:t>
      </w:r>
      <w:r w:rsidR="001A1652" w:rsidRPr="006A2BF9">
        <w:rPr>
          <w:lang w:val="it-IT"/>
        </w:rPr>
        <w:t xml:space="preserve"> </w:t>
      </w:r>
      <w:r w:rsidR="006A57BE" w:rsidRPr="006A2BF9">
        <w:rPr>
          <w:lang w:val="it-IT"/>
        </w:rPr>
        <w:t>alla</w:t>
      </w:r>
      <w:r w:rsidR="001A1652" w:rsidRPr="006A2BF9">
        <w:rPr>
          <w:lang w:val="it-IT"/>
        </w:rPr>
        <w:t xml:space="preserve"> </w:t>
      </w:r>
      <w:r w:rsidR="005D651F" w:rsidRPr="006A2BF9">
        <w:rPr>
          <w:lang w:val="it-IT"/>
        </w:rPr>
        <w:t>riduzione del peso corporeo</w:t>
      </w:r>
      <w:r w:rsidRPr="006A2BF9">
        <w:rPr>
          <w:lang w:val="it-IT"/>
        </w:rPr>
        <w:t>.</w:t>
      </w:r>
      <w:r w:rsidR="002A191B" w:rsidRPr="006A2BF9">
        <w:rPr>
          <w:lang w:val="it-IT"/>
        </w:rPr>
        <w:t xml:space="preserve"> </w:t>
      </w:r>
      <w:r w:rsidR="001076D9" w:rsidRPr="006A2BF9">
        <w:rPr>
          <w:lang w:val="it-IT"/>
        </w:rPr>
        <w:t>Quando è stato preso in considerazione il</w:t>
      </w:r>
      <w:r w:rsidR="002A191B" w:rsidRPr="006A2BF9">
        <w:rPr>
          <w:lang w:val="it-IT"/>
        </w:rPr>
        <w:t xml:space="preserve"> peso corporeo, l’età non </w:t>
      </w:r>
      <w:r w:rsidR="001A1652" w:rsidRPr="006A2BF9">
        <w:rPr>
          <w:lang w:val="it-IT"/>
        </w:rPr>
        <w:t>era</w:t>
      </w:r>
      <w:r w:rsidR="002A191B" w:rsidRPr="006A2BF9">
        <w:rPr>
          <w:lang w:val="it-IT"/>
        </w:rPr>
        <w:t xml:space="preserve"> associata alla farmacocinetica di bevacizumab.</w:t>
      </w:r>
    </w:p>
    <w:p w14:paraId="1EECBE8E" w14:textId="77777777" w:rsidR="002A191B" w:rsidRPr="006A2BF9" w:rsidRDefault="002A191B" w:rsidP="0011036F">
      <w:pPr>
        <w:rPr>
          <w:lang w:val="it-IT"/>
        </w:rPr>
      </w:pPr>
    </w:p>
    <w:p w14:paraId="7B57101E" w14:textId="77777777" w:rsidR="00323494" w:rsidRPr="006A2BF9" w:rsidRDefault="005D651F" w:rsidP="0011036F">
      <w:pPr>
        <w:rPr>
          <w:lang w:val="it-IT"/>
        </w:rPr>
      </w:pPr>
      <w:r w:rsidRPr="006A2BF9">
        <w:rPr>
          <w:lang w:val="it-IT"/>
        </w:rPr>
        <w:t>In 70</w:t>
      </w:r>
      <w:r w:rsidR="00D76537" w:rsidRPr="006A2BF9">
        <w:rPr>
          <w:lang w:val="it-IT"/>
        </w:rPr>
        <w:t> </w:t>
      </w:r>
      <w:r w:rsidRPr="006A2BF9">
        <w:rPr>
          <w:lang w:val="it-IT"/>
        </w:rPr>
        <w:t>pazienti dello studio BO20924 (1,4</w:t>
      </w:r>
      <w:r w:rsidR="00D76537" w:rsidRPr="006A2BF9">
        <w:rPr>
          <w:lang w:val="it-IT"/>
        </w:rPr>
        <w:noBreakHyphen/>
      </w:r>
      <w:r w:rsidRPr="006A2BF9">
        <w:rPr>
          <w:lang w:val="it-IT"/>
        </w:rPr>
        <w:t>17,6 anni; 11,6</w:t>
      </w:r>
      <w:r w:rsidR="00D76537" w:rsidRPr="006A2BF9">
        <w:rPr>
          <w:lang w:val="it-IT"/>
        </w:rPr>
        <w:noBreakHyphen/>
      </w:r>
      <w:r w:rsidRPr="006A2BF9">
        <w:rPr>
          <w:lang w:val="it-IT"/>
        </w:rPr>
        <w:t>77,5</w:t>
      </w:r>
      <w:r w:rsidR="00D76537" w:rsidRPr="006A2BF9">
        <w:rPr>
          <w:lang w:val="it-IT"/>
        </w:rPr>
        <w:t> </w:t>
      </w:r>
      <w:r w:rsidRPr="006A2BF9">
        <w:rPr>
          <w:lang w:val="it-IT"/>
        </w:rPr>
        <w:t>kg) e 59</w:t>
      </w:r>
      <w:r w:rsidR="00D76537" w:rsidRPr="006A2BF9">
        <w:rPr>
          <w:lang w:val="it-IT"/>
        </w:rPr>
        <w:t> </w:t>
      </w:r>
      <w:r w:rsidRPr="006A2BF9">
        <w:rPr>
          <w:lang w:val="it-IT"/>
        </w:rPr>
        <w:t>pazienti dello studio BO25041 (1</w:t>
      </w:r>
      <w:r w:rsidR="00D76537" w:rsidRPr="006A2BF9">
        <w:rPr>
          <w:lang w:val="it-IT"/>
        </w:rPr>
        <w:noBreakHyphen/>
      </w:r>
      <w:r w:rsidRPr="006A2BF9">
        <w:rPr>
          <w:lang w:val="it-IT"/>
        </w:rPr>
        <w:t>17 anni; 11,2</w:t>
      </w:r>
      <w:r w:rsidR="00D76537" w:rsidRPr="006A2BF9">
        <w:rPr>
          <w:lang w:val="it-IT"/>
        </w:rPr>
        <w:noBreakHyphen/>
      </w:r>
      <w:r w:rsidRPr="006A2BF9">
        <w:rPr>
          <w:lang w:val="it-IT"/>
        </w:rPr>
        <w:t>82,3</w:t>
      </w:r>
      <w:r w:rsidR="00D76537" w:rsidRPr="006A2BF9">
        <w:rPr>
          <w:lang w:val="it-IT"/>
        </w:rPr>
        <w:t> </w:t>
      </w:r>
      <w:r w:rsidRPr="006A2BF9">
        <w:rPr>
          <w:lang w:val="it-IT"/>
        </w:rPr>
        <w:t xml:space="preserve">kg), la farmacocinetica di bevacizumab è stata ben caratterizzata mediante il modello farmacocinetico di popolazione pediatrica. Nello studio </w:t>
      </w:r>
      <w:r w:rsidRPr="006A2BF9">
        <w:rPr>
          <w:szCs w:val="22"/>
          <w:lang w:val="it-IT"/>
        </w:rPr>
        <w:t xml:space="preserve">BO20924, </w:t>
      </w:r>
      <w:r w:rsidRPr="006A2BF9">
        <w:rPr>
          <w:lang w:val="it-IT"/>
        </w:rPr>
        <w:t xml:space="preserve">l’esposizione a bevacizumab è risultata generalmente inferiore a quella osservata in un tipico paziente adulto trattato alla medesima dose, mentre nello studio BO25041 </w:t>
      </w:r>
      <w:r w:rsidR="001A1652" w:rsidRPr="006A2BF9">
        <w:rPr>
          <w:lang w:val="it-IT"/>
        </w:rPr>
        <w:t xml:space="preserve">l’esposizione a bevacizumab </w:t>
      </w:r>
      <w:r w:rsidRPr="006A2BF9">
        <w:rPr>
          <w:lang w:val="it-IT"/>
        </w:rPr>
        <w:t xml:space="preserve">si è rivelata simile a quella riscontrata in un tipico adulto trattato alla stessa dose. In entrambi gli studi, l’esposizione a bevacizumab ha registrato una tendenza </w:t>
      </w:r>
      <w:r w:rsidR="001A1652" w:rsidRPr="006A2BF9">
        <w:rPr>
          <w:lang w:val="it-IT"/>
        </w:rPr>
        <w:t xml:space="preserve">alla diminuzione </w:t>
      </w:r>
      <w:r w:rsidRPr="006A2BF9">
        <w:rPr>
          <w:lang w:val="it-IT"/>
        </w:rPr>
        <w:t>alla riduzione del peso corporeo.</w:t>
      </w:r>
    </w:p>
    <w:p w14:paraId="56125A7D" w14:textId="77777777" w:rsidR="001056EF" w:rsidRPr="006A2BF9" w:rsidRDefault="001056EF" w:rsidP="0011036F">
      <w:pPr>
        <w:rPr>
          <w:lang w:val="it-IT"/>
        </w:rPr>
      </w:pPr>
    </w:p>
    <w:p w14:paraId="1926568A" w14:textId="77777777" w:rsidR="009C0666" w:rsidRPr="006A2BF9" w:rsidRDefault="009C0666" w:rsidP="00D9162B">
      <w:pPr>
        <w:keepNext/>
        <w:ind w:left="570" w:hanging="570"/>
        <w:outlineLvl w:val="0"/>
        <w:rPr>
          <w:b/>
          <w:bCs/>
          <w:lang w:val="it-IT"/>
        </w:rPr>
      </w:pPr>
      <w:r w:rsidRPr="006A2BF9">
        <w:rPr>
          <w:b/>
          <w:bCs/>
          <w:lang w:val="it-IT"/>
        </w:rPr>
        <w:lastRenderedPageBreak/>
        <w:t>5.3</w:t>
      </w:r>
      <w:r w:rsidRPr="006A2BF9">
        <w:rPr>
          <w:b/>
          <w:bCs/>
          <w:lang w:val="it-IT"/>
        </w:rPr>
        <w:tab/>
        <w:t>Dati preclinici di sicurezza</w:t>
      </w:r>
    </w:p>
    <w:p w14:paraId="6ED29989" w14:textId="77777777" w:rsidR="009C0666" w:rsidRPr="006A2BF9" w:rsidRDefault="009C0666" w:rsidP="00B26F69">
      <w:pPr>
        <w:keepNext/>
        <w:rPr>
          <w:lang w:val="it-IT"/>
        </w:rPr>
      </w:pPr>
    </w:p>
    <w:p w14:paraId="20591FD2" w14:textId="77777777" w:rsidR="009C0666" w:rsidRPr="006A2BF9" w:rsidRDefault="009C0666" w:rsidP="00261D4A">
      <w:pPr>
        <w:rPr>
          <w:lang w:val="it-IT"/>
        </w:rPr>
      </w:pPr>
      <w:r w:rsidRPr="006A2BF9">
        <w:rPr>
          <w:lang w:val="it-IT"/>
        </w:rPr>
        <w:t>In studi della durata massima di 26</w:t>
      </w:r>
      <w:r w:rsidR="004B7FB0" w:rsidRPr="006A2BF9">
        <w:rPr>
          <w:lang w:val="it-IT"/>
        </w:rPr>
        <w:t> </w:t>
      </w:r>
      <w:r w:rsidRPr="006A2BF9">
        <w:rPr>
          <w:lang w:val="it-IT"/>
        </w:rPr>
        <w:t>settimane effettuati su scimmie cynomolgus, è stata osservata una displasia epifisaria in animali giovani con cartilagini di accrescimento aperte, a concentrazioni sieriche medie di bevacizumab inferiori alle concentrazioni terapeutiche sieriche medie attese nell’uomo. Nel coniglio, bevacizumab ha inibito il processo di cicatrizzazione di ferite a dosi inferiori alla dose clinica proposta. Gli effetti sul processo di cicatrizzazione di ferite sono risultati però del tutto reversibili.</w:t>
      </w:r>
    </w:p>
    <w:p w14:paraId="1626894B" w14:textId="77777777" w:rsidR="009C0666" w:rsidRPr="006A2BF9" w:rsidRDefault="009C0666" w:rsidP="00261D4A">
      <w:pPr>
        <w:rPr>
          <w:lang w:val="it-IT"/>
        </w:rPr>
      </w:pPr>
    </w:p>
    <w:p w14:paraId="5F6DB918" w14:textId="77777777" w:rsidR="009C0666" w:rsidRPr="006A2BF9" w:rsidRDefault="009C0666" w:rsidP="00261D4A">
      <w:pPr>
        <w:rPr>
          <w:lang w:val="it-IT"/>
        </w:rPr>
      </w:pPr>
      <w:r w:rsidRPr="006A2BF9">
        <w:rPr>
          <w:lang w:val="it-IT"/>
        </w:rPr>
        <w:t>Non sono stati effettuati studi per valutare il potenziale mutagenico e carcinogenico di bevacizumab.</w:t>
      </w:r>
    </w:p>
    <w:p w14:paraId="0F62A610" w14:textId="77777777" w:rsidR="009C0666" w:rsidRPr="006A2BF9" w:rsidRDefault="009C0666" w:rsidP="00261D4A">
      <w:pPr>
        <w:rPr>
          <w:lang w:val="it-IT"/>
        </w:rPr>
      </w:pPr>
    </w:p>
    <w:p w14:paraId="56896D35" w14:textId="77777777" w:rsidR="009C0666" w:rsidRPr="006A2BF9" w:rsidRDefault="009C0666" w:rsidP="00261D4A">
      <w:pPr>
        <w:rPr>
          <w:lang w:val="it-IT"/>
        </w:rPr>
      </w:pPr>
      <w:r w:rsidRPr="006A2BF9">
        <w:rPr>
          <w:lang w:val="it-IT"/>
        </w:rPr>
        <w:t xml:space="preserve">Non sono stati effettuati studi specifici sull’animale per valutare l’effetto sulla fertilità. È comunque lecito attendersi un effetto avverso sulla fertilità della donna, in quanto gli studi effettuati sull’animale circa la tossicità legata alla somministrazione di dosi multiple hanno fatto rilevare un’inibizione della maturazione dei follicoli ovarici e una riduzione/assenza di corpi lutei, con la conseguente riduzione del peso di ovaie e utero, nonché del numero di cicli mestruali. </w:t>
      </w:r>
    </w:p>
    <w:p w14:paraId="712F6956" w14:textId="77777777" w:rsidR="009C0666" w:rsidRPr="006A2BF9" w:rsidRDefault="009C0666" w:rsidP="00261D4A">
      <w:pPr>
        <w:rPr>
          <w:lang w:val="it-IT"/>
        </w:rPr>
      </w:pPr>
    </w:p>
    <w:p w14:paraId="42E8F557" w14:textId="77777777" w:rsidR="00547A6F" w:rsidRPr="006A2BF9" w:rsidRDefault="000414A8" w:rsidP="00261D4A">
      <w:pPr>
        <w:rPr>
          <w:lang w:val="it-IT"/>
        </w:rPr>
      </w:pPr>
      <w:r w:rsidRPr="006A2BF9">
        <w:rPr>
          <w:lang w:val="it-IT"/>
        </w:rPr>
        <w:t>B</w:t>
      </w:r>
      <w:r w:rsidR="009C0666" w:rsidRPr="006A2BF9">
        <w:rPr>
          <w:lang w:val="it-IT"/>
        </w:rPr>
        <w:t xml:space="preserve">evacizumab è risultato embriotossico e teratogeno nel coniglio. Gli effetti osservati hanno incluso riduzione del peso materno e fetale, aumento del numero di riassorbimenti fetali e maggior incidenza di specifiche malformazioni gravi e di malformazioni dello scheletro fetale. Esiti fatali a carico del feto sono stati osservati a tutti i dosaggi </w:t>
      </w:r>
      <w:r w:rsidR="00547A6F" w:rsidRPr="006A2BF9">
        <w:rPr>
          <w:lang w:val="it-IT"/>
        </w:rPr>
        <w:t>testati</w:t>
      </w:r>
      <w:r w:rsidR="009C0666" w:rsidRPr="006A2BF9">
        <w:rPr>
          <w:lang w:val="it-IT"/>
        </w:rPr>
        <w:t>; la dose più bassa somministrata ha determinato concentrazioni sieriche medie di circa 3</w:t>
      </w:r>
      <w:r w:rsidR="00695E2B" w:rsidRPr="006A2BF9">
        <w:rPr>
          <w:lang w:val="it-IT"/>
        </w:rPr>
        <w:t> </w:t>
      </w:r>
      <w:r w:rsidR="009C0666" w:rsidRPr="006A2BF9">
        <w:rPr>
          <w:lang w:val="it-IT"/>
        </w:rPr>
        <w:t>volte maggiori rispetto a quelle rilevabili nell’uomo in seguito alla somministrazione di 5 mg/kg ogni 2</w:t>
      </w:r>
      <w:r w:rsidR="00695E2B" w:rsidRPr="006A2BF9">
        <w:rPr>
          <w:lang w:val="it-IT"/>
        </w:rPr>
        <w:t> </w:t>
      </w:r>
      <w:r w:rsidR="009C0666" w:rsidRPr="006A2BF9">
        <w:rPr>
          <w:lang w:val="it-IT"/>
        </w:rPr>
        <w:t xml:space="preserve">settimane. </w:t>
      </w:r>
      <w:r w:rsidR="00547A6F" w:rsidRPr="006A2BF9">
        <w:rPr>
          <w:lang w:val="it-IT"/>
        </w:rPr>
        <w:t>Informazioni relative a malformazioni fetali osservate dopo la commercializzazione sono fornit</w:t>
      </w:r>
      <w:r w:rsidR="00AC50B0" w:rsidRPr="006A2BF9">
        <w:rPr>
          <w:lang w:val="it-IT"/>
        </w:rPr>
        <w:t>e</w:t>
      </w:r>
      <w:r w:rsidR="00547A6F" w:rsidRPr="006A2BF9">
        <w:rPr>
          <w:lang w:val="it-IT"/>
        </w:rPr>
        <w:t xml:space="preserve"> nel paragrafo</w:t>
      </w:r>
      <w:r w:rsidR="00695E2B" w:rsidRPr="006A2BF9">
        <w:rPr>
          <w:lang w:val="it-IT"/>
        </w:rPr>
        <w:t> </w:t>
      </w:r>
      <w:r w:rsidR="00547A6F" w:rsidRPr="006A2BF9">
        <w:rPr>
          <w:lang w:val="it-IT"/>
        </w:rPr>
        <w:t>4.6 Fertilità, gravidanza e allattamento e</w:t>
      </w:r>
      <w:r w:rsidR="00695E2B" w:rsidRPr="006A2BF9">
        <w:rPr>
          <w:lang w:val="it-IT"/>
        </w:rPr>
        <w:t> </w:t>
      </w:r>
      <w:r w:rsidR="00547A6F" w:rsidRPr="006A2BF9">
        <w:rPr>
          <w:lang w:val="it-IT"/>
        </w:rPr>
        <w:t>4.8 Effetti indesiderati.</w:t>
      </w:r>
    </w:p>
    <w:p w14:paraId="7E18D00F" w14:textId="77777777" w:rsidR="009C0666" w:rsidRPr="006A2BF9" w:rsidRDefault="009C0666" w:rsidP="008B3BC8">
      <w:pPr>
        <w:keepNext/>
        <w:keepLines/>
        <w:rPr>
          <w:lang w:val="it-IT"/>
        </w:rPr>
      </w:pPr>
    </w:p>
    <w:p w14:paraId="18F2DE44" w14:textId="77777777" w:rsidR="009C0666" w:rsidRPr="006A2BF9" w:rsidRDefault="009C0666" w:rsidP="008B3BC8">
      <w:pPr>
        <w:keepNext/>
        <w:keepLines/>
        <w:rPr>
          <w:lang w:val="it-IT"/>
        </w:rPr>
      </w:pPr>
    </w:p>
    <w:p w14:paraId="38459246" w14:textId="77777777" w:rsidR="009C0666" w:rsidRPr="006A2BF9" w:rsidRDefault="009C0666" w:rsidP="00AB2E71">
      <w:pPr>
        <w:keepNext/>
        <w:keepLines/>
        <w:ind w:left="567" w:hanging="567"/>
        <w:rPr>
          <w:b/>
          <w:bCs/>
          <w:lang w:val="it-IT"/>
        </w:rPr>
      </w:pPr>
      <w:r w:rsidRPr="006A2BF9">
        <w:rPr>
          <w:b/>
          <w:bCs/>
          <w:lang w:val="it-IT"/>
        </w:rPr>
        <w:t>6.</w:t>
      </w:r>
      <w:r w:rsidRPr="006A2BF9">
        <w:rPr>
          <w:lang w:val="it-IT"/>
        </w:rPr>
        <w:tab/>
      </w:r>
      <w:r w:rsidRPr="006A2BF9">
        <w:rPr>
          <w:b/>
          <w:bCs/>
          <w:lang w:val="it-IT"/>
        </w:rPr>
        <w:t>INFORMAZIONI FARMACEUTICHE</w:t>
      </w:r>
    </w:p>
    <w:p w14:paraId="60094A6A" w14:textId="77777777" w:rsidR="009C0666" w:rsidRPr="006A2BF9" w:rsidRDefault="009C0666" w:rsidP="00AB2E71">
      <w:pPr>
        <w:keepNext/>
        <w:keepLines/>
        <w:rPr>
          <w:lang w:val="it-IT"/>
        </w:rPr>
      </w:pPr>
    </w:p>
    <w:p w14:paraId="5F78AD2E" w14:textId="77777777" w:rsidR="009C0666" w:rsidRPr="006A2BF9" w:rsidRDefault="009C0666" w:rsidP="00AB2E71">
      <w:pPr>
        <w:keepNext/>
        <w:keepLines/>
        <w:ind w:left="567" w:hanging="567"/>
        <w:outlineLvl w:val="0"/>
        <w:rPr>
          <w:b/>
          <w:bCs/>
          <w:lang w:val="it-IT"/>
        </w:rPr>
      </w:pPr>
      <w:r w:rsidRPr="006A2BF9">
        <w:rPr>
          <w:b/>
          <w:bCs/>
          <w:lang w:val="it-IT"/>
        </w:rPr>
        <w:t>6.1</w:t>
      </w:r>
      <w:r w:rsidRPr="006A2BF9">
        <w:rPr>
          <w:b/>
          <w:bCs/>
          <w:lang w:val="it-IT"/>
        </w:rPr>
        <w:tab/>
        <w:t>Elenco degli eccipienti</w:t>
      </w:r>
    </w:p>
    <w:p w14:paraId="3398B466" w14:textId="77777777" w:rsidR="009C0666" w:rsidRPr="006A2BF9" w:rsidRDefault="009C0666" w:rsidP="00AB2E71">
      <w:pPr>
        <w:keepNext/>
        <w:keepLines/>
        <w:rPr>
          <w:lang w:val="it-IT"/>
        </w:rPr>
      </w:pPr>
    </w:p>
    <w:p w14:paraId="044D7C1C" w14:textId="77777777" w:rsidR="009C0666" w:rsidRPr="006A2BF9" w:rsidRDefault="009C0666" w:rsidP="00197876">
      <w:pPr>
        <w:keepNext/>
        <w:keepLines/>
        <w:outlineLvl w:val="0"/>
        <w:rPr>
          <w:lang w:val="it-IT"/>
        </w:rPr>
      </w:pPr>
      <w:r w:rsidRPr="006A2BF9">
        <w:rPr>
          <w:lang w:val="it-IT"/>
        </w:rPr>
        <w:t>Trealosio diidrato</w:t>
      </w:r>
    </w:p>
    <w:p w14:paraId="2B9EE37D" w14:textId="77777777" w:rsidR="009C0666" w:rsidRPr="006A2BF9" w:rsidRDefault="009C0666" w:rsidP="00197876">
      <w:pPr>
        <w:keepNext/>
        <w:keepLines/>
        <w:rPr>
          <w:lang w:val="it-IT"/>
        </w:rPr>
      </w:pPr>
      <w:r w:rsidRPr="006A2BF9">
        <w:rPr>
          <w:lang w:val="it-IT"/>
        </w:rPr>
        <w:t xml:space="preserve">Sodio </w:t>
      </w:r>
      <w:r w:rsidR="001A78BF" w:rsidRPr="006A2BF9">
        <w:rPr>
          <w:lang w:val="it-IT"/>
        </w:rPr>
        <w:t>acetato triidrato</w:t>
      </w:r>
    </w:p>
    <w:p w14:paraId="0989F76C" w14:textId="77777777" w:rsidR="001A78BF" w:rsidRPr="006A2BF9" w:rsidRDefault="001A78BF" w:rsidP="00197876">
      <w:pPr>
        <w:keepNext/>
        <w:keepLines/>
        <w:rPr>
          <w:lang w:val="it-IT"/>
        </w:rPr>
      </w:pPr>
      <w:r w:rsidRPr="006A2BF9">
        <w:rPr>
          <w:lang w:val="it-IT"/>
        </w:rPr>
        <w:t>Acido acetico</w:t>
      </w:r>
    </w:p>
    <w:p w14:paraId="0CE5A8E1" w14:textId="01BA603E" w:rsidR="009C0666" w:rsidRPr="006A2BF9" w:rsidRDefault="009C0666" w:rsidP="00197876">
      <w:pPr>
        <w:keepNext/>
        <w:keepLines/>
        <w:rPr>
          <w:lang w:val="it-IT"/>
        </w:rPr>
      </w:pPr>
      <w:r w:rsidRPr="006A2BF9">
        <w:rPr>
          <w:lang w:val="it-IT"/>
        </w:rPr>
        <w:t>Polisorbato</w:t>
      </w:r>
      <w:r w:rsidR="00695E2B" w:rsidRPr="006A2BF9">
        <w:rPr>
          <w:lang w:val="it-IT"/>
        </w:rPr>
        <w:t> </w:t>
      </w:r>
      <w:r w:rsidRPr="006A2BF9">
        <w:rPr>
          <w:lang w:val="it-IT"/>
        </w:rPr>
        <w:t>20</w:t>
      </w:r>
      <w:r w:rsidR="00AC2E82">
        <w:t xml:space="preserve"> (E 432)</w:t>
      </w:r>
    </w:p>
    <w:p w14:paraId="618C6D85" w14:textId="77777777" w:rsidR="009C0666" w:rsidRPr="006A2BF9" w:rsidRDefault="009C0666" w:rsidP="00197876">
      <w:pPr>
        <w:keepNext/>
        <w:keepLines/>
        <w:rPr>
          <w:lang w:val="it-IT"/>
        </w:rPr>
      </w:pPr>
      <w:r w:rsidRPr="006A2BF9">
        <w:rPr>
          <w:lang w:val="it-IT"/>
        </w:rPr>
        <w:t>Acqua per preparazioni iniettabili</w:t>
      </w:r>
    </w:p>
    <w:p w14:paraId="6352607B" w14:textId="77777777" w:rsidR="009C0666" w:rsidRPr="006A2BF9" w:rsidRDefault="009C0666" w:rsidP="006F2C5D">
      <w:pPr>
        <w:rPr>
          <w:lang w:val="it-IT"/>
        </w:rPr>
      </w:pPr>
    </w:p>
    <w:p w14:paraId="6A4C2E5D" w14:textId="77777777" w:rsidR="009C0666" w:rsidRPr="006A2BF9" w:rsidRDefault="009C0666" w:rsidP="00CF0780">
      <w:pPr>
        <w:keepNext/>
        <w:keepLines/>
        <w:ind w:left="567" w:hanging="567"/>
        <w:outlineLvl w:val="0"/>
        <w:rPr>
          <w:b/>
          <w:bCs/>
          <w:lang w:val="it-IT"/>
        </w:rPr>
      </w:pPr>
      <w:r w:rsidRPr="006A2BF9">
        <w:rPr>
          <w:b/>
          <w:bCs/>
          <w:lang w:val="it-IT"/>
        </w:rPr>
        <w:t>6.2</w:t>
      </w:r>
      <w:r w:rsidRPr="006A2BF9">
        <w:rPr>
          <w:b/>
          <w:bCs/>
          <w:lang w:val="it-IT"/>
        </w:rPr>
        <w:tab/>
        <w:t>Incompatibilità</w:t>
      </w:r>
    </w:p>
    <w:p w14:paraId="079BA445" w14:textId="77777777" w:rsidR="009C0666" w:rsidRPr="006A2BF9" w:rsidRDefault="009C0666" w:rsidP="00CF0780">
      <w:pPr>
        <w:keepNext/>
        <w:keepLines/>
        <w:rPr>
          <w:lang w:val="it-IT"/>
        </w:rPr>
      </w:pPr>
    </w:p>
    <w:p w14:paraId="78F98F8E" w14:textId="77777777" w:rsidR="00205188" w:rsidRPr="006A2BF9" w:rsidRDefault="00205188" w:rsidP="00CF0780">
      <w:pPr>
        <w:keepNext/>
        <w:keepLines/>
        <w:rPr>
          <w:lang w:val="it-IT"/>
        </w:rPr>
      </w:pPr>
      <w:r w:rsidRPr="006A2BF9">
        <w:rPr>
          <w:lang w:val="it-IT"/>
        </w:rPr>
        <w:t xml:space="preserve">Questo medicinale non deve essere miscelato con altri </w:t>
      </w:r>
      <w:r w:rsidR="009F75C5" w:rsidRPr="006A2BF9">
        <w:rPr>
          <w:lang w:val="it-IT"/>
        </w:rPr>
        <w:t xml:space="preserve">medicinali </w:t>
      </w:r>
      <w:r w:rsidRPr="006A2BF9">
        <w:rPr>
          <w:lang w:val="it-IT"/>
        </w:rPr>
        <w:t>ad eccezione di quelli menzionati nel paragrafo</w:t>
      </w:r>
      <w:r w:rsidR="007927FA" w:rsidRPr="006A2BF9">
        <w:rPr>
          <w:lang w:val="it-IT"/>
        </w:rPr>
        <w:t> </w:t>
      </w:r>
      <w:r w:rsidRPr="006A2BF9">
        <w:rPr>
          <w:lang w:val="it-IT"/>
        </w:rPr>
        <w:t>6.6.</w:t>
      </w:r>
    </w:p>
    <w:p w14:paraId="19052609" w14:textId="77777777" w:rsidR="00205188" w:rsidRPr="006A2BF9" w:rsidRDefault="00205188" w:rsidP="006F2C5D">
      <w:pPr>
        <w:rPr>
          <w:lang w:val="it-IT"/>
        </w:rPr>
      </w:pPr>
    </w:p>
    <w:p w14:paraId="7590ED06" w14:textId="77777777" w:rsidR="009C0666" w:rsidRPr="006A2BF9" w:rsidRDefault="009C0666" w:rsidP="006F2C5D">
      <w:pPr>
        <w:rPr>
          <w:lang w:val="it-IT"/>
        </w:rPr>
      </w:pPr>
      <w:r w:rsidRPr="006A2BF9">
        <w:rPr>
          <w:lang w:val="it-IT"/>
        </w:rPr>
        <w:t>Quando bevacizumab viene diluito con soluzioni di glucosio (5%), si osserva un profilo di degradazione dipendente dalla concentrazione.</w:t>
      </w:r>
    </w:p>
    <w:p w14:paraId="53E20381" w14:textId="77777777" w:rsidR="009C0666" w:rsidRPr="006A2BF9" w:rsidRDefault="009C0666" w:rsidP="009C0666">
      <w:pPr>
        <w:rPr>
          <w:lang w:val="it-IT"/>
        </w:rPr>
      </w:pPr>
    </w:p>
    <w:p w14:paraId="20AD3D50" w14:textId="77777777" w:rsidR="009C0666" w:rsidRPr="006A2BF9" w:rsidRDefault="009C0666" w:rsidP="00F15447">
      <w:pPr>
        <w:ind w:left="567" w:hanging="567"/>
        <w:outlineLvl w:val="0"/>
        <w:rPr>
          <w:b/>
          <w:bCs/>
          <w:lang w:val="it-IT"/>
        </w:rPr>
      </w:pPr>
      <w:r w:rsidRPr="006A2BF9">
        <w:rPr>
          <w:b/>
          <w:bCs/>
          <w:lang w:val="it-IT"/>
        </w:rPr>
        <w:t>6.3</w:t>
      </w:r>
      <w:r w:rsidRPr="006A2BF9">
        <w:rPr>
          <w:b/>
          <w:bCs/>
          <w:lang w:val="it-IT"/>
        </w:rPr>
        <w:tab/>
        <w:t>Periodo di validità</w:t>
      </w:r>
    </w:p>
    <w:p w14:paraId="3115EA8C" w14:textId="77777777" w:rsidR="009C0666" w:rsidRPr="006A2BF9" w:rsidRDefault="009C0666" w:rsidP="00F15447">
      <w:pPr>
        <w:rPr>
          <w:lang w:val="it-IT"/>
        </w:rPr>
      </w:pPr>
    </w:p>
    <w:p w14:paraId="30D3D773" w14:textId="77777777" w:rsidR="003E4D1B" w:rsidRPr="006A2BF9" w:rsidRDefault="003E4D1B" w:rsidP="00F15447">
      <w:pPr>
        <w:rPr>
          <w:u w:val="single"/>
          <w:lang w:val="it-IT"/>
        </w:rPr>
      </w:pPr>
      <w:r w:rsidRPr="006A2BF9">
        <w:rPr>
          <w:u w:val="single"/>
          <w:lang w:val="it-IT"/>
        </w:rPr>
        <w:t>Flaconcino chiuso</w:t>
      </w:r>
    </w:p>
    <w:p w14:paraId="49FD2168" w14:textId="77777777" w:rsidR="003E4D1B" w:rsidRPr="006A2BF9" w:rsidRDefault="003E4D1B" w:rsidP="00F15447">
      <w:pPr>
        <w:rPr>
          <w:lang w:val="it-IT"/>
        </w:rPr>
      </w:pPr>
    </w:p>
    <w:p w14:paraId="0EF76954" w14:textId="04C520EE" w:rsidR="009C0666" w:rsidRPr="006A2BF9" w:rsidRDefault="001A78BF" w:rsidP="00F15447">
      <w:pPr>
        <w:rPr>
          <w:lang w:val="it-IT"/>
        </w:rPr>
      </w:pPr>
      <w:del w:id="7" w:author="Author">
        <w:r w:rsidRPr="006A2BF9" w:rsidDel="001A04C2">
          <w:rPr>
            <w:lang w:val="it-IT"/>
          </w:rPr>
          <w:delText>3</w:delText>
        </w:r>
      </w:del>
      <w:ins w:id="8" w:author="Author">
        <w:r w:rsidR="001A04C2">
          <w:rPr>
            <w:lang w:val="it-IT"/>
          </w:rPr>
          <w:t>4</w:t>
        </w:r>
      </w:ins>
      <w:bookmarkStart w:id="9" w:name="_GoBack"/>
      <w:bookmarkEnd w:id="9"/>
      <w:r w:rsidRPr="006A2BF9">
        <w:rPr>
          <w:lang w:val="it-IT"/>
        </w:rPr>
        <w:t> </w:t>
      </w:r>
      <w:r w:rsidR="009C0666" w:rsidRPr="006A2BF9">
        <w:rPr>
          <w:lang w:val="it-IT"/>
        </w:rPr>
        <w:t>anni</w:t>
      </w:r>
      <w:r w:rsidR="00194F5C">
        <w:rPr>
          <w:lang w:val="it-IT"/>
        </w:rPr>
        <w:t>.</w:t>
      </w:r>
    </w:p>
    <w:p w14:paraId="44906720" w14:textId="77777777" w:rsidR="009C0666" w:rsidRDefault="009C0666" w:rsidP="009C0666">
      <w:pPr>
        <w:rPr>
          <w:lang w:val="it-IT"/>
        </w:rPr>
      </w:pPr>
    </w:p>
    <w:p w14:paraId="72D10586" w14:textId="77777777" w:rsidR="00177EED" w:rsidRDefault="00177EED" w:rsidP="009C0666">
      <w:pPr>
        <w:rPr>
          <w:lang w:val="it-IT"/>
        </w:rPr>
      </w:pPr>
      <w:r w:rsidRPr="00177EED">
        <w:rPr>
          <w:lang w:val="it-IT"/>
        </w:rPr>
        <w:t>Il flaconcino chiuso può essere conservato a temperature non superiori a 30</w:t>
      </w:r>
      <w:r w:rsidR="00365467">
        <w:rPr>
          <w:lang w:val="it-IT"/>
        </w:rPr>
        <w:t> </w:t>
      </w:r>
      <w:r w:rsidRPr="00177EED">
        <w:rPr>
          <w:lang w:val="it-IT"/>
        </w:rPr>
        <w:t>°C per un periodo massimo di 35 giorni.</w:t>
      </w:r>
      <w:r>
        <w:rPr>
          <w:lang w:val="it-IT"/>
        </w:rPr>
        <w:t xml:space="preserve"> </w:t>
      </w:r>
      <w:r w:rsidRPr="00177EED">
        <w:rPr>
          <w:lang w:val="it-IT"/>
        </w:rPr>
        <w:t xml:space="preserve">Il flaconcino deve essere eliminato se non viene utilizzato entro 35 giorni dalla rimozione dal frigorifero, anche qualora </w:t>
      </w:r>
      <w:r w:rsidR="006C473D">
        <w:rPr>
          <w:lang w:val="it-IT"/>
        </w:rPr>
        <w:t>sia stato</w:t>
      </w:r>
      <w:r w:rsidR="006C473D" w:rsidRPr="00177EED">
        <w:rPr>
          <w:lang w:val="it-IT"/>
        </w:rPr>
        <w:t xml:space="preserve"> </w:t>
      </w:r>
      <w:r w:rsidRPr="00177EED">
        <w:rPr>
          <w:lang w:val="it-IT"/>
        </w:rPr>
        <w:t>rimesso in frigorifero</w:t>
      </w:r>
      <w:r w:rsidR="006C473D">
        <w:rPr>
          <w:lang w:val="it-IT"/>
        </w:rPr>
        <w:t xml:space="preserve"> durante tale periodo</w:t>
      </w:r>
      <w:r w:rsidRPr="00177EED">
        <w:rPr>
          <w:lang w:val="it-IT"/>
        </w:rPr>
        <w:t>.</w:t>
      </w:r>
    </w:p>
    <w:p w14:paraId="57CDC9C8" w14:textId="77777777" w:rsidR="00365467" w:rsidRPr="006A2BF9" w:rsidRDefault="00365467" w:rsidP="009C0666">
      <w:pPr>
        <w:rPr>
          <w:lang w:val="it-IT"/>
        </w:rPr>
      </w:pPr>
    </w:p>
    <w:p w14:paraId="0CC2F146" w14:textId="77777777" w:rsidR="003E4D1B" w:rsidRPr="006A2BF9" w:rsidRDefault="003E4D1B" w:rsidP="00C65E97">
      <w:pPr>
        <w:keepNext/>
        <w:rPr>
          <w:u w:val="single"/>
          <w:lang w:val="it-IT"/>
        </w:rPr>
      </w:pPr>
      <w:r w:rsidRPr="006A2BF9">
        <w:rPr>
          <w:u w:val="single"/>
          <w:lang w:val="it-IT"/>
        </w:rPr>
        <w:lastRenderedPageBreak/>
        <w:t>Medicinale diluito</w:t>
      </w:r>
    </w:p>
    <w:p w14:paraId="2DAEC852" w14:textId="77777777" w:rsidR="003E4D1B" w:rsidRPr="006A2BF9" w:rsidRDefault="003E4D1B" w:rsidP="00C65E97">
      <w:pPr>
        <w:keepNext/>
        <w:rPr>
          <w:lang w:val="it-IT"/>
        </w:rPr>
      </w:pPr>
    </w:p>
    <w:p w14:paraId="2547CCFB" w14:textId="77777777" w:rsidR="009C0666" w:rsidRPr="006A2BF9" w:rsidRDefault="009C0666" w:rsidP="00C65E97">
      <w:pPr>
        <w:keepNext/>
        <w:rPr>
          <w:lang w:val="it-IT"/>
        </w:rPr>
      </w:pPr>
      <w:r w:rsidRPr="006A2BF9">
        <w:rPr>
          <w:lang w:val="it-IT"/>
        </w:rPr>
        <w:t xml:space="preserve">La stabilità chimica e fisica durante l’uso è stata dimostrata per </w:t>
      </w:r>
      <w:r w:rsidR="00365467">
        <w:rPr>
          <w:lang w:val="it-IT"/>
        </w:rPr>
        <w:t>un periodo</w:t>
      </w:r>
      <w:r w:rsidR="00977FE5">
        <w:rPr>
          <w:lang w:val="it-IT"/>
        </w:rPr>
        <w:t xml:space="preserve"> massimo</w:t>
      </w:r>
      <w:r w:rsidR="00365467">
        <w:rPr>
          <w:lang w:val="it-IT"/>
        </w:rPr>
        <w:t xml:space="preserve"> </w:t>
      </w:r>
      <w:r w:rsidR="001955DF">
        <w:rPr>
          <w:lang w:val="it-IT"/>
        </w:rPr>
        <w:t>di</w:t>
      </w:r>
      <w:r w:rsidR="00365467">
        <w:rPr>
          <w:lang w:val="it-IT"/>
        </w:rPr>
        <w:t xml:space="preserve"> 45 giorni a una temperatura compresa tra 2 °C e 8 °C più ulteriori 72</w:t>
      </w:r>
      <w:r w:rsidR="00695E2B" w:rsidRPr="006A2BF9">
        <w:rPr>
          <w:lang w:val="it-IT"/>
        </w:rPr>
        <w:t> </w:t>
      </w:r>
      <w:r w:rsidR="00F85500" w:rsidRPr="006A2BF9">
        <w:rPr>
          <w:lang w:val="it-IT"/>
        </w:rPr>
        <w:t>ore a temperatur</w:t>
      </w:r>
      <w:r w:rsidR="00365467">
        <w:rPr>
          <w:lang w:val="it-IT"/>
        </w:rPr>
        <w:t xml:space="preserve">e non superiori </w:t>
      </w:r>
      <w:r w:rsidR="00F85500" w:rsidRPr="006A2BF9">
        <w:rPr>
          <w:lang w:val="it-IT"/>
        </w:rPr>
        <w:t>a 30</w:t>
      </w:r>
      <w:r w:rsidR="00695E2B" w:rsidRPr="006A2BF9">
        <w:rPr>
          <w:lang w:val="it-IT"/>
        </w:rPr>
        <w:t> </w:t>
      </w:r>
      <w:r w:rsidR="00F85500" w:rsidRPr="006A2BF9">
        <w:rPr>
          <w:lang w:val="it-IT"/>
        </w:rPr>
        <w:t xml:space="preserve">°C </w:t>
      </w:r>
      <w:r w:rsidRPr="006A2BF9">
        <w:rPr>
          <w:lang w:val="it-IT"/>
        </w:rPr>
        <w:t>in una soluzione per iniezione di sodio cloruro 9 mg/</w:t>
      </w:r>
      <w:r w:rsidR="00B64026" w:rsidRPr="006A2BF9">
        <w:rPr>
          <w:lang w:val="it-IT"/>
        </w:rPr>
        <w:t>mL</w:t>
      </w:r>
      <w:r w:rsidRPr="006A2BF9">
        <w:rPr>
          <w:lang w:val="it-IT"/>
        </w:rPr>
        <w:t xml:space="preserve"> (0,9%). Da un punto di vista microbiologico, il prodotto deve essere utilizzato immediatamente. Nel caso in cui l'utilizzo non fosse immediato, l'</w:t>
      </w:r>
      <w:r w:rsidR="00DE46BC" w:rsidRPr="006A2BF9">
        <w:rPr>
          <w:lang w:val="it-IT"/>
        </w:rPr>
        <w:t>utilizzatore</w:t>
      </w:r>
      <w:r w:rsidRPr="006A2BF9">
        <w:rPr>
          <w:lang w:val="it-IT"/>
        </w:rPr>
        <w:t xml:space="preserve"> è da ritenersi responsabile dei tempi e delle condizioni di conservazione, che normalmente non dovrebbero superare le 24</w:t>
      </w:r>
      <w:r w:rsidR="00695E2B" w:rsidRPr="006A2BF9">
        <w:rPr>
          <w:lang w:val="it-IT"/>
        </w:rPr>
        <w:t> </w:t>
      </w:r>
      <w:r w:rsidRPr="006A2BF9">
        <w:rPr>
          <w:lang w:val="it-IT"/>
        </w:rPr>
        <w:t xml:space="preserve">ore a </w:t>
      </w:r>
      <w:r w:rsidR="00AC540E" w:rsidRPr="006A2BF9">
        <w:rPr>
          <w:lang w:val="it-IT"/>
        </w:rPr>
        <w:t xml:space="preserve">una </w:t>
      </w:r>
      <w:r w:rsidRPr="006A2BF9">
        <w:rPr>
          <w:lang w:val="it-IT"/>
        </w:rPr>
        <w:t>temperatura compresa tra 2</w:t>
      </w:r>
      <w:r w:rsidR="002F3EFD">
        <w:rPr>
          <w:lang w:val="it-IT"/>
        </w:rPr>
        <w:t> </w:t>
      </w:r>
      <w:r w:rsidRPr="006A2BF9">
        <w:rPr>
          <w:lang w:val="it-IT"/>
        </w:rPr>
        <w:t>°C e 8</w:t>
      </w:r>
      <w:r w:rsidR="00695E2B" w:rsidRPr="006A2BF9">
        <w:rPr>
          <w:lang w:val="it-IT"/>
        </w:rPr>
        <w:t> </w:t>
      </w:r>
      <w:r w:rsidRPr="006A2BF9">
        <w:rPr>
          <w:lang w:val="it-IT"/>
        </w:rPr>
        <w:t xml:space="preserve">°C, a meno che la diluizione </w:t>
      </w:r>
      <w:r w:rsidR="00331177" w:rsidRPr="006A2BF9">
        <w:rPr>
          <w:lang w:val="it-IT"/>
        </w:rPr>
        <w:t xml:space="preserve">non </w:t>
      </w:r>
      <w:r w:rsidRPr="006A2BF9">
        <w:rPr>
          <w:lang w:val="it-IT"/>
        </w:rPr>
        <w:t>sia avvenuta in condizioni asettiche controllate e validate.</w:t>
      </w:r>
    </w:p>
    <w:p w14:paraId="4E8F6ED5" w14:textId="77777777" w:rsidR="00F07D40" w:rsidRPr="006A2BF9" w:rsidRDefault="00F07D40" w:rsidP="009C0666">
      <w:pPr>
        <w:rPr>
          <w:lang w:val="it-IT"/>
        </w:rPr>
      </w:pPr>
    </w:p>
    <w:p w14:paraId="6F9BBD50" w14:textId="77777777" w:rsidR="009C0666" w:rsidRPr="006A2BF9" w:rsidRDefault="009C0666" w:rsidP="0011036F">
      <w:pPr>
        <w:keepNext/>
        <w:keepLines/>
        <w:ind w:left="567" w:hanging="567"/>
        <w:outlineLvl w:val="0"/>
        <w:rPr>
          <w:b/>
          <w:bCs/>
          <w:lang w:val="it-IT"/>
        </w:rPr>
      </w:pPr>
      <w:r w:rsidRPr="006A2BF9">
        <w:rPr>
          <w:b/>
          <w:bCs/>
          <w:lang w:val="it-IT"/>
        </w:rPr>
        <w:t>6.4</w:t>
      </w:r>
      <w:r w:rsidRPr="006A2BF9">
        <w:rPr>
          <w:b/>
          <w:bCs/>
          <w:lang w:val="it-IT"/>
        </w:rPr>
        <w:tab/>
        <w:t>Precauzioni particolari per la conservazione</w:t>
      </w:r>
    </w:p>
    <w:p w14:paraId="44BAA165" w14:textId="77777777" w:rsidR="009C0666" w:rsidRPr="006A2BF9" w:rsidRDefault="009C0666" w:rsidP="0011036F">
      <w:pPr>
        <w:keepNext/>
        <w:keepLines/>
        <w:rPr>
          <w:lang w:val="it-IT"/>
        </w:rPr>
      </w:pPr>
    </w:p>
    <w:p w14:paraId="46CE78EE" w14:textId="77777777" w:rsidR="009C0666" w:rsidRPr="006A2BF9" w:rsidRDefault="009C0666" w:rsidP="0011036F">
      <w:pPr>
        <w:keepNext/>
        <w:keepLines/>
        <w:rPr>
          <w:lang w:val="it-IT"/>
        </w:rPr>
      </w:pPr>
      <w:r w:rsidRPr="006A2BF9">
        <w:rPr>
          <w:lang w:val="it-IT"/>
        </w:rPr>
        <w:t>Conservare in frigorifero (</w:t>
      </w:r>
      <w:r w:rsidR="009002E5">
        <w:rPr>
          <w:noProof/>
          <w:lang w:val="it-IT"/>
        </w:rPr>
        <w:t>2</w:t>
      </w:r>
      <w:r w:rsidR="009002E5">
        <w:rPr>
          <w:noProof/>
          <w:lang w:val="it-IT"/>
        </w:rPr>
        <w:sym w:font="Symbol" w:char="F0B0"/>
      </w:r>
      <w:r w:rsidR="009002E5">
        <w:rPr>
          <w:noProof/>
          <w:lang w:val="it-IT"/>
        </w:rPr>
        <w:t>C – 8</w:t>
      </w:r>
      <w:r w:rsidR="009002E5">
        <w:rPr>
          <w:noProof/>
          <w:lang w:val="it-IT"/>
        </w:rPr>
        <w:sym w:font="Symbol" w:char="F0B0"/>
      </w:r>
      <w:r w:rsidR="009002E5">
        <w:rPr>
          <w:noProof/>
          <w:lang w:val="it-IT"/>
        </w:rPr>
        <w:t>C</w:t>
      </w:r>
      <w:r w:rsidRPr="006A2BF9">
        <w:rPr>
          <w:lang w:val="it-IT"/>
        </w:rPr>
        <w:t>).</w:t>
      </w:r>
    </w:p>
    <w:p w14:paraId="7A02291C" w14:textId="77777777" w:rsidR="009C0666" w:rsidRPr="006A2BF9" w:rsidRDefault="009C0666" w:rsidP="0011036F">
      <w:pPr>
        <w:keepNext/>
        <w:keepLines/>
        <w:rPr>
          <w:lang w:val="it-IT"/>
        </w:rPr>
      </w:pPr>
      <w:r w:rsidRPr="006A2BF9">
        <w:rPr>
          <w:lang w:val="it-IT"/>
        </w:rPr>
        <w:t xml:space="preserve">Non congelare. </w:t>
      </w:r>
    </w:p>
    <w:p w14:paraId="3FF01188" w14:textId="77777777" w:rsidR="009C0666" w:rsidRPr="006A2BF9" w:rsidRDefault="009C0666" w:rsidP="0011036F">
      <w:pPr>
        <w:keepNext/>
        <w:keepLines/>
        <w:rPr>
          <w:lang w:val="it-IT"/>
        </w:rPr>
      </w:pPr>
      <w:r w:rsidRPr="006A2BF9">
        <w:rPr>
          <w:lang w:val="it-IT"/>
        </w:rPr>
        <w:t xml:space="preserve">Tenere il flaconcino nell’imballaggio esterno per </w:t>
      </w:r>
      <w:r w:rsidR="00AC540E" w:rsidRPr="006A2BF9">
        <w:rPr>
          <w:lang w:val="it-IT"/>
        </w:rPr>
        <w:t>proteggerlo</w:t>
      </w:r>
      <w:r w:rsidRPr="006A2BF9">
        <w:rPr>
          <w:lang w:val="it-IT"/>
        </w:rPr>
        <w:t xml:space="preserve"> dalla luce.</w:t>
      </w:r>
    </w:p>
    <w:p w14:paraId="77DD59B5" w14:textId="77777777" w:rsidR="009C0666" w:rsidRDefault="009C0666" w:rsidP="0011036F">
      <w:pPr>
        <w:keepNext/>
        <w:keepLines/>
        <w:rPr>
          <w:lang w:val="it-IT"/>
        </w:rPr>
      </w:pPr>
    </w:p>
    <w:p w14:paraId="01C763A7" w14:textId="77777777" w:rsidR="00365467" w:rsidRDefault="00365467" w:rsidP="0011036F">
      <w:pPr>
        <w:keepNext/>
        <w:keepLines/>
        <w:rPr>
          <w:lang w:val="it-IT"/>
        </w:rPr>
      </w:pPr>
      <w:r w:rsidRPr="00365467">
        <w:rPr>
          <w:lang w:val="it-IT"/>
        </w:rPr>
        <w:t>Per le condizioni di conservazione</w:t>
      </w:r>
      <w:r>
        <w:rPr>
          <w:lang w:val="it-IT"/>
        </w:rPr>
        <w:t xml:space="preserve"> </w:t>
      </w:r>
      <w:r w:rsidRPr="00365467">
        <w:rPr>
          <w:lang w:val="it-IT"/>
        </w:rPr>
        <w:t xml:space="preserve">del flaconcino chiuso </w:t>
      </w:r>
      <w:r w:rsidR="00E7559C">
        <w:rPr>
          <w:lang w:val="it-IT"/>
        </w:rPr>
        <w:t xml:space="preserve">fuori dal frigorifero, </w:t>
      </w:r>
      <w:r w:rsidRPr="00365467">
        <w:rPr>
          <w:lang w:val="it-IT"/>
        </w:rPr>
        <w:t>vedere paragrafo 6.3.</w:t>
      </w:r>
    </w:p>
    <w:p w14:paraId="5946AA8C" w14:textId="77777777" w:rsidR="00365467" w:rsidRPr="006A2BF9" w:rsidRDefault="00365467" w:rsidP="0011036F">
      <w:pPr>
        <w:keepNext/>
        <w:keepLines/>
        <w:rPr>
          <w:lang w:val="it-IT"/>
        </w:rPr>
      </w:pPr>
    </w:p>
    <w:p w14:paraId="0709B580" w14:textId="77777777" w:rsidR="009C0666" w:rsidRPr="006A2BF9" w:rsidRDefault="009C0666" w:rsidP="0011036F">
      <w:pPr>
        <w:keepNext/>
        <w:keepLines/>
        <w:rPr>
          <w:lang w:val="it-IT"/>
        </w:rPr>
      </w:pPr>
      <w:r w:rsidRPr="006A2BF9">
        <w:rPr>
          <w:lang w:val="it-IT"/>
        </w:rPr>
        <w:t>Per le condizioni di conservazione</w:t>
      </w:r>
      <w:r w:rsidR="006B5DC7" w:rsidRPr="006A2BF9">
        <w:rPr>
          <w:lang w:val="it-IT"/>
        </w:rPr>
        <w:t xml:space="preserve"> dopo </w:t>
      </w:r>
      <w:r w:rsidR="00AC540E" w:rsidRPr="006A2BF9">
        <w:rPr>
          <w:lang w:val="it-IT"/>
        </w:rPr>
        <w:t xml:space="preserve">la </w:t>
      </w:r>
      <w:r w:rsidR="006B5DC7" w:rsidRPr="006A2BF9">
        <w:rPr>
          <w:lang w:val="it-IT"/>
        </w:rPr>
        <w:t xml:space="preserve">diluizione </w:t>
      </w:r>
      <w:r w:rsidRPr="006A2BF9">
        <w:rPr>
          <w:lang w:val="it-IT"/>
        </w:rPr>
        <w:t>del medicinale vedere paragrafo</w:t>
      </w:r>
      <w:r w:rsidR="007927FA" w:rsidRPr="006A2BF9">
        <w:rPr>
          <w:lang w:val="it-IT"/>
        </w:rPr>
        <w:t> </w:t>
      </w:r>
      <w:r w:rsidRPr="006A2BF9">
        <w:rPr>
          <w:lang w:val="it-IT"/>
        </w:rPr>
        <w:t>6.3.</w:t>
      </w:r>
    </w:p>
    <w:p w14:paraId="1A84A48D" w14:textId="77777777" w:rsidR="009C0666" w:rsidRPr="006A2BF9" w:rsidRDefault="009C0666" w:rsidP="009C0666">
      <w:pPr>
        <w:rPr>
          <w:lang w:val="it-IT"/>
        </w:rPr>
      </w:pPr>
    </w:p>
    <w:p w14:paraId="6DA97FC6" w14:textId="77777777" w:rsidR="009C0666" w:rsidRPr="006A2BF9" w:rsidRDefault="009C0666" w:rsidP="00931C23">
      <w:pPr>
        <w:ind w:left="567" w:hanging="567"/>
        <w:outlineLvl w:val="0"/>
        <w:rPr>
          <w:b/>
          <w:bCs/>
          <w:lang w:val="it-IT"/>
        </w:rPr>
      </w:pPr>
      <w:r w:rsidRPr="006A2BF9">
        <w:rPr>
          <w:b/>
          <w:bCs/>
          <w:lang w:val="it-IT"/>
        </w:rPr>
        <w:t>6.5</w:t>
      </w:r>
      <w:r w:rsidRPr="006A2BF9">
        <w:rPr>
          <w:b/>
          <w:bCs/>
          <w:lang w:val="it-IT"/>
        </w:rPr>
        <w:tab/>
        <w:t>Natura e contenuto del contenitore</w:t>
      </w:r>
    </w:p>
    <w:p w14:paraId="1A97C4DF" w14:textId="77777777" w:rsidR="009C0666" w:rsidRPr="006A2BF9" w:rsidRDefault="009C0666" w:rsidP="009C0666">
      <w:pPr>
        <w:rPr>
          <w:lang w:val="it-IT"/>
        </w:rPr>
      </w:pPr>
    </w:p>
    <w:p w14:paraId="4B684EE4" w14:textId="77777777" w:rsidR="009C0666" w:rsidRPr="006A2BF9" w:rsidRDefault="00652DBF" w:rsidP="009C0666">
      <w:pPr>
        <w:rPr>
          <w:lang w:val="it-IT"/>
        </w:rPr>
      </w:pPr>
      <w:r w:rsidRPr="006A2BF9">
        <w:rPr>
          <w:lang w:val="it-IT"/>
        </w:rPr>
        <w:t>4 </w:t>
      </w:r>
      <w:r w:rsidR="00B64026" w:rsidRPr="006A2BF9">
        <w:rPr>
          <w:lang w:val="it-IT"/>
        </w:rPr>
        <w:t>mL</w:t>
      </w:r>
      <w:r w:rsidRPr="006A2BF9">
        <w:rPr>
          <w:lang w:val="it-IT"/>
        </w:rPr>
        <w:t xml:space="preserve"> di soluzione in un f</w:t>
      </w:r>
      <w:r w:rsidR="009C0666" w:rsidRPr="006A2BF9">
        <w:rPr>
          <w:lang w:val="it-IT"/>
        </w:rPr>
        <w:t>laconcin</w:t>
      </w:r>
      <w:r w:rsidRPr="006A2BF9">
        <w:rPr>
          <w:lang w:val="it-IT"/>
        </w:rPr>
        <w:t>o</w:t>
      </w:r>
      <w:r w:rsidR="009C0666" w:rsidRPr="006A2BF9">
        <w:rPr>
          <w:lang w:val="it-IT"/>
        </w:rPr>
        <w:t xml:space="preserve"> (vetro di Tipo</w:t>
      </w:r>
      <w:r w:rsidR="00695E2B" w:rsidRPr="006A2BF9">
        <w:rPr>
          <w:lang w:val="it-IT"/>
        </w:rPr>
        <w:t> </w:t>
      </w:r>
      <w:r w:rsidR="009C0666" w:rsidRPr="006A2BF9">
        <w:rPr>
          <w:lang w:val="it-IT"/>
        </w:rPr>
        <w:t>I) con tapp</w:t>
      </w:r>
      <w:r w:rsidRPr="006A2BF9">
        <w:rPr>
          <w:lang w:val="it-IT"/>
        </w:rPr>
        <w:t>o</w:t>
      </w:r>
      <w:r w:rsidR="009C0666" w:rsidRPr="006A2BF9">
        <w:rPr>
          <w:lang w:val="it-IT"/>
        </w:rPr>
        <w:t xml:space="preserve"> </w:t>
      </w:r>
      <w:r w:rsidR="005A6871" w:rsidRPr="006A2BF9">
        <w:rPr>
          <w:lang w:val="it-IT"/>
        </w:rPr>
        <w:t>(</w:t>
      </w:r>
      <w:r w:rsidR="009C0666" w:rsidRPr="006A2BF9">
        <w:rPr>
          <w:lang w:val="it-IT"/>
        </w:rPr>
        <w:t>gomma butilica</w:t>
      </w:r>
      <w:r w:rsidR="005A6871" w:rsidRPr="006A2BF9">
        <w:rPr>
          <w:lang w:val="it-IT"/>
        </w:rPr>
        <w:t>)</w:t>
      </w:r>
      <w:r w:rsidR="009C0666" w:rsidRPr="006A2BF9">
        <w:rPr>
          <w:lang w:val="it-IT"/>
        </w:rPr>
        <w:t xml:space="preserve"> contenent</w:t>
      </w:r>
      <w:r w:rsidRPr="006A2BF9">
        <w:rPr>
          <w:lang w:val="it-IT"/>
        </w:rPr>
        <w:t>e</w:t>
      </w:r>
      <w:r w:rsidR="009C0666" w:rsidRPr="006A2BF9">
        <w:rPr>
          <w:lang w:val="it-IT"/>
        </w:rPr>
        <w:t xml:space="preserve"> 100 mg di bevacizumab.</w:t>
      </w:r>
    </w:p>
    <w:p w14:paraId="7BA75D49" w14:textId="77777777" w:rsidR="009C0666" w:rsidRPr="006A2BF9" w:rsidRDefault="00652DBF" w:rsidP="009C0666">
      <w:pPr>
        <w:rPr>
          <w:lang w:val="it-IT"/>
        </w:rPr>
      </w:pPr>
      <w:r w:rsidRPr="006A2BF9">
        <w:rPr>
          <w:lang w:val="it-IT"/>
        </w:rPr>
        <w:t>16 </w:t>
      </w:r>
      <w:r w:rsidR="00B64026" w:rsidRPr="006A2BF9">
        <w:rPr>
          <w:lang w:val="it-IT"/>
        </w:rPr>
        <w:t>mL</w:t>
      </w:r>
      <w:r w:rsidR="005A6871" w:rsidRPr="006A2BF9">
        <w:rPr>
          <w:lang w:val="it-IT"/>
        </w:rPr>
        <w:t xml:space="preserve"> di soluzione</w:t>
      </w:r>
      <w:r w:rsidRPr="006A2BF9">
        <w:rPr>
          <w:lang w:val="it-IT"/>
        </w:rPr>
        <w:t xml:space="preserve"> in un f</w:t>
      </w:r>
      <w:r w:rsidR="009C0666" w:rsidRPr="006A2BF9">
        <w:rPr>
          <w:lang w:val="it-IT"/>
        </w:rPr>
        <w:t>laconcin</w:t>
      </w:r>
      <w:r w:rsidRPr="006A2BF9">
        <w:rPr>
          <w:lang w:val="it-IT"/>
        </w:rPr>
        <w:t>o</w:t>
      </w:r>
      <w:r w:rsidR="009C0666" w:rsidRPr="006A2BF9">
        <w:rPr>
          <w:lang w:val="it-IT"/>
        </w:rPr>
        <w:t xml:space="preserve"> (vetro di Tipo</w:t>
      </w:r>
      <w:r w:rsidR="00695E2B" w:rsidRPr="006A2BF9">
        <w:rPr>
          <w:lang w:val="it-IT"/>
        </w:rPr>
        <w:t> </w:t>
      </w:r>
      <w:r w:rsidR="009C0666" w:rsidRPr="006A2BF9">
        <w:rPr>
          <w:lang w:val="it-IT"/>
        </w:rPr>
        <w:t>I), con tapp</w:t>
      </w:r>
      <w:r w:rsidRPr="006A2BF9">
        <w:rPr>
          <w:lang w:val="it-IT"/>
        </w:rPr>
        <w:t>o</w:t>
      </w:r>
      <w:r w:rsidR="009C0666" w:rsidRPr="006A2BF9">
        <w:rPr>
          <w:lang w:val="it-IT"/>
        </w:rPr>
        <w:t xml:space="preserve"> </w:t>
      </w:r>
      <w:r w:rsidR="005A6871" w:rsidRPr="006A2BF9">
        <w:rPr>
          <w:lang w:val="it-IT"/>
        </w:rPr>
        <w:t>(</w:t>
      </w:r>
      <w:r w:rsidR="009C0666" w:rsidRPr="006A2BF9">
        <w:rPr>
          <w:lang w:val="it-IT"/>
        </w:rPr>
        <w:t>gomma butilica</w:t>
      </w:r>
      <w:r w:rsidR="005A6871" w:rsidRPr="006A2BF9">
        <w:rPr>
          <w:lang w:val="it-IT"/>
        </w:rPr>
        <w:t>)</w:t>
      </w:r>
      <w:r w:rsidR="009C0666" w:rsidRPr="006A2BF9">
        <w:rPr>
          <w:lang w:val="it-IT"/>
        </w:rPr>
        <w:t xml:space="preserve"> contenent</w:t>
      </w:r>
      <w:r w:rsidRPr="006A2BF9">
        <w:rPr>
          <w:lang w:val="it-IT"/>
        </w:rPr>
        <w:t>e</w:t>
      </w:r>
      <w:r w:rsidR="009C0666" w:rsidRPr="006A2BF9">
        <w:rPr>
          <w:lang w:val="it-IT"/>
        </w:rPr>
        <w:t xml:space="preserve"> 400 mg di bevacizumab.</w:t>
      </w:r>
    </w:p>
    <w:p w14:paraId="5EB2BF44" w14:textId="77777777" w:rsidR="009C0666" w:rsidRPr="006A2BF9" w:rsidRDefault="009C0666" w:rsidP="009C0666">
      <w:pPr>
        <w:rPr>
          <w:lang w:val="it-IT"/>
        </w:rPr>
      </w:pPr>
    </w:p>
    <w:p w14:paraId="0A607663" w14:textId="77777777" w:rsidR="009C0666" w:rsidRPr="006A2BF9" w:rsidRDefault="009C0666" w:rsidP="009C0666">
      <w:pPr>
        <w:outlineLvl w:val="0"/>
        <w:rPr>
          <w:lang w:val="it-IT"/>
        </w:rPr>
      </w:pPr>
      <w:r w:rsidRPr="006A2BF9">
        <w:rPr>
          <w:lang w:val="it-IT"/>
        </w:rPr>
        <w:t>Confezion</w:t>
      </w:r>
      <w:r w:rsidR="005A6871" w:rsidRPr="006A2BF9">
        <w:rPr>
          <w:lang w:val="it-IT"/>
        </w:rPr>
        <w:t>e</w:t>
      </w:r>
      <w:r w:rsidRPr="006A2BF9">
        <w:rPr>
          <w:lang w:val="it-IT"/>
        </w:rPr>
        <w:t xml:space="preserve"> da 1</w:t>
      </w:r>
      <w:r w:rsidR="00695E2B" w:rsidRPr="006A2BF9">
        <w:rPr>
          <w:lang w:val="it-IT"/>
        </w:rPr>
        <w:t> </w:t>
      </w:r>
      <w:r w:rsidRPr="006A2BF9">
        <w:rPr>
          <w:lang w:val="it-IT"/>
        </w:rPr>
        <w:t>flaconcino.</w:t>
      </w:r>
    </w:p>
    <w:p w14:paraId="31AA6FE9" w14:textId="77777777" w:rsidR="009C0666" w:rsidRPr="006A2BF9" w:rsidRDefault="009C0666" w:rsidP="009C0666">
      <w:pPr>
        <w:rPr>
          <w:lang w:val="it-IT"/>
        </w:rPr>
      </w:pPr>
    </w:p>
    <w:p w14:paraId="7293FD1B" w14:textId="77777777" w:rsidR="009C0666" w:rsidRPr="006A2BF9" w:rsidRDefault="009C0666" w:rsidP="00691883">
      <w:pPr>
        <w:ind w:left="567" w:hanging="567"/>
        <w:outlineLvl w:val="0"/>
        <w:rPr>
          <w:b/>
          <w:lang w:val="it-IT"/>
        </w:rPr>
      </w:pPr>
      <w:r w:rsidRPr="006A2BF9">
        <w:rPr>
          <w:b/>
          <w:bCs/>
          <w:lang w:val="it-IT"/>
        </w:rPr>
        <w:t>6.6</w:t>
      </w:r>
      <w:r w:rsidRPr="006A2BF9">
        <w:rPr>
          <w:b/>
          <w:bCs/>
          <w:lang w:val="it-IT"/>
        </w:rPr>
        <w:tab/>
        <w:t xml:space="preserve">Precauzioni particolari per lo smaltimento </w:t>
      </w:r>
      <w:r w:rsidRPr="006A2BF9">
        <w:rPr>
          <w:b/>
          <w:lang w:val="it-IT"/>
        </w:rPr>
        <w:t>e la manipolazione</w:t>
      </w:r>
    </w:p>
    <w:p w14:paraId="3261EF3E" w14:textId="77777777" w:rsidR="009C0666" w:rsidRPr="006A2BF9" w:rsidRDefault="009C0666" w:rsidP="009C0666">
      <w:pPr>
        <w:outlineLvl w:val="0"/>
        <w:rPr>
          <w:b/>
          <w:bCs/>
          <w:lang w:val="it-IT"/>
        </w:rPr>
      </w:pPr>
    </w:p>
    <w:p w14:paraId="7223EFDE" w14:textId="77777777" w:rsidR="008C738C" w:rsidRDefault="008C738C" w:rsidP="005A6871">
      <w:pPr>
        <w:rPr>
          <w:lang w:val="it-IT"/>
        </w:rPr>
      </w:pPr>
      <w:r>
        <w:rPr>
          <w:lang w:val="it-IT"/>
        </w:rPr>
        <w:t>Non agitare il flaconcino.</w:t>
      </w:r>
    </w:p>
    <w:p w14:paraId="67B60963" w14:textId="77777777" w:rsidR="008C738C" w:rsidRDefault="008C738C" w:rsidP="005A6871">
      <w:pPr>
        <w:rPr>
          <w:lang w:val="it-IT"/>
        </w:rPr>
      </w:pPr>
    </w:p>
    <w:p w14:paraId="4D9310FA" w14:textId="77777777" w:rsidR="00652DBF" w:rsidRPr="006A2BF9" w:rsidRDefault="001A78BF" w:rsidP="005A6871">
      <w:pPr>
        <w:rPr>
          <w:lang w:val="it-IT"/>
        </w:rPr>
      </w:pPr>
      <w:r w:rsidRPr="006A2BF9">
        <w:rPr>
          <w:lang w:val="it-IT"/>
        </w:rPr>
        <w:t xml:space="preserve">Aybintio </w:t>
      </w:r>
      <w:r w:rsidR="009C0666" w:rsidRPr="006A2BF9">
        <w:rPr>
          <w:lang w:val="it-IT"/>
        </w:rPr>
        <w:t xml:space="preserve">deve essere preparato da un operatore sanitario </w:t>
      </w:r>
      <w:r w:rsidR="00CF659F" w:rsidRPr="006A2BF9">
        <w:rPr>
          <w:lang w:val="it-IT"/>
        </w:rPr>
        <w:t>con tecnica</w:t>
      </w:r>
      <w:r w:rsidR="009C0666" w:rsidRPr="006A2BF9">
        <w:rPr>
          <w:lang w:val="it-IT"/>
        </w:rPr>
        <w:t xml:space="preserve"> asettica</w:t>
      </w:r>
      <w:r w:rsidR="00652DBF" w:rsidRPr="006A2BF9">
        <w:rPr>
          <w:lang w:val="it-IT"/>
        </w:rPr>
        <w:t xml:space="preserve"> per assicurare la sterilità della soluzione </w:t>
      </w:r>
      <w:r w:rsidR="00CF659F" w:rsidRPr="006A2BF9">
        <w:rPr>
          <w:lang w:val="it-IT"/>
        </w:rPr>
        <w:t xml:space="preserve">finale </w:t>
      </w:r>
      <w:r w:rsidR="00652DBF" w:rsidRPr="006A2BF9">
        <w:rPr>
          <w:lang w:val="it-IT"/>
        </w:rPr>
        <w:t>preparata.</w:t>
      </w:r>
      <w:r w:rsidR="009C0666" w:rsidRPr="006A2BF9">
        <w:rPr>
          <w:lang w:val="it-IT"/>
        </w:rPr>
        <w:t xml:space="preserve"> </w:t>
      </w:r>
      <w:r w:rsidR="00EF464D">
        <w:rPr>
          <w:lang w:val="it-IT"/>
        </w:rPr>
        <w:t xml:space="preserve">Per la preparazione di </w:t>
      </w:r>
      <w:r w:rsidR="00EF464D" w:rsidRPr="006A2BF9">
        <w:rPr>
          <w:lang w:val="it-IT"/>
        </w:rPr>
        <w:t>Aybintio</w:t>
      </w:r>
      <w:r w:rsidR="00EF464D">
        <w:rPr>
          <w:lang w:val="it-IT"/>
        </w:rPr>
        <w:t xml:space="preserve"> devono essere usati un ago e una siringa sterili.</w:t>
      </w:r>
    </w:p>
    <w:p w14:paraId="1DFF23E2" w14:textId="77777777" w:rsidR="00652DBF" w:rsidRPr="006A2BF9" w:rsidRDefault="00652DBF" w:rsidP="009C0666">
      <w:pPr>
        <w:rPr>
          <w:lang w:val="it-IT"/>
        </w:rPr>
      </w:pPr>
    </w:p>
    <w:p w14:paraId="60105F81" w14:textId="77777777" w:rsidR="009C0666" w:rsidRPr="006A2BF9" w:rsidRDefault="00652DBF" w:rsidP="005A6871">
      <w:pPr>
        <w:rPr>
          <w:lang w:val="it-IT"/>
        </w:rPr>
      </w:pPr>
      <w:r w:rsidRPr="006A2BF9">
        <w:rPr>
          <w:lang w:val="it-IT"/>
        </w:rPr>
        <w:t>L</w:t>
      </w:r>
      <w:r w:rsidR="009C0666" w:rsidRPr="006A2BF9">
        <w:rPr>
          <w:lang w:val="it-IT"/>
        </w:rPr>
        <w:t xml:space="preserve">a quantità di bevacizumab necessaria </w:t>
      </w:r>
      <w:r w:rsidRPr="006A2BF9">
        <w:rPr>
          <w:lang w:val="it-IT"/>
        </w:rPr>
        <w:t xml:space="preserve">deve essere prelevata </w:t>
      </w:r>
      <w:r w:rsidR="009C0666" w:rsidRPr="006A2BF9">
        <w:rPr>
          <w:lang w:val="it-IT"/>
        </w:rPr>
        <w:t>e dilui</w:t>
      </w:r>
      <w:r w:rsidRPr="006A2BF9">
        <w:rPr>
          <w:lang w:val="it-IT"/>
        </w:rPr>
        <w:t>ta</w:t>
      </w:r>
      <w:r w:rsidR="009C0666" w:rsidRPr="006A2BF9">
        <w:rPr>
          <w:lang w:val="it-IT"/>
        </w:rPr>
        <w:t xml:space="preserve"> fino al volume di somministrazione opportuno con sodio cloruro </w:t>
      </w:r>
      <w:r w:rsidRPr="006A2BF9">
        <w:rPr>
          <w:lang w:val="it-IT"/>
        </w:rPr>
        <w:t>9 mg/</w:t>
      </w:r>
      <w:r w:rsidR="00B64026" w:rsidRPr="006A2BF9">
        <w:rPr>
          <w:lang w:val="it-IT"/>
        </w:rPr>
        <w:t>mL</w:t>
      </w:r>
      <w:r w:rsidRPr="006A2BF9">
        <w:rPr>
          <w:lang w:val="it-IT"/>
        </w:rPr>
        <w:t xml:space="preserve"> (0,9%) soluzione </w:t>
      </w:r>
      <w:r w:rsidR="005A6871" w:rsidRPr="006A2BF9">
        <w:rPr>
          <w:lang w:val="it-IT"/>
        </w:rPr>
        <w:t>iniettabile</w:t>
      </w:r>
      <w:r w:rsidR="009C0666" w:rsidRPr="006A2BF9">
        <w:rPr>
          <w:lang w:val="it-IT"/>
        </w:rPr>
        <w:t>. La concentrazione della soluzione finale di bevacizumab deve essere mantenuta</w:t>
      </w:r>
      <w:r w:rsidR="006B5DC7" w:rsidRPr="006A2BF9">
        <w:rPr>
          <w:lang w:val="it-IT"/>
        </w:rPr>
        <w:t xml:space="preserve"> in un intervallo compreso tra 1,4</w:t>
      </w:r>
      <w:r w:rsidR="001A78BF" w:rsidRPr="006A2BF9">
        <w:rPr>
          <w:lang w:val="it-IT"/>
        </w:rPr>
        <w:t> </w:t>
      </w:r>
      <w:r w:rsidR="006B5DC7" w:rsidRPr="006A2BF9">
        <w:rPr>
          <w:lang w:val="it-IT"/>
        </w:rPr>
        <w:t>mg/</w:t>
      </w:r>
      <w:r w:rsidR="00B64026" w:rsidRPr="006A2BF9">
        <w:rPr>
          <w:lang w:val="it-IT"/>
        </w:rPr>
        <w:t>mL</w:t>
      </w:r>
      <w:r w:rsidR="00EE7E5A" w:rsidRPr="006A2BF9">
        <w:rPr>
          <w:lang w:val="it-IT"/>
        </w:rPr>
        <w:t xml:space="preserve"> e 16,5</w:t>
      </w:r>
      <w:r w:rsidR="001A78BF" w:rsidRPr="006A2BF9">
        <w:rPr>
          <w:lang w:val="it-IT"/>
        </w:rPr>
        <w:t> </w:t>
      </w:r>
      <w:r w:rsidR="00EE7E5A" w:rsidRPr="006A2BF9">
        <w:rPr>
          <w:lang w:val="it-IT"/>
        </w:rPr>
        <w:t>mg/</w:t>
      </w:r>
      <w:r w:rsidR="00B64026" w:rsidRPr="006A2BF9">
        <w:rPr>
          <w:lang w:val="it-IT"/>
        </w:rPr>
        <w:t>mL</w:t>
      </w:r>
      <w:r w:rsidR="009C0666" w:rsidRPr="006A2BF9">
        <w:rPr>
          <w:lang w:val="it-IT"/>
        </w:rPr>
        <w:t xml:space="preserve">. </w:t>
      </w:r>
      <w:r w:rsidR="00286783" w:rsidRPr="006A2BF9">
        <w:rPr>
          <w:lang w:val="it-IT"/>
        </w:rPr>
        <w:t xml:space="preserve">Nella maggior parte dei casi la quantità necessaria di </w:t>
      </w:r>
      <w:r w:rsidR="001A78BF" w:rsidRPr="006A2BF9">
        <w:rPr>
          <w:lang w:val="it-IT"/>
        </w:rPr>
        <w:t xml:space="preserve">Aybintio </w:t>
      </w:r>
      <w:r w:rsidR="00286783" w:rsidRPr="006A2BF9">
        <w:rPr>
          <w:lang w:val="it-IT"/>
        </w:rPr>
        <w:t>può essere diluit</w:t>
      </w:r>
      <w:r w:rsidR="00C63991" w:rsidRPr="006A2BF9">
        <w:rPr>
          <w:lang w:val="it-IT"/>
        </w:rPr>
        <w:t>a</w:t>
      </w:r>
      <w:r w:rsidR="00286783" w:rsidRPr="006A2BF9">
        <w:rPr>
          <w:lang w:val="it-IT"/>
        </w:rPr>
        <w:t xml:space="preserve"> con soluzione di cloruro di sodio allo 0,9% per iniezione di un volume totale di 100</w:t>
      </w:r>
      <w:r w:rsidR="001A78BF" w:rsidRPr="006A2BF9">
        <w:rPr>
          <w:lang w:val="it-IT"/>
        </w:rPr>
        <w:t> </w:t>
      </w:r>
      <w:r w:rsidR="00B64026" w:rsidRPr="006A2BF9">
        <w:rPr>
          <w:lang w:val="it-IT"/>
        </w:rPr>
        <w:t>mL</w:t>
      </w:r>
      <w:r w:rsidR="00286783" w:rsidRPr="006A2BF9">
        <w:rPr>
          <w:lang w:val="it-IT"/>
        </w:rPr>
        <w:t>.</w:t>
      </w:r>
    </w:p>
    <w:p w14:paraId="6F2CBFDC" w14:textId="77777777" w:rsidR="009C0666" w:rsidRPr="006A2BF9" w:rsidRDefault="009C0666" w:rsidP="009C0666">
      <w:pPr>
        <w:rPr>
          <w:lang w:val="it-IT"/>
        </w:rPr>
      </w:pPr>
    </w:p>
    <w:p w14:paraId="22C95F9F" w14:textId="77777777" w:rsidR="009C0666" w:rsidRPr="006A2BF9" w:rsidRDefault="009C0666" w:rsidP="009C0666">
      <w:pPr>
        <w:rPr>
          <w:lang w:val="it-IT"/>
        </w:rPr>
      </w:pPr>
      <w:r w:rsidRPr="006A2BF9">
        <w:rPr>
          <w:lang w:val="it-IT"/>
        </w:rPr>
        <w:t xml:space="preserve">Le specialità medicinali destinate alla somministrazione per via parenterale devono essere sottoposte a un esame visivo prima di essere somministrate, onde escludere la presenza di particolato e segni di variazione di colore. </w:t>
      </w:r>
    </w:p>
    <w:p w14:paraId="2266249D" w14:textId="77777777" w:rsidR="00652DBF" w:rsidRPr="006A2BF9" w:rsidRDefault="00652DBF" w:rsidP="009C0666">
      <w:pPr>
        <w:rPr>
          <w:lang w:val="it-IT"/>
        </w:rPr>
      </w:pPr>
    </w:p>
    <w:p w14:paraId="43976A4F" w14:textId="77777777" w:rsidR="009C0666" w:rsidRPr="006A2BF9" w:rsidRDefault="009C0666" w:rsidP="009C0666">
      <w:pPr>
        <w:rPr>
          <w:lang w:val="it-IT"/>
        </w:rPr>
      </w:pPr>
      <w:r w:rsidRPr="006A2BF9">
        <w:rPr>
          <w:lang w:val="it-IT"/>
        </w:rPr>
        <w:t xml:space="preserve">Non sono state osservate incompatibilità tra </w:t>
      </w:r>
      <w:r w:rsidR="001A78BF" w:rsidRPr="006A2BF9">
        <w:rPr>
          <w:lang w:val="it-IT"/>
        </w:rPr>
        <w:t xml:space="preserve">Aybintio </w:t>
      </w:r>
      <w:r w:rsidRPr="006A2BF9">
        <w:rPr>
          <w:lang w:val="it-IT"/>
        </w:rPr>
        <w:t>e le sacche o i set per infusione in polivinilcloruro o poliolefine.</w:t>
      </w:r>
    </w:p>
    <w:p w14:paraId="22D63949" w14:textId="77777777" w:rsidR="00286783" w:rsidRPr="006A2BF9" w:rsidRDefault="00286783" w:rsidP="009C0666">
      <w:pPr>
        <w:rPr>
          <w:lang w:val="it-IT"/>
        </w:rPr>
      </w:pPr>
    </w:p>
    <w:p w14:paraId="0F605E2B" w14:textId="77777777" w:rsidR="00AD5FB1" w:rsidRPr="006A2BF9" w:rsidRDefault="001A78BF" w:rsidP="00AD5FB1">
      <w:pPr>
        <w:rPr>
          <w:lang w:val="it-IT"/>
        </w:rPr>
      </w:pPr>
      <w:r w:rsidRPr="006A2BF9">
        <w:rPr>
          <w:lang w:val="it-IT"/>
        </w:rPr>
        <w:t xml:space="preserve">Aybintio </w:t>
      </w:r>
      <w:r w:rsidR="00AD5FB1" w:rsidRPr="006A2BF9">
        <w:rPr>
          <w:lang w:val="it-IT"/>
        </w:rPr>
        <w:t>è esclusivamente monouso, poiché il prodotto non contiene conservanti. Il medicinale non utilizzato e i rifiuti derivati da tale medicinale devono essere smaltiti in conformità alla normativa locale vigente.</w:t>
      </w:r>
    </w:p>
    <w:p w14:paraId="7F095762" w14:textId="77777777" w:rsidR="009C0666" w:rsidRPr="006A2BF9" w:rsidRDefault="009C0666" w:rsidP="009C0666">
      <w:pPr>
        <w:rPr>
          <w:lang w:val="it-IT"/>
        </w:rPr>
      </w:pPr>
    </w:p>
    <w:p w14:paraId="246A3A8C" w14:textId="77777777" w:rsidR="009C0666" w:rsidRPr="006A2BF9" w:rsidRDefault="009C0666" w:rsidP="009C0666">
      <w:pPr>
        <w:rPr>
          <w:lang w:val="it-IT"/>
        </w:rPr>
      </w:pPr>
    </w:p>
    <w:p w14:paraId="1A54CEB9" w14:textId="77777777" w:rsidR="009C0666" w:rsidRPr="006A2BF9" w:rsidRDefault="009C0666" w:rsidP="00D71134">
      <w:pPr>
        <w:keepNext/>
        <w:keepLines/>
        <w:ind w:left="567" w:hanging="567"/>
        <w:rPr>
          <w:b/>
          <w:bCs/>
          <w:lang w:val="it-IT"/>
        </w:rPr>
      </w:pPr>
      <w:r w:rsidRPr="006A2BF9">
        <w:rPr>
          <w:b/>
          <w:bCs/>
          <w:lang w:val="it-IT"/>
        </w:rPr>
        <w:lastRenderedPageBreak/>
        <w:t>7.</w:t>
      </w:r>
      <w:r w:rsidRPr="006A2BF9">
        <w:rPr>
          <w:b/>
          <w:bCs/>
          <w:lang w:val="it-IT"/>
        </w:rPr>
        <w:tab/>
        <w:t>TITOLARE DELL’AUTORIZZAZIONE ALL’IMMISSIONE IN COMMERCIO</w:t>
      </w:r>
    </w:p>
    <w:p w14:paraId="428B5C15" w14:textId="77777777" w:rsidR="009C0666" w:rsidRPr="006A2BF9" w:rsidRDefault="009C0666" w:rsidP="006665AD">
      <w:pPr>
        <w:keepNext/>
        <w:keepLines/>
        <w:rPr>
          <w:lang w:val="it-IT"/>
        </w:rPr>
      </w:pPr>
    </w:p>
    <w:p w14:paraId="77587967" w14:textId="77777777" w:rsidR="001A78BF" w:rsidRPr="006A2BF9" w:rsidRDefault="001A78BF" w:rsidP="001A78BF">
      <w:pPr>
        <w:rPr>
          <w:lang w:val="it-IT"/>
        </w:rPr>
      </w:pPr>
      <w:r w:rsidRPr="006A2BF9">
        <w:rPr>
          <w:spacing w:val="-1"/>
          <w:lang w:val="it-IT" w:eastAsia="ko-KR"/>
        </w:rPr>
        <w:t>Samsung Bioepis NL B.V.</w:t>
      </w:r>
    </w:p>
    <w:p w14:paraId="18365437" w14:textId="77777777" w:rsidR="001A78BF" w:rsidRPr="006A2BF9" w:rsidRDefault="001A78BF" w:rsidP="001A78BF">
      <w:pPr>
        <w:rPr>
          <w:lang w:val="it-IT"/>
        </w:rPr>
      </w:pPr>
      <w:r w:rsidRPr="006A2BF9">
        <w:rPr>
          <w:lang w:val="it-IT"/>
        </w:rPr>
        <w:t>Olof Palmestraat 10</w:t>
      </w:r>
    </w:p>
    <w:p w14:paraId="774975C1" w14:textId="77777777" w:rsidR="001A78BF" w:rsidRPr="006A2BF9" w:rsidRDefault="001A78BF" w:rsidP="001A78BF">
      <w:pPr>
        <w:rPr>
          <w:lang w:val="it-IT"/>
        </w:rPr>
      </w:pPr>
      <w:r w:rsidRPr="006A2BF9">
        <w:rPr>
          <w:lang w:val="it-IT"/>
        </w:rPr>
        <w:t>2616 LR Delft</w:t>
      </w:r>
    </w:p>
    <w:p w14:paraId="58375AA8" w14:textId="77777777" w:rsidR="001A78BF" w:rsidRPr="006A2BF9" w:rsidRDefault="001A78BF" w:rsidP="001A78BF">
      <w:pPr>
        <w:rPr>
          <w:lang w:val="it-IT"/>
        </w:rPr>
      </w:pPr>
      <w:r w:rsidRPr="006A2BF9">
        <w:rPr>
          <w:lang w:val="it-IT"/>
        </w:rPr>
        <w:t>Paesi Bassi</w:t>
      </w:r>
    </w:p>
    <w:p w14:paraId="5E9DCE73" w14:textId="77777777" w:rsidR="009C0666" w:rsidRDefault="000B1DED" w:rsidP="009C0666">
      <w:pPr>
        <w:rPr>
          <w:lang w:val="it-IT"/>
        </w:rPr>
      </w:pPr>
      <w:r>
        <w:fldChar w:fldCharType="begin"/>
      </w:r>
      <w:r w:rsidRPr="001A04C2">
        <w:rPr>
          <w:lang w:val="it-IT"/>
          <w:rPrChange w:id="10" w:author="Author">
            <w:rPr/>
          </w:rPrChange>
        </w:rPr>
        <w:instrText xml:space="preserve"> HYPERLINK "mailto:bioepis.mi@medinformation.co.uk" </w:instrText>
      </w:r>
      <w:r>
        <w:fldChar w:fldCharType="separate"/>
      </w:r>
      <w:r w:rsidR="00E56AD8" w:rsidRPr="00121152">
        <w:rPr>
          <w:rStyle w:val="Hyperlink"/>
          <w:lang w:val="it-IT"/>
        </w:rPr>
        <w:t>bioepis.mi@medinformation.co.uk</w:t>
      </w:r>
      <w:r>
        <w:rPr>
          <w:rStyle w:val="Hyperlink"/>
          <w:lang w:val="it-IT"/>
        </w:rPr>
        <w:fldChar w:fldCharType="end"/>
      </w:r>
    </w:p>
    <w:p w14:paraId="6705EF70" w14:textId="77777777" w:rsidR="00E56AD8" w:rsidRPr="00121152" w:rsidRDefault="00E56AD8" w:rsidP="009C0666">
      <w:pPr>
        <w:rPr>
          <w:rFonts w:eastAsia="Yu Mincho"/>
          <w:lang w:val="it-IT"/>
        </w:rPr>
      </w:pPr>
    </w:p>
    <w:p w14:paraId="69BF7779" w14:textId="77777777" w:rsidR="009C0666" w:rsidRPr="006A2BF9" w:rsidRDefault="009C0666" w:rsidP="009C0666">
      <w:pPr>
        <w:rPr>
          <w:lang w:val="it-IT"/>
        </w:rPr>
      </w:pPr>
    </w:p>
    <w:p w14:paraId="71574A5A" w14:textId="77777777" w:rsidR="009C0666" w:rsidRPr="006A2BF9" w:rsidRDefault="009C0666" w:rsidP="00C622C9">
      <w:pPr>
        <w:keepNext/>
        <w:ind w:left="567" w:hanging="567"/>
        <w:rPr>
          <w:b/>
          <w:bCs/>
          <w:lang w:val="it-IT"/>
        </w:rPr>
      </w:pPr>
      <w:r w:rsidRPr="006A2BF9">
        <w:rPr>
          <w:b/>
          <w:bCs/>
          <w:lang w:val="it-IT"/>
        </w:rPr>
        <w:t>8.</w:t>
      </w:r>
      <w:r w:rsidRPr="006A2BF9">
        <w:rPr>
          <w:b/>
          <w:bCs/>
          <w:lang w:val="it-IT"/>
        </w:rPr>
        <w:tab/>
        <w:t>NUMERO(I) DELL’AUTORIZZAZIONE ALL’IMMISSIONE IN COMMERCIO</w:t>
      </w:r>
    </w:p>
    <w:p w14:paraId="3CCC4007" w14:textId="77777777" w:rsidR="009C0666" w:rsidRPr="006A2BF9" w:rsidRDefault="009C0666" w:rsidP="009C0666">
      <w:pPr>
        <w:rPr>
          <w:lang w:val="it-IT"/>
        </w:rPr>
      </w:pPr>
    </w:p>
    <w:p w14:paraId="02C12496" w14:textId="77777777" w:rsidR="00DC4C6E" w:rsidRPr="006A2BF9" w:rsidRDefault="00DC4C6E" w:rsidP="009C0666">
      <w:pPr>
        <w:rPr>
          <w:lang w:val="it-IT"/>
        </w:rPr>
      </w:pPr>
      <w:r w:rsidRPr="006A2BF9">
        <w:rPr>
          <w:lang w:val="it-IT"/>
        </w:rPr>
        <w:t>EU/1/20/1454/001 – flaconcino da 100 mg/4 mL</w:t>
      </w:r>
    </w:p>
    <w:p w14:paraId="46A55261" w14:textId="77777777" w:rsidR="00057C8D" w:rsidRPr="006A2BF9" w:rsidRDefault="00DC4C6E" w:rsidP="009C0666">
      <w:pPr>
        <w:rPr>
          <w:lang w:val="it-IT"/>
        </w:rPr>
      </w:pPr>
      <w:r w:rsidRPr="006A2BF9">
        <w:rPr>
          <w:lang w:val="it-IT"/>
        </w:rPr>
        <w:t>EU/1/20/1454/002 – flaconcino da 400 mg/16 mL</w:t>
      </w:r>
    </w:p>
    <w:p w14:paraId="4F561C72" w14:textId="77777777" w:rsidR="00057C8D" w:rsidRPr="006A2BF9" w:rsidRDefault="00057C8D" w:rsidP="009C0666">
      <w:pPr>
        <w:rPr>
          <w:lang w:val="it-IT"/>
        </w:rPr>
      </w:pPr>
    </w:p>
    <w:p w14:paraId="358E1DA7" w14:textId="77777777" w:rsidR="009C0666" w:rsidRPr="006A2BF9" w:rsidRDefault="009C0666" w:rsidP="009C0666">
      <w:pPr>
        <w:rPr>
          <w:lang w:val="it-IT"/>
        </w:rPr>
      </w:pPr>
    </w:p>
    <w:p w14:paraId="28145A26" w14:textId="77777777" w:rsidR="009C0666" w:rsidRPr="006A2BF9" w:rsidRDefault="009C0666" w:rsidP="001A214C">
      <w:pPr>
        <w:keepNext/>
        <w:keepLines/>
        <w:ind w:left="567" w:hanging="567"/>
        <w:rPr>
          <w:b/>
          <w:bCs/>
          <w:lang w:val="it-IT"/>
        </w:rPr>
      </w:pPr>
      <w:r w:rsidRPr="006A2BF9">
        <w:rPr>
          <w:b/>
          <w:bCs/>
          <w:lang w:val="it-IT"/>
        </w:rPr>
        <w:t>9.</w:t>
      </w:r>
      <w:r w:rsidRPr="006A2BF9">
        <w:rPr>
          <w:b/>
          <w:bCs/>
          <w:lang w:val="it-IT"/>
        </w:rPr>
        <w:tab/>
        <w:t>DATA DELLA PRIMA AUTORIZZAZIONE/RINNOVO DELL’AUTORIZZAZIONE</w:t>
      </w:r>
    </w:p>
    <w:p w14:paraId="2FD32C69" w14:textId="77777777" w:rsidR="009C0666" w:rsidRPr="006A2BF9" w:rsidRDefault="009C0666" w:rsidP="001A214C">
      <w:pPr>
        <w:keepNext/>
        <w:keepLines/>
        <w:rPr>
          <w:lang w:val="it-IT"/>
        </w:rPr>
      </w:pPr>
    </w:p>
    <w:p w14:paraId="535B925B" w14:textId="222B411A" w:rsidR="009C0666" w:rsidRDefault="00DC4C6E" w:rsidP="001A214C">
      <w:pPr>
        <w:keepNext/>
        <w:keepLines/>
        <w:rPr>
          <w:lang w:val="it-IT"/>
        </w:rPr>
      </w:pPr>
      <w:r w:rsidRPr="006A2BF9">
        <w:rPr>
          <w:lang w:val="it-IT"/>
        </w:rPr>
        <w:t>Data della prima autorizzazione:</w:t>
      </w:r>
      <w:r w:rsidR="00365467">
        <w:rPr>
          <w:lang w:val="it-IT"/>
        </w:rPr>
        <w:t xml:space="preserve"> 19 agosto 2020</w:t>
      </w:r>
    </w:p>
    <w:p w14:paraId="706D3445" w14:textId="38C4F110" w:rsidR="00C05B1E" w:rsidRPr="006A2BF9" w:rsidRDefault="00C05B1E" w:rsidP="001A214C">
      <w:pPr>
        <w:keepNext/>
        <w:keepLines/>
        <w:rPr>
          <w:lang w:val="it-IT"/>
        </w:rPr>
      </w:pPr>
      <w:r>
        <w:t>Data dell’ultimo rinnovo:</w:t>
      </w:r>
      <w:r w:rsidRPr="00C05B1E">
        <w:rPr>
          <w:lang w:val="it-IT"/>
        </w:rPr>
        <w:t xml:space="preserve"> </w:t>
      </w:r>
      <w:r>
        <w:rPr>
          <w:lang w:val="it-IT"/>
        </w:rPr>
        <w:t>05</w:t>
      </w:r>
      <w:r w:rsidRPr="00C05B1E">
        <w:rPr>
          <w:lang w:val="it-IT"/>
        </w:rPr>
        <w:t xml:space="preserve"> giugno 20</w:t>
      </w:r>
      <w:r>
        <w:rPr>
          <w:lang w:val="it-IT"/>
        </w:rPr>
        <w:t>25</w:t>
      </w:r>
    </w:p>
    <w:p w14:paraId="7B0AA192" w14:textId="77777777" w:rsidR="004D53EF" w:rsidRPr="006A2BF9" w:rsidRDefault="004D53EF" w:rsidP="001A214C">
      <w:pPr>
        <w:keepNext/>
        <w:keepLines/>
        <w:rPr>
          <w:lang w:val="it-IT"/>
        </w:rPr>
      </w:pPr>
    </w:p>
    <w:p w14:paraId="61E5492F" w14:textId="77777777" w:rsidR="00057C8D" w:rsidRPr="006A2BF9" w:rsidRDefault="00057C8D" w:rsidP="001A214C">
      <w:pPr>
        <w:keepNext/>
        <w:keepLines/>
        <w:rPr>
          <w:lang w:val="it-IT"/>
        </w:rPr>
      </w:pPr>
    </w:p>
    <w:p w14:paraId="343586B0" w14:textId="77777777" w:rsidR="009C0666" w:rsidRPr="006A2BF9" w:rsidRDefault="00303533" w:rsidP="00691883">
      <w:pPr>
        <w:ind w:left="567" w:hanging="567"/>
        <w:rPr>
          <w:b/>
          <w:bCs/>
          <w:lang w:val="it-IT"/>
        </w:rPr>
      </w:pPr>
      <w:r w:rsidRPr="006A2BF9">
        <w:rPr>
          <w:b/>
          <w:bCs/>
          <w:lang w:val="it-IT"/>
        </w:rPr>
        <w:t>10.</w:t>
      </w:r>
      <w:r w:rsidRPr="006A2BF9">
        <w:rPr>
          <w:b/>
          <w:bCs/>
          <w:lang w:val="it-IT"/>
        </w:rPr>
        <w:tab/>
      </w:r>
      <w:r w:rsidR="009C0666" w:rsidRPr="006A2BF9">
        <w:rPr>
          <w:b/>
          <w:bCs/>
          <w:lang w:val="it-IT"/>
        </w:rPr>
        <w:t>DATA DI REVISIONE DEL TESTO</w:t>
      </w:r>
    </w:p>
    <w:p w14:paraId="442B4D9D" w14:textId="77777777" w:rsidR="001A78BF" w:rsidRPr="006A2BF9" w:rsidRDefault="001A78BF" w:rsidP="00691883">
      <w:pPr>
        <w:ind w:left="567" w:hanging="567"/>
        <w:rPr>
          <w:b/>
          <w:bCs/>
          <w:lang w:val="it-IT"/>
        </w:rPr>
      </w:pPr>
    </w:p>
    <w:p w14:paraId="4C4D6B08" w14:textId="77777777" w:rsidR="00826D3E" w:rsidRPr="00330A40" w:rsidRDefault="00826D3E" w:rsidP="00303533">
      <w:pPr>
        <w:rPr>
          <w:lang w:val="it-IT"/>
        </w:rPr>
      </w:pPr>
      <w:r w:rsidRPr="006A2BF9">
        <w:rPr>
          <w:lang w:val="it-IT"/>
        </w:rPr>
        <w:t>Informazioni più dettagliate su questo medicinale sono disponibili sul sito web dell</w:t>
      </w:r>
      <w:r w:rsidR="001A78BF" w:rsidRPr="006A2BF9">
        <w:rPr>
          <w:lang w:val="it-IT"/>
        </w:rPr>
        <w:t>’</w:t>
      </w:r>
      <w:r w:rsidRPr="006A2BF9">
        <w:rPr>
          <w:lang w:val="it-IT"/>
        </w:rPr>
        <w:t xml:space="preserve">Agenzia </w:t>
      </w:r>
      <w:r w:rsidR="001A78BF" w:rsidRPr="006A2BF9">
        <w:rPr>
          <w:lang w:val="it-IT"/>
        </w:rPr>
        <w:t>e</w:t>
      </w:r>
      <w:r w:rsidRPr="006A2BF9">
        <w:rPr>
          <w:lang w:val="it-IT"/>
        </w:rPr>
        <w:t xml:space="preserve">uropea dei </w:t>
      </w:r>
      <w:r w:rsidR="001A78BF" w:rsidRPr="006A2BF9">
        <w:rPr>
          <w:lang w:val="it-IT"/>
        </w:rPr>
        <w:t>m</w:t>
      </w:r>
      <w:r w:rsidRPr="006A2BF9">
        <w:rPr>
          <w:lang w:val="it-IT"/>
        </w:rPr>
        <w:t>edicinali</w:t>
      </w:r>
      <w:r w:rsidR="001A78BF" w:rsidRPr="006A2BF9">
        <w:rPr>
          <w:lang w:val="it-IT"/>
        </w:rPr>
        <w:t>,</w:t>
      </w:r>
      <w:r w:rsidRPr="006A2BF9">
        <w:rPr>
          <w:lang w:val="it-IT"/>
        </w:rPr>
        <w:t xml:space="preserve"> </w:t>
      </w:r>
      <w:hyperlink r:id="rId14" w:history="1">
        <w:r w:rsidR="003D4A5B" w:rsidRPr="00330A40">
          <w:rPr>
            <w:rStyle w:val="Hyperlink"/>
            <w:lang w:val="it-IT"/>
          </w:rPr>
          <w:t>http://www.ema.europa.eu</w:t>
        </w:r>
      </w:hyperlink>
      <w:r w:rsidR="00DB12C8" w:rsidRPr="00330A40">
        <w:rPr>
          <w:lang w:val="it-IT"/>
        </w:rPr>
        <w:t>.</w:t>
      </w:r>
    </w:p>
    <w:p w14:paraId="510FFA6E" w14:textId="77777777" w:rsidR="003D4A5B" w:rsidRPr="00330A40" w:rsidRDefault="003D4A5B" w:rsidP="00303533">
      <w:pPr>
        <w:rPr>
          <w:b/>
          <w:bCs/>
          <w:lang w:val="it-IT"/>
        </w:rPr>
      </w:pPr>
    </w:p>
    <w:p w14:paraId="6D0736B5" w14:textId="77777777" w:rsidR="009C0666" w:rsidRPr="00330A40" w:rsidRDefault="009C0666" w:rsidP="009C0666">
      <w:pPr>
        <w:suppressAutoHyphens/>
        <w:rPr>
          <w:lang w:val="it-IT"/>
        </w:rPr>
      </w:pPr>
      <w:r w:rsidRPr="00330A40">
        <w:rPr>
          <w:b/>
          <w:bCs/>
          <w:lang w:val="it-IT"/>
        </w:rPr>
        <w:br w:type="page"/>
      </w:r>
    </w:p>
    <w:p w14:paraId="48CABB69" w14:textId="77777777" w:rsidR="009C0666" w:rsidRPr="00330A40" w:rsidRDefault="009C0666" w:rsidP="009C0666">
      <w:pPr>
        <w:suppressAutoHyphens/>
        <w:rPr>
          <w:lang w:val="it-IT"/>
        </w:rPr>
      </w:pPr>
    </w:p>
    <w:p w14:paraId="24847626" w14:textId="77777777" w:rsidR="009C0666" w:rsidRPr="00330A40" w:rsidRDefault="009C0666" w:rsidP="009C0666">
      <w:pPr>
        <w:suppressAutoHyphens/>
        <w:rPr>
          <w:lang w:val="it-IT"/>
        </w:rPr>
      </w:pPr>
    </w:p>
    <w:p w14:paraId="08B562D4" w14:textId="77777777" w:rsidR="009C0666" w:rsidRPr="00330A40" w:rsidRDefault="009C0666" w:rsidP="009C0666">
      <w:pPr>
        <w:suppressAutoHyphens/>
        <w:rPr>
          <w:lang w:val="it-IT"/>
        </w:rPr>
      </w:pPr>
    </w:p>
    <w:p w14:paraId="319D1C62" w14:textId="77777777" w:rsidR="009C0666" w:rsidRPr="00330A40" w:rsidRDefault="009C0666" w:rsidP="009C0666">
      <w:pPr>
        <w:suppressAutoHyphens/>
        <w:rPr>
          <w:lang w:val="it-IT"/>
        </w:rPr>
      </w:pPr>
    </w:p>
    <w:p w14:paraId="7356AC5F" w14:textId="77777777" w:rsidR="009C0666" w:rsidRPr="006A2BF9" w:rsidRDefault="009C0666" w:rsidP="009C0666">
      <w:pPr>
        <w:suppressAutoHyphens/>
        <w:rPr>
          <w:lang w:val="it-IT"/>
        </w:rPr>
      </w:pPr>
    </w:p>
    <w:p w14:paraId="5F1FB15F" w14:textId="77777777" w:rsidR="009C0666" w:rsidRPr="006A2BF9" w:rsidRDefault="009C0666" w:rsidP="009C0666">
      <w:pPr>
        <w:suppressAutoHyphens/>
        <w:rPr>
          <w:lang w:val="it-IT"/>
        </w:rPr>
      </w:pPr>
    </w:p>
    <w:p w14:paraId="5DE462E6" w14:textId="77777777" w:rsidR="009C0666" w:rsidRPr="006A2BF9" w:rsidRDefault="009C0666" w:rsidP="009C0666">
      <w:pPr>
        <w:suppressAutoHyphens/>
        <w:rPr>
          <w:lang w:val="it-IT"/>
        </w:rPr>
      </w:pPr>
    </w:p>
    <w:p w14:paraId="1DB30625" w14:textId="77777777" w:rsidR="009C0666" w:rsidRPr="006A2BF9" w:rsidRDefault="009C0666" w:rsidP="009C0666">
      <w:pPr>
        <w:suppressAutoHyphens/>
        <w:rPr>
          <w:lang w:val="it-IT"/>
        </w:rPr>
      </w:pPr>
    </w:p>
    <w:p w14:paraId="77FF8531" w14:textId="77777777" w:rsidR="009C0666" w:rsidRPr="006A2BF9" w:rsidRDefault="009C0666" w:rsidP="009C0666">
      <w:pPr>
        <w:suppressAutoHyphens/>
        <w:rPr>
          <w:lang w:val="it-IT"/>
        </w:rPr>
      </w:pPr>
    </w:p>
    <w:p w14:paraId="20A59B25" w14:textId="77777777" w:rsidR="009C0666" w:rsidRPr="006A2BF9" w:rsidRDefault="009C0666" w:rsidP="009C0666">
      <w:pPr>
        <w:suppressAutoHyphens/>
        <w:rPr>
          <w:lang w:val="it-IT"/>
        </w:rPr>
      </w:pPr>
    </w:p>
    <w:p w14:paraId="0C3D951D" w14:textId="77777777" w:rsidR="009C0666" w:rsidRPr="006A2BF9" w:rsidRDefault="009C0666" w:rsidP="009C0666">
      <w:pPr>
        <w:suppressAutoHyphens/>
        <w:rPr>
          <w:lang w:val="it-IT"/>
        </w:rPr>
      </w:pPr>
    </w:p>
    <w:p w14:paraId="318E35A1" w14:textId="77777777" w:rsidR="009C0666" w:rsidRPr="006A2BF9" w:rsidRDefault="009C0666" w:rsidP="009C0666">
      <w:pPr>
        <w:suppressAutoHyphens/>
        <w:rPr>
          <w:lang w:val="it-IT"/>
        </w:rPr>
      </w:pPr>
    </w:p>
    <w:p w14:paraId="37AC2EE4" w14:textId="77777777" w:rsidR="009C0666" w:rsidRPr="006A2BF9" w:rsidRDefault="009C0666" w:rsidP="009C0666">
      <w:pPr>
        <w:suppressAutoHyphens/>
        <w:rPr>
          <w:lang w:val="it-IT"/>
        </w:rPr>
      </w:pPr>
    </w:p>
    <w:p w14:paraId="638FACA7" w14:textId="77777777" w:rsidR="009C0666" w:rsidRPr="006A2BF9" w:rsidRDefault="009C0666" w:rsidP="009C0666">
      <w:pPr>
        <w:suppressAutoHyphens/>
        <w:rPr>
          <w:lang w:val="it-IT"/>
        </w:rPr>
      </w:pPr>
    </w:p>
    <w:p w14:paraId="19DF7BFB" w14:textId="77777777" w:rsidR="009C0666" w:rsidRPr="006A2BF9" w:rsidRDefault="009C0666" w:rsidP="009C0666">
      <w:pPr>
        <w:suppressAutoHyphens/>
        <w:rPr>
          <w:lang w:val="it-IT"/>
        </w:rPr>
      </w:pPr>
    </w:p>
    <w:p w14:paraId="2DA40295" w14:textId="77777777" w:rsidR="009C0666" w:rsidRPr="006A2BF9" w:rsidRDefault="009C0666" w:rsidP="009C0666">
      <w:pPr>
        <w:suppressAutoHyphens/>
        <w:rPr>
          <w:lang w:val="it-IT"/>
        </w:rPr>
      </w:pPr>
    </w:p>
    <w:p w14:paraId="0803E307" w14:textId="77777777" w:rsidR="009C0666" w:rsidRPr="006A2BF9" w:rsidRDefault="009C0666" w:rsidP="009C0666">
      <w:pPr>
        <w:suppressAutoHyphens/>
        <w:rPr>
          <w:lang w:val="it-IT"/>
        </w:rPr>
      </w:pPr>
    </w:p>
    <w:p w14:paraId="18292F4E" w14:textId="77777777" w:rsidR="009C0666" w:rsidRPr="006A2BF9" w:rsidRDefault="009C0666" w:rsidP="009C0666">
      <w:pPr>
        <w:suppressAutoHyphens/>
        <w:rPr>
          <w:lang w:val="it-IT"/>
        </w:rPr>
      </w:pPr>
    </w:p>
    <w:p w14:paraId="7F0879CE" w14:textId="77777777" w:rsidR="009C0666" w:rsidRPr="006A2BF9" w:rsidRDefault="009C0666" w:rsidP="009C0666">
      <w:pPr>
        <w:suppressAutoHyphens/>
        <w:rPr>
          <w:lang w:val="it-IT"/>
        </w:rPr>
      </w:pPr>
    </w:p>
    <w:p w14:paraId="0335D611" w14:textId="77777777" w:rsidR="009C0666" w:rsidRPr="006A2BF9" w:rsidRDefault="009C0666" w:rsidP="009C0666">
      <w:pPr>
        <w:suppressAutoHyphens/>
        <w:rPr>
          <w:lang w:val="it-IT"/>
        </w:rPr>
      </w:pPr>
    </w:p>
    <w:p w14:paraId="4361F1F6" w14:textId="77777777" w:rsidR="009C0666" w:rsidRPr="006A2BF9" w:rsidRDefault="009C0666" w:rsidP="009C0666">
      <w:pPr>
        <w:suppressAutoHyphens/>
        <w:rPr>
          <w:lang w:val="it-IT"/>
        </w:rPr>
      </w:pPr>
    </w:p>
    <w:p w14:paraId="1F8C5585" w14:textId="77777777" w:rsidR="009C0666" w:rsidRPr="006A2BF9" w:rsidRDefault="009C0666" w:rsidP="009C0666">
      <w:pPr>
        <w:rPr>
          <w:lang w:val="it-IT"/>
        </w:rPr>
      </w:pPr>
    </w:p>
    <w:p w14:paraId="65B9900D" w14:textId="77777777" w:rsidR="009C0666" w:rsidRPr="006A2BF9" w:rsidRDefault="009C0666" w:rsidP="00C61FAF">
      <w:pPr>
        <w:jc w:val="center"/>
        <w:rPr>
          <w:b/>
          <w:lang w:val="it-IT"/>
        </w:rPr>
      </w:pPr>
      <w:bookmarkStart w:id="11" w:name="_Hlk40623050"/>
      <w:r w:rsidRPr="006A2BF9">
        <w:rPr>
          <w:b/>
          <w:lang w:val="it-IT"/>
        </w:rPr>
        <w:t>ALLEGATO II</w:t>
      </w:r>
    </w:p>
    <w:p w14:paraId="1AD84088" w14:textId="77777777" w:rsidR="009C0666" w:rsidRPr="006A2BF9" w:rsidRDefault="009C0666" w:rsidP="009C0666">
      <w:pPr>
        <w:rPr>
          <w:lang w:val="it-IT"/>
        </w:rPr>
      </w:pPr>
    </w:p>
    <w:p w14:paraId="753053E8" w14:textId="77777777" w:rsidR="009C0666" w:rsidRPr="006A2BF9" w:rsidRDefault="009C0666" w:rsidP="009C0666">
      <w:pPr>
        <w:tabs>
          <w:tab w:val="left" w:pos="-720"/>
        </w:tabs>
        <w:suppressAutoHyphens/>
        <w:ind w:left="1701" w:right="1126" w:hanging="567"/>
        <w:rPr>
          <w:lang w:val="it-IT"/>
        </w:rPr>
      </w:pPr>
      <w:r w:rsidRPr="006A2BF9">
        <w:rPr>
          <w:b/>
          <w:lang w:val="it-IT"/>
        </w:rPr>
        <w:t>A.</w:t>
      </w:r>
      <w:r w:rsidRPr="006A2BF9">
        <w:rPr>
          <w:b/>
          <w:lang w:val="it-IT"/>
        </w:rPr>
        <w:tab/>
        <w:t>PRODUTTORE DEL PRINCIPIO ATTIVO BIOLOGICO E PRODU</w:t>
      </w:r>
      <w:r w:rsidR="007105B8" w:rsidRPr="006A2BF9">
        <w:rPr>
          <w:b/>
          <w:lang w:val="it-IT"/>
        </w:rPr>
        <w:t>TTORE</w:t>
      </w:r>
      <w:r w:rsidRPr="006A2BF9">
        <w:rPr>
          <w:b/>
          <w:lang w:val="it-IT"/>
        </w:rPr>
        <w:t xml:space="preserve"> RESPONSABILE DEL RILASCIO DEI LOTTI</w:t>
      </w:r>
    </w:p>
    <w:p w14:paraId="5A0FD574" w14:textId="77777777" w:rsidR="009C0666" w:rsidRPr="006A2BF9" w:rsidRDefault="009C0666" w:rsidP="009C0666">
      <w:pPr>
        <w:ind w:right="1126"/>
        <w:rPr>
          <w:lang w:val="it-IT"/>
        </w:rPr>
      </w:pPr>
    </w:p>
    <w:p w14:paraId="2C7CABD1" w14:textId="77777777" w:rsidR="009C0666" w:rsidRPr="006A2BF9" w:rsidRDefault="009C0666" w:rsidP="009C0666">
      <w:pPr>
        <w:tabs>
          <w:tab w:val="left" w:pos="-720"/>
        </w:tabs>
        <w:suppressAutoHyphens/>
        <w:ind w:left="1701" w:right="1126" w:hanging="567"/>
        <w:rPr>
          <w:b/>
          <w:lang w:val="it-IT"/>
        </w:rPr>
      </w:pPr>
      <w:r w:rsidRPr="006A2BF9">
        <w:rPr>
          <w:b/>
          <w:lang w:val="it-IT"/>
        </w:rPr>
        <w:t>B.</w:t>
      </w:r>
      <w:r w:rsidRPr="006A2BF9">
        <w:rPr>
          <w:b/>
          <w:lang w:val="it-IT"/>
        </w:rPr>
        <w:tab/>
        <w:t>CONDIZIONI</w:t>
      </w:r>
      <w:r w:rsidR="007105B8" w:rsidRPr="006A2BF9">
        <w:rPr>
          <w:b/>
          <w:lang w:val="it-IT"/>
        </w:rPr>
        <w:t xml:space="preserve"> O LIMITAZIONI DI FORNITURA E UTILIZZO</w:t>
      </w:r>
      <w:r w:rsidRPr="006A2BF9">
        <w:rPr>
          <w:b/>
          <w:lang w:val="it-IT"/>
        </w:rPr>
        <w:t xml:space="preserve"> </w:t>
      </w:r>
    </w:p>
    <w:p w14:paraId="45D84140" w14:textId="77777777" w:rsidR="007105B8" w:rsidRPr="006A2BF9" w:rsidRDefault="007105B8" w:rsidP="009C0666">
      <w:pPr>
        <w:tabs>
          <w:tab w:val="left" w:pos="-720"/>
        </w:tabs>
        <w:suppressAutoHyphens/>
        <w:ind w:left="1701" w:right="1126" w:hanging="567"/>
        <w:rPr>
          <w:lang w:val="it-IT"/>
        </w:rPr>
      </w:pPr>
    </w:p>
    <w:p w14:paraId="144C034D" w14:textId="77777777" w:rsidR="007105B8" w:rsidRPr="006A2BF9" w:rsidRDefault="007105B8" w:rsidP="009C0666">
      <w:pPr>
        <w:tabs>
          <w:tab w:val="left" w:pos="-720"/>
        </w:tabs>
        <w:suppressAutoHyphens/>
        <w:ind w:left="1701" w:right="1126" w:hanging="567"/>
        <w:rPr>
          <w:b/>
          <w:lang w:val="it-IT"/>
        </w:rPr>
      </w:pPr>
      <w:r w:rsidRPr="006A2BF9">
        <w:rPr>
          <w:b/>
          <w:lang w:val="it-IT"/>
        </w:rPr>
        <w:t>C.</w:t>
      </w:r>
      <w:r w:rsidRPr="006A2BF9">
        <w:rPr>
          <w:b/>
          <w:lang w:val="it-IT"/>
        </w:rPr>
        <w:tab/>
        <w:t>ALTRE CONDIZIONI E REQUISITI DELL’AUTORIZZAZIONE ALL’IMMISSIONE IN COMMERCIO</w:t>
      </w:r>
    </w:p>
    <w:bookmarkEnd w:id="11"/>
    <w:p w14:paraId="43276CA6" w14:textId="77777777" w:rsidR="0094706C" w:rsidRPr="006A2BF9" w:rsidRDefault="0094706C" w:rsidP="009C0666">
      <w:pPr>
        <w:tabs>
          <w:tab w:val="left" w:pos="-720"/>
        </w:tabs>
        <w:suppressAutoHyphens/>
        <w:ind w:left="1701" w:right="1126" w:hanging="567"/>
        <w:rPr>
          <w:b/>
          <w:lang w:val="it-IT"/>
        </w:rPr>
      </w:pPr>
    </w:p>
    <w:p w14:paraId="5A8007AD" w14:textId="77777777" w:rsidR="0094706C" w:rsidRPr="006A2BF9" w:rsidRDefault="0094706C" w:rsidP="0094706C">
      <w:pPr>
        <w:tabs>
          <w:tab w:val="left" w:pos="-720"/>
        </w:tabs>
        <w:suppressAutoHyphens/>
        <w:ind w:left="1701" w:right="567" w:hanging="567"/>
        <w:rPr>
          <w:b/>
          <w:lang w:val="it-IT"/>
        </w:rPr>
      </w:pPr>
      <w:r w:rsidRPr="006A2BF9">
        <w:rPr>
          <w:b/>
          <w:lang w:val="it-IT"/>
        </w:rPr>
        <w:t>D.</w:t>
      </w:r>
      <w:r w:rsidRPr="006A2BF9">
        <w:rPr>
          <w:b/>
          <w:lang w:val="it-IT"/>
        </w:rPr>
        <w:tab/>
        <w:t>CONDIZIONI O LIMITAZIONI PER QUANTO RIGUARDA L’USO SICURO ED EFFICACE DEL MEDICINALE</w:t>
      </w:r>
    </w:p>
    <w:p w14:paraId="7CB35CD9" w14:textId="77777777" w:rsidR="009C0666" w:rsidRPr="006A2BF9" w:rsidRDefault="009C0666" w:rsidP="009C0666">
      <w:pPr>
        <w:ind w:right="1126"/>
        <w:rPr>
          <w:lang w:val="it-IT"/>
        </w:rPr>
      </w:pPr>
    </w:p>
    <w:p w14:paraId="07FDEB58" w14:textId="77777777" w:rsidR="009C0666" w:rsidRPr="006A2BF9" w:rsidRDefault="009C0666" w:rsidP="00F610D1">
      <w:pPr>
        <w:pStyle w:val="AnnexHeading"/>
        <w:rPr>
          <w:lang w:val="it-IT"/>
        </w:rPr>
      </w:pPr>
      <w:r w:rsidRPr="006A2BF9">
        <w:rPr>
          <w:lang w:val="it-IT"/>
        </w:rPr>
        <w:br w:type="page"/>
      </w:r>
      <w:r w:rsidRPr="006A2BF9">
        <w:rPr>
          <w:lang w:val="it-IT"/>
        </w:rPr>
        <w:lastRenderedPageBreak/>
        <w:t>A.</w:t>
      </w:r>
      <w:r w:rsidRPr="006A2BF9">
        <w:rPr>
          <w:lang w:val="it-IT"/>
        </w:rPr>
        <w:tab/>
        <w:t>PRODUTTORE DEL PRINCIPIO ATTIVO BIOLOGICO E PRODU</w:t>
      </w:r>
      <w:r w:rsidR="007105B8" w:rsidRPr="006A2BF9">
        <w:rPr>
          <w:lang w:val="it-IT"/>
        </w:rPr>
        <w:t>TTORE</w:t>
      </w:r>
      <w:r w:rsidRPr="006A2BF9">
        <w:rPr>
          <w:lang w:val="it-IT"/>
        </w:rPr>
        <w:t xml:space="preserve"> RESPONSABIL</w:t>
      </w:r>
      <w:r w:rsidR="00331177" w:rsidRPr="006A2BF9">
        <w:rPr>
          <w:lang w:val="it-IT"/>
        </w:rPr>
        <w:t>E</w:t>
      </w:r>
      <w:r w:rsidRPr="006A2BF9">
        <w:rPr>
          <w:lang w:val="it-IT"/>
        </w:rPr>
        <w:t xml:space="preserve"> DEL RILASCIO DEI LOTTI</w:t>
      </w:r>
    </w:p>
    <w:p w14:paraId="333A41D9" w14:textId="77777777" w:rsidR="009C0666" w:rsidRPr="006A2BF9" w:rsidRDefault="009C0666" w:rsidP="009C0666">
      <w:pPr>
        <w:suppressAutoHyphens/>
        <w:rPr>
          <w:lang w:val="it-IT"/>
        </w:rPr>
      </w:pPr>
    </w:p>
    <w:p w14:paraId="5CFCE21E" w14:textId="77777777" w:rsidR="009C0666" w:rsidRPr="006A2BF9" w:rsidRDefault="009C0666" w:rsidP="009C0666">
      <w:pPr>
        <w:suppressAutoHyphens/>
        <w:rPr>
          <w:u w:val="single"/>
          <w:lang w:val="it-IT"/>
        </w:rPr>
      </w:pPr>
      <w:r w:rsidRPr="006A2BF9">
        <w:rPr>
          <w:u w:val="single"/>
          <w:lang w:val="it-IT"/>
        </w:rPr>
        <w:t>Nome e indirizzo de</w:t>
      </w:r>
      <w:r w:rsidR="001A78BF" w:rsidRPr="006A2BF9">
        <w:rPr>
          <w:u w:val="single"/>
          <w:lang w:val="it-IT"/>
        </w:rPr>
        <w:t>l</w:t>
      </w:r>
      <w:r w:rsidRPr="006A2BF9">
        <w:rPr>
          <w:u w:val="single"/>
          <w:lang w:val="it-IT"/>
        </w:rPr>
        <w:t xml:space="preserve"> produttor</w:t>
      </w:r>
      <w:r w:rsidR="001A78BF" w:rsidRPr="006A2BF9">
        <w:rPr>
          <w:u w:val="single"/>
          <w:lang w:val="it-IT"/>
        </w:rPr>
        <w:t>e</w:t>
      </w:r>
      <w:r w:rsidRPr="006A2BF9">
        <w:rPr>
          <w:u w:val="single"/>
          <w:lang w:val="it-IT"/>
        </w:rPr>
        <w:t xml:space="preserve"> del principio attivo biologico</w:t>
      </w:r>
    </w:p>
    <w:p w14:paraId="6C7B9341" w14:textId="77777777" w:rsidR="009C0666" w:rsidRPr="006A2BF9" w:rsidRDefault="009C0666" w:rsidP="009C0666">
      <w:pPr>
        <w:suppressAutoHyphens/>
        <w:rPr>
          <w:lang w:val="it-IT"/>
        </w:rPr>
      </w:pPr>
    </w:p>
    <w:p w14:paraId="5BCD1634" w14:textId="77777777" w:rsidR="001A78BF" w:rsidRPr="00ED70C3" w:rsidRDefault="00EA6765" w:rsidP="001A78BF">
      <w:pPr>
        <w:widowControl w:val="0"/>
        <w:autoSpaceDE w:val="0"/>
        <w:autoSpaceDN w:val="0"/>
        <w:adjustRightInd w:val="0"/>
        <w:ind w:right="119"/>
        <w:rPr>
          <w:color w:val="000000"/>
          <w:szCs w:val="22"/>
          <w:lang w:val="es-ES" w:eastAsia="ko-KR"/>
        </w:rPr>
      </w:pPr>
      <w:r>
        <w:rPr>
          <w:color w:val="000000"/>
          <w:szCs w:val="22"/>
        </w:rPr>
        <w:t>FUJIFILM Diosynth Biotechnologies Denmark ApS</w:t>
      </w:r>
      <w:r w:rsidR="001A78BF" w:rsidRPr="00ED70C3">
        <w:rPr>
          <w:color w:val="000000"/>
          <w:lang w:val="es-ES"/>
        </w:rPr>
        <w:br/>
      </w:r>
      <w:r>
        <w:rPr>
          <w:color w:val="000000"/>
          <w:szCs w:val="22"/>
        </w:rPr>
        <w:t>Biotek</w:t>
      </w:r>
      <w:r w:rsidR="001A78BF" w:rsidRPr="00ED70C3">
        <w:rPr>
          <w:color w:val="000000"/>
          <w:lang w:val="es-ES"/>
        </w:rPr>
        <w:t xml:space="preserve"> All</w:t>
      </w:r>
      <w:r w:rsidR="001A78BF" w:rsidRPr="00ED70C3">
        <w:rPr>
          <w:lang w:val="es-ES" w:eastAsia="ko-KR"/>
        </w:rPr>
        <w:t>é</w:t>
      </w:r>
      <w:r w:rsidR="001A78BF" w:rsidRPr="00ED70C3">
        <w:rPr>
          <w:color w:val="000000"/>
          <w:szCs w:val="22"/>
          <w:lang w:val="es-ES"/>
        </w:rPr>
        <w:t xml:space="preserve"> 1</w:t>
      </w:r>
      <w:r w:rsidR="001A78BF" w:rsidRPr="00ED70C3">
        <w:rPr>
          <w:color w:val="000000"/>
          <w:lang w:val="es-ES"/>
        </w:rPr>
        <w:br/>
        <w:t>Hiller</w:t>
      </w:r>
      <w:r w:rsidR="001A78BF" w:rsidRPr="00ED70C3">
        <w:rPr>
          <w:lang w:val="es-ES" w:eastAsia="ko-KR"/>
        </w:rPr>
        <w:t>ø</w:t>
      </w:r>
      <w:r w:rsidR="001A78BF" w:rsidRPr="00ED70C3">
        <w:rPr>
          <w:color w:val="000000"/>
          <w:szCs w:val="22"/>
          <w:lang w:val="es-ES"/>
        </w:rPr>
        <w:t>d</w:t>
      </w:r>
      <w:r w:rsidR="001A78BF" w:rsidRPr="00ED70C3">
        <w:rPr>
          <w:color w:val="000000"/>
          <w:szCs w:val="22"/>
          <w:lang w:val="es-ES" w:eastAsia="ko-KR"/>
        </w:rPr>
        <w:t xml:space="preserve">, </w:t>
      </w:r>
      <w:r w:rsidR="001A78BF" w:rsidRPr="00ED70C3">
        <w:rPr>
          <w:lang w:val="es-ES" w:eastAsia="ko-KR"/>
        </w:rPr>
        <w:t>3400,</w:t>
      </w:r>
      <w:r w:rsidR="001A78BF" w:rsidRPr="00ED70C3">
        <w:rPr>
          <w:color w:val="000000"/>
          <w:szCs w:val="22"/>
          <w:lang w:val="es-ES"/>
        </w:rPr>
        <w:br/>
        <w:t>Danimarca</w:t>
      </w:r>
    </w:p>
    <w:p w14:paraId="65D9B0D0" w14:textId="77777777" w:rsidR="00EA2EDA" w:rsidRPr="00ED70C3" w:rsidRDefault="00EA2EDA" w:rsidP="009C0666">
      <w:pPr>
        <w:suppressAutoHyphens/>
        <w:rPr>
          <w:lang w:val="es-ES"/>
        </w:rPr>
      </w:pPr>
    </w:p>
    <w:p w14:paraId="6B61194A" w14:textId="77777777" w:rsidR="009C0666" w:rsidRPr="00330A40" w:rsidRDefault="009C0666" w:rsidP="009C0666">
      <w:pPr>
        <w:suppressAutoHyphens/>
        <w:rPr>
          <w:lang w:val="it-IT"/>
        </w:rPr>
      </w:pPr>
      <w:r w:rsidRPr="00330A40">
        <w:rPr>
          <w:u w:val="single"/>
          <w:lang w:val="it-IT"/>
        </w:rPr>
        <w:t>Nome e indirizzo del produttore responsabile del rilascio dei lotti</w:t>
      </w:r>
    </w:p>
    <w:p w14:paraId="07142426" w14:textId="77777777" w:rsidR="009C0666" w:rsidRPr="00330A40" w:rsidRDefault="009C0666" w:rsidP="009C0666">
      <w:pPr>
        <w:suppressAutoHyphens/>
        <w:rPr>
          <w:lang w:val="it-IT"/>
        </w:rPr>
      </w:pPr>
    </w:p>
    <w:p w14:paraId="2ABB6773" w14:textId="77777777" w:rsidR="00A9347D" w:rsidRPr="00A9347D" w:rsidRDefault="00A9347D" w:rsidP="00A9347D">
      <w:pPr>
        <w:suppressAutoHyphens/>
        <w:rPr>
          <w:rFonts w:eastAsia="Yu Mincho"/>
        </w:rPr>
      </w:pPr>
      <w:r w:rsidRPr="00A9347D">
        <w:rPr>
          <w:rFonts w:eastAsia="Yu Mincho"/>
        </w:rPr>
        <w:t>Samsung Bioepis NL B.V.</w:t>
      </w:r>
    </w:p>
    <w:p w14:paraId="727C6F9B" w14:textId="77777777" w:rsidR="00A9347D" w:rsidRPr="00A9347D" w:rsidRDefault="00A9347D" w:rsidP="00A9347D">
      <w:pPr>
        <w:suppressAutoHyphens/>
        <w:rPr>
          <w:rFonts w:eastAsia="Yu Mincho"/>
        </w:rPr>
      </w:pPr>
      <w:r w:rsidRPr="00A9347D">
        <w:rPr>
          <w:rFonts w:eastAsia="Yu Mincho"/>
        </w:rPr>
        <w:t>Olof Palmestraat 10</w:t>
      </w:r>
    </w:p>
    <w:p w14:paraId="2AD27C6E" w14:textId="77777777" w:rsidR="00A9347D" w:rsidRPr="00A9347D" w:rsidRDefault="00A9347D" w:rsidP="00A9347D">
      <w:pPr>
        <w:suppressAutoHyphens/>
        <w:rPr>
          <w:rFonts w:eastAsia="Yu Mincho"/>
        </w:rPr>
      </w:pPr>
      <w:r w:rsidRPr="00A9347D">
        <w:rPr>
          <w:rFonts w:eastAsia="Yu Mincho"/>
        </w:rPr>
        <w:t>2616 LR Delft</w:t>
      </w:r>
    </w:p>
    <w:p w14:paraId="67FC49D2" w14:textId="77777777" w:rsidR="00A9347D" w:rsidRPr="00A9347D" w:rsidRDefault="00A9347D" w:rsidP="00A9347D">
      <w:pPr>
        <w:suppressAutoHyphens/>
        <w:rPr>
          <w:rFonts w:eastAsia="Yu Mincho"/>
        </w:rPr>
      </w:pPr>
      <w:r w:rsidRPr="00A9347D">
        <w:rPr>
          <w:rFonts w:eastAsia="Yu Mincho"/>
        </w:rPr>
        <w:t>Paesi Bassi</w:t>
      </w:r>
    </w:p>
    <w:p w14:paraId="54A8F087" w14:textId="77777777" w:rsidR="00A9347D" w:rsidRPr="00A9347D" w:rsidRDefault="00A9347D" w:rsidP="00A9347D">
      <w:pPr>
        <w:suppressAutoHyphens/>
        <w:rPr>
          <w:rFonts w:eastAsia="Yu Mincho"/>
        </w:rPr>
      </w:pPr>
    </w:p>
    <w:p w14:paraId="702052D1" w14:textId="77777777" w:rsidR="00A9347D" w:rsidRDefault="00A9347D" w:rsidP="00A9347D">
      <w:pPr>
        <w:suppressAutoHyphens/>
        <w:rPr>
          <w:rFonts w:eastAsia="Yu Mincho"/>
        </w:rPr>
      </w:pPr>
      <w:r w:rsidRPr="00A9347D">
        <w:rPr>
          <w:rFonts w:eastAsia="Yu Mincho"/>
        </w:rPr>
        <w:t>La stampa del foglio illustrativo deve riportare il nome e l'indirizzo del produttore responsabile che ha effettuato il rilascio del lotto.</w:t>
      </w:r>
    </w:p>
    <w:p w14:paraId="23160BB9" w14:textId="77777777" w:rsidR="00A9347D" w:rsidRPr="00671A63" w:rsidRDefault="00A9347D" w:rsidP="00A9347D">
      <w:pPr>
        <w:suppressAutoHyphens/>
        <w:rPr>
          <w:rFonts w:eastAsia="Yu Mincho"/>
        </w:rPr>
      </w:pPr>
    </w:p>
    <w:p w14:paraId="1FCC6BFC" w14:textId="77777777" w:rsidR="009C0666" w:rsidRPr="00ED70C3" w:rsidRDefault="009C0666" w:rsidP="009C0666">
      <w:pPr>
        <w:suppressAutoHyphens/>
        <w:rPr>
          <w:lang w:val="it-IT"/>
        </w:rPr>
      </w:pPr>
    </w:p>
    <w:p w14:paraId="005769BC" w14:textId="77777777" w:rsidR="009C0666" w:rsidRPr="00330A40" w:rsidRDefault="009C0666" w:rsidP="005F51B7">
      <w:pPr>
        <w:pStyle w:val="AnnexHeading"/>
        <w:rPr>
          <w:lang w:val="it-IT"/>
        </w:rPr>
      </w:pPr>
      <w:r w:rsidRPr="00330A40">
        <w:rPr>
          <w:lang w:val="it-IT"/>
        </w:rPr>
        <w:t>B.</w:t>
      </w:r>
      <w:r w:rsidRPr="00330A40">
        <w:rPr>
          <w:lang w:val="it-IT"/>
        </w:rPr>
        <w:tab/>
        <w:t xml:space="preserve">CONDIZIONI </w:t>
      </w:r>
      <w:r w:rsidR="007105B8" w:rsidRPr="00330A40">
        <w:rPr>
          <w:lang w:val="it-IT"/>
        </w:rPr>
        <w:t>O LIMITAZIONI DI FORNITURA E UTILIZZO</w:t>
      </w:r>
    </w:p>
    <w:p w14:paraId="347FF3D7" w14:textId="77777777" w:rsidR="009C0666" w:rsidRPr="00330A40" w:rsidRDefault="009C0666" w:rsidP="009C0666">
      <w:pPr>
        <w:suppressAutoHyphens/>
        <w:rPr>
          <w:lang w:val="it-IT"/>
        </w:rPr>
      </w:pPr>
    </w:p>
    <w:p w14:paraId="2BBA4ED5" w14:textId="77777777" w:rsidR="009C0666" w:rsidRPr="006A2BF9" w:rsidRDefault="009C0666" w:rsidP="009C0666">
      <w:pPr>
        <w:numPr>
          <w:ilvl w:val="12"/>
          <w:numId w:val="0"/>
        </w:numPr>
        <w:suppressAutoHyphens/>
        <w:rPr>
          <w:lang w:val="it-IT"/>
        </w:rPr>
      </w:pPr>
      <w:r w:rsidRPr="00330A40">
        <w:rPr>
          <w:lang w:val="it-IT"/>
        </w:rPr>
        <w:t xml:space="preserve">Medicinale soggetto a prescrizione medica limitativa (vedere </w:t>
      </w:r>
      <w:r w:rsidR="00606E09" w:rsidRPr="006A2BF9">
        <w:rPr>
          <w:lang w:val="it-IT"/>
        </w:rPr>
        <w:t>allegato </w:t>
      </w:r>
      <w:r w:rsidRPr="006A2BF9">
        <w:rPr>
          <w:lang w:val="it-IT"/>
        </w:rPr>
        <w:t xml:space="preserve">I: </w:t>
      </w:r>
      <w:r w:rsidR="00131C41" w:rsidRPr="006A2BF9">
        <w:rPr>
          <w:lang w:val="it-IT"/>
        </w:rPr>
        <w:t>r</w:t>
      </w:r>
      <w:r w:rsidRPr="006A2BF9">
        <w:rPr>
          <w:lang w:val="it-IT"/>
        </w:rPr>
        <w:t xml:space="preserve">iassunto delle </w:t>
      </w:r>
      <w:r w:rsidR="00131C41" w:rsidRPr="006A2BF9">
        <w:rPr>
          <w:lang w:val="it-IT"/>
        </w:rPr>
        <w:t>c</w:t>
      </w:r>
      <w:r w:rsidRPr="006A2BF9">
        <w:rPr>
          <w:lang w:val="it-IT"/>
        </w:rPr>
        <w:t xml:space="preserve">aratteristiche del </w:t>
      </w:r>
      <w:r w:rsidR="00131C41" w:rsidRPr="006A2BF9">
        <w:rPr>
          <w:lang w:val="it-IT"/>
        </w:rPr>
        <w:t>p</w:t>
      </w:r>
      <w:r w:rsidRPr="006A2BF9">
        <w:rPr>
          <w:lang w:val="it-IT"/>
        </w:rPr>
        <w:t>rodotto, paragrafo</w:t>
      </w:r>
      <w:r w:rsidR="009404C8" w:rsidRPr="006A2BF9">
        <w:rPr>
          <w:lang w:val="it-IT"/>
        </w:rPr>
        <w:t> </w:t>
      </w:r>
      <w:r w:rsidRPr="006A2BF9">
        <w:rPr>
          <w:lang w:val="it-IT"/>
        </w:rPr>
        <w:t>4.2).</w:t>
      </w:r>
    </w:p>
    <w:p w14:paraId="256F0D6F" w14:textId="77777777" w:rsidR="009C0666" w:rsidRPr="006A2BF9" w:rsidRDefault="009C0666" w:rsidP="009C0666">
      <w:pPr>
        <w:numPr>
          <w:ilvl w:val="12"/>
          <w:numId w:val="0"/>
        </w:numPr>
        <w:suppressAutoHyphens/>
        <w:ind w:left="567" w:hanging="567"/>
        <w:rPr>
          <w:b/>
          <w:lang w:val="it-IT"/>
        </w:rPr>
      </w:pPr>
    </w:p>
    <w:p w14:paraId="30631CD0" w14:textId="77777777" w:rsidR="009C0666" w:rsidRPr="006A2BF9" w:rsidRDefault="009C0666" w:rsidP="009C0666">
      <w:pPr>
        <w:rPr>
          <w:lang w:val="it-IT"/>
        </w:rPr>
      </w:pPr>
    </w:p>
    <w:p w14:paraId="655527F5" w14:textId="77777777" w:rsidR="009C0666" w:rsidRPr="006A2BF9" w:rsidRDefault="007105B8" w:rsidP="00CF0780">
      <w:pPr>
        <w:pStyle w:val="AnnexHeading"/>
        <w:rPr>
          <w:lang w:val="it-IT"/>
        </w:rPr>
      </w:pPr>
      <w:r w:rsidRPr="006A2BF9">
        <w:rPr>
          <w:lang w:val="it-IT"/>
        </w:rPr>
        <w:t>C.</w:t>
      </w:r>
      <w:r w:rsidRPr="006A2BF9">
        <w:rPr>
          <w:lang w:val="it-IT"/>
        </w:rPr>
        <w:tab/>
        <w:t>ALTRE CONDIZIONI E REQUISITI DELL’AUTORIZZAZIONE ALL’IMMISSIONE IN COMMERCIO</w:t>
      </w:r>
    </w:p>
    <w:p w14:paraId="0EEADE63" w14:textId="77777777" w:rsidR="007105B8" w:rsidRPr="006A2BF9" w:rsidRDefault="007105B8" w:rsidP="00CF0780">
      <w:pPr>
        <w:ind w:left="567" w:hanging="567"/>
        <w:rPr>
          <w:b/>
          <w:lang w:val="it-IT"/>
        </w:rPr>
      </w:pPr>
    </w:p>
    <w:p w14:paraId="63624385" w14:textId="77777777" w:rsidR="00A443DF" w:rsidRPr="00330A40" w:rsidRDefault="00C91E39" w:rsidP="00C91E39">
      <w:pPr>
        <w:rPr>
          <w:lang w:val="it-IT"/>
        </w:rPr>
      </w:pPr>
      <w:r w:rsidRPr="00330A40">
        <w:rPr>
          <w:b/>
          <w:lang w:val="it-IT"/>
        </w:rPr>
        <w:sym w:font="Symbol" w:char="F0B7"/>
      </w:r>
      <w:r w:rsidRPr="00330A40">
        <w:rPr>
          <w:b/>
          <w:lang w:val="it-IT"/>
        </w:rPr>
        <w:tab/>
      </w:r>
      <w:r w:rsidR="00A443DF" w:rsidRPr="00330A40">
        <w:rPr>
          <w:b/>
          <w:lang w:val="it-IT"/>
        </w:rPr>
        <w:t>Rapporti periodici di aggiornamento sulla sicurezza</w:t>
      </w:r>
      <w:r w:rsidR="00A83E39" w:rsidRPr="00330A40">
        <w:rPr>
          <w:b/>
          <w:lang w:val="it-IT"/>
        </w:rPr>
        <w:t xml:space="preserve"> </w:t>
      </w:r>
      <w:r w:rsidR="00331177" w:rsidRPr="00330A40">
        <w:rPr>
          <w:b/>
          <w:lang w:val="it-IT"/>
        </w:rPr>
        <w:t>(PSUR)</w:t>
      </w:r>
    </w:p>
    <w:p w14:paraId="4BC53110" w14:textId="77777777" w:rsidR="00A443DF" w:rsidRPr="00330A40" w:rsidRDefault="00A443DF" w:rsidP="0094706C">
      <w:pPr>
        <w:rPr>
          <w:lang w:val="it-IT"/>
        </w:rPr>
      </w:pPr>
    </w:p>
    <w:p w14:paraId="66F8144B" w14:textId="77777777" w:rsidR="000D7E7E" w:rsidRPr="006A2BF9" w:rsidRDefault="000D7E7E" w:rsidP="0094706C">
      <w:pPr>
        <w:rPr>
          <w:lang w:val="it-IT"/>
        </w:rPr>
      </w:pPr>
      <w:r w:rsidRPr="00330A40">
        <w:rPr>
          <w:lang w:val="it-IT"/>
        </w:rPr>
        <w:t>I requisiti per la presentazione degli PSUR per questo medicinale sono definiti nell’elenco delle date di riferimento per l’Unione europea (elenco EURD) di cui all’articolo</w:t>
      </w:r>
      <w:r w:rsidR="00695E2B" w:rsidRPr="00330A40">
        <w:rPr>
          <w:lang w:val="it-IT"/>
        </w:rPr>
        <w:t> </w:t>
      </w:r>
      <w:r w:rsidRPr="00330A40">
        <w:rPr>
          <w:lang w:val="it-IT"/>
        </w:rPr>
        <w:t xml:space="preserve">107 </w:t>
      </w:r>
      <w:r w:rsidRPr="00330A40">
        <w:rPr>
          <w:i/>
          <w:lang w:val="it-IT"/>
        </w:rPr>
        <w:t>quater</w:t>
      </w:r>
      <w:r w:rsidRPr="00330A40">
        <w:rPr>
          <w:lang w:val="it-IT"/>
        </w:rPr>
        <w:t>, paragrafo</w:t>
      </w:r>
      <w:r w:rsidR="001F17BB" w:rsidRPr="00330A40">
        <w:rPr>
          <w:lang w:val="it-IT"/>
        </w:rPr>
        <w:t> </w:t>
      </w:r>
      <w:r w:rsidRPr="006A2BF9">
        <w:rPr>
          <w:lang w:val="it-IT"/>
        </w:rPr>
        <w:t xml:space="preserve">7, della direttiva 2001/83/CE e successive modifiche, pubblicato sul sito web </w:t>
      </w:r>
      <w:r w:rsidR="00131C41" w:rsidRPr="006A2BF9">
        <w:rPr>
          <w:lang w:val="it-IT"/>
        </w:rPr>
        <w:t>dell’Agenzia europea</w:t>
      </w:r>
      <w:r w:rsidRPr="006A2BF9">
        <w:rPr>
          <w:lang w:val="it-IT"/>
        </w:rPr>
        <w:t xml:space="preserve"> dei medicinali.</w:t>
      </w:r>
    </w:p>
    <w:p w14:paraId="562F6726" w14:textId="77777777" w:rsidR="0094706C" w:rsidRPr="006A2BF9" w:rsidRDefault="0094706C" w:rsidP="009C0666">
      <w:pPr>
        <w:ind w:right="-1"/>
        <w:rPr>
          <w:i/>
          <w:iCs/>
          <w:lang w:val="it-IT"/>
        </w:rPr>
      </w:pPr>
    </w:p>
    <w:p w14:paraId="7394F7D7" w14:textId="77777777" w:rsidR="00C37650" w:rsidRPr="006A2BF9" w:rsidRDefault="00C37650" w:rsidP="009C0666">
      <w:pPr>
        <w:ind w:right="-1"/>
        <w:rPr>
          <w:iCs/>
          <w:lang w:val="it-IT"/>
        </w:rPr>
      </w:pPr>
    </w:p>
    <w:p w14:paraId="34F4E78C" w14:textId="77777777" w:rsidR="0094706C" w:rsidRPr="006A2BF9" w:rsidRDefault="0094706C" w:rsidP="00B06A17">
      <w:pPr>
        <w:pStyle w:val="AnnexHeading"/>
        <w:keepNext/>
        <w:keepLines/>
        <w:rPr>
          <w:lang w:val="it-IT"/>
        </w:rPr>
      </w:pPr>
      <w:r w:rsidRPr="006A2BF9">
        <w:rPr>
          <w:lang w:val="it-IT"/>
        </w:rPr>
        <w:t>D.</w:t>
      </w:r>
      <w:r w:rsidRPr="006A2BF9">
        <w:rPr>
          <w:lang w:val="it-IT"/>
        </w:rPr>
        <w:tab/>
        <w:t>CONDIZIONI O LIMITAZIONI PER QUANTO RIGUARDA L’USO SICURO ED EFFICACE DEL MEDICINALE</w:t>
      </w:r>
    </w:p>
    <w:p w14:paraId="3263A3D4" w14:textId="77777777" w:rsidR="0094706C" w:rsidRPr="006A2BF9" w:rsidRDefault="0094706C" w:rsidP="00B06A17">
      <w:pPr>
        <w:keepNext/>
        <w:keepLines/>
        <w:ind w:right="-1"/>
        <w:rPr>
          <w:i/>
          <w:iCs/>
          <w:lang w:val="it-IT"/>
        </w:rPr>
      </w:pPr>
    </w:p>
    <w:p w14:paraId="3390B7CF" w14:textId="77777777" w:rsidR="009C0666" w:rsidRPr="00330A40" w:rsidRDefault="00C91E39" w:rsidP="00B06A17">
      <w:pPr>
        <w:keepNext/>
        <w:keepLines/>
        <w:ind w:right="-1"/>
        <w:rPr>
          <w:b/>
          <w:iCs/>
          <w:lang w:val="it-IT"/>
        </w:rPr>
      </w:pPr>
      <w:r w:rsidRPr="00330A40">
        <w:rPr>
          <w:b/>
          <w:iCs/>
          <w:lang w:val="it-IT"/>
        </w:rPr>
        <w:sym w:font="Symbol" w:char="F0B7"/>
      </w:r>
      <w:r w:rsidRPr="00330A40">
        <w:rPr>
          <w:b/>
          <w:iCs/>
          <w:lang w:val="it-IT"/>
        </w:rPr>
        <w:tab/>
      </w:r>
      <w:r w:rsidR="009C0666" w:rsidRPr="00330A40">
        <w:rPr>
          <w:b/>
          <w:iCs/>
          <w:lang w:val="it-IT"/>
        </w:rPr>
        <w:t>Piano di gestione del rischio</w:t>
      </w:r>
      <w:r w:rsidR="00DE46BC" w:rsidRPr="00330A40">
        <w:rPr>
          <w:b/>
          <w:iCs/>
          <w:lang w:val="it-IT"/>
        </w:rPr>
        <w:t xml:space="preserve"> (RMP)</w:t>
      </w:r>
    </w:p>
    <w:p w14:paraId="51E85817" w14:textId="77777777" w:rsidR="001A78BF" w:rsidRPr="00330A40" w:rsidRDefault="001A78BF" w:rsidP="00B06A17">
      <w:pPr>
        <w:keepNext/>
        <w:keepLines/>
        <w:rPr>
          <w:lang w:val="it-IT"/>
        </w:rPr>
      </w:pPr>
    </w:p>
    <w:p w14:paraId="598846AA" w14:textId="77777777" w:rsidR="00562077" w:rsidRPr="006A2BF9" w:rsidRDefault="00562077" w:rsidP="00B06A17">
      <w:pPr>
        <w:keepNext/>
        <w:keepLines/>
        <w:rPr>
          <w:lang w:val="it-IT"/>
        </w:rPr>
      </w:pPr>
      <w:r w:rsidRPr="00330A40">
        <w:rPr>
          <w:lang w:val="it-IT"/>
        </w:rPr>
        <w:t xml:space="preserve">Il titolare dell’autorizzazione all'immissione in commercio </w:t>
      </w:r>
      <w:r w:rsidRPr="00330A40">
        <w:rPr>
          <w:szCs w:val="22"/>
          <w:lang w:val="it-IT" w:eastAsia="it-IT"/>
        </w:rPr>
        <w:t xml:space="preserve">deve effettuare </w:t>
      </w:r>
      <w:r w:rsidRPr="00330A40">
        <w:rPr>
          <w:lang w:val="it-IT"/>
        </w:rPr>
        <w:t xml:space="preserve">le attività e </w:t>
      </w:r>
      <w:r w:rsidR="00C441C3" w:rsidRPr="00330A40">
        <w:rPr>
          <w:lang w:val="it-IT"/>
        </w:rPr>
        <w:t>le azioni</w:t>
      </w:r>
      <w:r w:rsidRPr="00330A40">
        <w:rPr>
          <w:lang w:val="it-IT"/>
        </w:rPr>
        <w:t xml:space="preserve"> di farmacovigilanza</w:t>
      </w:r>
      <w:r w:rsidR="00C441C3" w:rsidRPr="00330A40">
        <w:rPr>
          <w:lang w:val="it-IT"/>
        </w:rPr>
        <w:t xml:space="preserve"> richieste e dettagliate nel RMP approvato</w:t>
      </w:r>
      <w:r w:rsidRPr="00330A40">
        <w:rPr>
          <w:lang w:val="it-IT"/>
        </w:rPr>
        <w:t xml:space="preserve"> e presentato nel modulo</w:t>
      </w:r>
      <w:r w:rsidR="0056711F" w:rsidRPr="006A2BF9">
        <w:rPr>
          <w:lang w:val="it-IT"/>
        </w:rPr>
        <w:t> </w:t>
      </w:r>
      <w:r w:rsidRPr="006A2BF9">
        <w:rPr>
          <w:lang w:val="it-IT"/>
        </w:rPr>
        <w:t xml:space="preserve">1.8.2 dell’autorizzazione all'immissione in commercio e </w:t>
      </w:r>
      <w:r w:rsidR="00C441C3" w:rsidRPr="006A2BF9">
        <w:rPr>
          <w:lang w:val="it-IT"/>
        </w:rPr>
        <w:t>in ogni successivo aggiornamento approvato</w:t>
      </w:r>
      <w:r w:rsidR="00C441C3" w:rsidRPr="006A2BF9" w:rsidDel="00C441C3">
        <w:rPr>
          <w:lang w:val="it-IT"/>
        </w:rPr>
        <w:t xml:space="preserve"> </w:t>
      </w:r>
      <w:r w:rsidRPr="006A2BF9">
        <w:rPr>
          <w:lang w:val="it-IT"/>
        </w:rPr>
        <w:t>del RMP.</w:t>
      </w:r>
    </w:p>
    <w:p w14:paraId="5C0BDF91" w14:textId="77777777" w:rsidR="00562077" w:rsidRPr="006A2BF9" w:rsidRDefault="00562077" w:rsidP="00C91E39">
      <w:pPr>
        <w:rPr>
          <w:lang w:val="it-IT"/>
        </w:rPr>
      </w:pPr>
    </w:p>
    <w:p w14:paraId="4E8CA886" w14:textId="77777777" w:rsidR="00562077" w:rsidRPr="006A2BF9" w:rsidRDefault="003D32F9" w:rsidP="00C91E39">
      <w:pPr>
        <w:rPr>
          <w:rFonts w:eastAsia="Yu Mincho"/>
          <w:lang w:val="it-IT"/>
        </w:rPr>
      </w:pPr>
      <w:r w:rsidRPr="006A2BF9">
        <w:rPr>
          <w:lang w:val="it-IT"/>
        </w:rPr>
        <w:t>I</w:t>
      </w:r>
      <w:r w:rsidR="00562077" w:rsidRPr="006A2BF9">
        <w:rPr>
          <w:lang w:val="it-IT"/>
        </w:rPr>
        <w:t>l RMP aggiornato deve essere presentato:</w:t>
      </w:r>
    </w:p>
    <w:p w14:paraId="0529F746" w14:textId="77777777" w:rsidR="00562077" w:rsidRPr="00330A40" w:rsidRDefault="00C91E39" w:rsidP="00C65E97">
      <w:pPr>
        <w:suppressLineNumbers/>
        <w:spacing w:line="260" w:lineRule="exact"/>
        <w:ind w:left="714" w:hanging="357"/>
        <w:rPr>
          <w:iCs/>
          <w:szCs w:val="22"/>
          <w:lang w:val="it-IT"/>
        </w:rPr>
      </w:pPr>
      <w:r w:rsidRPr="00330A40">
        <w:rPr>
          <w:iCs/>
          <w:szCs w:val="22"/>
          <w:lang w:val="it-IT"/>
        </w:rPr>
        <w:sym w:font="Symbol" w:char="F0B7"/>
      </w:r>
      <w:r w:rsidRPr="00330A40">
        <w:rPr>
          <w:iCs/>
          <w:szCs w:val="22"/>
          <w:lang w:val="it-IT"/>
        </w:rPr>
        <w:tab/>
      </w:r>
      <w:r w:rsidR="00562077" w:rsidRPr="00330A40">
        <w:rPr>
          <w:iCs/>
          <w:szCs w:val="22"/>
          <w:lang w:val="it-IT"/>
        </w:rPr>
        <w:t xml:space="preserve">su richiesta dell’Agenzia europea </w:t>
      </w:r>
      <w:r w:rsidR="00331177" w:rsidRPr="00330A40">
        <w:rPr>
          <w:iCs/>
          <w:szCs w:val="22"/>
          <w:lang w:val="it-IT"/>
        </w:rPr>
        <w:t>dei</w:t>
      </w:r>
      <w:r w:rsidR="00562077" w:rsidRPr="00330A40">
        <w:rPr>
          <w:iCs/>
          <w:szCs w:val="22"/>
          <w:lang w:val="it-IT"/>
        </w:rPr>
        <w:t xml:space="preserve"> medicinali;</w:t>
      </w:r>
    </w:p>
    <w:p w14:paraId="35FFDCB2" w14:textId="77777777" w:rsidR="00562077" w:rsidRPr="00330A40" w:rsidRDefault="00C91E39" w:rsidP="00C65E97">
      <w:pPr>
        <w:suppressLineNumbers/>
        <w:spacing w:line="260" w:lineRule="exact"/>
        <w:ind w:left="714" w:hanging="357"/>
        <w:rPr>
          <w:szCs w:val="24"/>
          <w:lang w:val="it-IT"/>
        </w:rPr>
      </w:pPr>
      <w:r w:rsidRPr="00330A40">
        <w:rPr>
          <w:iCs/>
          <w:szCs w:val="22"/>
          <w:lang w:val="it-IT"/>
        </w:rPr>
        <w:sym w:font="Symbol" w:char="F0B7"/>
      </w:r>
      <w:r w:rsidRPr="00330A40">
        <w:rPr>
          <w:iCs/>
          <w:szCs w:val="22"/>
          <w:lang w:val="it-IT"/>
        </w:rPr>
        <w:tab/>
      </w:r>
      <w:r w:rsidR="00562077" w:rsidRPr="00330A40">
        <w:rPr>
          <w:iCs/>
          <w:szCs w:val="22"/>
          <w:lang w:val="it-IT"/>
        </w:rPr>
        <w:t>ogni volta che il sistema di gestione del rischio è modificato, in particolare a seguito del ricevimento di nuove informazioni</w:t>
      </w:r>
      <w:r w:rsidR="00562077" w:rsidRPr="00330A40">
        <w:rPr>
          <w:szCs w:val="24"/>
          <w:lang w:val="it-IT"/>
        </w:rPr>
        <w:t xml:space="preserve"> che possono portare a un cambiamento significativo del profilo beneficio/rischio o </w:t>
      </w:r>
      <w:r w:rsidR="00C441C3" w:rsidRPr="00330A40">
        <w:rPr>
          <w:lang w:val="it-IT"/>
        </w:rPr>
        <w:t>a seguito</w:t>
      </w:r>
      <w:r w:rsidR="00C441C3" w:rsidRPr="00330A40">
        <w:rPr>
          <w:szCs w:val="24"/>
          <w:lang w:val="it-IT"/>
        </w:rPr>
        <w:t xml:space="preserve"> </w:t>
      </w:r>
      <w:r w:rsidR="00562077" w:rsidRPr="00330A40">
        <w:rPr>
          <w:szCs w:val="24"/>
          <w:lang w:val="it-IT"/>
        </w:rPr>
        <w:t>del raggiungimento di un importante obiettivo (di farmacovigilanza o di minimizzazione del rischio).</w:t>
      </w:r>
    </w:p>
    <w:p w14:paraId="33C26F35" w14:textId="77777777" w:rsidR="00562077" w:rsidRPr="00330A40" w:rsidRDefault="00562077" w:rsidP="00562077">
      <w:pPr>
        <w:suppressLineNumbers/>
        <w:tabs>
          <w:tab w:val="left" w:pos="567"/>
        </w:tabs>
        <w:spacing w:line="260" w:lineRule="exact"/>
        <w:ind w:right="-1"/>
        <w:rPr>
          <w:szCs w:val="24"/>
          <w:lang w:val="it-IT"/>
        </w:rPr>
      </w:pPr>
    </w:p>
    <w:p w14:paraId="4531163A" w14:textId="77777777" w:rsidR="009C0666" w:rsidRPr="00330A40" w:rsidRDefault="009C0666" w:rsidP="005C5A83">
      <w:pPr>
        <w:rPr>
          <w:lang w:val="it-IT"/>
        </w:rPr>
      </w:pPr>
      <w:r w:rsidRPr="00330A40">
        <w:rPr>
          <w:lang w:val="it-IT"/>
        </w:rPr>
        <w:br w:type="page"/>
      </w:r>
    </w:p>
    <w:p w14:paraId="072E7DF9" w14:textId="77777777" w:rsidR="009C0666" w:rsidRPr="00330A40" w:rsidRDefault="009C0666" w:rsidP="009C0666">
      <w:pPr>
        <w:suppressAutoHyphens/>
        <w:rPr>
          <w:lang w:val="it-IT"/>
        </w:rPr>
      </w:pPr>
    </w:p>
    <w:p w14:paraId="1DA37733" w14:textId="77777777" w:rsidR="009C0666" w:rsidRPr="006A2BF9" w:rsidRDefault="009C0666" w:rsidP="009C0666">
      <w:pPr>
        <w:rPr>
          <w:lang w:val="it-IT"/>
        </w:rPr>
      </w:pPr>
    </w:p>
    <w:p w14:paraId="2320ACC8" w14:textId="77777777" w:rsidR="009C0666" w:rsidRPr="006A2BF9" w:rsidRDefault="009C0666" w:rsidP="009C0666">
      <w:pPr>
        <w:rPr>
          <w:lang w:val="it-IT"/>
        </w:rPr>
      </w:pPr>
    </w:p>
    <w:p w14:paraId="3791328C" w14:textId="77777777" w:rsidR="009C0666" w:rsidRPr="006A2BF9" w:rsidRDefault="009C0666" w:rsidP="009C0666">
      <w:pPr>
        <w:rPr>
          <w:lang w:val="it-IT"/>
        </w:rPr>
      </w:pPr>
    </w:p>
    <w:p w14:paraId="584D000C" w14:textId="77777777" w:rsidR="009C0666" w:rsidRPr="006A2BF9" w:rsidRDefault="009C0666" w:rsidP="009C0666">
      <w:pPr>
        <w:rPr>
          <w:lang w:val="it-IT"/>
        </w:rPr>
      </w:pPr>
    </w:p>
    <w:p w14:paraId="1D07A860" w14:textId="77777777" w:rsidR="009C0666" w:rsidRPr="006A2BF9" w:rsidRDefault="009C0666" w:rsidP="009C0666">
      <w:pPr>
        <w:rPr>
          <w:lang w:val="it-IT"/>
        </w:rPr>
      </w:pPr>
    </w:p>
    <w:p w14:paraId="49D32073" w14:textId="77777777" w:rsidR="009C0666" w:rsidRPr="006A2BF9" w:rsidRDefault="009C0666" w:rsidP="009C0666">
      <w:pPr>
        <w:rPr>
          <w:lang w:val="it-IT"/>
        </w:rPr>
      </w:pPr>
    </w:p>
    <w:p w14:paraId="4390B0BF" w14:textId="77777777" w:rsidR="009C0666" w:rsidRPr="006A2BF9" w:rsidRDefault="009C0666" w:rsidP="009C0666">
      <w:pPr>
        <w:rPr>
          <w:lang w:val="it-IT"/>
        </w:rPr>
      </w:pPr>
    </w:p>
    <w:p w14:paraId="20D9687B" w14:textId="77777777" w:rsidR="009C0666" w:rsidRPr="006A2BF9" w:rsidRDefault="009C0666" w:rsidP="009C0666">
      <w:pPr>
        <w:rPr>
          <w:lang w:val="it-IT"/>
        </w:rPr>
      </w:pPr>
    </w:p>
    <w:p w14:paraId="4F89E909" w14:textId="77777777" w:rsidR="009C0666" w:rsidRPr="006A2BF9" w:rsidRDefault="009C0666" w:rsidP="009C0666">
      <w:pPr>
        <w:rPr>
          <w:lang w:val="it-IT"/>
        </w:rPr>
      </w:pPr>
    </w:p>
    <w:p w14:paraId="78BDDA81" w14:textId="77777777" w:rsidR="009C0666" w:rsidRPr="006A2BF9" w:rsidRDefault="009C0666" w:rsidP="009C0666">
      <w:pPr>
        <w:rPr>
          <w:lang w:val="it-IT"/>
        </w:rPr>
      </w:pPr>
    </w:p>
    <w:p w14:paraId="267477B5" w14:textId="77777777" w:rsidR="009C0666" w:rsidRPr="006A2BF9" w:rsidRDefault="009C0666" w:rsidP="009C0666">
      <w:pPr>
        <w:rPr>
          <w:lang w:val="it-IT"/>
        </w:rPr>
      </w:pPr>
    </w:p>
    <w:p w14:paraId="5D212382" w14:textId="77777777" w:rsidR="009C0666" w:rsidRPr="006A2BF9" w:rsidRDefault="009C0666" w:rsidP="009C0666">
      <w:pPr>
        <w:rPr>
          <w:lang w:val="it-IT"/>
        </w:rPr>
      </w:pPr>
    </w:p>
    <w:p w14:paraId="5B5C1A60" w14:textId="77777777" w:rsidR="009C0666" w:rsidRPr="006A2BF9" w:rsidRDefault="009C0666" w:rsidP="009C0666">
      <w:pPr>
        <w:rPr>
          <w:lang w:val="it-IT"/>
        </w:rPr>
      </w:pPr>
    </w:p>
    <w:p w14:paraId="776CC125" w14:textId="77777777" w:rsidR="009C0666" w:rsidRPr="006A2BF9" w:rsidRDefault="009C0666" w:rsidP="009C0666">
      <w:pPr>
        <w:rPr>
          <w:lang w:val="it-IT"/>
        </w:rPr>
      </w:pPr>
    </w:p>
    <w:p w14:paraId="223A9457" w14:textId="77777777" w:rsidR="009C0666" w:rsidRPr="006A2BF9" w:rsidRDefault="009C0666" w:rsidP="009C0666">
      <w:pPr>
        <w:rPr>
          <w:lang w:val="it-IT"/>
        </w:rPr>
      </w:pPr>
    </w:p>
    <w:p w14:paraId="3C5996A9" w14:textId="77777777" w:rsidR="009C0666" w:rsidRPr="006A2BF9" w:rsidRDefault="009C0666" w:rsidP="009C0666">
      <w:pPr>
        <w:rPr>
          <w:lang w:val="it-IT"/>
        </w:rPr>
      </w:pPr>
    </w:p>
    <w:p w14:paraId="53F5AF0E" w14:textId="77777777" w:rsidR="009C0666" w:rsidRPr="006A2BF9" w:rsidRDefault="009C0666" w:rsidP="009C0666">
      <w:pPr>
        <w:rPr>
          <w:lang w:val="it-IT"/>
        </w:rPr>
      </w:pPr>
    </w:p>
    <w:p w14:paraId="134987E0" w14:textId="77777777" w:rsidR="009C0666" w:rsidRPr="006A2BF9" w:rsidRDefault="009C0666" w:rsidP="009C0666">
      <w:pPr>
        <w:rPr>
          <w:lang w:val="it-IT"/>
        </w:rPr>
      </w:pPr>
    </w:p>
    <w:p w14:paraId="06EE6369" w14:textId="77777777" w:rsidR="009C0666" w:rsidRPr="006A2BF9" w:rsidRDefault="009C0666" w:rsidP="009C0666">
      <w:pPr>
        <w:rPr>
          <w:lang w:val="it-IT"/>
        </w:rPr>
      </w:pPr>
    </w:p>
    <w:p w14:paraId="02686E1E" w14:textId="77777777" w:rsidR="009C0666" w:rsidRPr="006A2BF9" w:rsidRDefault="009C0666" w:rsidP="009C0666">
      <w:pPr>
        <w:rPr>
          <w:lang w:val="it-IT"/>
        </w:rPr>
      </w:pPr>
    </w:p>
    <w:p w14:paraId="7B55267F" w14:textId="77777777" w:rsidR="009C0666" w:rsidRPr="006A2BF9" w:rsidRDefault="009C0666" w:rsidP="009C0666">
      <w:pPr>
        <w:rPr>
          <w:lang w:val="it-IT"/>
        </w:rPr>
      </w:pPr>
    </w:p>
    <w:p w14:paraId="0CB2DFC9" w14:textId="77777777" w:rsidR="009C0666" w:rsidRPr="006A2BF9" w:rsidRDefault="009C0666" w:rsidP="00C61FAF">
      <w:pPr>
        <w:jc w:val="center"/>
        <w:rPr>
          <w:b/>
          <w:lang w:val="it-IT"/>
        </w:rPr>
      </w:pPr>
      <w:r w:rsidRPr="006A2BF9">
        <w:rPr>
          <w:b/>
          <w:lang w:val="it-IT"/>
        </w:rPr>
        <w:t>ALLEGATO III</w:t>
      </w:r>
    </w:p>
    <w:p w14:paraId="453FDFFC" w14:textId="77777777" w:rsidR="009C0666" w:rsidRPr="006A2BF9" w:rsidRDefault="009C0666" w:rsidP="009C0666">
      <w:pPr>
        <w:jc w:val="center"/>
        <w:rPr>
          <w:b/>
          <w:bCs/>
          <w:lang w:val="it-IT"/>
        </w:rPr>
      </w:pPr>
    </w:p>
    <w:p w14:paraId="3E80A8B4" w14:textId="77777777" w:rsidR="009C0666" w:rsidRPr="006A2BF9" w:rsidRDefault="009C0666" w:rsidP="009C0666">
      <w:pPr>
        <w:jc w:val="center"/>
        <w:rPr>
          <w:b/>
          <w:bCs/>
          <w:lang w:val="it-IT"/>
        </w:rPr>
      </w:pPr>
      <w:r w:rsidRPr="006A2BF9">
        <w:rPr>
          <w:b/>
          <w:bCs/>
          <w:lang w:val="it-IT"/>
        </w:rPr>
        <w:t>ETICHETTATURA E FOGLIO ILLUSTRATIVO</w:t>
      </w:r>
    </w:p>
    <w:p w14:paraId="68D4D948" w14:textId="77777777" w:rsidR="009C0666" w:rsidRPr="006A2BF9" w:rsidRDefault="009C0666" w:rsidP="009C0666">
      <w:pPr>
        <w:rPr>
          <w:lang w:val="it-IT"/>
        </w:rPr>
      </w:pPr>
      <w:r w:rsidRPr="006A2BF9">
        <w:rPr>
          <w:lang w:val="it-IT"/>
        </w:rPr>
        <w:br w:type="page"/>
      </w:r>
    </w:p>
    <w:p w14:paraId="48A07B78" w14:textId="77777777" w:rsidR="009C0666" w:rsidRPr="006A2BF9" w:rsidRDefault="009C0666" w:rsidP="009C0666">
      <w:pPr>
        <w:rPr>
          <w:lang w:val="it-IT"/>
        </w:rPr>
      </w:pPr>
    </w:p>
    <w:p w14:paraId="4FAD7C0A" w14:textId="77777777" w:rsidR="009C0666" w:rsidRPr="006A2BF9" w:rsidRDefault="009C0666" w:rsidP="009C0666">
      <w:pPr>
        <w:rPr>
          <w:lang w:val="it-IT"/>
        </w:rPr>
      </w:pPr>
    </w:p>
    <w:p w14:paraId="4D7C767B" w14:textId="77777777" w:rsidR="009C0666" w:rsidRPr="006A2BF9" w:rsidRDefault="009C0666" w:rsidP="009C0666">
      <w:pPr>
        <w:rPr>
          <w:lang w:val="it-IT"/>
        </w:rPr>
      </w:pPr>
    </w:p>
    <w:p w14:paraId="3ADA2746" w14:textId="77777777" w:rsidR="009C0666" w:rsidRPr="006A2BF9" w:rsidRDefault="009C0666" w:rsidP="009C0666">
      <w:pPr>
        <w:rPr>
          <w:lang w:val="it-IT"/>
        </w:rPr>
      </w:pPr>
    </w:p>
    <w:p w14:paraId="5E21730F" w14:textId="77777777" w:rsidR="009C0666" w:rsidRPr="006A2BF9" w:rsidRDefault="009C0666" w:rsidP="009C0666">
      <w:pPr>
        <w:rPr>
          <w:lang w:val="it-IT"/>
        </w:rPr>
      </w:pPr>
    </w:p>
    <w:p w14:paraId="4447DCFE" w14:textId="77777777" w:rsidR="009C0666" w:rsidRPr="006A2BF9" w:rsidRDefault="009C0666" w:rsidP="009C0666">
      <w:pPr>
        <w:rPr>
          <w:lang w:val="it-IT"/>
        </w:rPr>
      </w:pPr>
    </w:p>
    <w:p w14:paraId="13F5CE3F" w14:textId="77777777" w:rsidR="009C0666" w:rsidRPr="006A2BF9" w:rsidRDefault="009C0666" w:rsidP="009C0666">
      <w:pPr>
        <w:rPr>
          <w:lang w:val="it-IT"/>
        </w:rPr>
      </w:pPr>
    </w:p>
    <w:p w14:paraId="57F615C9" w14:textId="77777777" w:rsidR="009C0666" w:rsidRPr="006A2BF9" w:rsidRDefault="009C0666" w:rsidP="009C0666">
      <w:pPr>
        <w:rPr>
          <w:lang w:val="it-IT"/>
        </w:rPr>
      </w:pPr>
    </w:p>
    <w:p w14:paraId="16AEA420" w14:textId="77777777" w:rsidR="009C0666" w:rsidRPr="006A2BF9" w:rsidRDefault="009C0666" w:rsidP="009C0666">
      <w:pPr>
        <w:rPr>
          <w:lang w:val="it-IT"/>
        </w:rPr>
      </w:pPr>
    </w:p>
    <w:p w14:paraId="44DB2CE0" w14:textId="77777777" w:rsidR="009C0666" w:rsidRPr="006A2BF9" w:rsidRDefault="009C0666" w:rsidP="009C0666">
      <w:pPr>
        <w:rPr>
          <w:lang w:val="it-IT"/>
        </w:rPr>
      </w:pPr>
    </w:p>
    <w:p w14:paraId="275571A2" w14:textId="77777777" w:rsidR="009C0666" w:rsidRPr="006A2BF9" w:rsidRDefault="009C0666" w:rsidP="009C0666">
      <w:pPr>
        <w:rPr>
          <w:lang w:val="it-IT"/>
        </w:rPr>
      </w:pPr>
    </w:p>
    <w:p w14:paraId="13F508AE" w14:textId="77777777" w:rsidR="009C0666" w:rsidRPr="006A2BF9" w:rsidRDefault="009C0666" w:rsidP="009C0666">
      <w:pPr>
        <w:rPr>
          <w:lang w:val="it-IT"/>
        </w:rPr>
      </w:pPr>
    </w:p>
    <w:p w14:paraId="3A5AB0DC" w14:textId="77777777" w:rsidR="009C0666" w:rsidRPr="006A2BF9" w:rsidRDefault="009C0666" w:rsidP="009C0666">
      <w:pPr>
        <w:rPr>
          <w:lang w:val="it-IT"/>
        </w:rPr>
      </w:pPr>
    </w:p>
    <w:p w14:paraId="443FC3DC" w14:textId="77777777" w:rsidR="009C0666" w:rsidRPr="006A2BF9" w:rsidRDefault="009C0666" w:rsidP="009C0666">
      <w:pPr>
        <w:rPr>
          <w:lang w:val="it-IT"/>
        </w:rPr>
      </w:pPr>
    </w:p>
    <w:p w14:paraId="5D49A3E4" w14:textId="77777777" w:rsidR="009C0666" w:rsidRPr="006A2BF9" w:rsidRDefault="009C0666" w:rsidP="009C0666">
      <w:pPr>
        <w:rPr>
          <w:lang w:val="it-IT"/>
        </w:rPr>
      </w:pPr>
    </w:p>
    <w:p w14:paraId="6D213AEA" w14:textId="77777777" w:rsidR="009C0666" w:rsidRPr="006A2BF9" w:rsidRDefault="009C0666" w:rsidP="009C0666">
      <w:pPr>
        <w:rPr>
          <w:lang w:val="it-IT"/>
        </w:rPr>
      </w:pPr>
    </w:p>
    <w:p w14:paraId="2EDE2216" w14:textId="77777777" w:rsidR="009C0666" w:rsidRPr="006A2BF9" w:rsidRDefault="009C0666" w:rsidP="009C0666">
      <w:pPr>
        <w:rPr>
          <w:lang w:val="it-IT"/>
        </w:rPr>
      </w:pPr>
    </w:p>
    <w:p w14:paraId="1ACE823B" w14:textId="77777777" w:rsidR="009C0666" w:rsidRPr="006A2BF9" w:rsidRDefault="009C0666" w:rsidP="009C0666">
      <w:pPr>
        <w:rPr>
          <w:lang w:val="it-IT"/>
        </w:rPr>
      </w:pPr>
    </w:p>
    <w:p w14:paraId="7F66DBE9" w14:textId="77777777" w:rsidR="009C0666" w:rsidRPr="006A2BF9" w:rsidRDefault="009C0666" w:rsidP="009C0666">
      <w:pPr>
        <w:rPr>
          <w:lang w:val="it-IT"/>
        </w:rPr>
      </w:pPr>
    </w:p>
    <w:p w14:paraId="280F689D" w14:textId="77777777" w:rsidR="009C0666" w:rsidRPr="006A2BF9" w:rsidRDefault="009C0666" w:rsidP="009C0666">
      <w:pPr>
        <w:rPr>
          <w:lang w:val="it-IT"/>
        </w:rPr>
      </w:pPr>
    </w:p>
    <w:p w14:paraId="722D2952" w14:textId="77777777" w:rsidR="009C0666" w:rsidRPr="006A2BF9" w:rsidRDefault="009C0666" w:rsidP="009C0666">
      <w:pPr>
        <w:rPr>
          <w:lang w:val="it-IT"/>
        </w:rPr>
      </w:pPr>
    </w:p>
    <w:p w14:paraId="49972A45" w14:textId="77777777" w:rsidR="009C0666" w:rsidRPr="006A2BF9" w:rsidRDefault="009C0666" w:rsidP="009C0666">
      <w:pPr>
        <w:rPr>
          <w:lang w:val="it-IT"/>
        </w:rPr>
      </w:pPr>
    </w:p>
    <w:p w14:paraId="473D8018" w14:textId="77777777" w:rsidR="009C0666" w:rsidRPr="006A2BF9" w:rsidRDefault="009C0666" w:rsidP="009C0666">
      <w:pPr>
        <w:pStyle w:val="Annex"/>
        <w:rPr>
          <w:lang w:val="it-IT"/>
        </w:rPr>
      </w:pPr>
      <w:r w:rsidRPr="006A2BF9">
        <w:rPr>
          <w:lang w:val="it-IT"/>
        </w:rPr>
        <w:t>A. ETICHETTATURA</w:t>
      </w:r>
    </w:p>
    <w:p w14:paraId="1D67E932" w14:textId="77777777" w:rsidR="009C0666" w:rsidRPr="006A2BF9" w:rsidRDefault="009C0666" w:rsidP="009C0666">
      <w:pPr>
        <w:rPr>
          <w:lang w:val="it-IT"/>
        </w:rPr>
      </w:pPr>
      <w:r w:rsidRPr="006A2BF9">
        <w:rPr>
          <w:lang w:val="it-IT"/>
        </w:rPr>
        <w:br w:type="page"/>
      </w:r>
    </w:p>
    <w:p w14:paraId="3669D9CA"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r w:rsidRPr="006A2BF9">
        <w:rPr>
          <w:b/>
          <w:bCs/>
          <w:lang w:val="it-IT"/>
        </w:rPr>
        <w:lastRenderedPageBreak/>
        <w:t xml:space="preserve">INFORMAZIONI DA APPORRE </w:t>
      </w:r>
      <w:r w:rsidR="0015576C" w:rsidRPr="006A2BF9">
        <w:rPr>
          <w:b/>
          <w:lang w:val="it-IT"/>
        </w:rPr>
        <w:t>SUL CONFEZIONAMENTO</w:t>
      </w:r>
      <w:r w:rsidRPr="006A2BF9">
        <w:rPr>
          <w:b/>
          <w:bCs/>
          <w:lang w:val="it-IT"/>
        </w:rPr>
        <w:t xml:space="preserve"> </w:t>
      </w:r>
      <w:r w:rsidR="006C7D9A" w:rsidRPr="006A2BF9">
        <w:rPr>
          <w:b/>
          <w:lang w:val="it-IT"/>
        </w:rPr>
        <w:t>SECONDARIO</w:t>
      </w:r>
    </w:p>
    <w:p w14:paraId="15D4DDD2"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p>
    <w:p w14:paraId="224E870D"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r w:rsidRPr="006A2BF9">
        <w:rPr>
          <w:b/>
          <w:bCs/>
          <w:lang w:val="it-IT"/>
        </w:rPr>
        <w:t>IMBALLAGGIO ESTERNO</w:t>
      </w:r>
    </w:p>
    <w:p w14:paraId="399FB552" w14:textId="77777777" w:rsidR="009C0666" w:rsidRPr="006A2BF9" w:rsidRDefault="009C0666" w:rsidP="009C0666">
      <w:pPr>
        <w:rPr>
          <w:lang w:val="it-IT"/>
        </w:rPr>
      </w:pPr>
    </w:p>
    <w:p w14:paraId="3EFBDC16" w14:textId="77777777" w:rsidR="009C0666" w:rsidRPr="006A2BF9" w:rsidRDefault="009C0666" w:rsidP="009C0666">
      <w:pPr>
        <w:rPr>
          <w:lang w:val="it-IT"/>
        </w:rPr>
      </w:pPr>
    </w:p>
    <w:p w14:paraId="5F3714E7"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w:t>
      </w:r>
      <w:r w:rsidRPr="006A2BF9">
        <w:rPr>
          <w:b/>
          <w:bCs/>
          <w:lang w:val="it-IT"/>
        </w:rPr>
        <w:tab/>
        <w:t>DENOMINAZIONE DEL MEDICINALE</w:t>
      </w:r>
    </w:p>
    <w:p w14:paraId="5F29C4BF" w14:textId="77777777" w:rsidR="009C0666" w:rsidRPr="006A2BF9" w:rsidRDefault="009C0666" w:rsidP="009C0666">
      <w:pPr>
        <w:rPr>
          <w:lang w:val="it-IT"/>
        </w:rPr>
      </w:pPr>
    </w:p>
    <w:p w14:paraId="606DC3A1" w14:textId="77777777" w:rsidR="009C0666" w:rsidRPr="006A2BF9" w:rsidRDefault="001A78BF" w:rsidP="00C61FAF">
      <w:pPr>
        <w:rPr>
          <w:lang w:val="it-IT"/>
        </w:rPr>
      </w:pPr>
      <w:r w:rsidRPr="006A2BF9">
        <w:rPr>
          <w:lang w:val="it-IT"/>
        </w:rPr>
        <w:t xml:space="preserve">Aybintio </w:t>
      </w:r>
      <w:r w:rsidR="009C0666" w:rsidRPr="006A2BF9">
        <w:rPr>
          <w:lang w:val="it-IT"/>
        </w:rPr>
        <w:t>25 mg/</w:t>
      </w:r>
      <w:r w:rsidR="00B64026" w:rsidRPr="006A2BF9">
        <w:rPr>
          <w:lang w:val="it-IT"/>
        </w:rPr>
        <w:t>mL</w:t>
      </w:r>
      <w:r w:rsidR="009C0666" w:rsidRPr="006A2BF9">
        <w:rPr>
          <w:lang w:val="it-IT"/>
        </w:rPr>
        <w:t xml:space="preserve"> concentrato per soluzione per infusione</w:t>
      </w:r>
    </w:p>
    <w:p w14:paraId="6DF6D512" w14:textId="77777777" w:rsidR="009C0666" w:rsidRPr="006A2BF9" w:rsidRDefault="00F85500" w:rsidP="009C0666">
      <w:pPr>
        <w:rPr>
          <w:lang w:val="it-IT"/>
        </w:rPr>
      </w:pPr>
      <w:r w:rsidRPr="006A2BF9">
        <w:rPr>
          <w:lang w:val="it-IT"/>
        </w:rPr>
        <w:t>b</w:t>
      </w:r>
      <w:r w:rsidR="009C0666" w:rsidRPr="006A2BF9">
        <w:rPr>
          <w:lang w:val="it-IT"/>
        </w:rPr>
        <w:t>evacizumab</w:t>
      </w:r>
    </w:p>
    <w:p w14:paraId="31590EB9" w14:textId="77777777" w:rsidR="009C0666" w:rsidRPr="006A2BF9" w:rsidRDefault="009C0666" w:rsidP="009C0666">
      <w:pPr>
        <w:rPr>
          <w:lang w:val="it-IT"/>
        </w:rPr>
      </w:pPr>
    </w:p>
    <w:p w14:paraId="40969A5C" w14:textId="77777777" w:rsidR="00E92D83" w:rsidRPr="006A2BF9" w:rsidRDefault="00E92D83" w:rsidP="009C0666">
      <w:pPr>
        <w:rPr>
          <w:lang w:val="it-IT"/>
        </w:rPr>
      </w:pPr>
    </w:p>
    <w:p w14:paraId="6CAC9C60"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Cs/>
          <w:lang w:val="it-IT"/>
        </w:rPr>
      </w:pPr>
      <w:r w:rsidRPr="006A2BF9">
        <w:rPr>
          <w:b/>
          <w:bCs/>
          <w:lang w:val="it-IT"/>
        </w:rPr>
        <w:t>2.</w:t>
      </w:r>
      <w:r w:rsidRPr="006A2BF9">
        <w:rPr>
          <w:b/>
          <w:bCs/>
          <w:lang w:val="it-IT"/>
        </w:rPr>
        <w:tab/>
        <w:t>COMPOSIZIONE QUALITATIVA E QUANTITATIVA</w:t>
      </w:r>
      <w:r w:rsidR="0015576C" w:rsidRPr="006A2BF9">
        <w:rPr>
          <w:b/>
          <w:bCs/>
          <w:lang w:val="it-IT"/>
        </w:rPr>
        <w:t xml:space="preserve"> </w:t>
      </w:r>
      <w:r w:rsidR="0015576C" w:rsidRPr="006A2BF9">
        <w:rPr>
          <w:b/>
          <w:lang w:val="it-IT"/>
        </w:rPr>
        <w:t>IN TERMINI DI PRINCIPIO(I) ATTIVO(I)</w:t>
      </w:r>
    </w:p>
    <w:p w14:paraId="34F810BA" w14:textId="77777777" w:rsidR="009C0666" w:rsidRPr="006A2BF9" w:rsidRDefault="009C0666" w:rsidP="009C0666">
      <w:pPr>
        <w:rPr>
          <w:lang w:val="it-IT"/>
        </w:rPr>
      </w:pPr>
    </w:p>
    <w:p w14:paraId="2BA6812B" w14:textId="77777777" w:rsidR="009C0666" w:rsidRPr="006A2BF9" w:rsidRDefault="009C0666" w:rsidP="009C0666">
      <w:pPr>
        <w:rPr>
          <w:lang w:val="it-IT"/>
        </w:rPr>
      </w:pPr>
      <w:r w:rsidRPr="006A2BF9">
        <w:rPr>
          <w:lang w:val="it-IT"/>
        </w:rPr>
        <w:t>Ciascun flaconcino contiene 100 mg di bevacizumab.</w:t>
      </w:r>
    </w:p>
    <w:p w14:paraId="2DB6210B" w14:textId="77777777" w:rsidR="009C0666" w:rsidRPr="006A2BF9" w:rsidRDefault="009C0666" w:rsidP="009C0666">
      <w:pPr>
        <w:rPr>
          <w:lang w:val="it-IT"/>
        </w:rPr>
      </w:pPr>
    </w:p>
    <w:p w14:paraId="3F1E7558" w14:textId="77777777" w:rsidR="009C0666" w:rsidRPr="006A2BF9" w:rsidRDefault="009C0666" w:rsidP="009C0666">
      <w:pPr>
        <w:rPr>
          <w:lang w:val="it-IT"/>
        </w:rPr>
      </w:pPr>
    </w:p>
    <w:p w14:paraId="0E887C5A"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3.</w:t>
      </w:r>
      <w:r w:rsidRPr="006A2BF9">
        <w:rPr>
          <w:b/>
          <w:bCs/>
          <w:lang w:val="it-IT"/>
        </w:rPr>
        <w:tab/>
        <w:t>ELENCO DEGLI ECCIPIENTI</w:t>
      </w:r>
    </w:p>
    <w:p w14:paraId="251731D5" w14:textId="77777777" w:rsidR="009C0666" w:rsidRPr="006A2BF9" w:rsidRDefault="009C0666" w:rsidP="009C0666">
      <w:pPr>
        <w:rPr>
          <w:lang w:val="it-IT"/>
        </w:rPr>
      </w:pPr>
    </w:p>
    <w:p w14:paraId="05DF8782" w14:textId="38609342" w:rsidR="009C0666" w:rsidRPr="006A2BF9" w:rsidRDefault="009C0666" w:rsidP="009C0666">
      <w:pPr>
        <w:rPr>
          <w:lang w:val="it-IT"/>
        </w:rPr>
      </w:pPr>
      <w:r w:rsidRPr="006A2BF9">
        <w:rPr>
          <w:lang w:val="it-IT"/>
        </w:rPr>
        <w:t xml:space="preserve">Trealosio diidrato, sodio </w:t>
      </w:r>
      <w:r w:rsidR="001A78BF" w:rsidRPr="006A2BF9">
        <w:rPr>
          <w:lang w:val="it-IT"/>
        </w:rPr>
        <w:t>acetato triidrato, acido acetico</w:t>
      </w:r>
      <w:r w:rsidRPr="006A2BF9">
        <w:rPr>
          <w:lang w:val="it-IT"/>
        </w:rPr>
        <w:t>, polisorbato</w:t>
      </w:r>
      <w:r w:rsidR="00695E2B" w:rsidRPr="006A2BF9">
        <w:rPr>
          <w:lang w:val="it-IT"/>
        </w:rPr>
        <w:t> </w:t>
      </w:r>
      <w:r w:rsidRPr="006A2BF9">
        <w:rPr>
          <w:lang w:val="it-IT"/>
        </w:rPr>
        <w:t>20, acqua per preparazioni iniettabili</w:t>
      </w:r>
      <w:r w:rsidR="00AC2E82">
        <w:rPr>
          <w:lang w:val="it-IT"/>
        </w:rPr>
        <w:t xml:space="preserve">. </w:t>
      </w:r>
      <w:r w:rsidR="00AC2E82" w:rsidRPr="002432F6">
        <w:rPr>
          <w:highlight w:val="lightGray"/>
          <w:lang w:val="it-IT"/>
        </w:rPr>
        <w:t>Vedere il foglio illustrativo per ulteriori</w:t>
      </w:r>
      <w:r w:rsidR="00AC2E82">
        <w:rPr>
          <w:highlight w:val="lightGray"/>
          <w:lang w:val="it-IT"/>
        </w:rPr>
        <w:t xml:space="preserve"> informazioni</w:t>
      </w:r>
      <w:r w:rsidR="00AC2E82" w:rsidRPr="00B26F69">
        <w:rPr>
          <w:highlight w:val="lightGray"/>
          <w:lang w:val="it-IT"/>
        </w:rPr>
        <w:t xml:space="preserve"> </w:t>
      </w:r>
    </w:p>
    <w:p w14:paraId="6B5E3282" w14:textId="77777777" w:rsidR="009C0666" w:rsidRPr="006A2BF9" w:rsidRDefault="009C0666" w:rsidP="009C0666">
      <w:pPr>
        <w:rPr>
          <w:lang w:val="it-IT"/>
        </w:rPr>
      </w:pPr>
    </w:p>
    <w:p w14:paraId="17C48C7B" w14:textId="77777777" w:rsidR="009C0666" w:rsidRPr="006A2BF9" w:rsidRDefault="009C0666" w:rsidP="009C0666">
      <w:pPr>
        <w:rPr>
          <w:lang w:val="it-IT"/>
        </w:rPr>
      </w:pPr>
    </w:p>
    <w:p w14:paraId="6A4E09D9"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4.</w:t>
      </w:r>
      <w:r w:rsidRPr="006A2BF9">
        <w:rPr>
          <w:b/>
          <w:bCs/>
          <w:lang w:val="it-IT"/>
        </w:rPr>
        <w:tab/>
        <w:t>FORMA FARMACEUTICA E CONTENUTO</w:t>
      </w:r>
    </w:p>
    <w:p w14:paraId="4EDCA864" w14:textId="77777777" w:rsidR="009C0666" w:rsidRPr="006A2BF9" w:rsidRDefault="009C0666" w:rsidP="009C0666">
      <w:pPr>
        <w:rPr>
          <w:lang w:val="it-IT"/>
        </w:rPr>
      </w:pPr>
    </w:p>
    <w:p w14:paraId="0234E703" w14:textId="77777777" w:rsidR="009C0666" w:rsidRPr="00B26F69" w:rsidRDefault="009C0666" w:rsidP="009C0666">
      <w:pPr>
        <w:rPr>
          <w:highlight w:val="lightGray"/>
          <w:lang w:val="it-IT"/>
        </w:rPr>
      </w:pPr>
      <w:r w:rsidRPr="00B26F69">
        <w:rPr>
          <w:highlight w:val="lightGray"/>
          <w:lang w:val="it-IT"/>
        </w:rPr>
        <w:t>Concentr</w:t>
      </w:r>
      <w:r w:rsidR="00EA2EDA" w:rsidRPr="00B26F69">
        <w:rPr>
          <w:highlight w:val="lightGray"/>
          <w:lang w:val="it-IT"/>
        </w:rPr>
        <w:t>ato per soluzione per infusione</w:t>
      </w:r>
    </w:p>
    <w:p w14:paraId="428F1A08" w14:textId="77777777" w:rsidR="009C0666" w:rsidRPr="006A2BF9" w:rsidRDefault="009C0666" w:rsidP="009C0666">
      <w:pPr>
        <w:rPr>
          <w:lang w:val="it-IT"/>
        </w:rPr>
      </w:pPr>
      <w:r w:rsidRPr="006A2BF9">
        <w:rPr>
          <w:lang w:val="it-IT"/>
        </w:rPr>
        <w:t>1 flaconcino da 4 </w:t>
      </w:r>
      <w:r w:rsidR="00B64026" w:rsidRPr="006A2BF9">
        <w:rPr>
          <w:lang w:val="it-IT"/>
        </w:rPr>
        <w:t>mL</w:t>
      </w:r>
    </w:p>
    <w:p w14:paraId="06E68ABD" w14:textId="77777777" w:rsidR="009C0666" w:rsidRPr="006A2BF9" w:rsidRDefault="0076464A" w:rsidP="009C0666">
      <w:pPr>
        <w:rPr>
          <w:lang w:val="it-IT"/>
        </w:rPr>
      </w:pPr>
      <w:r w:rsidRPr="006A2BF9">
        <w:rPr>
          <w:lang w:val="it-IT"/>
        </w:rPr>
        <w:t>100</w:t>
      </w:r>
      <w:r w:rsidR="00695E2B" w:rsidRPr="006A2BF9">
        <w:rPr>
          <w:lang w:val="it-IT"/>
        </w:rPr>
        <w:t> </w:t>
      </w:r>
      <w:r w:rsidRPr="006A2BF9">
        <w:rPr>
          <w:lang w:val="it-IT"/>
        </w:rPr>
        <w:t>mg/4</w:t>
      </w:r>
      <w:r w:rsidR="00B8505C" w:rsidRPr="006A2BF9">
        <w:rPr>
          <w:lang w:val="it-IT"/>
        </w:rPr>
        <w:t> </w:t>
      </w:r>
      <w:r w:rsidR="00B64026" w:rsidRPr="006A2BF9">
        <w:rPr>
          <w:lang w:val="it-IT"/>
        </w:rPr>
        <w:t>mL</w:t>
      </w:r>
    </w:p>
    <w:p w14:paraId="5565395E" w14:textId="77777777" w:rsidR="00F66A63" w:rsidRPr="006A2BF9" w:rsidRDefault="00F66A63" w:rsidP="009C0666">
      <w:pPr>
        <w:rPr>
          <w:lang w:val="it-IT"/>
        </w:rPr>
      </w:pPr>
    </w:p>
    <w:p w14:paraId="2756BAA5" w14:textId="77777777" w:rsidR="00F66A63" w:rsidRPr="006A2BF9" w:rsidRDefault="00F66A63" w:rsidP="009C0666">
      <w:pPr>
        <w:rPr>
          <w:lang w:val="it-IT"/>
        </w:rPr>
      </w:pPr>
    </w:p>
    <w:p w14:paraId="45430A35"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5.</w:t>
      </w:r>
      <w:r w:rsidRPr="006A2BF9">
        <w:rPr>
          <w:b/>
          <w:bCs/>
          <w:lang w:val="it-IT"/>
        </w:rPr>
        <w:tab/>
        <w:t>MODO E VIA(E) DI SOMMINISTRAZIONE</w:t>
      </w:r>
    </w:p>
    <w:p w14:paraId="37EB6AEC" w14:textId="77777777" w:rsidR="009C0666" w:rsidRPr="006A2BF9" w:rsidRDefault="009C0666" w:rsidP="009C0666">
      <w:pPr>
        <w:rPr>
          <w:lang w:val="it-IT"/>
        </w:rPr>
      </w:pPr>
    </w:p>
    <w:p w14:paraId="5D71A724" w14:textId="77777777" w:rsidR="009C0666" w:rsidRPr="006A2BF9" w:rsidRDefault="009C0666" w:rsidP="009C0666">
      <w:pPr>
        <w:rPr>
          <w:lang w:val="it-IT"/>
        </w:rPr>
      </w:pPr>
      <w:r w:rsidRPr="006A2BF9">
        <w:rPr>
          <w:lang w:val="it-IT"/>
        </w:rPr>
        <w:t>Uso endovenoso dopo diluizione</w:t>
      </w:r>
    </w:p>
    <w:p w14:paraId="6C25EDE3" w14:textId="77777777" w:rsidR="009C0666" w:rsidRPr="006A2BF9" w:rsidRDefault="009C0666" w:rsidP="009C0666">
      <w:pPr>
        <w:rPr>
          <w:lang w:val="it-IT"/>
        </w:rPr>
      </w:pPr>
      <w:r w:rsidRPr="006A2BF9">
        <w:rPr>
          <w:lang w:val="it-IT"/>
        </w:rPr>
        <w:t>Leggere il foglio illustrativo prima dell’uso</w:t>
      </w:r>
      <w:r w:rsidR="00C441C3" w:rsidRPr="006A2BF9">
        <w:rPr>
          <w:lang w:val="it-IT"/>
        </w:rPr>
        <w:t>.</w:t>
      </w:r>
    </w:p>
    <w:p w14:paraId="06240731" w14:textId="77777777" w:rsidR="009C0666" w:rsidRPr="006A2BF9" w:rsidRDefault="009C0666" w:rsidP="009C0666">
      <w:pPr>
        <w:rPr>
          <w:lang w:val="it-IT"/>
        </w:rPr>
      </w:pPr>
    </w:p>
    <w:p w14:paraId="2F34A1AB" w14:textId="77777777" w:rsidR="009C0666" w:rsidRPr="006A2BF9" w:rsidRDefault="009C0666" w:rsidP="009C0666">
      <w:pPr>
        <w:rPr>
          <w:lang w:val="it-IT"/>
        </w:rPr>
      </w:pPr>
    </w:p>
    <w:p w14:paraId="112ADFCF"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6.</w:t>
      </w:r>
      <w:r w:rsidRPr="006A2BF9">
        <w:rPr>
          <w:b/>
          <w:bCs/>
          <w:lang w:val="it-IT"/>
        </w:rPr>
        <w:tab/>
        <w:t xml:space="preserve">AVVERTENZA </w:t>
      </w:r>
      <w:r w:rsidRPr="006A2BF9">
        <w:rPr>
          <w:b/>
          <w:lang w:val="it-IT"/>
        </w:rPr>
        <w:t>PARTICOLARE</w:t>
      </w:r>
      <w:r w:rsidRPr="006A2BF9">
        <w:rPr>
          <w:b/>
          <w:bCs/>
          <w:lang w:val="it-IT"/>
        </w:rPr>
        <w:t xml:space="preserve"> CHE PRESCRIVA DI TENERE IL MEDICINALE FUORI DALLA</w:t>
      </w:r>
      <w:r w:rsidR="003A374B" w:rsidRPr="006A2BF9">
        <w:rPr>
          <w:b/>
          <w:bCs/>
          <w:lang w:val="it-IT"/>
        </w:rPr>
        <w:t xml:space="preserve"> VISTA E DALLA</w:t>
      </w:r>
      <w:r w:rsidRPr="006A2BF9">
        <w:rPr>
          <w:b/>
          <w:bCs/>
          <w:lang w:val="it-IT"/>
        </w:rPr>
        <w:t xml:space="preserve"> PORTATA DEI BAMBINI</w:t>
      </w:r>
    </w:p>
    <w:p w14:paraId="34D8D500" w14:textId="77777777" w:rsidR="009C0666" w:rsidRPr="006A2BF9" w:rsidRDefault="009C0666" w:rsidP="009C0666">
      <w:pPr>
        <w:rPr>
          <w:lang w:val="it-IT"/>
        </w:rPr>
      </w:pPr>
    </w:p>
    <w:p w14:paraId="7D7041CE" w14:textId="77777777" w:rsidR="009C0666" w:rsidRPr="006A2BF9" w:rsidRDefault="009C0666" w:rsidP="009C0666">
      <w:pPr>
        <w:rPr>
          <w:lang w:val="it-IT"/>
        </w:rPr>
      </w:pPr>
      <w:r w:rsidRPr="006A2BF9">
        <w:rPr>
          <w:lang w:val="it-IT"/>
        </w:rPr>
        <w:t xml:space="preserve">Tenere fuori dalla </w:t>
      </w:r>
      <w:r w:rsidR="003A374B" w:rsidRPr="006A2BF9">
        <w:rPr>
          <w:lang w:val="it-IT"/>
        </w:rPr>
        <w:t xml:space="preserve">vista </w:t>
      </w:r>
      <w:r w:rsidRPr="006A2BF9">
        <w:rPr>
          <w:lang w:val="it-IT"/>
        </w:rPr>
        <w:t>e dalla</w:t>
      </w:r>
      <w:r w:rsidR="003A374B" w:rsidRPr="006A2BF9">
        <w:rPr>
          <w:lang w:val="it-IT"/>
        </w:rPr>
        <w:t xml:space="preserve"> portata</w:t>
      </w:r>
      <w:r w:rsidRPr="006A2BF9">
        <w:rPr>
          <w:lang w:val="it-IT"/>
        </w:rPr>
        <w:t xml:space="preserve"> dei bambini</w:t>
      </w:r>
      <w:r w:rsidR="00C441C3" w:rsidRPr="006A2BF9">
        <w:rPr>
          <w:lang w:val="it-IT"/>
        </w:rPr>
        <w:t>.</w:t>
      </w:r>
    </w:p>
    <w:p w14:paraId="56996FC0" w14:textId="77777777" w:rsidR="009C0666" w:rsidRPr="006A2BF9" w:rsidRDefault="009C0666" w:rsidP="009C0666">
      <w:pPr>
        <w:rPr>
          <w:lang w:val="it-IT"/>
        </w:rPr>
      </w:pPr>
    </w:p>
    <w:p w14:paraId="5760F297" w14:textId="77777777" w:rsidR="009C0666" w:rsidRPr="006A2BF9" w:rsidRDefault="009C0666" w:rsidP="009C0666">
      <w:pPr>
        <w:rPr>
          <w:lang w:val="it-IT"/>
        </w:rPr>
      </w:pPr>
    </w:p>
    <w:p w14:paraId="3D475C87"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lang w:val="it-IT"/>
        </w:rPr>
      </w:pPr>
      <w:r w:rsidRPr="006A2BF9">
        <w:rPr>
          <w:b/>
          <w:bCs/>
          <w:lang w:val="it-IT"/>
        </w:rPr>
        <w:t>7.</w:t>
      </w:r>
      <w:r w:rsidRPr="006A2BF9">
        <w:rPr>
          <w:b/>
          <w:bCs/>
          <w:lang w:val="it-IT"/>
        </w:rPr>
        <w:tab/>
        <w:t xml:space="preserve">ALTRA(E) AVVERTENZA(E) </w:t>
      </w:r>
      <w:r w:rsidRPr="006A2BF9">
        <w:rPr>
          <w:b/>
          <w:lang w:val="it-IT"/>
        </w:rPr>
        <w:t>PARTICOLARE</w:t>
      </w:r>
      <w:r w:rsidRPr="006A2BF9">
        <w:rPr>
          <w:b/>
          <w:bCs/>
          <w:lang w:val="it-IT"/>
        </w:rPr>
        <w:t xml:space="preserve">(I), </w:t>
      </w:r>
      <w:r w:rsidR="00A448DE" w:rsidRPr="006A2BF9">
        <w:rPr>
          <w:b/>
          <w:bCs/>
          <w:lang w:val="it-IT"/>
        </w:rPr>
        <w:t xml:space="preserve">SE </w:t>
      </w:r>
      <w:r w:rsidRPr="006A2BF9">
        <w:rPr>
          <w:b/>
          <w:bCs/>
          <w:lang w:val="it-IT"/>
        </w:rPr>
        <w:t>NECESSARIO</w:t>
      </w:r>
    </w:p>
    <w:p w14:paraId="75B5806E" w14:textId="77777777" w:rsidR="009C0666" w:rsidRPr="006A2BF9" w:rsidRDefault="009C0666" w:rsidP="009C0666">
      <w:pPr>
        <w:rPr>
          <w:lang w:val="it-IT"/>
        </w:rPr>
      </w:pPr>
    </w:p>
    <w:p w14:paraId="4F0CF08C" w14:textId="77777777" w:rsidR="009C0666" w:rsidRPr="006A2BF9" w:rsidRDefault="009C0666" w:rsidP="009C0666">
      <w:pPr>
        <w:rPr>
          <w:lang w:val="it-IT"/>
        </w:rPr>
      </w:pPr>
    </w:p>
    <w:p w14:paraId="3E751CFA"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8.</w:t>
      </w:r>
      <w:r w:rsidRPr="006A2BF9">
        <w:rPr>
          <w:b/>
          <w:bCs/>
          <w:lang w:val="it-IT"/>
        </w:rPr>
        <w:tab/>
        <w:t>DATA DI SCADENZA</w:t>
      </w:r>
    </w:p>
    <w:p w14:paraId="2DE56ECD" w14:textId="77777777" w:rsidR="009C0666" w:rsidRPr="006A2BF9" w:rsidRDefault="009C0666" w:rsidP="009C0666">
      <w:pPr>
        <w:rPr>
          <w:lang w:val="it-IT"/>
        </w:rPr>
      </w:pPr>
    </w:p>
    <w:p w14:paraId="55D868FE" w14:textId="77777777" w:rsidR="009C0666" w:rsidRPr="006A2BF9" w:rsidRDefault="009C0666" w:rsidP="009C0666">
      <w:pPr>
        <w:rPr>
          <w:lang w:val="it-IT"/>
        </w:rPr>
      </w:pPr>
      <w:r w:rsidRPr="006A2BF9">
        <w:rPr>
          <w:lang w:val="it-IT"/>
        </w:rPr>
        <w:t>Scad.</w:t>
      </w:r>
    </w:p>
    <w:p w14:paraId="6A40ACCA" w14:textId="77777777" w:rsidR="009C0666" w:rsidRPr="006A2BF9" w:rsidRDefault="009C0666" w:rsidP="009C0666">
      <w:pPr>
        <w:rPr>
          <w:lang w:val="it-IT"/>
        </w:rPr>
      </w:pPr>
    </w:p>
    <w:p w14:paraId="4E31BD63" w14:textId="77777777" w:rsidR="009C0666" w:rsidRPr="006A2BF9" w:rsidRDefault="009C0666" w:rsidP="009C0666">
      <w:pPr>
        <w:rPr>
          <w:lang w:val="it-IT"/>
        </w:rPr>
      </w:pPr>
    </w:p>
    <w:p w14:paraId="653B7068" w14:textId="77777777" w:rsidR="009C0666" w:rsidRPr="006A2BF9" w:rsidRDefault="009C0666" w:rsidP="00F15447">
      <w:pPr>
        <w:keepNext/>
        <w:keepLines/>
        <w:pBdr>
          <w:top w:val="single" w:sz="4" w:space="1" w:color="auto"/>
          <w:left w:val="single" w:sz="4" w:space="4" w:color="auto"/>
          <w:bottom w:val="single" w:sz="4" w:space="1" w:color="auto"/>
          <w:right w:val="single" w:sz="4" w:space="4" w:color="auto"/>
        </w:pBdr>
        <w:tabs>
          <w:tab w:val="left" w:pos="142"/>
        </w:tabs>
        <w:ind w:left="567" w:hanging="567"/>
        <w:rPr>
          <w:lang w:val="it-IT"/>
        </w:rPr>
      </w:pPr>
      <w:r w:rsidRPr="006A2BF9">
        <w:rPr>
          <w:b/>
          <w:bCs/>
          <w:lang w:val="it-IT"/>
        </w:rPr>
        <w:t>9.</w:t>
      </w:r>
      <w:r w:rsidRPr="006A2BF9">
        <w:rPr>
          <w:b/>
          <w:bCs/>
          <w:lang w:val="it-IT"/>
        </w:rPr>
        <w:tab/>
        <w:t>PRECAUZIONI PARTICOLARI PER LA CONSERVAZIONE</w:t>
      </w:r>
    </w:p>
    <w:p w14:paraId="34541FC5" w14:textId="77777777" w:rsidR="009C0666" w:rsidRPr="006A2BF9" w:rsidRDefault="009C0666" w:rsidP="00D71134">
      <w:pPr>
        <w:keepNext/>
        <w:keepLines/>
        <w:rPr>
          <w:lang w:val="it-IT"/>
        </w:rPr>
      </w:pPr>
    </w:p>
    <w:p w14:paraId="1A53A82D" w14:textId="77777777" w:rsidR="009C0666" w:rsidRPr="006A2BF9" w:rsidRDefault="009C0666" w:rsidP="00F15447">
      <w:pPr>
        <w:keepNext/>
        <w:keepLines/>
        <w:rPr>
          <w:lang w:val="it-IT"/>
        </w:rPr>
      </w:pPr>
      <w:r w:rsidRPr="006A2BF9">
        <w:rPr>
          <w:lang w:val="it-IT"/>
        </w:rPr>
        <w:t>Conservare in frigorifero</w:t>
      </w:r>
      <w:r w:rsidR="00961680" w:rsidRPr="006A2BF9">
        <w:rPr>
          <w:lang w:val="it-IT"/>
        </w:rPr>
        <w:t>.</w:t>
      </w:r>
    </w:p>
    <w:p w14:paraId="1667977F" w14:textId="77777777" w:rsidR="009C0666" w:rsidRPr="006A2BF9" w:rsidRDefault="009C0666" w:rsidP="00F15447">
      <w:pPr>
        <w:keepNext/>
        <w:keepLines/>
        <w:rPr>
          <w:lang w:val="it-IT"/>
        </w:rPr>
      </w:pPr>
      <w:r w:rsidRPr="006A2BF9">
        <w:rPr>
          <w:lang w:val="it-IT"/>
        </w:rPr>
        <w:t>Non congelare</w:t>
      </w:r>
      <w:r w:rsidR="00961680" w:rsidRPr="006A2BF9">
        <w:rPr>
          <w:lang w:val="it-IT"/>
        </w:rPr>
        <w:t>.</w:t>
      </w:r>
    </w:p>
    <w:p w14:paraId="1F2BB21D" w14:textId="6253620E" w:rsidR="009C0666" w:rsidRPr="006A2BF9" w:rsidRDefault="009C0666" w:rsidP="009C0666">
      <w:pPr>
        <w:rPr>
          <w:lang w:val="it-IT"/>
        </w:rPr>
      </w:pPr>
      <w:r w:rsidRPr="006A2BF9">
        <w:rPr>
          <w:lang w:val="it-IT"/>
        </w:rPr>
        <w:t>Tenere il flaconcino nell’imballaggio esterno</w:t>
      </w:r>
      <w:r w:rsidR="00AC2E82">
        <w:rPr>
          <w:lang w:val="it-IT"/>
        </w:rPr>
        <w:t xml:space="preserve"> </w:t>
      </w:r>
      <w:r w:rsidR="00AC2E82">
        <w:rPr>
          <w:noProof/>
          <w:szCs w:val="22"/>
        </w:rPr>
        <w:t>in order to protect from light</w:t>
      </w:r>
      <w:r w:rsidR="00C441C3" w:rsidRPr="006A2BF9">
        <w:rPr>
          <w:lang w:val="it-IT"/>
        </w:rPr>
        <w:t>.</w:t>
      </w:r>
    </w:p>
    <w:p w14:paraId="6A5CC73E" w14:textId="77777777" w:rsidR="009C0666" w:rsidRPr="006A2BF9" w:rsidRDefault="009C0666" w:rsidP="009C0666">
      <w:pPr>
        <w:rPr>
          <w:lang w:val="it-IT"/>
        </w:rPr>
      </w:pPr>
    </w:p>
    <w:p w14:paraId="04548505" w14:textId="77777777" w:rsidR="009C0666" w:rsidRPr="006A2BF9" w:rsidRDefault="009C0666" w:rsidP="009C0666">
      <w:pPr>
        <w:rPr>
          <w:lang w:val="it-IT"/>
        </w:rPr>
      </w:pPr>
    </w:p>
    <w:p w14:paraId="397FCF15"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10.</w:t>
      </w:r>
      <w:r w:rsidRPr="006A2BF9">
        <w:rPr>
          <w:b/>
          <w:bCs/>
          <w:lang w:val="it-IT"/>
        </w:rPr>
        <w:tab/>
        <w:t>PRECAUZIONI PARTICOLARI PER LO SMALTIMENTO DEL MEDICINALE NON UTILIZZATO O DEI RIFIUTI DERIVATI DA TALE MEDICINALE, SE NECESSARIO</w:t>
      </w:r>
    </w:p>
    <w:p w14:paraId="7738304B" w14:textId="77777777" w:rsidR="009C0666" w:rsidRPr="006A2BF9" w:rsidRDefault="009C0666" w:rsidP="009C0666">
      <w:pPr>
        <w:rPr>
          <w:lang w:val="it-IT"/>
        </w:rPr>
      </w:pPr>
    </w:p>
    <w:p w14:paraId="41A19B04" w14:textId="77777777" w:rsidR="009C0666" w:rsidRPr="006A2BF9" w:rsidRDefault="009C0666" w:rsidP="009C0666">
      <w:pPr>
        <w:rPr>
          <w:lang w:val="it-IT"/>
        </w:rPr>
      </w:pPr>
    </w:p>
    <w:p w14:paraId="6FC4C656"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11.</w:t>
      </w:r>
      <w:r w:rsidRPr="006A2BF9">
        <w:rPr>
          <w:b/>
          <w:bCs/>
          <w:lang w:val="it-IT"/>
        </w:rPr>
        <w:tab/>
        <w:t>NOME E INDIRIZZO DEL TITOLARE DELL’AUTORIZZAZIONE ALL’IMMISSIONE IN COMMERCIO</w:t>
      </w:r>
    </w:p>
    <w:p w14:paraId="6AF9C1EF" w14:textId="77777777" w:rsidR="009C0666" w:rsidRPr="006A2BF9" w:rsidRDefault="009C0666" w:rsidP="009C0666">
      <w:pPr>
        <w:rPr>
          <w:lang w:val="it-IT"/>
        </w:rPr>
      </w:pPr>
    </w:p>
    <w:p w14:paraId="0A91CEDC" w14:textId="77777777" w:rsidR="009C0666" w:rsidRPr="006A2BF9" w:rsidRDefault="001A78BF" w:rsidP="009C0666">
      <w:pPr>
        <w:rPr>
          <w:color w:val="000000"/>
          <w:szCs w:val="24"/>
          <w:lang w:val="it-IT" w:eastAsia="ko-KR"/>
        </w:rPr>
      </w:pPr>
      <w:r w:rsidRPr="006A2BF9">
        <w:rPr>
          <w:color w:val="000000"/>
          <w:szCs w:val="24"/>
          <w:lang w:val="it-IT" w:eastAsia="ko-KR"/>
        </w:rPr>
        <w:t>Samsung Bioepis NL B.V.</w:t>
      </w:r>
      <w:r w:rsidRPr="006A2BF9">
        <w:rPr>
          <w:color w:val="000000"/>
          <w:szCs w:val="24"/>
          <w:lang w:val="it-IT" w:eastAsia="ko-KR"/>
        </w:rPr>
        <w:br/>
        <w:t>Olof Palmestraat 10, 2616 LR Delft</w:t>
      </w:r>
      <w:r w:rsidRPr="006A2BF9">
        <w:rPr>
          <w:color w:val="000000"/>
          <w:szCs w:val="24"/>
          <w:lang w:val="it-IT" w:eastAsia="ko-KR"/>
        </w:rPr>
        <w:br/>
        <w:t>Paesi Bassi</w:t>
      </w:r>
    </w:p>
    <w:p w14:paraId="16B98A18" w14:textId="77777777" w:rsidR="001A78BF" w:rsidRPr="006A2BF9" w:rsidRDefault="001A78BF" w:rsidP="009C0666">
      <w:pPr>
        <w:rPr>
          <w:lang w:val="it-IT"/>
        </w:rPr>
      </w:pPr>
    </w:p>
    <w:p w14:paraId="66F368B9" w14:textId="77777777" w:rsidR="009C0666" w:rsidRPr="006A2BF9" w:rsidRDefault="009C0666" w:rsidP="009C0666">
      <w:pPr>
        <w:rPr>
          <w:lang w:val="it-IT"/>
        </w:rPr>
      </w:pPr>
    </w:p>
    <w:p w14:paraId="23056F47"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12.</w:t>
      </w:r>
      <w:r w:rsidRPr="006A2BF9">
        <w:rPr>
          <w:b/>
          <w:bCs/>
          <w:lang w:val="it-IT"/>
        </w:rPr>
        <w:tab/>
        <w:t>NUMERO(I) DELL’AUTORIZZAZIONE ALL’IMMISSIONE IN COMMERCIO</w:t>
      </w:r>
    </w:p>
    <w:p w14:paraId="228ACA1E" w14:textId="77777777" w:rsidR="009C0666" w:rsidRPr="006A2BF9" w:rsidRDefault="009C0666" w:rsidP="009C0666">
      <w:pPr>
        <w:rPr>
          <w:lang w:val="it-IT"/>
        </w:rPr>
      </w:pPr>
    </w:p>
    <w:p w14:paraId="417893C6" w14:textId="77777777" w:rsidR="001A78BF" w:rsidRPr="000F0246" w:rsidRDefault="001A78BF" w:rsidP="001A78BF">
      <w:pPr>
        <w:tabs>
          <w:tab w:val="left" w:pos="1302"/>
        </w:tabs>
        <w:rPr>
          <w:szCs w:val="22"/>
          <w:lang w:val="it-IT" w:eastAsia="ko-KR"/>
        </w:rPr>
      </w:pPr>
      <w:r w:rsidRPr="000F0246">
        <w:rPr>
          <w:szCs w:val="22"/>
          <w:lang w:val="it-IT" w:eastAsia="ko-KR"/>
        </w:rPr>
        <w:t>EU/</w:t>
      </w:r>
      <w:r w:rsidR="00DC4C6E" w:rsidRPr="000F0246">
        <w:rPr>
          <w:szCs w:val="22"/>
          <w:lang w:val="it-IT" w:eastAsia="ko-KR"/>
        </w:rPr>
        <w:t>1/20/1454</w:t>
      </w:r>
      <w:r w:rsidR="008175F3" w:rsidRPr="000F0246">
        <w:rPr>
          <w:szCs w:val="22"/>
          <w:lang w:val="it-IT" w:eastAsia="ko-KR"/>
        </w:rPr>
        <w:t>/001</w:t>
      </w:r>
    </w:p>
    <w:p w14:paraId="49C9F995" w14:textId="77777777" w:rsidR="009C0666" w:rsidRPr="006A2BF9" w:rsidRDefault="009C0666" w:rsidP="009C0666">
      <w:pPr>
        <w:rPr>
          <w:lang w:val="it-IT"/>
        </w:rPr>
      </w:pPr>
    </w:p>
    <w:p w14:paraId="64789D1F" w14:textId="77777777" w:rsidR="009C0666" w:rsidRPr="006A2BF9" w:rsidRDefault="009C0666" w:rsidP="009C0666">
      <w:pPr>
        <w:rPr>
          <w:lang w:val="it-IT"/>
        </w:rPr>
      </w:pPr>
    </w:p>
    <w:p w14:paraId="02309FDB"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lang w:val="it-IT"/>
        </w:rPr>
      </w:pPr>
      <w:r w:rsidRPr="006A2BF9">
        <w:rPr>
          <w:b/>
          <w:bCs/>
          <w:lang w:val="it-IT"/>
        </w:rPr>
        <w:t>13.</w:t>
      </w:r>
      <w:r w:rsidRPr="006A2BF9">
        <w:rPr>
          <w:b/>
          <w:bCs/>
          <w:lang w:val="it-IT"/>
        </w:rPr>
        <w:tab/>
        <w:t>NUMERO DI LOTTO</w:t>
      </w:r>
    </w:p>
    <w:p w14:paraId="1E715620" w14:textId="77777777" w:rsidR="009C0666" w:rsidRPr="006A2BF9" w:rsidRDefault="009C0666" w:rsidP="009C0666">
      <w:pPr>
        <w:rPr>
          <w:lang w:val="it-IT"/>
        </w:rPr>
      </w:pPr>
    </w:p>
    <w:p w14:paraId="7D01BAA1" w14:textId="77777777" w:rsidR="009C0666" w:rsidRPr="006A2BF9" w:rsidRDefault="009C0666" w:rsidP="009C0666">
      <w:pPr>
        <w:rPr>
          <w:lang w:val="it-IT"/>
        </w:rPr>
      </w:pPr>
      <w:r w:rsidRPr="006A2BF9">
        <w:rPr>
          <w:lang w:val="it-IT"/>
        </w:rPr>
        <w:t>Lot</w:t>
      </w:r>
      <w:r w:rsidR="00633039" w:rsidRPr="006A2BF9">
        <w:rPr>
          <w:lang w:val="it-IT"/>
        </w:rPr>
        <w:t>to</w:t>
      </w:r>
    </w:p>
    <w:p w14:paraId="46619B63" w14:textId="77777777" w:rsidR="009C0666" w:rsidRPr="006A2BF9" w:rsidRDefault="009C0666" w:rsidP="009C0666">
      <w:pPr>
        <w:rPr>
          <w:lang w:val="it-IT"/>
        </w:rPr>
      </w:pPr>
    </w:p>
    <w:p w14:paraId="29930A32" w14:textId="77777777" w:rsidR="009C0666" w:rsidRPr="006A2BF9" w:rsidRDefault="009C0666" w:rsidP="009C0666">
      <w:pPr>
        <w:rPr>
          <w:lang w:val="it-IT"/>
        </w:rPr>
      </w:pPr>
    </w:p>
    <w:p w14:paraId="08FAE2DB"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lang w:val="it-IT"/>
        </w:rPr>
      </w:pPr>
      <w:r w:rsidRPr="006A2BF9">
        <w:rPr>
          <w:b/>
          <w:bCs/>
          <w:lang w:val="it-IT"/>
        </w:rPr>
        <w:t>14.</w:t>
      </w:r>
      <w:r w:rsidRPr="006A2BF9">
        <w:rPr>
          <w:b/>
          <w:bCs/>
          <w:lang w:val="it-IT"/>
        </w:rPr>
        <w:tab/>
        <w:t>CONDIZIONE GENERALE DI FORNITURA</w:t>
      </w:r>
    </w:p>
    <w:p w14:paraId="1BDD9200" w14:textId="77777777" w:rsidR="009C0666" w:rsidRPr="006A2BF9" w:rsidRDefault="009C0666" w:rsidP="009C0666">
      <w:pPr>
        <w:rPr>
          <w:lang w:val="it-IT"/>
        </w:rPr>
      </w:pPr>
    </w:p>
    <w:p w14:paraId="1E36C472" w14:textId="77777777" w:rsidR="009C0666" w:rsidRPr="006A2BF9" w:rsidRDefault="009C0666" w:rsidP="009C0666">
      <w:pPr>
        <w:rPr>
          <w:lang w:val="it-IT"/>
        </w:rPr>
      </w:pPr>
    </w:p>
    <w:p w14:paraId="361B16F7"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15.</w:t>
      </w:r>
      <w:r w:rsidRPr="006A2BF9">
        <w:rPr>
          <w:b/>
          <w:bCs/>
          <w:lang w:val="it-IT"/>
        </w:rPr>
        <w:tab/>
        <w:t>ISTRUZIONI PER L’USO</w:t>
      </w:r>
    </w:p>
    <w:p w14:paraId="484CDB7F" w14:textId="77777777" w:rsidR="009C0666" w:rsidRPr="006A2BF9" w:rsidRDefault="009C0666" w:rsidP="009C0666">
      <w:pPr>
        <w:rPr>
          <w:lang w:val="it-IT"/>
        </w:rPr>
      </w:pPr>
    </w:p>
    <w:p w14:paraId="478D61D7" w14:textId="77777777" w:rsidR="009C0666" w:rsidRPr="006A2BF9" w:rsidRDefault="009C0666" w:rsidP="009C0666">
      <w:pPr>
        <w:rPr>
          <w:lang w:val="it-IT"/>
        </w:rPr>
      </w:pPr>
    </w:p>
    <w:p w14:paraId="15EF529E"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16.</w:t>
      </w:r>
      <w:r w:rsidRPr="006A2BF9">
        <w:rPr>
          <w:b/>
          <w:bCs/>
          <w:lang w:val="it-IT"/>
        </w:rPr>
        <w:tab/>
        <w:t>INFORMAZIONI IN BRAILLE</w:t>
      </w:r>
    </w:p>
    <w:p w14:paraId="19414540" w14:textId="77777777" w:rsidR="009C0666" w:rsidRPr="006A2BF9" w:rsidRDefault="009C0666" w:rsidP="009C0666">
      <w:pPr>
        <w:rPr>
          <w:lang w:val="it-IT"/>
        </w:rPr>
      </w:pPr>
    </w:p>
    <w:p w14:paraId="780A7785" w14:textId="77777777" w:rsidR="00303533" w:rsidRPr="006A2BF9" w:rsidRDefault="00961680" w:rsidP="009C0666">
      <w:pPr>
        <w:rPr>
          <w:highlight w:val="lightGray"/>
          <w:lang w:val="it-IT"/>
        </w:rPr>
      </w:pPr>
      <w:r w:rsidRPr="006A2BF9">
        <w:rPr>
          <w:highlight w:val="lightGray"/>
          <w:lang w:val="it-IT"/>
        </w:rPr>
        <w:t>Giustificazione per non apporre il Braille accettata</w:t>
      </w:r>
      <w:r w:rsidR="00C441C3" w:rsidRPr="006A2BF9">
        <w:rPr>
          <w:highlight w:val="lightGray"/>
          <w:lang w:val="it-IT"/>
        </w:rPr>
        <w:t>.</w:t>
      </w:r>
    </w:p>
    <w:p w14:paraId="44983043" w14:textId="77777777" w:rsidR="00531445" w:rsidRPr="006A2BF9" w:rsidRDefault="00531445" w:rsidP="009C0666">
      <w:pPr>
        <w:rPr>
          <w:lang w:val="it-IT"/>
        </w:rPr>
      </w:pPr>
    </w:p>
    <w:p w14:paraId="1D80596D" w14:textId="77777777" w:rsidR="006E46C0" w:rsidRPr="006A2BF9" w:rsidRDefault="006E46C0" w:rsidP="009C0666">
      <w:pPr>
        <w:rPr>
          <w:lang w:val="it-IT"/>
        </w:rPr>
      </w:pPr>
    </w:p>
    <w:p w14:paraId="5FF37154" w14:textId="77777777" w:rsidR="00BB195D" w:rsidRPr="006A2BF9" w:rsidRDefault="00BB195D" w:rsidP="00BB195D">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6A2BF9">
        <w:rPr>
          <w:b/>
          <w:szCs w:val="22"/>
          <w:lang w:val="it-IT"/>
        </w:rPr>
        <w:t>17.</w:t>
      </w:r>
      <w:r w:rsidRPr="006A2BF9">
        <w:rPr>
          <w:b/>
          <w:szCs w:val="22"/>
          <w:lang w:val="it-IT"/>
        </w:rPr>
        <w:tab/>
        <w:t>IDENTIFICATIVO UNICO – CODICE A BARRE BIDIMENSIONALE</w:t>
      </w:r>
    </w:p>
    <w:p w14:paraId="194F8F57" w14:textId="77777777" w:rsidR="00BB195D" w:rsidRPr="006A2BF9" w:rsidRDefault="00BB195D" w:rsidP="00BB195D">
      <w:pPr>
        <w:rPr>
          <w:lang w:val="it-IT"/>
        </w:rPr>
      </w:pPr>
    </w:p>
    <w:p w14:paraId="1C3ABEB2" w14:textId="77777777" w:rsidR="00BB195D" w:rsidRPr="006A2BF9" w:rsidRDefault="00BB195D" w:rsidP="00BB195D">
      <w:pPr>
        <w:rPr>
          <w:szCs w:val="22"/>
          <w:shd w:val="clear" w:color="auto" w:fill="CCCCCC"/>
          <w:lang w:val="it-IT"/>
        </w:rPr>
      </w:pPr>
      <w:r w:rsidRPr="006A2BF9">
        <w:rPr>
          <w:highlight w:val="lightGray"/>
          <w:lang w:val="it-IT"/>
        </w:rPr>
        <w:t>Codice a barre bidimensionale con identificativo unico incluso.</w:t>
      </w:r>
    </w:p>
    <w:p w14:paraId="14B26E16" w14:textId="77777777" w:rsidR="00BB195D" w:rsidRPr="006A2BF9" w:rsidRDefault="00BB195D" w:rsidP="00BB195D">
      <w:pPr>
        <w:rPr>
          <w:szCs w:val="22"/>
          <w:shd w:val="clear" w:color="auto" w:fill="CCCCCC"/>
          <w:lang w:val="it-IT"/>
        </w:rPr>
      </w:pPr>
    </w:p>
    <w:p w14:paraId="1C35F70B" w14:textId="77777777" w:rsidR="00BB195D" w:rsidRPr="006A2BF9" w:rsidRDefault="00BB195D" w:rsidP="00BB195D">
      <w:pPr>
        <w:rPr>
          <w:lang w:val="it-IT"/>
        </w:rPr>
      </w:pPr>
    </w:p>
    <w:p w14:paraId="5D532B8C" w14:textId="77777777" w:rsidR="00BB195D" w:rsidRPr="006A2BF9" w:rsidRDefault="00BB195D" w:rsidP="006E46C0">
      <w:pPr>
        <w:keepNext/>
        <w:keepLines/>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6A2BF9">
        <w:rPr>
          <w:b/>
          <w:szCs w:val="22"/>
          <w:lang w:val="it-IT"/>
        </w:rPr>
        <w:t>18.</w:t>
      </w:r>
      <w:r w:rsidRPr="006A2BF9">
        <w:rPr>
          <w:b/>
          <w:szCs w:val="22"/>
          <w:lang w:val="it-IT"/>
        </w:rPr>
        <w:tab/>
        <w:t xml:space="preserve">IDENTIFICATIVO UNICO - DATI LEGGIBILI </w:t>
      </w:r>
    </w:p>
    <w:p w14:paraId="5ABA8FCC" w14:textId="77777777" w:rsidR="00BB195D" w:rsidRPr="006A2BF9" w:rsidRDefault="00BB195D" w:rsidP="006E46C0">
      <w:pPr>
        <w:keepNext/>
        <w:keepLines/>
        <w:rPr>
          <w:lang w:val="it-IT"/>
        </w:rPr>
      </w:pPr>
    </w:p>
    <w:p w14:paraId="422B5B34" w14:textId="77777777" w:rsidR="00BB195D" w:rsidRPr="006A2BF9" w:rsidRDefault="00BB195D" w:rsidP="006E46C0">
      <w:pPr>
        <w:keepNext/>
        <w:keepLines/>
        <w:rPr>
          <w:color w:val="008000"/>
          <w:szCs w:val="22"/>
          <w:lang w:val="it-IT"/>
        </w:rPr>
      </w:pPr>
      <w:r w:rsidRPr="006A2BF9">
        <w:rPr>
          <w:lang w:val="it-IT"/>
        </w:rPr>
        <w:t>PC</w:t>
      </w:r>
    </w:p>
    <w:p w14:paraId="1456A86B" w14:textId="77777777" w:rsidR="00BB195D" w:rsidRPr="006A2BF9" w:rsidRDefault="00BB195D" w:rsidP="006E46C0">
      <w:pPr>
        <w:keepNext/>
        <w:keepLines/>
        <w:rPr>
          <w:szCs w:val="22"/>
          <w:lang w:val="it-IT"/>
        </w:rPr>
      </w:pPr>
      <w:r w:rsidRPr="006A2BF9">
        <w:rPr>
          <w:lang w:val="it-IT"/>
        </w:rPr>
        <w:t>SN</w:t>
      </w:r>
    </w:p>
    <w:p w14:paraId="5B87D222" w14:textId="77777777" w:rsidR="00BB195D" w:rsidRPr="006A2BF9" w:rsidRDefault="00BB195D" w:rsidP="006E46C0">
      <w:pPr>
        <w:keepNext/>
        <w:keepLines/>
        <w:rPr>
          <w:szCs w:val="22"/>
          <w:lang w:val="it-IT"/>
        </w:rPr>
      </w:pPr>
      <w:r w:rsidRPr="006A2BF9">
        <w:rPr>
          <w:lang w:val="it-IT"/>
        </w:rPr>
        <w:t>NN</w:t>
      </w:r>
    </w:p>
    <w:p w14:paraId="04954436" w14:textId="77777777" w:rsidR="00BB195D" w:rsidRPr="006A2BF9" w:rsidRDefault="00BB195D" w:rsidP="006E46C0">
      <w:pPr>
        <w:keepNext/>
        <w:keepLines/>
        <w:rPr>
          <w:lang w:val="it-IT"/>
        </w:rPr>
      </w:pPr>
    </w:p>
    <w:p w14:paraId="6D6687A2" w14:textId="77777777" w:rsidR="009C0666" w:rsidRPr="006A2BF9" w:rsidRDefault="009C0666" w:rsidP="009C0666">
      <w:pPr>
        <w:rPr>
          <w:b/>
          <w:bCs/>
          <w:lang w:val="it-IT"/>
        </w:rPr>
      </w:pPr>
      <w:r w:rsidRPr="006A2BF9">
        <w:rPr>
          <w:b/>
          <w:bCs/>
          <w:u w:val="single"/>
          <w:lang w:val="it-IT"/>
        </w:rPr>
        <w:br w:type="page"/>
      </w:r>
    </w:p>
    <w:p w14:paraId="116E3EA7"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r w:rsidRPr="006A2BF9">
        <w:rPr>
          <w:b/>
          <w:bCs/>
          <w:lang w:val="it-IT"/>
        </w:rPr>
        <w:lastRenderedPageBreak/>
        <w:t xml:space="preserve">INFORMAZIONI MINIME DA APPORRE SUI </w:t>
      </w:r>
      <w:r w:rsidR="00A448DE" w:rsidRPr="006A2BF9">
        <w:rPr>
          <w:b/>
          <w:bCs/>
          <w:lang w:val="it-IT"/>
        </w:rPr>
        <w:t xml:space="preserve">CONFEZIONAMENTI </w:t>
      </w:r>
      <w:r w:rsidRPr="006A2BF9">
        <w:rPr>
          <w:b/>
          <w:bCs/>
          <w:lang w:val="it-IT"/>
        </w:rPr>
        <w:t>PRIMARI DI PICCOLE DIMENSIONI</w:t>
      </w:r>
    </w:p>
    <w:p w14:paraId="4D663641"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p>
    <w:p w14:paraId="653C2E2F"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r w:rsidRPr="006A2BF9">
        <w:rPr>
          <w:b/>
          <w:bCs/>
          <w:lang w:val="it-IT"/>
        </w:rPr>
        <w:t>FLACONCINO</w:t>
      </w:r>
    </w:p>
    <w:p w14:paraId="50C4A15B" w14:textId="77777777" w:rsidR="009C0666" w:rsidRPr="006A2BF9" w:rsidRDefault="009C0666" w:rsidP="009C0666">
      <w:pPr>
        <w:rPr>
          <w:b/>
          <w:bCs/>
          <w:lang w:val="it-IT"/>
        </w:rPr>
      </w:pPr>
    </w:p>
    <w:p w14:paraId="226F098F" w14:textId="77777777" w:rsidR="009C0666" w:rsidRPr="006A2BF9" w:rsidRDefault="009C0666" w:rsidP="009C0666">
      <w:pPr>
        <w:rPr>
          <w:b/>
          <w:bCs/>
          <w:lang w:val="it-IT"/>
        </w:rPr>
      </w:pPr>
    </w:p>
    <w:p w14:paraId="18CE8333"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lang w:val="it-IT"/>
        </w:rPr>
      </w:pPr>
      <w:r w:rsidRPr="006A2BF9">
        <w:rPr>
          <w:b/>
          <w:bCs/>
          <w:lang w:val="it-IT"/>
        </w:rPr>
        <w:t>1.</w:t>
      </w:r>
      <w:r w:rsidRPr="006A2BF9">
        <w:rPr>
          <w:b/>
          <w:bCs/>
          <w:lang w:val="it-IT"/>
        </w:rPr>
        <w:tab/>
        <w:t>DENOMINAZIONE DEL MEDICINALE E VIA(E) DI SOMMINISTRAZIONE</w:t>
      </w:r>
    </w:p>
    <w:p w14:paraId="458C039C" w14:textId="77777777" w:rsidR="009C0666" w:rsidRPr="006A2BF9" w:rsidRDefault="009C0666" w:rsidP="009C0666">
      <w:pPr>
        <w:rPr>
          <w:lang w:val="it-IT"/>
        </w:rPr>
      </w:pPr>
    </w:p>
    <w:p w14:paraId="27734779" w14:textId="77777777" w:rsidR="009C0666" w:rsidRPr="006A2BF9" w:rsidRDefault="005477DC" w:rsidP="009C0666">
      <w:pPr>
        <w:rPr>
          <w:b/>
          <w:bCs/>
          <w:lang w:val="it-IT"/>
        </w:rPr>
      </w:pPr>
      <w:r w:rsidRPr="006A2BF9">
        <w:rPr>
          <w:lang w:val="it-IT"/>
        </w:rPr>
        <w:t xml:space="preserve">Aybintio </w:t>
      </w:r>
      <w:r w:rsidR="009C0666" w:rsidRPr="006A2BF9">
        <w:rPr>
          <w:lang w:val="it-IT"/>
        </w:rPr>
        <w:t>25 mg/</w:t>
      </w:r>
      <w:r w:rsidR="00B64026" w:rsidRPr="006A2BF9">
        <w:rPr>
          <w:lang w:val="it-IT"/>
        </w:rPr>
        <w:t>mL</w:t>
      </w:r>
      <w:r w:rsidR="009C0666" w:rsidRPr="006A2BF9">
        <w:rPr>
          <w:lang w:val="it-IT"/>
        </w:rPr>
        <w:t xml:space="preserve"> concentrato </w:t>
      </w:r>
      <w:r w:rsidR="009353FA" w:rsidRPr="006A2BF9">
        <w:rPr>
          <w:lang w:val="it-IT"/>
        </w:rPr>
        <w:t>sterile</w:t>
      </w:r>
    </w:p>
    <w:p w14:paraId="0C89B198" w14:textId="77777777" w:rsidR="009C0666" w:rsidRPr="006A2BF9" w:rsidRDefault="00F85500" w:rsidP="009C0666">
      <w:pPr>
        <w:rPr>
          <w:bCs/>
          <w:lang w:val="it-IT"/>
        </w:rPr>
      </w:pPr>
      <w:r w:rsidRPr="006A2BF9">
        <w:rPr>
          <w:bCs/>
          <w:lang w:val="it-IT"/>
        </w:rPr>
        <w:t>b</w:t>
      </w:r>
      <w:r w:rsidR="009C0666" w:rsidRPr="006A2BF9">
        <w:rPr>
          <w:bCs/>
          <w:lang w:val="it-IT"/>
        </w:rPr>
        <w:t>evacizumab</w:t>
      </w:r>
    </w:p>
    <w:p w14:paraId="196ED662" w14:textId="77777777" w:rsidR="009C0666" w:rsidRPr="006A2BF9" w:rsidRDefault="0076464A" w:rsidP="009C0666">
      <w:pPr>
        <w:rPr>
          <w:b/>
          <w:bCs/>
          <w:lang w:val="it-IT"/>
        </w:rPr>
      </w:pPr>
      <w:r w:rsidRPr="006A2BF9">
        <w:rPr>
          <w:lang w:val="it-IT"/>
        </w:rPr>
        <w:t>e.v</w:t>
      </w:r>
      <w:r w:rsidR="004C3C77" w:rsidRPr="006A2BF9">
        <w:rPr>
          <w:lang w:val="it-IT"/>
        </w:rPr>
        <w:t>.</w:t>
      </w:r>
      <w:r w:rsidR="001A78BF" w:rsidRPr="006A2BF9">
        <w:rPr>
          <w:lang w:val="it-IT"/>
        </w:rPr>
        <w:t xml:space="preserve"> dopo diluizione</w:t>
      </w:r>
    </w:p>
    <w:p w14:paraId="4C232FFD" w14:textId="77777777" w:rsidR="00E92D83" w:rsidRPr="006A2BF9" w:rsidRDefault="00E92D83" w:rsidP="009C0666">
      <w:pPr>
        <w:rPr>
          <w:b/>
          <w:bCs/>
          <w:lang w:val="it-IT"/>
        </w:rPr>
      </w:pPr>
    </w:p>
    <w:p w14:paraId="7CF4D433" w14:textId="77777777" w:rsidR="00B47F35" w:rsidRPr="006A2BF9" w:rsidRDefault="00B47F35" w:rsidP="009C0666">
      <w:pPr>
        <w:rPr>
          <w:b/>
          <w:bCs/>
          <w:lang w:val="it-IT"/>
        </w:rPr>
      </w:pPr>
    </w:p>
    <w:p w14:paraId="577D99D1"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2.</w:t>
      </w:r>
      <w:r w:rsidRPr="006A2BF9">
        <w:rPr>
          <w:b/>
          <w:bCs/>
          <w:lang w:val="it-IT"/>
        </w:rPr>
        <w:tab/>
        <w:t>MODO DI SOMMINISTRAZIONE</w:t>
      </w:r>
    </w:p>
    <w:p w14:paraId="0882D958" w14:textId="77777777" w:rsidR="009C0666" w:rsidRPr="006A2BF9" w:rsidRDefault="009C0666" w:rsidP="009C0666">
      <w:pPr>
        <w:rPr>
          <w:lang w:val="it-IT"/>
        </w:rPr>
      </w:pPr>
    </w:p>
    <w:p w14:paraId="1ED8C675" w14:textId="77777777" w:rsidR="00E92D83" w:rsidRPr="006A2BF9" w:rsidRDefault="00E92D83" w:rsidP="009C0666">
      <w:pPr>
        <w:rPr>
          <w:lang w:val="it-IT"/>
        </w:rPr>
      </w:pPr>
    </w:p>
    <w:p w14:paraId="7D4246E6" w14:textId="77777777" w:rsidR="009C0666" w:rsidRPr="006A2BF9" w:rsidRDefault="009C0666" w:rsidP="00EA2EDA">
      <w:pPr>
        <w:pBdr>
          <w:top w:val="single" w:sz="4" w:space="1" w:color="auto"/>
          <w:left w:val="single" w:sz="4" w:space="4" w:color="auto"/>
          <w:bottom w:val="single" w:sz="4" w:space="0" w:color="auto"/>
          <w:right w:val="single" w:sz="4" w:space="4" w:color="auto"/>
        </w:pBdr>
        <w:tabs>
          <w:tab w:val="left" w:pos="142"/>
        </w:tabs>
        <w:ind w:left="567" w:hanging="567"/>
        <w:rPr>
          <w:lang w:val="it-IT"/>
        </w:rPr>
      </w:pPr>
      <w:r w:rsidRPr="006A2BF9">
        <w:rPr>
          <w:b/>
          <w:bCs/>
          <w:lang w:val="it-IT"/>
        </w:rPr>
        <w:t>3.</w:t>
      </w:r>
      <w:r w:rsidRPr="006A2BF9">
        <w:rPr>
          <w:b/>
          <w:bCs/>
          <w:lang w:val="it-IT"/>
        </w:rPr>
        <w:tab/>
        <w:t>DATA DI SCADENZA</w:t>
      </w:r>
    </w:p>
    <w:p w14:paraId="72A6E1EF" w14:textId="77777777" w:rsidR="009C0666" w:rsidRPr="006A2BF9" w:rsidRDefault="009C0666" w:rsidP="009C0666">
      <w:pPr>
        <w:rPr>
          <w:lang w:val="it-IT"/>
        </w:rPr>
      </w:pPr>
    </w:p>
    <w:p w14:paraId="07367BBF" w14:textId="77777777" w:rsidR="009C0666" w:rsidRPr="006A2BF9" w:rsidRDefault="007A0553" w:rsidP="009C0666">
      <w:pPr>
        <w:rPr>
          <w:lang w:val="it-IT"/>
        </w:rPr>
      </w:pPr>
      <w:r w:rsidRPr="006A2BF9">
        <w:rPr>
          <w:lang w:val="it-IT"/>
        </w:rPr>
        <w:t>EXP</w:t>
      </w:r>
    </w:p>
    <w:p w14:paraId="503613D8" w14:textId="77777777" w:rsidR="009C0666" w:rsidRPr="006A2BF9" w:rsidRDefault="009C0666" w:rsidP="009C0666">
      <w:pPr>
        <w:rPr>
          <w:b/>
          <w:bCs/>
          <w:lang w:val="it-IT"/>
        </w:rPr>
      </w:pPr>
    </w:p>
    <w:p w14:paraId="45A42DEB" w14:textId="77777777" w:rsidR="009C0666" w:rsidRPr="006A2BF9" w:rsidRDefault="009C0666" w:rsidP="009C0666">
      <w:pPr>
        <w:rPr>
          <w:b/>
          <w:bCs/>
          <w:lang w:val="it-IT"/>
        </w:rPr>
      </w:pPr>
    </w:p>
    <w:p w14:paraId="46827227"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4.</w:t>
      </w:r>
      <w:r w:rsidRPr="006A2BF9">
        <w:rPr>
          <w:b/>
          <w:bCs/>
          <w:lang w:val="it-IT"/>
        </w:rPr>
        <w:tab/>
        <w:t>NUMERO DI LOTTO</w:t>
      </w:r>
    </w:p>
    <w:p w14:paraId="15621D95" w14:textId="77777777" w:rsidR="009C0666" w:rsidRPr="006A2BF9" w:rsidRDefault="009C0666" w:rsidP="009C0666">
      <w:pPr>
        <w:rPr>
          <w:lang w:val="it-IT"/>
        </w:rPr>
      </w:pPr>
    </w:p>
    <w:p w14:paraId="7015A7AE" w14:textId="77777777" w:rsidR="009C0666" w:rsidRPr="006A2BF9" w:rsidRDefault="007A0553" w:rsidP="009C0666">
      <w:pPr>
        <w:ind w:right="113"/>
        <w:rPr>
          <w:lang w:val="it-IT"/>
        </w:rPr>
      </w:pPr>
      <w:r w:rsidRPr="006A2BF9">
        <w:rPr>
          <w:lang w:val="it-IT"/>
        </w:rPr>
        <w:t>Lot</w:t>
      </w:r>
    </w:p>
    <w:p w14:paraId="09CEB427" w14:textId="77777777" w:rsidR="009C0666" w:rsidRPr="006A2BF9" w:rsidRDefault="009C0666" w:rsidP="009C0666">
      <w:pPr>
        <w:ind w:right="113"/>
        <w:rPr>
          <w:lang w:val="it-IT"/>
        </w:rPr>
      </w:pPr>
    </w:p>
    <w:p w14:paraId="59E1EC0C" w14:textId="77777777" w:rsidR="009C0666" w:rsidRPr="006A2BF9" w:rsidRDefault="009C0666" w:rsidP="009C0666">
      <w:pPr>
        <w:ind w:right="113"/>
        <w:rPr>
          <w:lang w:val="it-IT"/>
        </w:rPr>
      </w:pPr>
    </w:p>
    <w:p w14:paraId="4B2964D2"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5.</w:t>
      </w:r>
      <w:r w:rsidRPr="006A2BF9">
        <w:rPr>
          <w:b/>
          <w:bCs/>
          <w:lang w:val="it-IT"/>
        </w:rPr>
        <w:tab/>
        <w:t>CONTENUTO IN PESO, VOLUME O UNITA’</w:t>
      </w:r>
    </w:p>
    <w:p w14:paraId="0E0DABAD" w14:textId="77777777" w:rsidR="009C0666" w:rsidRPr="006A2BF9" w:rsidRDefault="009C0666" w:rsidP="009C0666">
      <w:pPr>
        <w:rPr>
          <w:lang w:val="it-IT"/>
        </w:rPr>
      </w:pPr>
    </w:p>
    <w:p w14:paraId="3D7FC817" w14:textId="77777777" w:rsidR="009C0666" w:rsidRPr="006A2BF9" w:rsidRDefault="009C0666" w:rsidP="009C0666">
      <w:pPr>
        <w:rPr>
          <w:lang w:val="it-IT"/>
        </w:rPr>
      </w:pPr>
      <w:r w:rsidRPr="006A2BF9">
        <w:rPr>
          <w:lang w:val="it-IT"/>
        </w:rPr>
        <w:t>100 mg</w:t>
      </w:r>
      <w:r w:rsidR="00EA2EDA" w:rsidRPr="006A2BF9">
        <w:rPr>
          <w:lang w:val="it-IT"/>
        </w:rPr>
        <w:t>/</w:t>
      </w:r>
      <w:r w:rsidRPr="006A2BF9">
        <w:rPr>
          <w:lang w:val="it-IT"/>
        </w:rPr>
        <w:t>4 </w:t>
      </w:r>
      <w:r w:rsidR="00B64026" w:rsidRPr="006A2BF9">
        <w:rPr>
          <w:lang w:val="it-IT"/>
        </w:rPr>
        <w:t>mL</w:t>
      </w:r>
    </w:p>
    <w:p w14:paraId="6A2BF5B1" w14:textId="77777777" w:rsidR="009C0666" w:rsidRPr="006A2BF9" w:rsidRDefault="009C0666" w:rsidP="009C0666">
      <w:pPr>
        <w:rPr>
          <w:lang w:val="it-IT"/>
        </w:rPr>
      </w:pPr>
    </w:p>
    <w:p w14:paraId="337D7140" w14:textId="77777777" w:rsidR="009C0666" w:rsidRPr="006A2BF9" w:rsidRDefault="009C0666" w:rsidP="009C0666">
      <w:pPr>
        <w:rPr>
          <w:lang w:val="it-IT"/>
        </w:rPr>
      </w:pPr>
    </w:p>
    <w:p w14:paraId="6E6E77F1"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6.</w:t>
      </w:r>
      <w:r w:rsidRPr="006A2BF9">
        <w:rPr>
          <w:b/>
          <w:bCs/>
          <w:lang w:val="it-IT"/>
        </w:rPr>
        <w:tab/>
        <w:t>ALTRO</w:t>
      </w:r>
    </w:p>
    <w:p w14:paraId="1EFC54A2" w14:textId="77777777" w:rsidR="009C0666" w:rsidRPr="006A2BF9" w:rsidRDefault="009C0666" w:rsidP="009C0666">
      <w:pPr>
        <w:rPr>
          <w:lang w:val="it-IT"/>
        </w:rPr>
      </w:pPr>
    </w:p>
    <w:p w14:paraId="51479CE6" w14:textId="77777777" w:rsidR="009C0666" w:rsidRPr="006A2BF9" w:rsidRDefault="009C0666" w:rsidP="009C0666">
      <w:pPr>
        <w:rPr>
          <w:lang w:val="it-IT"/>
        </w:rPr>
      </w:pPr>
      <w:r w:rsidRPr="006A2BF9">
        <w:rPr>
          <w:lang w:val="it-IT"/>
        </w:rPr>
        <w:br w:type="page"/>
      </w:r>
    </w:p>
    <w:p w14:paraId="435AF96C"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r w:rsidRPr="006A2BF9">
        <w:rPr>
          <w:b/>
          <w:bCs/>
          <w:lang w:val="it-IT"/>
        </w:rPr>
        <w:lastRenderedPageBreak/>
        <w:t xml:space="preserve">INFORMAZIONI DA APPORRE </w:t>
      </w:r>
      <w:r w:rsidR="004A0352" w:rsidRPr="006A2BF9">
        <w:rPr>
          <w:b/>
          <w:lang w:val="it-IT"/>
        </w:rPr>
        <w:t>SUL CONFEZIONAMENTO</w:t>
      </w:r>
      <w:r w:rsidRPr="006A2BF9">
        <w:rPr>
          <w:b/>
          <w:bCs/>
          <w:lang w:val="it-IT"/>
        </w:rPr>
        <w:t xml:space="preserve"> </w:t>
      </w:r>
      <w:r w:rsidR="006C7D9A" w:rsidRPr="006A2BF9">
        <w:rPr>
          <w:b/>
          <w:lang w:val="it-IT"/>
        </w:rPr>
        <w:t>SECONDARIO</w:t>
      </w:r>
    </w:p>
    <w:p w14:paraId="141F8438"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p>
    <w:p w14:paraId="182025F9"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r w:rsidRPr="006A2BF9">
        <w:rPr>
          <w:b/>
          <w:bCs/>
          <w:lang w:val="it-IT"/>
        </w:rPr>
        <w:t>IMBALLAGGIO ESTERNO</w:t>
      </w:r>
    </w:p>
    <w:p w14:paraId="245D7BD4" w14:textId="77777777" w:rsidR="009C0666" w:rsidRPr="006A2BF9" w:rsidRDefault="009C0666" w:rsidP="009C0666">
      <w:pPr>
        <w:rPr>
          <w:lang w:val="it-IT"/>
        </w:rPr>
      </w:pPr>
    </w:p>
    <w:p w14:paraId="31643A99" w14:textId="77777777" w:rsidR="009C0666" w:rsidRPr="006A2BF9" w:rsidRDefault="009C0666" w:rsidP="009C0666">
      <w:pPr>
        <w:rPr>
          <w:lang w:val="it-IT"/>
        </w:rPr>
      </w:pPr>
    </w:p>
    <w:p w14:paraId="6D28DD77"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w:t>
      </w:r>
      <w:r w:rsidRPr="006A2BF9">
        <w:rPr>
          <w:b/>
          <w:bCs/>
          <w:lang w:val="it-IT"/>
        </w:rPr>
        <w:tab/>
        <w:t>DENOMINAZIONE DEL MEDICINALE</w:t>
      </w:r>
    </w:p>
    <w:p w14:paraId="53C50EEC" w14:textId="77777777" w:rsidR="009C0666" w:rsidRPr="006A2BF9" w:rsidRDefault="009C0666" w:rsidP="009C0666">
      <w:pPr>
        <w:rPr>
          <w:lang w:val="it-IT"/>
        </w:rPr>
      </w:pPr>
    </w:p>
    <w:p w14:paraId="49DA54C4" w14:textId="77777777" w:rsidR="009C0666" w:rsidRPr="006A2BF9" w:rsidRDefault="001A78BF" w:rsidP="009C0666">
      <w:pPr>
        <w:rPr>
          <w:lang w:val="it-IT"/>
        </w:rPr>
      </w:pPr>
      <w:r w:rsidRPr="006A2BF9">
        <w:rPr>
          <w:lang w:val="it-IT"/>
        </w:rPr>
        <w:t xml:space="preserve">Aybintio </w:t>
      </w:r>
      <w:r w:rsidR="009C0666" w:rsidRPr="006A2BF9">
        <w:rPr>
          <w:lang w:val="it-IT"/>
        </w:rPr>
        <w:t>25 mg/</w:t>
      </w:r>
      <w:r w:rsidR="00B64026" w:rsidRPr="006A2BF9">
        <w:rPr>
          <w:lang w:val="it-IT"/>
        </w:rPr>
        <w:t>mL</w:t>
      </w:r>
      <w:r w:rsidR="009C0666" w:rsidRPr="006A2BF9">
        <w:rPr>
          <w:lang w:val="it-IT"/>
        </w:rPr>
        <w:t xml:space="preserve"> concentrato per soluzione per infusione</w:t>
      </w:r>
    </w:p>
    <w:p w14:paraId="57F2C5A8" w14:textId="77777777" w:rsidR="009C0666" w:rsidRPr="006A2BF9" w:rsidRDefault="00F85500" w:rsidP="009C0666">
      <w:pPr>
        <w:rPr>
          <w:lang w:val="it-IT"/>
        </w:rPr>
      </w:pPr>
      <w:r w:rsidRPr="006A2BF9">
        <w:rPr>
          <w:lang w:val="it-IT"/>
        </w:rPr>
        <w:t>b</w:t>
      </w:r>
      <w:r w:rsidR="009C0666" w:rsidRPr="006A2BF9">
        <w:rPr>
          <w:lang w:val="it-IT"/>
        </w:rPr>
        <w:t>evacizumab</w:t>
      </w:r>
    </w:p>
    <w:p w14:paraId="1795B1CC" w14:textId="77777777" w:rsidR="009C0666" w:rsidRPr="006A2BF9" w:rsidRDefault="009C0666" w:rsidP="009C0666">
      <w:pPr>
        <w:rPr>
          <w:lang w:val="it-IT"/>
        </w:rPr>
      </w:pPr>
    </w:p>
    <w:p w14:paraId="64D2AAEF" w14:textId="77777777" w:rsidR="00E92D83" w:rsidRPr="006A2BF9" w:rsidRDefault="00E92D83" w:rsidP="009C0666">
      <w:pPr>
        <w:rPr>
          <w:lang w:val="it-IT"/>
        </w:rPr>
      </w:pPr>
    </w:p>
    <w:p w14:paraId="00F48C23"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2.</w:t>
      </w:r>
      <w:r w:rsidRPr="006A2BF9">
        <w:rPr>
          <w:b/>
          <w:bCs/>
          <w:lang w:val="it-IT"/>
        </w:rPr>
        <w:tab/>
        <w:t>COMPOSIZIONE QUALITATIVA E QUANTITATIVA</w:t>
      </w:r>
      <w:r w:rsidR="004A0352" w:rsidRPr="006A2BF9">
        <w:rPr>
          <w:b/>
          <w:bCs/>
          <w:lang w:val="it-IT"/>
        </w:rPr>
        <w:t xml:space="preserve"> </w:t>
      </w:r>
      <w:r w:rsidR="004A0352" w:rsidRPr="006A2BF9">
        <w:rPr>
          <w:b/>
          <w:lang w:val="it-IT"/>
        </w:rPr>
        <w:t>IN TERMINI DI PRINCIPIO(I) ATTIVO(I)</w:t>
      </w:r>
    </w:p>
    <w:p w14:paraId="40B0D11D" w14:textId="77777777" w:rsidR="009C0666" w:rsidRPr="006A2BF9" w:rsidRDefault="009C0666" w:rsidP="009C0666">
      <w:pPr>
        <w:rPr>
          <w:lang w:val="it-IT"/>
        </w:rPr>
      </w:pPr>
    </w:p>
    <w:p w14:paraId="5A531A6E" w14:textId="77777777" w:rsidR="009C0666" w:rsidRPr="006A2BF9" w:rsidRDefault="009C0666" w:rsidP="009C0666">
      <w:pPr>
        <w:rPr>
          <w:lang w:val="it-IT"/>
        </w:rPr>
      </w:pPr>
      <w:r w:rsidRPr="006A2BF9">
        <w:rPr>
          <w:lang w:val="it-IT"/>
        </w:rPr>
        <w:t>Ciascun flaconcino contiene 400 mg di bevacizumab.</w:t>
      </w:r>
    </w:p>
    <w:p w14:paraId="4129CB8C" w14:textId="77777777" w:rsidR="009C0666" w:rsidRPr="006A2BF9" w:rsidRDefault="009C0666" w:rsidP="009C0666">
      <w:pPr>
        <w:rPr>
          <w:lang w:val="it-IT"/>
        </w:rPr>
      </w:pPr>
    </w:p>
    <w:p w14:paraId="7B728EAD" w14:textId="77777777" w:rsidR="009C0666" w:rsidRPr="006A2BF9" w:rsidRDefault="009C0666" w:rsidP="009C0666">
      <w:pPr>
        <w:rPr>
          <w:lang w:val="it-IT"/>
        </w:rPr>
      </w:pPr>
    </w:p>
    <w:p w14:paraId="74D8745C"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3.</w:t>
      </w:r>
      <w:r w:rsidRPr="006A2BF9">
        <w:rPr>
          <w:b/>
          <w:bCs/>
          <w:lang w:val="it-IT"/>
        </w:rPr>
        <w:tab/>
        <w:t>ELENCO DEGLI ECCIPIENTI</w:t>
      </w:r>
    </w:p>
    <w:p w14:paraId="2EF4F4D2" w14:textId="77777777" w:rsidR="009C0666" w:rsidRPr="006A2BF9" w:rsidRDefault="009C0666" w:rsidP="009C0666">
      <w:pPr>
        <w:rPr>
          <w:lang w:val="it-IT"/>
        </w:rPr>
      </w:pPr>
    </w:p>
    <w:p w14:paraId="0660D876" w14:textId="5FBB317E" w:rsidR="009C0666" w:rsidRPr="006A2BF9" w:rsidRDefault="009C0666" w:rsidP="009C0666">
      <w:pPr>
        <w:rPr>
          <w:lang w:val="it-IT"/>
        </w:rPr>
      </w:pPr>
      <w:r w:rsidRPr="006A2BF9">
        <w:rPr>
          <w:lang w:val="it-IT"/>
        </w:rPr>
        <w:t xml:space="preserve">Trealosio diidrato, sodio </w:t>
      </w:r>
      <w:r w:rsidR="001A78BF" w:rsidRPr="006A2BF9">
        <w:rPr>
          <w:lang w:val="it-IT"/>
        </w:rPr>
        <w:t>acetato triidrato, acido acetico</w:t>
      </w:r>
      <w:r w:rsidRPr="006A2BF9">
        <w:rPr>
          <w:lang w:val="it-IT"/>
        </w:rPr>
        <w:t>, polisorbato</w:t>
      </w:r>
      <w:r w:rsidR="00B43F57" w:rsidRPr="006A2BF9">
        <w:rPr>
          <w:lang w:val="it-IT"/>
        </w:rPr>
        <w:t> </w:t>
      </w:r>
      <w:r w:rsidRPr="006A2BF9">
        <w:rPr>
          <w:lang w:val="it-IT"/>
        </w:rPr>
        <w:t>20, acqua per preparazioni iniettabili.</w:t>
      </w:r>
      <w:r w:rsidR="00AC2E82">
        <w:rPr>
          <w:lang w:val="it-IT"/>
        </w:rPr>
        <w:t xml:space="preserve"> </w:t>
      </w:r>
      <w:r w:rsidR="00AC2E82" w:rsidRPr="002432F6">
        <w:rPr>
          <w:highlight w:val="lightGray"/>
          <w:lang w:val="it-IT"/>
        </w:rPr>
        <w:t>Vedere il foglio illustrativo per ulteriori</w:t>
      </w:r>
      <w:r w:rsidR="00AC2E82">
        <w:rPr>
          <w:highlight w:val="lightGray"/>
          <w:lang w:val="it-IT"/>
        </w:rPr>
        <w:t xml:space="preserve"> informazioni</w:t>
      </w:r>
    </w:p>
    <w:p w14:paraId="4C5CD4DF" w14:textId="77777777" w:rsidR="009C0666" w:rsidRPr="006A2BF9" w:rsidRDefault="009C0666" w:rsidP="009C0666">
      <w:pPr>
        <w:rPr>
          <w:lang w:val="it-IT"/>
        </w:rPr>
      </w:pPr>
    </w:p>
    <w:p w14:paraId="205F5D15" w14:textId="77777777" w:rsidR="009C0666" w:rsidRPr="006A2BF9" w:rsidRDefault="009C0666" w:rsidP="009C0666">
      <w:pPr>
        <w:rPr>
          <w:lang w:val="it-IT"/>
        </w:rPr>
      </w:pPr>
    </w:p>
    <w:p w14:paraId="0582C1F4"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4.</w:t>
      </w:r>
      <w:r w:rsidRPr="006A2BF9">
        <w:rPr>
          <w:b/>
          <w:bCs/>
          <w:lang w:val="it-IT"/>
        </w:rPr>
        <w:tab/>
        <w:t>FORMA FARMACEUTICA E CONTENUTO</w:t>
      </w:r>
    </w:p>
    <w:p w14:paraId="04576085" w14:textId="77777777" w:rsidR="009C0666" w:rsidRPr="006A2BF9" w:rsidRDefault="009C0666" w:rsidP="009C0666">
      <w:pPr>
        <w:rPr>
          <w:lang w:val="it-IT"/>
        </w:rPr>
      </w:pPr>
    </w:p>
    <w:p w14:paraId="271E8E9B" w14:textId="77777777" w:rsidR="009C0666" w:rsidRPr="00B26F69" w:rsidRDefault="009C0666" w:rsidP="009C0666">
      <w:pPr>
        <w:rPr>
          <w:highlight w:val="lightGray"/>
          <w:lang w:val="it-IT"/>
        </w:rPr>
      </w:pPr>
      <w:r w:rsidRPr="00B26F69">
        <w:rPr>
          <w:highlight w:val="lightGray"/>
          <w:lang w:val="it-IT"/>
        </w:rPr>
        <w:t>Concentr</w:t>
      </w:r>
      <w:r w:rsidR="00EA2EDA" w:rsidRPr="00B26F69">
        <w:rPr>
          <w:highlight w:val="lightGray"/>
          <w:lang w:val="it-IT"/>
        </w:rPr>
        <w:t>ato per soluzione per infusione</w:t>
      </w:r>
    </w:p>
    <w:p w14:paraId="5A51A44D" w14:textId="77777777" w:rsidR="009C0666" w:rsidRPr="006A2BF9" w:rsidRDefault="009C0666" w:rsidP="009C0666">
      <w:pPr>
        <w:rPr>
          <w:lang w:val="it-IT"/>
        </w:rPr>
      </w:pPr>
      <w:r w:rsidRPr="006A2BF9">
        <w:rPr>
          <w:lang w:val="it-IT"/>
        </w:rPr>
        <w:t>1</w:t>
      </w:r>
      <w:r w:rsidR="00B43F57" w:rsidRPr="006A2BF9">
        <w:rPr>
          <w:lang w:val="it-IT"/>
        </w:rPr>
        <w:t> </w:t>
      </w:r>
      <w:r w:rsidRPr="006A2BF9">
        <w:rPr>
          <w:lang w:val="it-IT"/>
        </w:rPr>
        <w:t>flaconcino da 16 </w:t>
      </w:r>
      <w:r w:rsidR="00B64026" w:rsidRPr="006A2BF9">
        <w:rPr>
          <w:lang w:val="it-IT"/>
        </w:rPr>
        <w:t>mL</w:t>
      </w:r>
    </w:p>
    <w:p w14:paraId="09190F91" w14:textId="77777777" w:rsidR="0076464A" w:rsidRPr="006A2BF9" w:rsidRDefault="0076464A" w:rsidP="009C0666">
      <w:pPr>
        <w:rPr>
          <w:lang w:val="it-IT"/>
        </w:rPr>
      </w:pPr>
      <w:r w:rsidRPr="006A2BF9">
        <w:rPr>
          <w:lang w:val="it-IT"/>
        </w:rPr>
        <w:t>400</w:t>
      </w:r>
      <w:r w:rsidR="00B43F57" w:rsidRPr="006A2BF9">
        <w:rPr>
          <w:lang w:val="it-IT"/>
        </w:rPr>
        <w:t> </w:t>
      </w:r>
      <w:r w:rsidRPr="006A2BF9">
        <w:rPr>
          <w:lang w:val="it-IT"/>
        </w:rPr>
        <w:t>mg/16</w:t>
      </w:r>
      <w:r w:rsidR="00B43F57" w:rsidRPr="006A2BF9">
        <w:rPr>
          <w:lang w:val="it-IT"/>
        </w:rPr>
        <w:t> </w:t>
      </w:r>
      <w:r w:rsidR="00B64026" w:rsidRPr="006A2BF9">
        <w:rPr>
          <w:lang w:val="it-IT"/>
        </w:rPr>
        <w:t>mL</w:t>
      </w:r>
    </w:p>
    <w:p w14:paraId="2176EF3D" w14:textId="77777777" w:rsidR="009C0666" w:rsidRPr="006A2BF9" w:rsidRDefault="009C0666" w:rsidP="009C0666">
      <w:pPr>
        <w:rPr>
          <w:lang w:val="it-IT"/>
        </w:rPr>
      </w:pPr>
    </w:p>
    <w:p w14:paraId="6AC4CE86" w14:textId="77777777" w:rsidR="009C0666" w:rsidRPr="006A2BF9" w:rsidRDefault="009C0666" w:rsidP="009C0666">
      <w:pPr>
        <w:rPr>
          <w:lang w:val="it-IT"/>
        </w:rPr>
      </w:pPr>
    </w:p>
    <w:p w14:paraId="1B33E2F1"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5.</w:t>
      </w:r>
      <w:r w:rsidRPr="006A2BF9">
        <w:rPr>
          <w:b/>
          <w:bCs/>
          <w:lang w:val="it-IT"/>
        </w:rPr>
        <w:tab/>
        <w:t>MODO E VIA(E) DI SOMMINISTRAZIONE</w:t>
      </w:r>
    </w:p>
    <w:p w14:paraId="3095FF8F" w14:textId="77777777" w:rsidR="009C0666" w:rsidRPr="006A2BF9" w:rsidRDefault="009C0666" w:rsidP="009C0666">
      <w:pPr>
        <w:rPr>
          <w:lang w:val="it-IT"/>
        </w:rPr>
      </w:pPr>
    </w:p>
    <w:p w14:paraId="0579D9C9" w14:textId="77777777" w:rsidR="009C0666" w:rsidRPr="006A2BF9" w:rsidRDefault="009C0666" w:rsidP="009C0666">
      <w:pPr>
        <w:rPr>
          <w:lang w:val="it-IT"/>
        </w:rPr>
      </w:pPr>
      <w:r w:rsidRPr="006A2BF9">
        <w:rPr>
          <w:lang w:val="it-IT"/>
        </w:rPr>
        <w:t>Uso endovenoso dopo diluizione</w:t>
      </w:r>
    </w:p>
    <w:p w14:paraId="2EA4966A" w14:textId="77777777" w:rsidR="009C0666" w:rsidRPr="006A2BF9" w:rsidRDefault="009C0666" w:rsidP="009C0666">
      <w:pPr>
        <w:rPr>
          <w:lang w:val="it-IT"/>
        </w:rPr>
      </w:pPr>
      <w:r w:rsidRPr="006A2BF9">
        <w:rPr>
          <w:lang w:val="it-IT"/>
        </w:rPr>
        <w:t>Leggere il foglio illustrativo prima dell’uso</w:t>
      </w:r>
      <w:r w:rsidR="00C441C3" w:rsidRPr="006A2BF9">
        <w:rPr>
          <w:lang w:val="it-IT"/>
        </w:rPr>
        <w:t>.</w:t>
      </w:r>
    </w:p>
    <w:p w14:paraId="7B2B224B" w14:textId="77777777" w:rsidR="009C0666" w:rsidRPr="006A2BF9" w:rsidRDefault="009C0666" w:rsidP="009C0666">
      <w:pPr>
        <w:rPr>
          <w:lang w:val="it-IT"/>
        </w:rPr>
      </w:pPr>
    </w:p>
    <w:p w14:paraId="40CF8385" w14:textId="77777777" w:rsidR="009C0666" w:rsidRPr="006A2BF9" w:rsidRDefault="009C0666" w:rsidP="009C0666">
      <w:pPr>
        <w:rPr>
          <w:lang w:val="it-IT"/>
        </w:rPr>
      </w:pPr>
    </w:p>
    <w:p w14:paraId="73F54AEC"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6.</w:t>
      </w:r>
      <w:r w:rsidRPr="006A2BF9">
        <w:rPr>
          <w:b/>
          <w:bCs/>
          <w:lang w:val="it-IT"/>
        </w:rPr>
        <w:tab/>
        <w:t xml:space="preserve">AVVERTENZA </w:t>
      </w:r>
      <w:r w:rsidRPr="006A2BF9">
        <w:rPr>
          <w:b/>
          <w:lang w:val="it-IT"/>
        </w:rPr>
        <w:t>PARTICOLARE</w:t>
      </w:r>
      <w:r w:rsidRPr="006A2BF9">
        <w:rPr>
          <w:b/>
          <w:bCs/>
          <w:lang w:val="it-IT"/>
        </w:rPr>
        <w:t xml:space="preserve"> CHE PRESCRIVA DI TENERE IL MEDICINALE FUORI DALLA </w:t>
      </w:r>
      <w:r w:rsidR="003A374B" w:rsidRPr="006A2BF9">
        <w:rPr>
          <w:b/>
          <w:bCs/>
          <w:lang w:val="it-IT"/>
        </w:rPr>
        <w:t xml:space="preserve">VISTA E DALLA </w:t>
      </w:r>
      <w:r w:rsidRPr="006A2BF9">
        <w:rPr>
          <w:b/>
          <w:bCs/>
          <w:lang w:val="it-IT"/>
        </w:rPr>
        <w:t>PORTATA DEI BAMBINI</w:t>
      </w:r>
    </w:p>
    <w:p w14:paraId="24483620" w14:textId="77777777" w:rsidR="009C0666" w:rsidRPr="006A2BF9" w:rsidRDefault="009C0666" w:rsidP="009C0666">
      <w:pPr>
        <w:rPr>
          <w:lang w:val="it-IT"/>
        </w:rPr>
      </w:pPr>
    </w:p>
    <w:p w14:paraId="01511CCE" w14:textId="77777777" w:rsidR="009C0666" w:rsidRPr="006A2BF9" w:rsidRDefault="009C0666" w:rsidP="009C0666">
      <w:pPr>
        <w:rPr>
          <w:lang w:val="it-IT"/>
        </w:rPr>
      </w:pPr>
      <w:r w:rsidRPr="006A2BF9">
        <w:rPr>
          <w:lang w:val="it-IT"/>
        </w:rPr>
        <w:t>Tenere fuori dalla</w:t>
      </w:r>
      <w:r w:rsidR="003A374B" w:rsidRPr="006A2BF9">
        <w:rPr>
          <w:lang w:val="it-IT"/>
        </w:rPr>
        <w:t xml:space="preserve"> vista e dalla</w:t>
      </w:r>
      <w:r w:rsidRPr="006A2BF9">
        <w:rPr>
          <w:lang w:val="it-IT"/>
        </w:rPr>
        <w:t xml:space="preserve"> portata dei bambini</w:t>
      </w:r>
      <w:r w:rsidR="00C441C3" w:rsidRPr="006A2BF9">
        <w:rPr>
          <w:lang w:val="it-IT"/>
        </w:rPr>
        <w:t>.</w:t>
      </w:r>
    </w:p>
    <w:p w14:paraId="1FCAC0A3" w14:textId="77777777" w:rsidR="009C0666" w:rsidRPr="006A2BF9" w:rsidRDefault="009C0666" w:rsidP="009C0666">
      <w:pPr>
        <w:rPr>
          <w:lang w:val="it-IT"/>
        </w:rPr>
      </w:pPr>
    </w:p>
    <w:p w14:paraId="404CF0BA" w14:textId="77777777" w:rsidR="009C0666" w:rsidRPr="006A2BF9" w:rsidRDefault="009C0666" w:rsidP="009C0666">
      <w:pPr>
        <w:rPr>
          <w:lang w:val="it-IT"/>
        </w:rPr>
      </w:pPr>
    </w:p>
    <w:p w14:paraId="62BBE7CC"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lang w:val="it-IT"/>
        </w:rPr>
      </w:pPr>
      <w:r w:rsidRPr="006A2BF9">
        <w:rPr>
          <w:b/>
          <w:bCs/>
          <w:lang w:val="it-IT"/>
        </w:rPr>
        <w:t>7.</w:t>
      </w:r>
      <w:r w:rsidRPr="006A2BF9">
        <w:rPr>
          <w:b/>
          <w:bCs/>
          <w:lang w:val="it-IT"/>
        </w:rPr>
        <w:tab/>
        <w:t xml:space="preserve">ALTRA(E) AVVERTENZA(E) </w:t>
      </w:r>
      <w:r w:rsidRPr="006A2BF9">
        <w:rPr>
          <w:b/>
          <w:lang w:val="it-IT"/>
        </w:rPr>
        <w:t>PARTICOLARE</w:t>
      </w:r>
      <w:r w:rsidRPr="006A2BF9">
        <w:rPr>
          <w:b/>
          <w:bCs/>
          <w:lang w:val="it-IT"/>
        </w:rPr>
        <w:t xml:space="preserve">(I), </w:t>
      </w:r>
      <w:r w:rsidR="00A448DE" w:rsidRPr="006A2BF9">
        <w:rPr>
          <w:b/>
          <w:bCs/>
          <w:lang w:val="it-IT"/>
        </w:rPr>
        <w:t xml:space="preserve">SE </w:t>
      </w:r>
      <w:r w:rsidRPr="006A2BF9">
        <w:rPr>
          <w:b/>
          <w:bCs/>
          <w:lang w:val="it-IT"/>
        </w:rPr>
        <w:t>NECESSARIO</w:t>
      </w:r>
    </w:p>
    <w:p w14:paraId="5DB8658F" w14:textId="77777777" w:rsidR="009C0666" w:rsidRPr="006A2BF9" w:rsidRDefault="009C0666" w:rsidP="009C0666">
      <w:pPr>
        <w:rPr>
          <w:lang w:val="it-IT"/>
        </w:rPr>
      </w:pPr>
    </w:p>
    <w:p w14:paraId="061D00BC" w14:textId="77777777" w:rsidR="009C0666" w:rsidRPr="006A2BF9" w:rsidRDefault="009C0666" w:rsidP="009C0666">
      <w:pPr>
        <w:rPr>
          <w:lang w:val="it-IT"/>
        </w:rPr>
      </w:pPr>
    </w:p>
    <w:p w14:paraId="21B1E159"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8.</w:t>
      </w:r>
      <w:r w:rsidRPr="006A2BF9">
        <w:rPr>
          <w:b/>
          <w:bCs/>
          <w:lang w:val="it-IT"/>
        </w:rPr>
        <w:tab/>
        <w:t>DATA DI SCADENZA</w:t>
      </w:r>
    </w:p>
    <w:p w14:paraId="401EDDE3" w14:textId="77777777" w:rsidR="009C0666" w:rsidRPr="006A2BF9" w:rsidRDefault="009C0666" w:rsidP="009C0666">
      <w:pPr>
        <w:rPr>
          <w:lang w:val="it-IT"/>
        </w:rPr>
      </w:pPr>
    </w:p>
    <w:p w14:paraId="7B331D09" w14:textId="77777777" w:rsidR="003533B9" w:rsidRPr="006A2BF9" w:rsidRDefault="009C0666" w:rsidP="003533B9">
      <w:pPr>
        <w:rPr>
          <w:lang w:val="it-IT"/>
        </w:rPr>
      </w:pPr>
      <w:r w:rsidRPr="006A2BF9">
        <w:rPr>
          <w:lang w:val="it-IT"/>
        </w:rPr>
        <w:t>Scad.</w:t>
      </w:r>
      <w:r w:rsidR="003533B9" w:rsidRPr="006A2BF9">
        <w:rPr>
          <w:lang w:val="it-IT"/>
        </w:rPr>
        <w:t xml:space="preserve"> </w:t>
      </w:r>
    </w:p>
    <w:p w14:paraId="72EDDEB9" w14:textId="77777777" w:rsidR="009C0666" w:rsidRPr="006A2BF9" w:rsidRDefault="009C0666" w:rsidP="009C0666">
      <w:pPr>
        <w:rPr>
          <w:lang w:val="it-IT"/>
        </w:rPr>
      </w:pPr>
    </w:p>
    <w:p w14:paraId="2A86542C" w14:textId="77777777" w:rsidR="009C0666" w:rsidRPr="006A2BF9" w:rsidRDefault="009C0666" w:rsidP="009C0666">
      <w:pPr>
        <w:rPr>
          <w:lang w:val="it-IT"/>
        </w:rPr>
      </w:pPr>
    </w:p>
    <w:p w14:paraId="7E57E449" w14:textId="77777777" w:rsidR="009C0666" w:rsidRPr="006A2BF9" w:rsidRDefault="009C0666" w:rsidP="00F15447">
      <w:pPr>
        <w:keepNext/>
        <w:keepLines/>
        <w:pBdr>
          <w:top w:val="single" w:sz="4" w:space="1" w:color="auto"/>
          <w:left w:val="single" w:sz="4" w:space="4" w:color="auto"/>
          <w:bottom w:val="single" w:sz="4" w:space="1" w:color="auto"/>
          <w:right w:val="single" w:sz="4" w:space="4" w:color="auto"/>
        </w:pBdr>
        <w:tabs>
          <w:tab w:val="left" w:pos="142"/>
        </w:tabs>
        <w:ind w:left="567" w:hanging="567"/>
        <w:rPr>
          <w:lang w:val="it-IT"/>
        </w:rPr>
      </w:pPr>
      <w:r w:rsidRPr="006A2BF9">
        <w:rPr>
          <w:b/>
          <w:bCs/>
          <w:lang w:val="it-IT"/>
        </w:rPr>
        <w:t>9.</w:t>
      </w:r>
      <w:r w:rsidRPr="006A2BF9">
        <w:rPr>
          <w:b/>
          <w:bCs/>
          <w:lang w:val="it-IT"/>
        </w:rPr>
        <w:tab/>
        <w:t>PRECAUZIONI PARTICOLARI PER LA CONSERVAZIONE</w:t>
      </w:r>
    </w:p>
    <w:p w14:paraId="0CDDCF97" w14:textId="77777777" w:rsidR="009C0666" w:rsidRPr="006A2BF9" w:rsidRDefault="009C0666" w:rsidP="00D71134">
      <w:pPr>
        <w:keepNext/>
        <w:keepLines/>
        <w:rPr>
          <w:lang w:val="it-IT"/>
        </w:rPr>
      </w:pPr>
    </w:p>
    <w:p w14:paraId="34718C21" w14:textId="77777777" w:rsidR="009C0666" w:rsidRPr="006A2BF9" w:rsidRDefault="009C0666" w:rsidP="00F15447">
      <w:pPr>
        <w:keepNext/>
        <w:keepLines/>
        <w:rPr>
          <w:lang w:val="it-IT"/>
        </w:rPr>
      </w:pPr>
      <w:r w:rsidRPr="006A2BF9">
        <w:rPr>
          <w:lang w:val="it-IT"/>
        </w:rPr>
        <w:t>Conservare in frigorifero</w:t>
      </w:r>
      <w:r w:rsidR="00961680" w:rsidRPr="006A2BF9">
        <w:rPr>
          <w:lang w:val="it-IT"/>
        </w:rPr>
        <w:t>.</w:t>
      </w:r>
    </w:p>
    <w:p w14:paraId="03199147" w14:textId="77777777" w:rsidR="009C0666" w:rsidRPr="006A2BF9" w:rsidRDefault="009C0666" w:rsidP="00F15447">
      <w:pPr>
        <w:keepNext/>
        <w:keepLines/>
        <w:rPr>
          <w:lang w:val="it-IT"/>
        </w:rPr>
      </w:pPr>
      <w:r w:rsidRPr="006A2BF9">
        <w:rPr>
          <w:lang w:val="it-IT"/>
        </w:rPr>
        <w:t>Non congelare</w:t>
      </w:r>
      <w:r w:rsidR="00961680" w:rsidRPr="006A2BF9">
        <w:rPr>
          <w:lang w:val="it-IT"/>
        </w:rPr>
        <w:t>.</w:t>
      </w:r>
    </w:p>
    <w:p w14:paraId="06E7089E" w14:textId="29847638" w:rsidR="009C0666" w:rsidRPr="006A2BF9" w:rsidRDefault="009C0666" w:rsidP="009C0666">
      <w:pPr>
        <w:rPr>
          <w:lang w:val="it-IT"/>
        </w:rPr>
      </w:pPr>
      <w:r w:rsidRPr="006A2BF9">
        <w:rPr>
          <w:lang w:val="it-IT"/>
        </w:rPr>
        <w:t>Tenere il flaconcino nell’imballaggio esterno</w:t>
      </w:r>
      <w:r w:rsidR="00AC2E82">
        <w:rPr>
          <w:lang w:val="it-IT"/>
        </w:rPr>
        <w:t xml:space="preserve"> </w:t>
      </w:r>
      <w:r w:rsidR="00AC2E82" w:rsidRPr="008E6466">
        <w:rPr>
          <w:lang w:val="it-IT"/>
        </w:rPr>
        <w:t>per proteggerlo dalla luce</w:t>
      </w:r>
      <w:r w:rsidR="00C441C3" w:rsidRPr="006A2BF9">
        <w:rPr>
          <w:lang w:val="it-IT"/>
        </w:rPr>
        <w:t>.</w:t>
      </w:r>
    </w:p>
    <w:p w14:paraId="6842553D" w14:textId="77777777" w:rsidR="009C0666" w:rsidRPr="006A2BF9" w:rsidRDefault="009C0666" w:rsidP="009C0666">
      <w:pPr>
        <w:rPr>
          <w:lang w:val="it-IT"/>
        </w:rPr>
      </w:pPr>
    </w:p>
    <w:p w14:paraId="53CCECB3" w14:textId="77777777" w:rsidR="009C0666" w:rsidRPr="006A2BF9" w:rsidRDefault="009C0666" w:rsidP="009C0666">
      <w:pPr>
        <w:rPr>
          <w:lang w:val="it-IT"/>
        </w:rPr>
      </w:pPr>
    </w:p>
    <w:p w14:paraId="77A180FD"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10.</w:t>
      </w:r>
      <w:r w:rsidRPr="006A2BF9">
        <w:rPr>
          <w:b/>
          <w:bCs/>
          <w:lang w:val="it-IT"/>
        </w:rPr>
        <w:tab/>
        <w:t>PRECAUZIONI PARTICOLARI PER LO SMALTIMENTO DEL MEDICINALE NON UTILIZZATO O DEI RIFIUTI DERIVATI DA TALE MEDICINALE, SE NECESSARIO</w:t>
      </w:r>
    </w:p>
    <w:p w14:paraId="09DE74AE" w14:textId="77777777" w:rsidR="009C0666" w:rsidRPr="006A2BF9" w:rsidRDefault="009C0666" w:rsidP="009C0666">
      <w:pPr>
        <w:rPr>
          <w:lang w:val="it-IT"/>
        </w:rPr>
      </w:pPr>
    </w:p>
    <w:p w14:paraId="362EF9F9" w14:textId="77777777" w:rsidR="009C0666" w:rsidRPr="006A2BF9" w:rsidRDefault="009C0666" w:rsidP="009C0666">
      <w:pPr>
        <w:rPr>
          <w:lang w:val="it-IT"/>
        </w:rPr>
      </w:pPr>
    </w:p>
    <w:p w14:paraId="4338993A"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11.</w:t>
      </w:r>
      <w:r w:rsidRPr="006A2BF9">
        <w:rPr>
          <w:b/>
          <w:bCs/>
          <w:lang w:val="it-IT"/>
        </w:rPr>
        <w:tab/>
        <w:t>NOME E INDIRIZZO DEL TITOLARE DELL’AUTORIZZAZIONE ALL’IMMISSIONE IN COMMERCIO</w:t>
      </w:r>
    </w:p>
    <w:p w14:paraId="6D5B22C1" w14:textId="77777777" w:rsidR="009C0666" w:rsidRPr="006A2BF9" w:rsidRDefault="009C0666" w:rsidP="009C0666">
      <w:pPr>
        <w:rPr>
          <w:lang w:val="it-IT"/>
        </w:rPr>
      </w:pPr>
    </w:p>
    <w:p w14:paraId="5C513A67" w14:textId="77777777" w:rsidR="00E93C5F" w:rsidRPr="006A2BF9" w:rsidRDefault="0098235A" w:rsidP="00E93C5F">
      <w:pPr>
        <w:rPr>
          <w:lang w:val="it-IT"/>
        </w:rPr>
      </w:pPr>
      <w:r w:rsidRPr="006A2BF9">
        <w:rPr>
          <w:color w:val="000000"/>
          <w:szCs w:val="24"/>
          <w:lang w:val="it-IT" w:eastAsia="ko-KR"/>
        </w:rPr>
        <w:t>Samsung Bioepis NL B.V.</w:t>
      </w:r>
      <w:r w:rsidRPr="006A2BF9">
        <w:rPr>
          <w:color w:val="000000"/>
          <w:szCs w:val="24"/>
          <w:lang w:val="it-IT" w:eastAsia="ko-KR"/>
        </w:rPr>
        <w:br/>
        <w:t>Olof Palmestraat 10, 2616 LR Delft</w:t>
      </w:r>
      <w:r w:rsidRPr="006A2BF9">
        <w:rPr>
          <w:color w:val="000000"/>
          <w:szCs w:val="24"/>
          <w:lang w:val="it-IT" w:eastAsia="ko-KR"/>
        </w:rPr>
        <w:br/>
        <w:t>Paesi Bassi</w:t>
      </w:r>
    </w:p>
    <w:p w14:paraId="333A57A9" w14:textId="77777777" w:rsidR="009C0666" w:rsidRPr="006A2BF9" w:rsidRDefault="009C0666" w:rsidP="009C0666">
      <w:pPr>
        <w:rPr>
          <w:lang w:val="it-IT"/>
        </w:rPr>
      </w:pPr>
    </w:p>
    <w:p w14:paraId="6041CADB" w14:textId="77777777" w:rsidR="009C0666" w:rsidRPr="006A2BF9" w:rsidRDefault="009C0666" w:rsidP="009C0666">
      <w:pPr>
        <w:rPr>
          <w:lang w:val="it-IT"/>
        </w:rPr>
      </w:pPr>
    </w:p>
    <w:p w14:paraId="571012F1"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12.</w:t>
      </w:r>
      <w:r w:rsidRPr="006A2BF9">
        <w:rPr>
          <w:b/>
          <w:bCs/>
          <w:lang w:val="it-IT"/>
        </w:rPr>
        <w:tab/>
        <w:t>NUMERO(I) DELL’AUTORIZZAZIONE ALL’IMMISSIONE IN COMMERCIO</w:t>
      </w:r>
    </w:p>
    <w:p w14:paraId="1EB38A29" w14:textId="77777777" w:rsidR="009C0666" w:rsidRPr="006A2BF9" w:rsidRDefault="009C0666" w:rsidP="009C0666">
      <w:pPr>
        <w:rPr>
          <w:lang w:val="it-IT"/>
        </w:rPr>
      </w:pPr>
    </w:p>
    <w:p w14:paraId="68C7FBDE" w14:textId="77777777" w:rsidR="009C0666" w:rsidRPr="006A2BF9" w:rsidRDefault="009C0666" w:rsidP="009C0666">
      <w:pPr>
        <w:rPr>
          <w:lang w:val="it-IT"/>
        </w:rPr>
      </w:pPr>
      <w:r w:rsidRPr="006A2BF9">
        <w:rPr>
          <w:lang w:val="it-IT"/>
        </w:rPr>
        <w:t>EU/</w:t>
      </w:r>
      <w:r w:rsidR="00DC4C6E" w:rsidRPr="006A2BF9">
        <w:rPr>
          <w:lang w:val="it-IT"/>
        </w:rPr>
        <w:t>1/20/1454</w:t>
      </w:r>
      <w:r w:rsidR="008175F3" w:rsidRPr="006A2BF9">
        <w:rPr>
          <w:lang w:val="it-IT"/>
        </w:rPr>
        <w:t>/002</w:t>
      </w:r>
    </w:p>
    <w:p w14:paraId="5B165D99" w14:textId="77777777" w:rsidR="009C0666" w:rsidRPr="006A2BF9" w:rsidRDefault="009C0666" w:rsidP="009C0666">
      <w:pPr>
        <w:rPr>
          <w:lang w:val="it-IT"/>
        </w:rPr>
      </w:pPr>
    </w:p>
    <w:p w14:paraId="04118A48" w14:textId="77777777" w:rsidR="009C0666" w:rsidRPr="006A2BF9" w:rsidRDefault="009C0666" w:rsidP="009C0666">
      <w:pPr>
        <w:rPr>
          <w:lang w:val="it-IT"/>
        </w:rPr>
      </w:pPr>
    </w:p>
    <w:p w14:paraId="2FF29B83"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lang w:val="it-IT"/>
        </w:rPr>
      </w:pPr>
      <w:r w:rsidRPr="006A2BF9">
        <w:rPr>
          <w:b/>
          <w:bCs/>
          <w:lang w:val="it-IT"/>
        </w:rPr>
        <w:t>13.</w:t>
      </w:r>
      <w:r w:rsidRPr="006A2BF9">
        <w:rPr>
          <w:b/>
          <w:bCs/>
          <w:lang w:val="it-IT"/>
        </w:rPr>
        <w:tab/>
        <w:t>NUMERO DI LOTTO</w:t>
      </w:r>
    </w:p>
    <w:p w14:paraId="0944C2A4" w14:textId="77777777" w:rsidR="009C0666" w:rsidRPr="006A2BF9" w:rsidRDefault="009C0666" w:rsidP="009C0666">
      <w:pPr>
        <w:rPr>
          <w:lang w:val="it-IT"/>
        </w:rPr>
      </w:pPr>
    </w:p>
    <w:p w14:paraId="2DEBBD16" w14:textId="77777777" w:rsidR="009C0666" w:rsidRPr="006A2BF9" w:rsidRDefault="009C0666" w:rsidP="009C0666">
      <w:pPr>
        <w:rPr>
          <w:lang w:val="it-IT"/>
        </w:rPr>
      </w:pPr>
      <w:r w:rsidRPr="006A2BF9">
        <w:rPr>
          <w:lang w:val="it-IT"/>
        </w:rPr>
        <w:t>Lot</w:t>
      </w:r>
      <w:r w:rsidR="00316168" w:rsidRPr="006A2BF9">
        <w:rPr>
          <w:lang w:val="it-IT"/>
        </w:rPr>
        <w:t>to</w:t>
      </w:r>
    </w:p>
    <w:p w14:paraId="47C1AE9D" w14:textId="77777777" w:rsidR="009C0666" w:rsidRPr="006A2BF9" w:rsidRDefault="009C0666" w:rsidP="009C0666">
      <w:pPr>
        <w:rPr>
          <w:lang w:val="it-IT"/>
        </w:rPr>
      </w:pPr>
    </w:p>
    <w:p w14:paraId="6C548AA9" w14:textId="77777777" w:rsidR="009C0666" w:rsidRPr="006A2BF9" w:rsidRDefault="009C0666" w:rsidP="009C0666">
      <w:pPr>
        <w:rPr>
          <w:lang w:val="it-IT"/>
        </w:rPr>
      </w:pPr>
    </w:p>
    <w:p w14:paraId="02585622"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lang w:val="it-IT"/>
        </w:rPr>
      </w:pPr>
      <w:r w:rsidRPr="006A2BF9">
        <w:rPr>
          <w:b/>
          <w:bCs/>
          <w:lang w:val="it-IT"/>
        </w:rPr>
        <w:t>14.</w:t>
      </w:r>
      <w:r w:rsidRPr="006A2BF9">
        <w:rPr>
          <w:b/>
          <w:bCs/>
          <w:lang w:val="it-IT"/>
        </w:rPr>
        <w:tab/>
        <w:t>CONDIZIONE GENERALE DI FORNITURA</w:t>
      </w:r>
    </w:p>
    <w:p w14:paraId="11ECF6A6" w14:textId="77777777" w:rsidR="009C0666" w:rsidRPr="006A2BF9" w:rsidRDefault="009C0666" w:rsidP="009C0666">
      <w:pPr>
        <w:rPr>
          <w:lang w:val="it-IT"/>
        </w:rPr>
      </w:pPr>
    </w:p>
    <w:p w14:paraId="4ABEFCCC" w14:textId="77777777" w:rsidR="009C0666" w:rsidRPr="006A2BF9" w:rsidRDefault="009C0666" w:rsidP="009C0666">
      <w:pPr>
        <w:rPr>
          <w:lang w:val="it-IT"/>
        </w:rPr>
      </w:pPr>
    </w:p>
    <w:p w14:paraId="1BF4FB53"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15.</w:t>
      </w:r>
      <w:r w:rsidRPr="006A2BF9">
        <w:rPr>
          <w:b/>
          <w:bCs/>
          <w:lang w:val="it-IT"/>
        </w:rPr>
        <w:tab/>
        <w:t>ISTRUZIONI PER L’USO</w:t>
      </w:r>
    </w:p>
    <w:p w14:paraId="205A5122" w14:textId="77777777" w:rsidR="009C0666" w:rsidRPr="006A2BF9" w:rsidRDefault="009C0666" w:rsidP="009C0666">
      <w:pPr>
        <w:rPr>
          <w:lang w:val="it-IT"/>
        </w:rPr>
      </w:pPr>
    </w:p>
    <w:p w14:paraId="43E73EBF" w14:textId="77777777" w:rsidR="009C0666" w:rsidRPr="006A2BF9" w:rsidRDefault="009C0666" w:rsidP="009C0666">
      <w:pPr>
        <w:rPr>
          <w:lang w:val="it-IT"/>
        </w:rPr>
      </w:pPr>
    </w:p>
    <w:p w14:paraId="195F0479"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16.</w:t>
      </w:r>
      <w:r w:rsidRPr="006A2BF9">
        <w:rPr>
          <w:b/>
          <w:bCs/>
          <w:lang w:val="it-IT"/>
        </w:rPr>
        <w:tab/>
        <w:t>INFORMAZIONI IN BRAILLE</w:t>
      </w:r>
    </w:p>
    <w:p w14:paraId="6D3B5CB0" w14:textId="77777777" w:rsidR="009C0666" w:rsidRPr="006A2BF9" w:rsidRDefault="009C0666" w:rsidP="009C0666">
      <w:pPr>
        <w:rPr>
          <w:lang w:val="it-IT"/>
        </w:rPr>
      </w:pPr>
    </w:p>
    <w:p w14:paraId="195FB7C3" w14:textId="77777777" w:rsidR="00303533" w:rsidRPr="006A2BF9" w:rsidRDefault="00961680" w:rsidP="009C0666">
      <w:pPr>
        <w:rPr>
          <w:highlight w:val="lightGray"/>
          <w:lang w:val="it-IT"/>
        </w:rPr>
      </w:pPr>
      <w:r w:rsidRPr="006A2BF9">
        <w:rPr>
          <w:highlight w:val="lightGray"/>
          <w:lang w:val="it-IT"/>
        </w:rPr>
        <w:t>Giustificazione per non apporre il Braille accettata</w:t>
      </w:r>
      <w:r w:rsidR="00C441C3" w:rsidRPr="006A2BF9">
        <w:rPr>
          <w:highlight w:val="lightGray"/>
          <w:lang w:val="it-IT"/>
        </w:rPr>
        <w:t>.</w:t>
      </w:r>
    </w:p>
    <w:p w14:paraId="08197601" w14:textId="77777777" w:rsidR="00F526B9" w:rsidRPr="006A2BF9" w:rsidRDefault="00F526B9" w:rsidP="009C0666">
      <w:pPr>
        <w:rPr>
          <w:highlight w:val="darkGray"/>
          <w:lang w:val="it-IT"/>
        </w:rPr>
      </w:pPr>
    </w:p>
    <w:p w14:paraId="53D0C6C0" w14:textId="77777777" w:rsidR="00F84C20" w:rsidRPr="006A2BF9" w:rsidRDefault="00F84C20" w:rsidP="009C0666">
      <w:pPr>
        <w:rPr>
          <w:highlight w:val="darkGray"/>
          <w:lang w:val="it-IT"/>
        </w:rPr>
      </w:pPr>
    </w:p>
    <w:p w14:paraId="0B658B0C" w14:textId="77777777" w:rsidR="00F526B9" w:rsidRPr="006A2BF9" w:rsidRDefault="00F526B9" w:rsidP="00F526B9">
      <w:pPr>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6A2BF9">
        <w:rPr>
          <w:b/>
          <w:szCs w:val="22"/>
          <w:lang w:val="it-IT"/>
        </w:rPr>
        <w:t>17.</w:t>
      </w:r>
      <w:r w:rsidRPr="006A2BF9">
        <w:rPr>
          <w:b/>
          <w:szCs w:val="22"/>
          <w:lang w:val="it-IT"/>
        </w:rPr>
        <w:tab/>
        <w:t>IDENTIFICATIVO UNICO – CODICE A BARRE BIDIMENSIONALE</w:t>
      </w:r>
    </w:p>
    <w:p w14:paraId="5193EFEC" w14:textId="77777777" w:rsidR="00F526B9" w:rsidRPr="006A2BF9" w:rsidRDefault="00F526B9" w:rsidP="00F526B9">
      <w:pPr>
        <w:rPr>
          <w:lang w:val="it-IT"/>
        </w:rPr>
      </w:pPr>
    </w:p>
    <w:p w14:paraId="33682327" w14:textId="77777777" w:rsidR="00F526B9" w:rsidRPr="006A2BF9" w:rsidRDefault="00F526B9" w:rsidP="00F526B9">
      <w:pPr>
        <w:rPr>
          <w:szCs w:val="22"/>
          <w:shd w:val="clear" w:color="auto" w:fill="CCCCCC"/>
          <w:lang w:val="it-IT"/>
        </w:rPr>
      </w:pPr>
      <w:r w:rsidRPr="006A2BF9">
        <w:rPr>
          <w:highlight w:val="lightGray"/>
          <w:lang w:val="it-IT"/>
        </w:rPr>
        <w:t>Codice a barre bidimensionale con identificativo unico incluso.</w:t>
      </w:r>
    </w:p>
    <w:p w14:paraId="3D1950A8" w14:textId="77777777" w:rsidR="00F526B9" w:rsidRPr="006A2BF9" w:rsidRDefault="00F526B9" w:rsidP="00F526B9">
      <w:pPr>
        <w:rPr>
          <w:szCs w:val="22"/>
          <w:shd w:val="clear" w:color="auto" w:fill="CCCCCC"/>
          <w:lang w:val="it-IT"/>
        </w:rPr>
      </w:pPr>
    </w:p>
    <w:p w14:paraId="0F380D6F" w14:textId="77777777" w:rsidR="00F526B9" w:rsidRPr="006A2BF9" w:rsidRDefault="00F526B9" w:rsidP="00F526B9">
      <w:pPr>
        <w:rPr>
          <w:lang w:val="it-IT"/>
        </w:rPr>
      </w:pPr>
    </w:p>
    <w:p w14:paraId="74680AFA" w14:textId="77777777" w:rsidR="00F526B9" w:rsidRPr="006A2BF9" w:rsidRDefault="00F526B9" w:rsidP="00F84C20">
      <w:pPr>
        <w:keepNext/>
        <w:keepLines/>
        <w:pBdr>
          <w:top w:val="single" w:sz="4" w:space="1" w:color="auto"/>
          <w:left w:val="single" w:sz="4" w:space="4" w:color="auto"/>
          <w:bottom w:val="single" w:sz="4" w:space="1" w:color="auto"/>
          <w:right w:val="single" w:sz="4" w:space="4" w:color="auto"/>
        </w:pBdr>
        <w:suppressAutoHyphens/>
        <w:ind w:left="567" w:hanging="567"/>
        <w:rPr>
          <w:b/>
          <w:szCs w:val="22"/>
          <w:lang w:val="it-IT"/>
        </w:rPr>
      </w:pPr>
      <w:r w:rsidRPr="006A2BF9">
        <w:rPr>
          <w:b/>
          <w:szCs w:val="22"/>
          <w:lang w:val="it-IT"/>
        </w:rPr>
        <w:t>18.</w:t>
      </w:r>
      <w:r w:rsidRPr="006A2BF9">
        <w:rPr>
          <w:b/>
          <w:szCs w:val="22"/>
          <w:lang w:val="it-IT"/>
        </w:rPr>
        <w:tab/>
        <w:t xml:space="preserve">IDENTIFICATIVO UNICO - DATI LEGGIBILI </w:t>
      </w:r>
    </w:p>
    <w:p w14:paraId="567A06BD" w14:textId="77777777" w:rsidR="00F526B9" w:rsidRPr="006A2BF9" w:rsidRDefault="00F526B9" w:rsidP="00F84C20">
      <w:pPr>
        <w:keepNext/>
        <w:keepLines/>
        <w:rPr>
          <w:lang w:val="it-IT"/>
        </w:rPr>
      </w:pPr>
    </w:p>
    <w:p w14:paraId="22616C7C" w14:textId="77777777" w:rsidR="00F526B9" w:rsidRPr="006A2BF9" w:rsidRDefault="00F526B9" w:rsidP="00F84C20">
      <w:pPr>
        <w:keepNext/>
        <w:keepLines/>
        <w:rPr>
          <w:color w:val="008000"/>
          <w:szCs w:val="22"/>
          <w:lang w:val="it-IT"/>
        </w:rPr>
      </w:pPr>
      <w:r w:rsidRPr="006A2BF9">
        <w:rPr>
          <w:lang w:val="it-IT"/>
        </w:rPr>
        <w:t>PC</w:t>
      </w:r>
    </w:p>
    <w:p w14:paraId="0E8B9323" w14:textId="77777777" w:rsidR="00F526B9" w:rsidRPr="006A2BF9" w:rsidRDefault="00F526B9" w:rsidP="00F84C20">
      <w:pPr>
        <w:keepNext/>
        <w:keepLines/>
        <w:rPr>
          <w:szCs w:val="22"/>
          <w:lang w:val="it-IT"/>
        </w:rPr>
      </w:pPr>
      <w:r w:rsidRPr="006A2BF9">
        <w:rPr>
          <w:lang w:val="it-IT"/>
        </w:rPr>
        <w:t>SN</w:t>
      </w:r>
    </w:p>
    <w:p w14:paraId="1B986123" w14:textId="77777777" w:rsidR="00F526B9" w:rsidRPr="006A2BF9" w:rsidRDefault="00F526B9" w:rsidP="00F84C20">
      <w:pPr>
        <w:keepNext/>
        <w:keepLines/>
        <w:rPr>
          <w:szCs w:val="22"/>
          <w:lang w:val="it-IT"/>
        </w:rPr>
      </w:pPr>
      <w:r w:rsidRPr="006A2BF9">
        <w:rPr>
          <w:lang w:val="it-IT"/>
        </w:rPr>
        <w:t>NN</w:t>
      </w:r>
    </w:p>
    <w:p w14:paraId="3FD330C4" w14:textId="77777777" w:rsidR="009C0666" w:rsidRPr="006A2BF9" w:rsidRDefault="009C0666" w:rsidP="00F84C20">
      <w:pPr>
        <w:keepNext/>
        <w:keepLines/>
        <w:rPr>
          <w:b/>
          <w:bCs/>
          <w:lang w:val="it-IT"/>
        </w:rPr>
      </w:pPr>
      <w:r w:rsidRPr="006A2BF9">
        <w:rPr>
          <w:b/>
          <w:bCs/>
          <w:u w:val="single"/>
          <w:lang w:val="it-IT"/>
        </w:rPr>
        <w:br w:type="page"/>
      </w:r>
    </w:p>
    <w:p w14:paraId="240299C2"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r w:rsidRPr="006A2BF9">
        <w:rPr>
          <w:b/>
          <w:bCs/>
          <w:lang w:val="it-IT"/>
        </w:rPr>
        <w:lastRenderedPageBreak/>
        <w:t xml:space="preserve">INFORMAZIONI MINIME DA APPORRE SUI </w:t>
      </w:r>
      <w:r w:rsidR="00A448DE" w:rsidRPr="006A2BF9">
        <w:rPr>
          <w:b/>
          <w:bCs/>
          <w:lang w:val="it-IT"/>
        </w:rPr>
        <w:t xml:space="preserve">CONFEZIONAMENTI </w:t>
      </w:r>
      <w:r w:rsidRPr="006A2BF9">
        <w:rPr>
          <w:b/>
          <w:bCs/>
          <w:lang w:val="it-IT"/>
        </w:rPr>
        <w:t>PRIMARI DI PICCOLE DIMENSIONI</w:t>
      </w:r>
    </w:p>
    <w:p w14:paraId="12D1770E"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p>
    <w:p w14:paraId="08D103D2" w14:textId="77777777" w:rsidR="009C0666" w:rsidRPr="006A2BF9" w:rsidRDefault="009C0666" w:rsidP="009C0666">
      <w:pPr>
        <w:pBdr>
          <w:top w:val="single" w:sz="4" w:space="1" w:color="auto"/>
          <w:left w:val="single" w:sz="4" w:space="4" w:color="auto"/>
          <w:bottom w:val="single" w:sz="4" w:space="1" w:color="auto"/>
          <w:right w:val="single" w:sz="4" w:space="4" w:color="auto"/>
        </w:pBdr>
        <w:rPr>
          <w:b/>
          <w:bCs/>
          <w:lang w:val="it-IT"/>
        </w:rPr>
      </w:pPr>
      <w:r w:rsidRPr="006A2BF9">
        <w:rPr>
          <w:b/>
          <w:bCs/>
          <w:lang w:val="it-IT"/>
        </w:rPr>
        <w:t>FLACONCINO</w:t>
      </w:r>
    </w:p>
    <w:p w14:paraId="558C3773" w14:textId="77777777" w:rsidR="009C0666" w:rsidRPr="006A2BF9" w:rsidRDefault="009C0666" w:rsidP="009C0666">
      <w:pPr>
        <w:rPr>
          <w:b/>
          <w:bCs/>
          <w:lang w:val="it-IT"/>
        </w:rPr>
      </w:pPr>
    </w:p>
    <w:p w14:paraId="7F381E66" w14:textId="77777777" w:rsidR="009C0666" w:rsidRPr="006A2BF9" w:rsidRDefault="009C0666" w:rsidP="009C0666">
      <w:pPr>
        <w:rPr>
          <w:b/>
          <w:bCs/>
          <w:lang w:val="it-IT"/>
        </w:rPr>
      </w:pPr>
    </w:p>
    <w:p w14:paraId="26F33747"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lang w:val="it-IT"/>
        </w:rPr>
      </w:pPr>
      <w:r w:rsidRPr="006A2BF9">
        <w:rPr>
          <w:b/>
          <w:bCs/>
          <w:lang w:val="it-IT"/>
        </w:rPr>
        <w:t>1.</w:t>
      </w:r>
      <w:r w:rsidRPr="006A2BF9">
        <w:rPr>
          <w:b/>
          <w:bCs/>
          <w:lang w:val="it-IT"/>
        </w:rPr>
        <w:tab/>
        <w:t>DENOMINAZIONE DEL MEDICINALE E VIA(E) DI SOMMINISTRAZIONE</w:t>
      </w:r>
    </w:p>
    <w:p w14:paraId="5B9C5AF6" w14:textId="77777777" w:rsidR="009C0666" w:rsidRPr="006A2BF9" w:rsidRDefault="009C0666" w:rsidP="009C0666">
      <w:pPr>
        <w:rPr>
          <w:lang w:val="it-IT"/>
        </w:rPr>
      </w:pPr>
    </w:p>
    <w:p w14:paraId="185A63BD" w14:textId="77777777" w:rsidR="009C0666" w:rsidRPr="006A2BF9" w:rsidRDefault="0098235A" w:rsidP="009C0666">
      <w:pPr>
        <w:rPr>
          <w:lang w:val="it-IT"/>
        </w:rPr>
      </w:pPr>
      <w:r w:rsidRPr="006A2BF9">
        <w:rPr>
          <w:lang w:val="it-IT"/>
        </w:rPr>
        <w:t xml:space="preserve">Aybintio </w:t>
      </w:r>
      <w:r w:rsidR="009C0666" w:rsidRPr="006A2BF9">
        <w:rPr>
          <w:lang w:val="it-IT"/>
        </w:rPr>
        <w:t>25 mg/</w:t>
      </w:r>
      <w:r w:rsidR="00B64026" w:rsidRPr="006A2BF9">
        <w:rPr>
          <w:lang w:val="it-IT"/>
        </w:rPr>
        <w:t>mL</w:t>
      </w:r>
      <w:r w:rsidR="009C0666" w:rsidRPr="006A2BF9">
        <w:rPr>
          <w:lang w:val="it-IT"/>
        </w:rPr>
        <w:t xml:space="preserve">, concentrato </w:t>
      </w:r>
      <w:r w:rsidR="009353FA" w:rsidRPr="006A2BF9">
        <w:rPr>
          <w:lang w:val="it-IT"/>
        </w:rPr>
        <w:t>sterile</w:t>
      </w:r>
    </w:p>
    <w:p w14:paraId="5EB1115D" w14:textId="77777777" w:rsidR="009C0666" w:rsidRPr="006A2BF9" w:rsidRDefault="00F85500" w:rsidP="009C0666">
      <w:pPr>
        <w:rPr>
          <w:b/>
          <w:bCs/>
          <w:lang w:val="it-IT"/>
        </w:rPr>
      </w:pPr>
      <w:r w:rsidRPr="006A2BF9">
        <w:rPr>
          <w:lang w:val="it-IT"/>
        </w:rPr>
        <w:t>b</w:t>
      </w:r>
      <w:r w:rsidR="009C0666" w:rsidRPr="006A2BF9">
        <w:rPr>
          <w:lang w:val="it-IT"/>
        </w:rPr>
        <w:t>evacizumab</w:t>
      </w:r>
    </w:p>
    <w:p w14:paraId="49F41678" w14:textId="77777777" w:rsidR="009C0666" w:rsidRPr="006A2BF9" w:rsidRDefault="0076464A" w:rsidP="009C0666">
      <w:pPr>
        <w:rPr>
          <w:b/>
          <w:bCs/>
          <w:lang w:val="it-IT"/>
        </w:rPr>
      </w:pPr>
      <w:r w:rsidRPr="006A2BF9">
        <w:rPr>
          <w:lang w:val="it-IT"/>
        </w:rPr>
        <w:t>e.v.</w:t>
      </w:r>
      <w:r w:rsidR="0098235A" w:rsidRPr="006A2BF9">
        <w:rPr>
          <w:lang w:val="it-IT"/>
        </w:rPr>
        <w:t xml:space="preserve"> dopo diluizione</w:t>
      </w:r>
    </w:p>
    <w:p w14:paraId="340ED2D6" w14:textId="77777777" w:rsidR="00E92D83" w:rsidRPr="006A2BF9" w:rsidRDefault="00E92D83" w:rsidP="009C0666">
      <w:pPr>
        <w:rPr>
          <w:b/>
          <w:bCs/>
          <w:lang w:val="it-IT"/>
        </w:rPr>
      </w:pPr>
    </w:p>
    <w:p w14:paraId="37BB1C08" w14:textId="77777777" w:rsidR="00F66A63" w:rsidRPr="006A2BF9" w:rsidRDefault="00F66A63" w:rsidP="009C0666">
      <w:pPr>
        <w:rPr>
          <w:b/>
          <w:bCs/>
          <w:lang w:val="it-IT"/>
        </w:rPr>
      </w:pPr>
    </w:p>
    <w:p w14:paraId="202F32E7"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2.</w:t>
      </w:r>
      <w:r w:rsidRPr="006A2BF9">
        <w:rPr>
          <w:b/>
          <w:bCs/>
          <w:lang w:val="it-IT"/>
        </w:rPr>
        <w:tab/>
        <w:t>MODO DI SOMMINISTRAZIONE</w:t>
      </w:r>
    </w:p>
    <w:p w14:paraId="4DC09325" w14:textId="77777777" w:rsidR="009C0666" w:rsidRPr="006A2BF9" w:rsidRDefault="009C0666" w:rsidP="009C0666">
      <w:pPr>
        <w:rPr>
          <w:lang w:val="it-IT"/>
        </w:rPr>
      </w:pPr>
    </w:p>
    <w:p w14:paraId="6FD9DA5D" w14:textId="77777777" w:rsidR="00E92D83" w:rsidRPr="006A2BF9" w:rsidRDefault="00E92D83" w:rsidP="009C0666">
      <w:pPr>
        <w:rPr>
          <w:lang w:val="it-IT"/>
        </w:rPr>
      </w:pPr>
    </w:p>
    <w:p w14:paraId="139B1F85"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lang w:val="it-IT"/>
        </w:rPr>
      </w:pPr>
      <w:r w:rsidRPr="006A2BF9">
        <w:rPr>
          <w:b/>
          <w:bCs/>
          <w:lang w:val="it-IT"/>
        </w:rPr>
        <w:t>3.</w:t>
      </w:r>
      <w:r w:rsidRPr="006A2BF9">
        <w:rPr>
          <w:b/>
          <w:bCs/>
          <w:lang w:val="it-IT"/>
        </w:rPr>
        <w:tab/>
        <w:t>DATA DI SCADENZA</w:t>
      </w:r>
    </w:p>
    <w:p w14:paraId="4114DD00" w14:textId="77777777" w:rsidR="009C0666" w:rsidRPr="006A2BF9" w:rsidRDefault="009C0666" w:rsidP="009C0666">
      <w:pPr>
        <w:rPr>
          <w:lang w:val="it-IT"/>
        </w:rPr>
      </w:pPr>
    </w:p>
    <w:p w14:paraId="586F1EDE" w14:textId="77777777" w:rsidR="009C0666" w:rsidRPr="006A2BF9" w:rsidRDefault="007A0553" w:rsidP="009C0666">
      <w:pPr>
        <w:rPr>
          <w:lang w:val="it-IT"/>
        </w:rPr>
      </w:pPr>
      <w:r w:rsidRPr="006A2BF9">
        <w:rPr>
          <w:lang w:val="it-IT"/>
        </w:rPr>
        <w:t>EXP</w:t>
      </w:r>
    </w:p>
    <w:p w14:paraId="3A000AA2" w14:textId="77777777" w:rsidR="009C0666" w:rsidRPr="006A2BF9" w:rsidRDefault="009C0666" w:rsidP="009C0666">
      <w:pPr>
        <w:rPr>
          <w:b/>
          <w:bCs/>
          <w:lang w:val="it-IT"/>
        </w:rPr>
      </w:pPr>
    </w:p>
    <w:p w14:paraId="2EA4B67B" w14:textId="77777777" w:rsidR="009C0666" w:rsidRPr="006A2BF9" w:rsidRDefault="009C0666" w:rsidP="009C0666">
      <w:pPr>
        <w:rPr>
          <w:b/>
          <w:bCs/>
          <w:lang w:val="it-IT"/>
        </w:rPr>
      </w:pPr>
    </w:p>
    <w:p w14:paraId="7FF9470D"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4.</w:t>
      </w:r>
      <w:r w:rsidRPr="006A2BF9">
        <w:rPr>
          <w:b/>
          <w:bCs/>
          <w:lang w:val="it-IT"/>
        </w:rPr>
        <w:tab/>
        <w:t>NUMERO DI LOTTO</w:t>
      </w:r>
    </w:p>
    <w:p w14:paraId="1927AAAC" w14:textId="77777777" w:rsidR="009C0666" w:rsidRPr="006A2BF9" w:rsidRDefault="009C0666" w:rsidP="009C0666">
      <w:pPr>
        <w:rPr>
          <w:lang w:val="it-IT"/>
        </w:rPr>
      </w:pPr>
    </w:p>
    <w:p w14:paraId="21CB4029" w14:textId="77777777" w:rsidR="009C0666" w:rsidRPr="006A2BF9" w:rsidRDefault="007A0553" w:rsidP="009C0666">
      <w:pPr>
        <w:ind w:right="113"/>
        <w:rPr>
          <w:lang w:val="it-IT"/>
        </w:rPr>
      </w:pPr>
      <w:r w:rsidRPr="006A2BF9">
        <w:rPr>
          <w:lang w:val="it-IT"/>
        </w:rPr>
        <w:t>Lot</w:t>
      </w:r>
    </w:p>
    <w:p w14:paraId="0D6916CD" w14:textId="77777777" w:rsidR="009C0666" w:rsidRPr="006A2BF9" w:rsidRDefault="009C0666" w:rsidP="009C0666">
      <w:pPr>
        <w:ind w:right="113"/>
        <w:rPr>
          <w:lang w:val="it-IT"/>
        </w:rPr>
      </w:pPr>
    </w:p>
    <w:p w14:paraId="139C68E7" w14:textId="77777777" w:rsidR="009C0666" w:rsidRPr="006A2BF9" w:rsidRDefault="009C0666" w:rsidP="009C0666">
      <w:pPr>
        <w:ind w:right="113"/>
        <w:rPr>
          <w:lang w:val="it-IT"/>
        </w:rPr>
      </w:pPr>
    </w:p>
    <w:p w14:paraId="727122C2"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5.</w:t>
      </w:r>
      <w:r w:rsidRPr="006A2BF9">
        <w:rPr>
          <w:b/>
          <w:bCs/>
          <w:lang w:val="it-IT"/>
        </w:rPr>
        <w:tab/>
        <w:t>CONTENUTO IN PESO, VOLUME O UNITA’</w:t>
      </w:r>
    </w:p>
    <w:p w14:paraId="794F5932" w14:textId="77777777" w:rsidR="009C0666" w:rsidRPr="006A2BF9" w:rsidRDefault="009C0666" w:rsidP="009C0666">
      <w:pPr>
        <w:rPr>
          <w:lang w:val="it-IT"/>
        </w:rPr>
      </w:pPr>
    </w:p>
    <w:p w14:paraId="741DC294" w14:textId="77777777" w:rsidR="009C0666" w:rsidRPr="006A2BF9" w:rsidRDefault="009C0666" w:rsidP="009C0666">
      <w:pPr>
        <w:rPr>
          <w:lang w:val="it-IT"/>
        </w:rPr>
      </w:pPr>
      <w:r w:rsidRPr="006A2BF9">
        <w:rPr>
          <w:lang w:val="it-IT"/>
        </w:rPr>
        <w:t>400 mg</w:t>
      </w:r>
      <w:r w:rsidR="000254BF" w:rsidRPr="006A2BF9">
        <w:rPr>
          <w:lang w:val="it-IT"/>
        </w:rPr>
        <w:t>/</w:t>
      </w:r>
      <w:r w:rsidRPr="006A2BF9">
        <w:rPr>
          <w:lang w:val="it-IT"/>
        </w:rPr>
        <w:t>16 </w:t>
      </w:r>
      <w:r w:rsidR="00B64026" w:rsidRPr="006A2BF9">
        <w:rPr>
          <w:lang w:val="it-IT"/>
        </w:rPr>
        <w:t>mL</w:t>
      </w:r>
    </w:p>
    <w:p w14:paraId="34BEABDD" w14:textId="77777777" w:rsidR="009C0666" w:rsidRPr="006A2BF9" w:rsidRDefault="009C0666" w:rsidP="009C0666">
      <w:pPr>
        <w:rPr>
          <w:lang w:val="it-IT"/>
        </w:rPr>
      </w:pPr>
    </w:p>
    <w:p w14:paraId="11D4201E" w14:textId="77777777" w:rsidR="009C0666" w:rsidRPr="006A2BF9" w:rsidRDefault="009C0666" w:rsidP="009C0666">
      <w:pPr>
        <w:rPr>
          <w:lang w:val="it-IT"/>
        </w:rPr>
      </w:pPr>
    </w:p>
    <w:p w14:paraId="11E0E8C8" w14:textId="77777777" w:rsidR="009C0666" w:rsidRPr="006A2BF9" w:rsidRDefault="009C0666" w:rsidP="009C0666">
      <w:pPr>
        <w:pBdr>
          <w:top w:val="single" w:sz="4" w:space="1" w:color="auto"/>
          <w:left w:val="single" w:sz="4" w:space="4" w:color="auto"/>
          <w:bottom w:val="single" w:sz="4" w:space="1" w:color="auto"/>
          <w:right w:val="single" w:sz="4" w:space="4" w:color="auto"/>
        </w:pBdr>
        <w:tabs>
          <w:tab w:val="left" w:pos="142"/>
        </w:tabs>
        <w:ind w:left="567" w:hanging="567"/>
        <w:rPr>
          <w:b/>
          <w:bCs/>
          <w:lang w:val="it-IT"/>
        </w:rPr>
      </w:pPr>
      <w:r w:rsidRPr="006A2BF9">
        <w:rPr>
          <w:b/>
          <w:bCs/>
          <w:lang w:val="it-IT"/>
        </w:rPr>
        <w:t>6.</w:t>
      </w:r>
      <w:r w:rsidRPr="006A2BF9">
        <w:rPr>
          <w:b/>
          <w:bCs/>
          <w:lang w:val="it-IT"/>
        </w:rPr>
        <w:tab/>
        <w:t>ALTRO</w:t>
      </w:r>
    </w:p>
    <w:p w14:paraId="7C4EF7E0" w14:textId="77777777" w:rsidR="009C0666" w:rsidRPr="006A2BF9" w:rsidRDefault="009C0666" w:rsidP="009C0666">
      <w:pPr>
        <w:rPr>
          <w:lang w:val="it-IT"/>
        </w:rPr>
      </w:pPr>
    </w:p>
    <w:p w14:paraId="7C88478E" w14:textId="77777777" w:rsidR="009C0666" w:rsidRPr="006A2BF9" w:rsidRDefault="009C0666" w:rsidP="009C0666">
      <w:pPr>
        <w:rPr>
          <w:lang w:val="it-IT"/>
        </w:rPr>
      </w:pPr>
      <w:r w:rsidRPr="006A2BF9">
        <w:rPr>
          <w:lang w:val="it-IT"/>
        </w:rPr>
        <w:br w:type="page"/>
      </w:r>
    </w:p>
    <w:p w14:paraId="132E041B" w14:textId="77777777" w:rsidR="009C0666" w:rsidRPr="006A2BF9" w:rsidRDefault="009C0666" w:rsidP="009C0666">
      <w:pPr>
        <w:rPr>
          <w:lang w:val="it-IT"/>
        </w:rPr>
      </w:pPr>
    </w:p>
    <w:p w14:paraId="67603A7A" w14:textId="77777777" w:rsidR="009C0666" w:rsidRPr="006A2BF9" w:rsidRDefault="009C0666" w:rsidP="009C0666">
      <w:pPr>
        <w:rPr>
          <w:lang w:val="it-IT"/>
        </w:rPr>
      </w:pPr>
    </w:p>
    <w:p w14:paraId="71B03CC6" w14:textId="77777777" w:rsidR="009C0666" w:rsidRPr="006A2BF9" w:rsidRDefault="009C0666" w:rsidP="009C0666">
      <w:pPr>
        <w:rPr>
          <w:lang w:val="it-IT"/>
        </w:rPr>
      </w:pPr>
    </w:p>
    <w:p w14:paraId="11186BB2" w14:textId="77777777" w:rsidR="009C0666" w:rsidRPr="006A2BF9" w:rsidRDefault="009C0666" w:rsidP="009C0666">
      <w:pPr>
        <w:rPr>
          <w:lang w:val="it-IT"/>
        </w:rPr>
      </w:pPr>
    </w:p>
    <w:p w14:paraId="70E85790" w14:textId="77777777" w:rsidR="009C0666" w:rsidRPr="006A2BF9" w:rsidRDefault="009C0666" w:rsidP="009C0666">
      <w:pPr>
        <w:rPr>
          <w:lang w:val="it-IT"/>
        </w:rPr>
      </w:pPr>
    </w:p>
    <w:p w14:paraId="1C742F98" w14:textId="77777777" w:rsidR="009C0666" w:rsidRPr="006A2BF9" w:rsidRDefault="009C0666" w:rsidP="009C0666">
      <w:pPr>
        <w:rPr>
          <w:lang w:val="it-IT"/>
        </w:rPr>
      </w:pPr>
    </w:p>
    <w:p w14:paraId="30528C7F" w14:textId="77777777" w:rsidR="009C0666" w:rsidRPr="006A2BF9" w:rsidRDefault="009C0666" w:rsidP="009C0666">
      <w:pPr>
        <w:rPr>
          <w:lang w:val="it-IT"/>
        </w:rPr>
      </w:pPr>
    </w:p>
    <w:p w14:paraId="69E4B967" w14:textId="77777777" w:rsidR="009C0666" w:rsidRPr="006A2BF9" w:rsidRDefault="009C0666" w:rsidP="009C0666">
      <w:pPr>
        <w:rPr>
          <w:lang w:val="it-IT"/>
        </w:rPr>
      </w:pPr>
    </w:p>
    <w:p w14:paraId="06A99963" w14:textId="77777777" w:rsidR="009C0666" w:rsidRPr="006A2BF9" w:rsidRDefault="009C0666" w:rsidP="009C0666">
      <w:pPr>
        <w:rPr>
          <w:lang w:val="it-IT"/>
        </w:rPr>
      </w:pPr>
    </w:p>
    <w:p w14:paraId="336E0CD5" w14:textId="77777777" w:rsidR="009C0666" w:rsidRPr="006A2BF9" w:rsidRDefault="009C0666" w:rsidP="009C0666">
      <w:pPr>
        <w:rPr>
          <w:lang w:val="it-IT"/>
        </w:rPr>
      </w:pPr>
    </w:p>
    <w:p w14:paraId="1FEF251E" w14:textId="77777777" w:rsidR="009C0666" w:rsidRPr="006A2BF9" w:rsidRDefault="009C0666" w:rsidP="009C0666">
      <w:pPr>
        <w:rPr>
          <w:lang w:val="it-IT"/>
        </w:rPr>
      </w:pPr>
    </w:p>
    <w:p w14:paraId="346FAC4B" w14:textId="77777777" w:rsidR="009C0666" w:rsidRPr="006A2BF9" w:rsidRDefault="009C0666" w:rsidP="009C0666">
      <w:pPr>
        <w:rPr>
          <w:lang w:val="it-IT"/>
        </w:rPr>
      </w:pPr>
    </w:p>
    <w:p w14:paraId="3B317C28" w14:textId="77777777" w:rsidR="009C0666" w:rsidRPr="006A2BF9" w:rsidRDefault="009C0666" w:rsidP="009C0666">
      <w:pPr>
        <w:rPr>
          <w:lang w:val="it-IT"/>
        </w:rPr>
      </w:pPr>
    </w:p>
    <w:p w14:paraId="7474EC3C" w14:textId="77777777" w:rsidR="009C0666" w:rsidRPr="006A2BF9" w:rsidRDefault="009C0666" w:rsidP="009C0666">
      <w:pPr>
        <w:rPr>
          <w:lang w:val="it-IT"/>
        </w:rPr>
      </w:pPr>
    </w:p>
    <w:p w14:paraId="4497B49B" w14:textId="77777777" w:rsidR="009C0666" w:rsidRPr="006A2BF9" w:rsidRDefault="009C0666" w:rsidP="009C0666">
      <w:pPr>
        <w:rPr>
          <w:lang w:val="it-IT"/>
        </w:rPr>
      </w:pPr>
    </w:p>
    <w:p w14:paraId="0AF86D10" w14:textId="77777777" w:rsidR="009C0666" w:rsidRPr="006A2BF9" w:rsidRDefault="009C0666" w:rsidP="009C0666">
      <w:pPr>
        <w:rPr>
          <w:lang w:val="it-IT"/>
        </w:rPr>
      </w:pPr>
    </w:p>
    <w:p w14:paraId="777CAE9D" w14:textId="77777777" w:rsidR="009C0666" w:rsidRPr="006A2BF9" w:rsidRDefault="009C0666" w:rsidP="009C0666">
      <w:pPr>
        <w:rPr>
          <w:lang w:val="it-IT"/>
        </w:rPr>
      </w:pPr>
    </w:p>
    <w:p w14:paraId="0543B8E5" w14:textId="77777777" w:rsidR="009C0666" w:rsidRPr="006A2BF9" w:rsidRDefault="009C0666" w:rsidP="009C0666">
      <w:pPr>
        <w:rPr>
          <w:lang w:val="it-IT"/>
        </w:rPr>
      </w:pPr>
    </w:p>
    <w:p w14:paraId="1218E669" w14:textId="77777777" w:rsidR="009C0666" w:rsidRPr="006A2BF9" w:rsidRDefault="009C0666" w:rsidP="009C0666">
      <w:pPr>
        <w:rPr>
          <w:lang w:val="it-IT"/>
        </w:rPr>
      </w:pPr>
    </w:p>
    <w:p w14:paraId="604C0CFB" w14:textId="77777777" w:rsidR="009C0666" w:rsidRPr="006A2BF9" w:rsidRDefault="009C0666" w:rsidP="009C0666">
      <w:pPr>
        <w:rPr>
          <w:lang w:val="it-IT"/>
        </w:rPr>
      </w:pPr>
    </w:p>
    <w:p w14:paraId="609AD3EC" w14:textId="77777777" w:rsidR="009C0666" w:rsidRPr="006A2BF9" w:rsidRDefault="009C0666" w:rsidP="009C0666">
      <w:pPr>
        <w:rPr>
          <w:lang w:val="it-IT"/>
        </w:rPr>
      </w:pPr>
    </w:p>
    <w:p w14:paraId="2EC0DD4D" w14:textId="77777777" w:rsidR="009C0666" w:rsidRPr="006A2BF9" w:rsidRDefault="009C0666" w:rsidP="009C0666">
      <w:pPr>
        <w:rPr>
          <w:lang w:val="it-IT"/>
        </w:rPr>
      </w:pPr>
    </w:p>
    <w:p w14:paraId="37F6A146" w14:textId="77777777" w:rsidR="009C0666" w:rsidRPr="006A2BF9" w:rsidRDefault="009C0666" w:rsidP="009C0666">
      <w:pPr>
        <w:pStyle w:val="Annex"/>
        <w:rPr>
          <w:lang w:val="it-IT"/>
        </w:rPr>
      </w:pPr>
      <w:r w:rsidRPr="006A2BF9">
        <w:rPr>
          <w:lang w:val="it-IT"/>
        </w:rPr>
        <w:t>B. FOGLIO ILLUSTRATIVO</w:t>
      </w:r>
    </w:p>
    <w:p w14:paraId="0B95CD27" w14:textId="77777777" w:rsidR="009C0666" w:rsidRPr="006A2BF9" w:rsidRDefault="009C0666" w:rsidP="009C0666">
      <w:pPr>
        <w:jc w:val="center"/>
        <w:outlineLvl w:val="0"/>
        <w:rPr>
          <w:b/>
          <w:bCs/>
          <w:lang w:val="it-IT"/>
        </w:rPr>
      </w:pPr>
      <w:r w:rsidRPr="006A2BF9">
        <w:rPr>
          <w:lang w:val="it-IT"/>
        </w:rPr>
        <w:br w:type="page"/>
      </w:r>
      <w:r w:rsidR="003A374B" w:rsidRPr="006A2BF9">
        <w:rPr>
          <w:b/>
          <w:lang w:val="it-IT"/>
        </w:rPr>
        <w:lastRenderedPageBreak/>
        <w:t xml:space="preserve">Foglio </w:t>
      </w:r>
      <w:r w:rsidR="0071418B" w:rsidRPr="006A2BF9">
        <w:rPr>
          <w:b/>
          <w:lang w:val="it-IT"/>
        </w:rPr>
        <w:t>i</w:t>
      </w:r>
      <w:r w:rsidR="003A374B" w:rsidRPr="006A2BF9">
        <w:rPr>
          <w:b/>
          <w:lang w:val="it-IT"/>
        </w:rPr>
        <w:t xml:space="preserve">llustrativo: </w:t>
      </w:r>
      <w:r w:rsidR="0071418B" w:rsidRPr="006A2BF9">
        <w:rPr>
          <w:b/>
          <w:lang w:val="it-IT"/>
        </w:rPr>
        <w:t>i</w:t>
      </w:r>
      <w:r w:rsidR="003A374B" w:rsidRPr="006A2BF9">
        <w:rPr>
          <w:b/>
          <w:lang w:val="it-IT"/>
        </w:rPr>
        <w:t>nformazioni per l’utilizzatore</w:t>
      </w:r>
    </w:p>
    <w:p w14:paraId="0CEC1907" w14:textId="77777777" w:rsidR="009C0666" w:rsidRPr="006A2BF9" w:rsidRDefault="009C0666" w:rsidP="009C0666">
      <w:pPr>
        <w:jc w:val="center"/>
        <w:outlineLvl w:val="0"/>
        <w:rPr>
          <w:b/>
          <w:bCs/>
          <w:lang w:val="it-IT"/>
        </w:rPr>
      </w:pPr>
    </w:p>
    <w:p w14:paraId="5888DC6F" w14:textId="77777777" w:rsidR="009C0666" w:rsidRPr="006A2BF9" w:rsidRDefault="0098235A" w:rsidP="00C61FAF">
      <w:pPr>
        <w:jc w:val="center"/>
        <w:rPr>
          <w:b/>
          <w:lang w:val="it-IT"/>
        </w:rPr>
      </w:pPr>
      <w:r w:rsidRPr="006A2BF9">
        <w:rPr>
          <w:b/>
          <w:lang w:val="it-IT"/>
        </w:rPr>
        <w:t xml:space="preserve">Aybintio </w:t>
      </w:r>
      <w:r w:rsidR="009C0666" w:rsidRPr="006A2BF9">
        <w:rPr>
          <w:b/>
          <w:lang w:val="it-IT"/>
        </w:rPr>
        <w:t>25 mg/</w:t>
      </w:r>
      <w:r w:rsidR="008572EE" w:rsidRPr="006A2BF9">
        <w:rPr>
          <w:b/>
          <w:lang w:val="it-IT"/>
        </w:rPr>
        <w:t>mL</w:t>
      </w:r>
      <w:r w:rsidR="009C0666" w:rsidRPr="006A2BF9">
        <w:rPr>
          <w:b/>
          <w:lang w:val="it-IT"/>
        </w:rPr>
        <w:t xml:space="preserve"> concentrato per soluzione per infusione</w:t>
      </w:r>
    </w:p>
    <w:p w14:paraId="157D85B0" w14:textId="77777777" w:rsidR="009C0666" w:rsidRPr="006A2BF9" w:rsidRDefault="00F85500" w:rsidP="009C0666">
      <w:pPr>
        <w:jc w:val="center"/>
        <w:outlineLvl w:val="0"/>
        <w:rPr>
          <w:lang w:val="it-IT"/>
        </w:rPr>
      </w:pPr>
      <w:r w:rsidRPr="006A2BF9">
        <w:rPr>
          <w:lang w:val="it-IT"/>
        </w:rPr>
        <w:t>b</w:t>
      </w:r>
      <w:r w:rsidR="009C0666" w:rsidRPr="006A2BF9">
        <w:rPr>
          <w:lang w:val="it-IT"/>
        </w:rPr>
        <w:t>evacizumab</w:t>
      </w:r>
    </w:p>
    <w:p w14:paraId="0B7E71FB" w14:textId="77777777" w:rsidR="0098235A" w:rsidRPr="00330A40" w:rsidRDefault="0098235A" w:rsidP="00C65E97">
      <w:pPr>
        <w:numPr>
          <w:ilvl w:val="12"/>
          <w:numId w:val="0"/>
        </w:numPr>
        <w:ind w:right="-2"/>
        <w:rPr>
          <w:b/>
          <w:lang w:val="it-IT"/>
        </w:rPr>
      </w:pPr>
    </w:p>
    <w:p w14:paraId="0CE750C6" w14:textId="77777777" w:rsidR="009C0666" w:rsidRPr="00330A40" w:rsidRDefault="009C0666" w:rsidP="00CF0780">
      <w:pPr>
        <w:suppressAutoHyphens/>
        <w:rPr>
          <w:b/>
          <w:lang w:val="it-IT"/>
        </w:rPr>
      </w:pPr>
      <w:r w:rsidRPr="00330A40">
        <w:rPr>
          <w:b/>
          <w:lang w:val="it-IT"/>
        </w:rPr>
        <w:t>Legga attentamente questo foglio prima di usare questo medicinale</w:t>
      </w:r>
      <w:r w:rsidR="003A374B" w:rsidRPr="00330A40">
        <w:rPr>
          <w:b/>
          <w:lang w:val="it-IT"/>
        </w:rPr>
        <w:t xml:space="preserve"> perché contiene importanti informazioni per lei</w:t>
      </w:r>
      <w:r w:rsidRPr="00330A40">
        <w:rPr>
          <w:b/>
          <w:lang w:val="it-IT"/>
        </w:rPr>
        <w:t xml:space="preserve">. </w:t>
      </w:r>
    </w:p>
    <w:p w14:paraId="21128450" w14:textId="77777777" w:rsidR="009C0666" w:rsidRPr="00330A40" w:rsidRDefault="009C0666" w:rsidP="00C65E97">
      <w:pPr>
        <w:numPr>
          <w:ilvl w:val="0"/>
          <w:numId w:val="74"/>
        </w:numPr>
        <w:ind w:left="567" w:hanging="567"/>
        <w:rPr>
          <w:lang w:val="it-IT"/>
        </w:rPr>
      </w:pPr>
      <w:r w:rsidRPr="00330A40">
        <w:rPr>
          <w:lang w:val="it-IT"/>
        </w:rPr>
        <w:t xml:space="preserve">Conservi questo foglio. Potrebbe aver bisogno di leggerlo di nuovo. </w:t>
      </w:r>
    </w:p>
    <w:p w14:paraId="5E6AB65F" w14:textId="77777777" w:rsidR="009C0666" w:rsidRPr="006A2BF9" w:rsidRDefault="009C0666" w:rsidP="00C65E97">
      <w:pPr>
        <w:numPr>
          <w:ilvl w:val="0"/>
          <w:numId w:val="74"/>
        </w:numPr>
        <w:ind w:left="567" w:hanging="567"/>
        <w:rPr>
          <w:lang w:val="it-IT"/>
        </w:rPr>
      </w:pPr>
      <w:r w:rsidRPr="00330A40">
        <w:rPr>
          <w:lang w:val="it-IT"/>
        </w:rPr>
        <w:t>Se ha qualsiasi dubbio, si rivolga al medico</w:t>
      </w:r>
      <w:r w:rsidR="00AF1D6C" w:rsidRPr="006A2BF9">
        <w:rPr>
          <w:lang w:val="it-IT"/>
        </w:rPr>
        <w:t>,</w:t>
      </w:r>
      <w:r w:rsidRPr="006A2BF9">
        <w:rPr>
          <w:lang w:val="it-IT"/>
        </w:rPr>
        <w:t xml:space="preserve"> al farmacista</w:t>
      </w:r>
      <w:r w:rsidR="00AF1D6C" w:rsidRPr="006A2BF9">
        <w:rPr>
          <w:lang w:val="it-IT"/>
        </w:rPr>
        <w:t xml:space="preserve"> o all’infermiere</w:t>
      </w:r>
      <w:r w:rsidRPr="006A2BF9">
        <w:rPr>
          <w:lang w:val="it-IT"/>
        </w:rPr>
        <w:t>.</w:t>
      </w:r>
    </w:p>
    <w:p w14:paraId="3EE33507" w14:textId="77777777" w:rsidR="009C0666" w:rsidRPr="006A2BF9" w:rsidRDefault="009C0666" w:rsidP="00C65E97">
      <w:pPr>
        <w:numPr>
          <w:ilvl w:val="0"/>
          <w:numId w:val="74"/>
        </w:numPr>
        <w:suppressAutoHyphens/>
        <w:ind w:left="567" w:hanging="567"/>
        <w:rPr>
          <w:lang w:val="it-IT"/>
        </w:rPr>
      </w:pPr>
      <w:r w:rsidRPr="006A2BF9">
        <w:rPr>
          <w:lang w:val="it-IT"/>
        </w:rPr>
        <w:t xml:space="preserve">Se </w:t>
      </w:r>
      <w:r w:rsidR="00AF1D6C" w:rsidRPr="006A2BF9">
        <w:rPr>
          <w:lang w:val="it-IT"/>
        </w:rPr>
        <w:t xml:space="preserve">si manifesta </w:t>
      </w:r>
      <w:r w:rsidRPr="006A2BF9">
        <w:rPr>
          <w:lang w:val="it-IT"/>
        </w:rPr>
        <w:t>un qualsiasi effett</w:t>
      </w:r>
      <w:r w:rsidR="00AF1D6C" w:rsidRPr="006A2BF9">
        <w:rPr>
          <w:lang w:val="it-IT"/>
        </w:rPr>
        <w:t>o</w:t>
      </w:r>
      <w:r w:rsidRPr="006A2BF9">
        <w:rPr>
          <w:lang w:val="it-IT"/>
        </w:rPr>
        <w:t xml:space="preserve"> indesiderat</w:t>
      </w:r>
      <w:r w:rsidR="00AF1D6C" w:rsidRPr="006A2BF9">
        <w:rPr>
          <w:lang w:val="it-IT"/>
        </w:rPr>
        <w:t>o</w:t>
      </w:r>
      <w:r w:rsidR="00893883" w:rsidRPr="006A2BF9">
        <w:rPr>
          <w:lang w:val="it-IT"/>
        </w:rPr>
        <w:t>, compresi quelli non elencati</w:t>
      </w:r>
      <w:r w:rsidR="00657040" w:rsidRPr="006A2BF9">
        <w:rPr>
          <w:lang w:val="it-IT"/>
        </w:rPr>
        <w:t xml:space="preserve"> </w:t>
      </w:r>
      <w:r w:rsidRPr="006A2BF9">
        <w:rPr>
          <w:lang w:val="it-IT"/>
        </w:rPr>
        <w:t xml:space="preserve">in questo foglio, </w:t>
      </w:r>
      <w:r w:rsidR="00AF1D6C" w:rsidRPr="006A2BF9">
        <w:rPr>
          <w:lang w:val="it-IT"/>
        </w:rPr>
        <w:t>si rivolga a</w:t>
      </w:r>
      <w:r w:rsidRPr="006A2BF9">
        <w:rPr>
          <w:lang w:val="it-IT"/>
        </w:rPr>
        <w:t>l medico</w:t>
      </w:r>
      <w:r w:rsidR="0071418B" w:rsidRPr="006A2BF9">
        <w:rPr>
          <w:lang w:val="it-IT"/>
        </w:rPr>
        <w:t>,</w:t>
      </w:r>
      <w:r w:rsidRPr="006A2BF9">
        <w:rPr>
          <w:lang w:val="it-IT"/>
        </w:rPr>
        <w:t xml:space="preserve"> </w:t>
      </w:r>
      <w:r w:rsidR="00AF1D6C" w:rsidRPr="006A2BF9">
        <w:rPr>
          <w:lang w:val="it-IT"/>
        </w:rPr>
        <w:t>a</w:t>
      </w:r>
      <w:r w:rsidRPr="006A2BF9">
        <w:rPr>
          <w:lang w:val="it-IT"/>
        </w:rPr>
        <w:t>l farmacista</w:t>
      </w:r>
      <w:r w:rsidR="00AF1D6C" w:rsidRPr="006A2BF9">
        <w:rPr>
          <w:lang w:val="it-IT"/>
        </w:rPr>
        <w:t xml:space="preserve"> o all’infermiere</w:t>
      </w:r>
      <w:r w:rsidRPr="006A2BF9">
        <w:rPr>
          <w:lang w:val="it-IT"/>
        </w:rPr>
        <w:t>.</w:t>
      </w:r>
      <w:r w:rsidR="00527A30" w:rsidRPr="006A2BF9">
        <w:rPr>
          <w:lang w:val="it-IT"/>
        </w:rPr>
        <w:t xml:space="preserve"> Vedere paragrafo</w:t>
      </w:r>
      <w:r w:rsidR="005F3AC5" w:rsidRPr="006A2BF9">
        <w:rPr>
          <w:lang w:val="it-IT"/>
        </w:rPr>
        <w:t> </w:t>
      </w:r>
      <w:r w:rsidR="00527A30" w:rsidRPr="006A2BF9">
        <w:rPr>
          <w:lang w:val="it-IT"/>
        </w:rPr>
        <w:t>4</w:t>
      </w:r>
      <w:r w:rsidR="005F3AC5" w:rsidRPr="006A2BF9">
        <w:rPr>
          <w:lang w:val="it-IT"/>
        </w:rPr>
        <w:t>.</w:t>
      </w:r>
    </w:p>
    <w:p w14:paraId="2D761134" w14:textId="77777777" w:rsidR="009C0666" w:rsidRPr="006A2BF9" w:rsidRDefault="009C0666" w:rsidP="009C0666">
      <w:pPr>
        <w:numPr>
          <w:ilvl w:val="12"/>
          <w:numId w:val="0"/>
        </w:numPr>
        <w:ind w:right="-2"/>
        <w:rPr>
          <w:lang w:val="it-IT"/>
        </w:rPr>
      </w:pPr>
    </w:p>
    <w:p w14:paraId="257ED28E" w14:textId="77777777" w:rsidR="009C0666" w:rsidRPr="006A2BF9" w:rsidRDefault="009C0666" w:rsidP="009C0666">
      <w:pPr>
        <w:numPr>
          <w:ilvl w:val="12"/>
          <w:numId w:val="0"/>
        </w:numPr>
        <w:ind w:right="-2"/>
        <w:outlineLvl w:val="0"/>
        <w:rPr>
          <w:lang w:val="it-IT"/>
        </w:rPr>
      </w:pPr>
      <w:r w:rsidRPr="006A2BF9">
        <w:rPr>
          <w:b/>
          <w:lang w:val="it-IT"/>
        </w:rPr>
        <w:t>Contenuto di questo foglio</w:t>
      </w:r>
    </w:p>
    <w:p w14:paraId="0D606330" w14:textId="77777777" w:rsidR="00EA3DA5" w:rsidRPr="006A2BF9" w:rsidRDefault="00EA3DA5" w:rsidP="009C0666">
      <w:pPr>
        <w:numPr>
          <w:ilvl w:val="12"/>
          <w:numId w:val="0"/>
        </w:numPr>
        <w:ind w:right="-2"/>
        <w:outlineLvl w:val="0"/>
        <w:rPr>
          <w:b/>
          <w:u w:val="single"/>
          <w:lang w:val="it-IT"/>
        </w:rPr>
      </w:pPr>
    </w:p>
    <w:p w14:paraId="45C9D47F" w14:textId="77777777" w:rsidR="009C0666" w:rsidRPr="006A2BF9" w:rsidRDefault="009C0666" w:rsidP="009C0666">
      <w:pPr>
        <w:ind w:left="567" w:right="-29" w:hanging="567"/>
        <w:rPr>
          <w:lang w:val="it-IT"/>
        </w:rPr>
      </w:pPr>
      <w:r w:rsidRPr="006A2BF9">
        <w:rPr>
          <w:lang w:val="it-IT"/>
        </w:rPr>
        <w:t>1.</w:t>
      </w:r>
      <w:r w:rsidRPr="006A2BF9">
        <w:rPr>
          <w:lang w:val="it-IT"/>
        </w:rPr>
        <w:tab/>
      </w:r>
      <w:r w:rsidR="0071418B" w:rsidRPr="006A2BF9">
        <w:rPr>
          <w:lang w:val="it-IT"/>
        </w:rPr>
        <w:t>C</w:t>
      </w:r>
      <w:r w:rsidRPr="006A2BF9">
        <w:rPr>
          <w:lang w:val="it-IT"/>
        </w:rPr>
        <w:t xml:space="preserve">os’è </w:t>
      </w:r>
      <w:r w:rsidR="005F3AC5" w:rsidRPr="006A2BF9">
        <w:rPr>
          <w:lang w:val="it-IT"/>
        </w:rPr>
        <w:t>Aybintio</w:t>
      </w:r>
      <w:r w:rsidR="005F3AC5" w:rsidRPr="006A2BF9">
        <w:rPr>
          <w:b/>
          <w:lang w:val="it-IT"/>
        </w:rPr>
        <w:t xml:space="preserve"> </w:t>
      </w:r>
      <w:r w:rsidRPr="006A2BF9">
        <w:rPr>
          <w:lang w:val="it-IT"/>
        </w:rPr>
        <w:t>e a cosa serve</w:t>
      </w:r>
    </w:p>
    <w:p w14:paraId="6AE9DE7B" w14:textId="77777777" w:rsidR="009C0666" w:rsidRPr="006A2BF9" w:rsidRDefault="009C0666" w:rsidP="009C0666">
      <w:pPr>
        <w:ind w:left="567" w:right="-29" w:hanging="567"/>
        <w:rPr>
          <w:lang w:val="it-IT"/>
        </w:rPr>
      </w:pPr>
      <w:r w:rsidRPr="006A2BF9">
        <w:rPr>
          <w:lang w:val="it-IT"/>
        </w:rPr>
        <w:t>2.</w:t>
      </w:r>
      <w:r w:rsidRPr="006A2BF9">
        <w:rPr>
          <w:lang w:val="it-IT"/>
        </w:rPr>
        <w:tab/>
      </w:r>
      <w:r w:rsidR="00AF1D6C" w:rsidRPr="006A2BF9">
        <w:rPr>
          <w:lang w:val="it-IT"/>
        </w:rPr>
        <w:t>Cosa deve sapere prima di</w:t>
      </w:r>
      <w:r w:rsidRPr="006A2BF9">
        <w:rPr>
          <w:lang w:val="it-IT"/>
        </w:rPr>
        <w:t xml:space="preserve"> usare </w:t>
      </w:r>
      <w:r w:rsidR="00AC780F" w:rsidRPr="006A2BF9">
        <w:rPr>
          <w:lang w:val="it-IT"/>
        </w:rPr>
        <w:t>Aybintio</w:t>
      </w:r>
    </w:p>
    <w:p w14:paraId="2909066D" w14:textId="77777777" w:rsidR="009C0666" w:rsidRPr="006A2BF9" w:rsidRDefault="009C0666" w:rsidP="009C0666">
      <w:pPr>
        <w:ind w:left="567" w:right="-29" w:hanging="567"/>
        <w:rPr>
          <w:lang w:val="it-IT"/>
        </w:rPr>
      </w:pPr>
      <w:r w:rsidRPr="006A2BF9">
        <w:rPr>
          <w:lang w:val="it-IT"/>
        </w:rPr>
        <w:t>3.</w:t>
      </w:r>
      <w:r w:rsidRPr="006A2BF9">
        <w:rPr>
          <w:lang w:val="it-IT"/>
        </w:rPr>
        <w:tab/>
        <w:t xml:space="preserve">Come usare </w:t>
      </w:r>
      <w:r w:rsidR="00AC780F" w:rsidRPr="006A2BF9">
        <w:rPr>
          <w:lang w:val="it-IT"/>
        </w:rPr>
        <w:t>Aybintio</w:t>
      </w:r>
    </w:p>
    <w:p w14:paraId="5A48533F" w14:textId="77777777" w:rsidR="009C0666" w:rsidRPr="006A2BF9" w:rsidRDefault="009C0666" w:rsidP="009C0666">
      <w:pPr>
        <w:ind w:left="567" w:right="-29" w:hanging="567"/>
        <w:rPr>
          <w:lang w:val="it-IT"/>
        </w:rPr>
      </w:pPr>
      <w:r w:rsidRPr="006A2BF9">
        <w:rPr>
          <w:lang w:val="it-IT"/>
        </w:rPr>
        <w:t>4.</w:t>
      </w:r>
      <w:r w:rsidRPr="006A2BF9">
        <w:rPr>
          <w:lang w:val="it-IT"/>
        </w:rPr>
        <w:tab/>
        <w:t>Possibili effetti indesiderati</w:t>
      </w:r>
    </w:p>
    <w:p w14:paraId="23AE74F3" w14:textId="77777777" w:rsidR="009C0666" w:rsidRPr="006A2BF9" w:rsidRDefault="009C0666" w:rsidP="009C0666">
      <w:pPr>
        <w:ind w:left="567" w:right="-29" w:hanging="567"/>
        <w:rPr>
          <w:lang w:val="it-IT"/>
        </w:rPr>
      </w:pPr>
      <w:r w:rsidRPr="006A2BF9">
        <w:rPr>
          <w:lang w:val="it-IT"/>
        </w:rPr>
        <w:t>5.</w:t>
      </w:r>
      <w:r w:rsidRPr="006A2BF9">
        <w:rPr>
          <w:lang w:val="it-IT"/>
        </w:rPr>
        <w:tab/>
        <w:t xml:space="preserve">Come conservare </w:t>
      </w:r>
      <w:r w:rsidR="00AC780F" w:rsidRPr="006A2BF9">
        <w:rPr>
          <w:lang w:val="it-IT"/>
        </w:rPr>
        <w:t>Aybintio</w:t>
      </w:r>
    </w:p>
    <w:p w14:paraId="76C958AE" w14:textId="77777777" w:rsidR="009C0666" w:rsidRPr="006A2BF9" w:rsidRDefault="009C0666" w:rsidP="009C0666">
      <w:pPr>
        <w:ind w:left="567" w:right="-29" w:hanging="567"/>
        <w:rPr>
          <w:lang w:val="it-IT"/>
        </w:rPr>
      </w:pPr>
      <w:r w:rsidRPr="006A2BF9">
        <w:rPr>
          <w:lang w:val="it-IT"/>
        </w:rPr>
        <w:t>6.</w:t>
      </w:r>
      <w:r w:rsidRPr="006A2BF9">
        <w:rPr>
          <w:lang w:val="it-IT"/>
        </w:rPr>
        <w:tab/>
      </w:r>
      <w:r w:rsidR="00AF1D6C" w:rsidRPr="006A2BF9">
        <w:rPr>
          <w:lang w:val="it-IT"/>
        </w:rPr>
        <w:t>Contenuto della confezione e a</w:t>
      </w:r>
      <w:r w:rsidRPr="006A2BF9">
        <w:rPr>
          <w:lang w:val="it-IT"/>
        </w:rPr>
        <w:t>ltre informazioni</w:t>
      </w:r>
    </w:p>
    <w:p w14:paraId="255BF337" w14:textId="77777777" w:rsidR="009C0666" w:rsidRPr="006A2BF9" w:rsidRDefault="009C0666" w:rsidP="009C0666">
      <w:pPr>
        <w:numPr>
          <w:ilvl w:val="12"/>
          <w:numId w:val="0"/>
        </w:numPr>
        <w:ind w:right="-2"/>
        <w:rPr>
          <w:lang w:val="it-IT"/>
        </w:rPr>
      </w:pPr>
    </w:p>
    <w:p w14:paraId="538E3CF3" w14:textId="77777777" w:rsidR="00BB2AD4" w:rsidRPr="006A2BF9" w:rsidRDefault="00BB2AD4" w:rsidP="009C0666">
      <w:pPr>
        <w:rPr>
          <w:lang w:val="it-IT"/>
        </w:rPr>
      </w:pPr>
    </w:p>
    <w:p w14:paraId="12C52A6B" w14:textId="77777777" w:rsidR="009C0666" w:rsidRPr="006A2BF9" w:rsidRDefault="009C0666" w:rsidP="009C0666">
      <w:pPr>
        <w:numPr>
          <w:ilvl w:val="12"/>
          <w:numId w:val="0"/>
        </w:numPr>
        <w:ind w:left="567" w:right="-2" w:hanging="567"/>
        <w:rPr>
          <w:lang w:val="it-IT"/>
        </w:rPr>
      </w:pPr>
      <w:r w:rsidRPr="006A2BF9">
        <w:rPr>
          <w:b/>
          <w:bCs/>
          <w:lang w:val="it-IT"/>
        </w:rPr>
        <w:t>1.</w:t>
      </w:r>
      <w:r w:rsidRPr="006A2BF9">
        <w:rPr>
          <w:b/>
          <w:bCs/>
          <w:lang w:val="it-IT"/>
        </w:rPr>
        <w:tab/>
      </w:r>
      <w:r w:rsidR="0071418B" w:rsidRPr="006A2BF9">
        <w:rPr>
          <w:b/>
          <w:bCs/>
          <w:lang w:val="it-IT"/>
        </w:rPr>
        <w:t>C</w:t>
      </w:r>
      <w:r w:rsidR="00AF1D6C" w:rsidRPr="006A2BF9">
        <w:rPr>
          <w:b/>
          <w:bCs/>
          <w:lang w:val="it-IT"/>
        </w:rPr>
        <w:t xml:space="preserve">os’è </w:t>
      </w:r>
      <w:r w:rsidR="00AC780F" w:rsidRPr="006A2BF9">
        <w:rPr>
          <w:b/>
          <w:lang w:val="it-IT"/>
        </w:rPr>
        <w:t xml:space="preserve">Aybintio </w:t>
      </w:r>
      <w:r w:rsidR="00AF1D6C" w:rsidRPr="006A2BF9">
        <w:rPr>
          <w:b/>
          <w:bCs/>
          <w:lang w:val="it-IT"/>
        </w:rPr>
        <w:t>e a cosa serve</w:t>
      </w:r>
    </w:p>
    <w:p w14:paraId="30F9132E" w14:textId="77777777" w:rsidR="009C0666" w:rsidRPr="006A2BF9" w:rsidRDefault="009C0666" w:rsidP="009C0666">
      <w:pPr>
        <w:numPr>
          <w:ilvl w:val="12"/>
          <w:numId w:val="0"/>
        </w:numPr>
        <w:ind w:right="-2"/>
        <w:rPr>
          <w:lang w:val="it-IT"/>
        </w:rPr>
      </w:pPr>
    </w:p>
    <w:p w14:paraId="5E618A0D" w14:textId="77777777" w:rsidR="00EB4AE3" w:rsidRPr="006A2BF9" w:rsidRDefault="00AC780F" w:rsidP="00EB4AE3">
      <w:pPr>
        <w:numPr>
          <w:ilvl w:val="12"/>
          <w:numId w:val="0"/>
        </w:numPr>
        <w:ind w:right="-2"/>
        <w:rPr>
          <w:lang w:val="it-IT"/>
        </w:rPr>
      </w:pPr>
      <w:r w:rsidRPr="006A2BF9">
        <w:rPr>
          <w:lang w:val="it-IT"/>
        </w:rPr>
        <w:t>Aybintio</w:t>
      </w:r>
      <w:r w:rsidRPr="006A2BF9">
        <w:rPr>
          <w:b/>
          <w:lang w:val="it-IT"/>
        </w:rPr>
        <w:t xml:space="preserve"> </w:t>
      </w:r>
      <w:r w:rsidR="00EB4AE3" w:rsidRPr="006A2BF9">
        <w:rPr>
          <w:lang w:val="it-IT"/>
        </w:rPr>
        <w:t>contiene il principio attivo bevacizumab, un anticorpo monoclonale umanizzato</w:t>
      </w:r>
      <w:r w:rsidR="00AF1D6C" w:rsidRPr="006A2BF9">
        <w:rPr>
          <w:lang w:val="it-IT"/>
        </w:rPr>
        <w:t xml:space="preserve"> </w:t>
      </w:r>
      <w:r w:rsidR="00D90946" w:rsidRPr="006A2BF9">
        <w:rPr>
          <w:lang w:val="it-IT"/>
        </w:rPr>
        <w:t>(</w:t>
      </w:r>
      <w:r w:rsidR="00AF1D6C" w:rsidRPr="006A2BF9">
        <w:rPr>
          <w:lang w:val="it-IT"/>
        </w:rPr>
        <w:t xml:space="preserve">un tipo di </w:t>
      </w:r>
      <w:r w:rsidR="00482C89" w:rsidRPr="006A2BF9">
        <w:rPr>
          <w:lang w:val="it-IT"/>
        </w:rPr>
        <w:t xml:space="preserve">proteine </w:t>
      </w:r>
      <w:r w:rsidR="00AF1D6C" w:rsidRPr="006A2BF9">
        <w:rPr>
          <w:lang w:val="it-IT"/>
        </w:rPr>
        <w:t xml:space="preserve">che </w:t>
      </w:r>
      <w:r w:rsidR="00482C89" w:rsidRPr="006A2BF9">
        <w:rPr>
          <w:lang w:val="it-IT"/>
        </w:rPr>
        <w:t xml:space="preserve">sono </w:t>
      </w:r>
      <w:r w:rsidR="00AF1D6C" w:rsidRPr="006A2BF9">
        <w:rPr>
          <w:lang w:val="it-IT"/>
        </w:rPr>
        <w:t xml:space="preserve">normalmente </w:t>
      </w:r>
      <w:r w:rsidR="00482C89" w:rsidRPr="006A2BF9">
        <w:rPr>
          <w:lang w:val="it-IT"/>
        </w:rPr>
        <w:t xml:space="preserve">prodotte </w:t>
      </w:r>
      <w:r w:rsidR="00AF1D6C" w:rsidRPr="006A2BF9">
        <w:rPr>
          <w:lang w:val="it-IT"/>
        </w:rPr>
        <w:t xml:space="preserve">dal sistema immunitario per aiutare </w:t>
      </w:r>
      <w:r w:rsidR="003D4517" w:rsidRPr="006A2BF9">
        <w:rPr>
          <w:lang w:val="it-IT"/>
        </w:rPr>
        <w:t xml:space="preserve">l’organismo </w:t>
      </w:r>
      <w:r w:rsidR="00AF1D6C" w:rsidRPr="006A2BF9">
        <w:rPr>
          <w:lang w:val="it-IT"/>
        </w:rPr>
        <w:t xml:space="preserve">a difendersi da infezione e </w:t>
      </w:r>
      <w:r w:rsidR="00387CD5" w:rsidRPr="006A2BF9">
        <w:rPr>
          <w:lang w:val="it-IT"/>
        </w:rPr>
        <w:t>tumore</w:t>
      </w:r>
      <w:r w:rsidR="00AF1D6C" w:rsidRPr="006A2BF9">
        <w:rPr>
          <w:lang w:val="it-IT"/>
        </w:rPr>
        <w:t>)</w:t>
      </w:r>
      <w:r w:rsidR="00EB4AE3" w:rsidRPr="006A2BF9">
        <w:rPr>
          <w:lang w:val="it-IT"/>
        </w:rPr>
        <w:t xml:space="preserve">. </w:t>
      </w:r>
      <w:r w:rsidR="00971129" w:rsidRPr="006A2BF9">
        <w:rPr>
          <w:lang w:val="it-IT"/>
        </w:rPr>
        <w:t>B</w:t>
      </w:r>
      <w:r w:rsidR="00EB4AE3" w:rsidRPr="006A2BF9">
        <w:rPr>
          <w:lang w:val="it-IT"/>
        </w:rPr>
        <w:t xml:space="preserve">evacizumab si lega in modo selettivo a una proteina chiamata “fattore di crescita per l'endotelio vascolare umano” (VEGF), che è presente sul rivestimento dei vasi sanguigni e linfatici dell’organismo. </w:t>
      </w:r>
      <w:r w:rsidR="00AF1D6C" w:rsidRPr="006A2BF9">
        <w:rPr>
          <w:lang w:val="it-IT"/>
        </w:rPr>
        <w:t xml:space="preserve">La proteina </w:t>
      </w:r>
      <w:r w:rsidR="00EB4AE3" w:rsidRPr="006A2BF9">
        <w:rPr>
          <w:lang w:val="it-IT"/>
        </w:rPr>
        <w:t xml:space="preserve">VEGF determina la crescita dei vasi sanguigni all’interno del tumore; questi vasi sanguigni forniscono al tumore sostanze nutritive e ossigeno. Una volta che bevacizumab si lega al VEGF, la crescita tumorale </w:t>
      </w:r>
      <w:r w:rsidR="005A2D07" w:rsidRPr="006A2BF9">
        <w:rPr>
          <w:lang w:val="it-IT"/>
        </w:rPr>
        <w:t xml:space="preserve">è impedita </w:t>
      </w:r>
      <w:r w:rsidR="00683E59" w:rsidRPr="006A2BF9">
        <w:rPr>
          <w:lang w:val="it-IT"/>
        </w:rPr>
        <w:t xml:space="preserve">poiché viene bloccato </w:t>
      </w:r>
      <w:r w:rsidR="00EB4AE3" w:rsidRPr="006A2BF9">
        <w:rPr>
          <w:lang w:val="it-IT"/>
        </w:rPr>
        <w:t>lo sviluppo dei vasi sanguigni che forniscono sostanze nutritive e ossigeno al tumore.</w:t>
      </w:r>
    </w:p>
    <w:p w14:paraId="5EF9F35B" w14:textId="77777777" w:rsidR="009C0666" w:rsidRPr="006A2BF9" w:rsidRDefault="009C0666" w:rsidP="009C0666">
      <w:pPr>
        <w:numPr>
          <w:ilvl w:val="12"/>
          <w:numId w:val="0"/>
        </w:numPr>
        <w:ind w:right="-2"/>
        <w:rPr>
          <w:lang w:val="it-IT"/>
        </w:rPr>
      </w:pPr>
    </w:p>
    <w:p w14:paraId="35F9D3B5" w14:textId="77777777" w:rsidR="00EA3DA5" w:rsidRPr="006A2BF9" w:rsidRDefault="00AC780F" w:rsidP="00EA3DA5">
      <w:pPr>
        <w:numPr>
          <w:ilvl w:val="12"/>
          <w:numId w:val="0"/>
        </w:numPr>
        <w:ind w:right="-2"/>
        <w:rPr>
          <w:lang w:val="it-IT"/>
        </w:rPr>
      </w:pPr>
      <w:r w:rsidRPr="006A2BF9">
        <w:rPr>
          <w:lang w:val="it-IT"/>
        </w:rPr>
        <w:t>Aybintio</w:t>
      </w:r>
      <w:r w:rsidRPr="006A2BF9">
        <w:rPr>
          <w:b/>
          <w:lang w:val="it-IT"/>
        </w:rPr>
        <w:t xml:space="preserve"> </w:t>
      </w:r>
      <w:r w:rsidR="00EA3DA5" w:rsidRPr="006A2BF9">
        <w:rPr>
          <w:lang w:val="it-IT"/>
        </w:rPr>
        <w:t xml:space="preserve">è un medicinale utilizzato per il trattamento </w:t>
      </w:r>
      <w:r w:rsidR="00AD5FB1" w:rsidRPr="006A2BF9">
        <w:rPr>
          <w:lang w:val="it-IT"/>
        </w:rPr>
        <w:t xml:space="preserve">di pazienti adulti </w:t>
      </w:r>
      <w:r w:rsidR="004F6651" w:rsidRPr="006A2BF9">
        <w:rPr>
          <w:lang w:val="it-IT"/>
        </w:rPr>
        <w:t>affetti da</w:t>
      </w:r>
      <w:r w:rsidR="00EA3DA5" w:rsidRPr="006A2BF9">
        <w:rPr>
          <w:lang w:val="it-IT"/>
        </w:rPr>
        <w:t xml:space="preserve"> </w:t>
      </w:r>
      <w:r w:rsidR="00683E59" w:rsidRPr="006A2BF9">
        <w:rPr>
          <w:lang w:val="it-IT"/>
        </w:rPr>
        <w:t>cancro</w:t>
      </w:r>
      <w:r w:rsidR="00EA3DA5" w:rsidRPr="006A2BF9">
        <w:rPr>
          <w:lang w:val="it-IT"/>
        </w:rPr>
        <w:t xml:space="preserve"> </w:t>
      </w:r>
      <w:r w:rsidR="00683E59" w:rsidRPr="006A2BF9">
        <w:rPr>
          <w:lang w:val="it-IT"/>
        </w:rPr>
        <w:t xml:space="preserve">in fase avanzata </w:t>
      </w:r>
      <w:r w:rsidR="00EA3DA5" w:rsidRPr="006A2BF9">
        <w:rPr>
          <w:lang w:val="it-IT"/>
        </w:rPr>
        <w:t>dell’intestino crasso</w:t>
      </w:r>
      <w:r w:rsidR="00683E59" w:rsidRPr="006A2BF9">
        <w:rPr>
          <w:lang w:val="it-IT"/>
        </w:rPr>
        <w:t>, ossia</w:t>
      </w:r>
      <w:r w:rsidR="00EA3DA5" w:rsidRPr="006A2BF9">
        <w:rPr>
          <w:lang w:val="it-IT"/>
        </w:rPr>
        <w:t xml:space="preserve"> del colon o del retto. </w:t>
      </w:r>
      <w:r w:rsidRPr="006A2BF9">
        <w:rPr>
          <w:lang w:val="it-IT"/>
        </w:rPr>
        <w:t>Aybintio</w:t>
      </w:r>
      <w:r w:rsidRPr="006A2BF9">
        <w:rPr>
          <w:b/>
          <w:lang w:val="it-IT"/>
        </w:rPr>
        <w:t xml:space="preserve"> </w:t>
      </w:r>
      <w:r w:rsidR="00EA3DA5" w:rsidRPr="006A2BF9">
        <w:rPr>
          <w:lang w:val="it-IT"/>
        </w:rPr>
        <w:t xml:space="preserve">sarà somministrato in associazione </w:t>
      </w:r>
      <w:r w:rsidR="00683E59" w:rsidRPr="006A2BF9">
        <w:rPr>
          <w:lang w:val="it-IT"/>
        </w:rPr>
        <w:t xml:space="preserve">a </w:t>
      </w:r>
      <w:r w:rsidR="00EA3DA5" w:rsidRPr="006A2BF9">
        <w:rPr>
          <w:lang w:val="it-IT"/>
        </w:rPr>
        <w:t>un trattamento chemioterapico a base di fluoropirimidine.</w:t>
      </w:r>
    </w:p>
    <w:p w14:paraId="4C3BA4F0" w14:textId="77777777" w:rsidR="00EA3DA5" w:rsidRPr="006A2BF9" w:rsidRDefault="00EA3DA5" w:rsidP="00EA3DA5">
      <w:pPr>
        <w:numPr>
          <w:ilvl w:val="12"/>
          <w:numId w:val="0"/>
        </w:numPr>
        <w:ind w:right="-2"/>
        <w:rPr>
          <w:lang w:val="it-IT"/>
        </w:rPr>
      </w:pPr>
    </w:p>
    <w:p w14:paraId="27337164" w14:textId="77777777" w:rsidR="00EA3DA5" w:rsidRPr="006A2BF9" w:rsidRDefault="00AC780F" w:rsidP="00EA3DA5">
      <w:pPr>
        <w:numPr>
          <w:ilvl w:val="12"/>
          <w:numId w:val="0"/>
        </w:numPr>
        <w:ind w:right="-2"/>
        <w:rPr>
          <w:lang w:val="it-IT"/>
        </w:rPr>
      </w:pPr>
      <w:r w:rsidRPr="006A2BF9">
        <w:rPr>
          <w:lang w:val="it-IT"/>
        </w:rPr>
        <w:t>Aybintio</w:t>
      </w:r>
      <w:r w:rsidRPr="006A2BF9">
        <w:rPr>
          <w:b/>
          <w:lang w:val="it-IT"/>
        </w:rPr>
        <w:t xml:space="preserve"> </w:t>
      </w:r>
      <w:r w:rsidR="00EA3DA5" w:rsidRPr="006A2BF9">
        <w:rPr>
          <w:lang w:val="it-IT"/>
        </w:rPr>
        <w:t xml:space="preserve">è anche utilizzato per il trattamento </w:t>
      </w:r>
      <w:r w:rsidR="00AD5FB1" w:rsidRPr="006A2BF9">
        <w:rPr>
          <w:lang w:val="it-IT"/>
        </w:rPr>
        <w:t xml:space="preserve">di pazienti adulti </w:t>
      </w:r>
      <w:r w:rsidR="004F6651" w:rsidRPr="006A2BF9">
        <w:rPr>
          <w:lang w:val="it-IT"/>
        </w:rPr>
        <w:t>affetti da</w:t>
      </w:r>
      <w:r w:rsidR="00AD5FB1" w:rsidRPr="006A2BF9">
        <w:rPr>
          <w:lang w:val="it-IT"/>
        </w:rPr>
        <w:t xml:space="preserve"> </w:t>
      </w:r>
      <w:r w:rsidR="00683E59" w:rsidRPr="006A2BF9">
        <w:rPr>
          <w:lang w:val="it-IT"/>
        </w:rPr>
        <w:t xml:space="preserve">cancro </w:t>
      </w:r>
      <w:r w:rsidR="00EA3DA5" w:rsidRPr="006A2BF9">
        <w:rPr>
          <w:lang w:val="it-IT"/>
        </w:rPr>
        <w:t>della mammella</w:t>
      </w:r>
      <w:r w:rsidR="00683E59" w:rsidRPr="006A2BF9">
        <w:rPr>
          <w:lang w:val="it-IT"/>
        </w:rPr>
        <w:t xml:space="preserve"> metastatico</w:t>
      </w:r>
      <w:r w:rsidR="00EA3DA5" w:rsidRPr="006A2BF9">
        <w:rPr>
          <w:lang w:val="it-IT"/>
        </w:rPr>
        <w:t xml:space="preserve">. </w:t>
      </w:r>
      <w:r w:rsidR="00D610BC" w:rsidRPr="006A2BF9">
        <w:rPr>
          <w:lang w:val="it-IT"/>
        </w:rPr>
        <w:t xml:space="preserve">In pazienti con questo tipo di tumore </w:t>
      </w:r>
      <w:r w:rsidRPr="006A2BF9">
        <w:rPr>
          <w:lang w:val="it-IT"/>
        </w:rPr>
        <w:t>Aybintio</w:t>
      </w:r>
      <w:r w:rsidRPr="006A2BF9">
        <w:rPr>
          <w:b/>
          <w:lang w:val="it-IT"/>
        </w:rPr>
        <w:t xml:space="preserve"> </w:t>
      </w:r>
      <w:r w:rsidR="00EA3DA5" w:rsidRPr="006A2BF9">
        <w:rPr>
          <w:lang w:val="it-IT"/>
        </w:rPr>
        <w:t xml:space="preserve">sarà somministrato con un </w:t>
      </w:r>
      <w:r w:rsidR="00AF03D9" w:rsidRPr="006A2BF9">
        <w:rPr>
          <w:lang w:val="it-IT"/>
        </w:rPr>
        <w:t xml:space="preserve">regime chemioterapico </w:t>
      </w:r>
      <w:r w:rsidR="00065890" w:rsidRPr="006A2BF9">
        <w:rPr>
          <w:lang w:val="it-IT"/>
        </w:rPr>
        <w:t>a base di</w:t>
      </w:r>
      <w:r w:rsidR="00EA3DA5" w:rsidRPr="006A2BF9">
        <w:rPr>
          <w:lang w:val="it-IT"/>
        </w:rPr>
        <w:t xml:space="preserve"> paclitaxel</w:t>
      </w:r>
      <w:r w:rsidR="001A7AAF" w:rsidRPr="006A2BF9">
        <w:rPr>
          <w:lang w:val="it-IT"/>
        </w:rPr>
        <w:t xml:space="preserve"> o capecitabina</w:t>
      </w:r>
      <w:r w:rsidR="00EA3DA5" w:rsidRPr="006A2BF9">
        <w:rPr>
          <w:lang w:val="it-IT"/>
        </w:rPr>
        <w:t>.</w:t>
      </w:r>
    </w:p>
    <w:p w14:paraId="7B91D9DF" w14:textId="77777777" w:rsidR="00EA3DA5" w:rsidRPr="006A2BF9" w:rsidRDefault="00EA3DA5" w:rsidP="00EA3DA5">
      <w:pPr>
        <w:numPr>
          <w:ilvl w:val="12"/>
          <w:numId w:val="0"/>
        </w:numPr>
        <w:ind w:right="-2"/>
        <w:rPr>
          <w:lang w:val="it-IT"/>
        </w:rPr>
      </w:pPr>
    </w:p>
    <w:p w14:paraId="25604A55" w14:textId="77777777" w:rsidR="00EA3DA5" w:rsidRPr="006A2BF9" w:rsidRDefault="00AC780F" w:rsidP="00EA3DA5">
      <w:pPr>
        <w:numPr>
          <w:ilvl w:val="12"/>
          <w:numId w:val="0"/>
        </w:numPr>
        <w:ind w:right="-2"/>
        <w:rPr>
          <w:lang w:val="it-IT"/>
        </w:rPr>
      </w:pPr>
      <w:r w:rsidRPr="006A2BF9">
        <w:rPr>
          <w:lang w:val="it-IT"/>
        </w:rPr>
        <w:t>Aybintio</w:t>
      </w:r>
      <w:r w:rsidRPr="006A2BF9">
        <w:rPr>
          <w:b/>
          <w:lang w:val="it-IT"/>
        </w:rPr>
        <w:t xml:space="preserve"> </w:t>
      </w:r>
      <w:r w:rsidR="00EA3DA5" w:rsidRPr="006A2BF9">
        <w:rPr>
          <w:lang w:val="it-IT"/>
        </w:rPr>
        <w:t xml:space="preserve">è anche utilizzato per il trattamento </w:t>
      </w:r>
      <w:r w:rsidR="003F522E" w:rsidRPr="006A2BF9">
        <w:rPr>
          <w:lang w:val="it-IT"/>
        </w:rPr>
        <w:t xml:space="preserve">di pazienti adulti </w:t>
      </w:r>
      <w:r w:rsidR="004F6651" w:rsidRPr="006A2BF9">
        <w:rPr>
          <w:lang w:val="it-IT"/>
        </w:rPr>
        <w:t>affetti da</w:t>
      </w:r>
      <w:r w:rsidR="003F522E" w:rsidRPr="006A2BF9">
        <w:rPr>
          <w:lang w:val="it-IT"/>
        </w:rPr>
        <w:t xml:space="preserve"> </w:t>
      </w:r>
      <w:r w:rsidR="000A74C4" w:rsidRPr="006A2BF9">
        <w:rPr>
          <w:lang w:val="it-IT"/>
        </w:rPr>
        <w:t xml:space="preserve">cancro del polmone </w:t>
      </w:r>
      <w:r w:rsidR="00EA3DA5" w:rsidRPr="006A2BF9">
        <w:rPr>
          <w:lang w:val="it-IT"/>
        </w:rPr>
        <w:t xml:space="preserve">non a piccole cellule </w:t>
      </w:r>
      <w:r w:rsidR="000A74C4" w:rsidRPr="006A2BF9">
        <w:rPr>
          <w:lang w:val="it-IT"/>
        </w:rPr>
        <w:t>in fase avanzata</w:t>
      </w:r>
      <w:r w:rsidR="00EA3DA5" w:rsidRPr="006A2BF9">
        <w:rPr>
          <w:lang w:val="it-IT"/>
        </w:rPr>
        <w:t xml:space="preserve">. </w:t>
      </w:r>
      <w:r w:rsidRPr="006A2BF9">
        <w:rPr>
          <w:lang w:val="it-IT"/>
        </w:rPr>
        <w:t>Aybintio</w:t>
      </w:r>
      <w:r w:rsidRPr="006A2BF9">
        <w:rPr>
          <w:b/>
          <w:lang w:val="it-IT"/>
        </w:rPr>
        <w:t xml:space="preserve"> </w:t>
      </w:r>
      <w:r w:rsidR="00EA3DA5" w:rsidRPr="006A2BF9">
        <w:rPr>
          <w:lang w:val="it-IT"/>
        </w:rPr>
        <w:t xml:space="preserve">sarà somministrato insieme a un regime chemioterapico </w:t>
      </w:r>
      <w:r w:rsidR="00065890" w:rsidRPr="006A2BF9">
        <w:rPr>
          <w:lang w:val="it-IT"/>
        </w:rPr>
        <w:t xml:space="preserve">a base di </w:t>
      </w:r>
      <w:r w:rsidR="00EA3DA5" w:rsidRPr="006A2BF9">
        <w:rPr>
          <w:lang w:val="it-IT"/>
        </w:rPr>
        <w:t>platino.</w:t>
      </w:r>
    </w:p>
    <w:p w14:paraId="7A105E57" w14:textId="77777777" w:rsidR="00BB195D" w:rsidRPr="006A2BF9" w:rsidRDefault="00BB195D" w:rsidP="00EA3DA5">
      <w:pPr>
        <w:numPr>
          <w:ilvl w:val="12"/>
          <w:numId w:val="0"/>
        </w:numPr>
        <w:ind w:right="-2"/>
        <w:rPr>
          <w:lang w:val="it-IT"/>
        </w:rPr>
      </w:pPr>
    </w:p>
    <w:p w14:paraId="61002A09" w14:textId="77777777" w:rsidR="00BB195D" w:rsidRPr="006A2BF9" w:rsidRDefault="00AC780F" w:rsidP="00BB195D">
      <w:pPr>
        <w:numPr>
          <w:ilvl w:val="12"/>
          <w:numId w:val="0"/>
        </w:numPr>
        <w:ind w:right="-2"/>
        <w:rPr>
          <w:lang w:val="it-IT"/>
        </w:rPr>
      </w:pPr>
      <w:r w:rsidRPr="006A2BF9">
        <w:rPr>
          <w:lang w:val="it-IT"/>
        </w:rPr>
        <w:t>Aybintio</w:t>
      </w:r>
      <w:r w:rsidRPr="006A2BF9">
        <w:rPr>
          <w:b/>
          <w:lang w:val="it-IT"/>
        </w:rPr>
        <w:t xml:space="preserve"> </w:t>
      </w:r>
      <w:r w:rsidR="00BB195D" w:rsidRPr="006A2BF9">
        <w:rPr>
          <w:lang w:val="it-IT"/>
        </w:rPr>
        <w:t xml:space="preserve">è </w:t>
      </w:r>
      <w:r w:rsidR="00A83E39" w:rsidRPr="006A2BF9">
        <w:rPr>
          <w:lang w:val="it-IT"/>
        </w:rPr>
        <w:t>inoltre</w:t>
      </w:r>
      <w:r w:rsidR="00BB195D" w:rsidRPr="006A2BF9">
        <w:rPr>
          <w:lang w:val="it-IT"/>
        </w:rPr>
        <w:t xml:space="preserve"> usato per il trattamento di pazienti adulti affetti da </w:t>
      </w:r>
      <w:r w:rsidR="000A74C4" w:rsidRPr="006A2BF9">
        <w:rPr>
          <w:lang w:val="it-IT"/>
        </w:rPr>
        <w:t xml:space="preserve">cancro del polmone </w:t>
      </w:r>
      <w:r w:rsidR="00BB195D" w:rsidRPr="006A2BF9">
        <w:rPr>
          <w:lang w:val="it-IT"/>
        </w:rPr>
        <w:t xml:space="preserve">non a piccole cellule </w:t>
      </w:r>
      <w:r w:rsidR="000A74C4" w:rsidRPr="006A2BF9">
        <w:rPr>
          <w:lang w:val="it-IT"/>
        </w:rPr>
        <w:t xml:space="preserve">in fase </w:t>
      </w:r>
      <w:r w:rsidR="00BB195D" w:rsidRPr="006A2BF9">
        <w:rPr>
          <w:lang w:val="it-IT"/>
        </w:rPr>
        <w:t>avanzat</w:t>
      </w:r>
      <w:r w:rsidR="000A74C4" w:rsidRPr="006A2BF9">
        <w:rPr>
          <w:lang w:val="it-IT"/>
        </w:rPr>
        <w:t>a</w:t>
      </w:r>
      <w:r w:rsidR="00BB195D" w:rsidRPr="006A2BF9">
        <w:rPr>
          <w:lang w:val="it-IT"/>
        </w:rPr>
        <w:t xml:space="preserve"> quando le cellule tumorali presentano determinate mutazioni di una proteina chiamata recettore del fattore di crescita epidermico (EGFR). </w:t>
      </w:r>
      <w:r w:rsidRPr="006A2BF9">
        <w:rPr>
          <w:lang w:val="it-IT"/>
        </w:rPr>
        <w:t>Aybintio</w:t>
      </w:r>
      <w:r w:rsidRPr="006A2BF9">
        <w:rPr>
          <w:b/>
          <w:lang w:val="it-IT"/>
        </w:rPr>
        <w:t xml:space="preserve"> </w:t>
      </w:r>
      <w:r w:rsidR="00BB195D" w:rsidRPr="006A2BF9">
        <w:rPr>
          <w:lang w:val="it-IT"/>
        </w:rPr>
        <w:t xml:space="preserve">sarà somministrato in associazione </w:t>
      </w:r>
      <w:r w:rsidR="000A74C4" w:rsidRPr="006A2BF9">
        <w:rPr>
          <w:lang w:val="it-IT"/>
        </w:rPr>
        <w:t xml:space="preserve">a </w:t>
      </w:r>
      <w:r w:rsidR="00BB195D" w:rsidRPr="006A2BF9">
        <w:rPr>
          <w:lang w:val="it-IT"/>
        </w:rPr>
        <w:t>erlotinib.</w:t>
      </w:r>
    </w:p>
    <w:p w14:paraId="5E5993FA" w14:textId="77777777" w:rsidR="00EA3DA5" w:rsidRPr="006A2BF9" w:rsidRDefault="00EA3DA5" w:rsidP="00EA3DA5">
      <w:pPr>
        <w:numPr>
          <w:ilvl w:val="12"/>
          <w:numId w:val="0"/>
        </w:numPr>
        <w:ind w:right="-2"/>
        <w:rPr>
          <w:lang w:val="it-IT"/>
        </w:rPr>
      </w:pPr>
    </w:p>
    <w:p w14:paraId="2D8ECF90" w14:textId="77777777" w:rsidR="00EA3DA5" w:rsidRPr="006A2BF9" w:rsidRDefault="00AC780F" w:rsidP="00EA3DA5">
      <w:pPr>
        <w:numPr>
          <w:ilvl w:val="12"/>
          <w:numId w:val="0"/>
        </w:numPr>
        <w:ind w:right="-2"/>
        <w:rPr>
          <w:lang w:val="it-IT"/>
        </w:rPr>
      </w:pPr>
      <w:r w:rsidRPr="006A2BF9">
        <w:rPr>
          <w:lang w:val="it-IT"/>
        </w:rPr>
        <w:t>Aybintio</w:t>
      </w:r>
      <w:r w:rsidRPr="006A2BF9">
        <w:rPr>
          <w:b/>
          <w:lang w:val="it-IT"/>
        </w:rPr>
        <w:t xml:space="preserve"> </w:t>
      </w:r>
      <w:r w:rsidR="00EA3DA5" w:rsidRPr="006A2BF9">
        <w:rPr>
          <w:lang w:val="it-IT"/>
        </w:rPr>
        <w:t xml:space="preserve">è inoltre utilizzato per il trattamento </w:t>
      </w:r>
      <w:r w:rsidR="00AD5FB1" w:rsidRPr="006A2BF9">
        <w:rPr>
          <w:lang w:val="it-IT"/>
        </w:rPr>
        <w:t xml:space="preserve">di pazienti adulti </w:t>
      </w:r>
      <w:r w:rsidR="004F6651" w:rsidRPr="006A2BF9">
        <w:rPr>
          <w:lang w:val="it-IT"/>
        </w:rPr>
        <w:t>affetti da</w:t>
      </w:r>
      <w:r w:rsidR="00AD5FB1" w:rsidRPr="006A2BF9">
        <w:rPr>
          <w:lang w:val="it-IT"/>
        </w:rPr>
        <w:t xml:space="preserve"> </w:t>
      </w:r>
      <w:r w:rsidR="000A74C4" w:rsidRPr="006A2BF9">
        <w:rPr>
          <w:lang w:val="it-IT"/>
        </w:rPr>
        <w:t xml:space="preserve">cancro </w:t>
      </w:r>
      <w:r w:rsidR="00EA3DA5" w:rsidRPr="006A2BF9">
        <w:rPr>
          <w:lang w:val="it-IT"/>
        </w:rPr>
        <w:t>del rene</w:t>
      </w:r>
      <w:r w:rsidR="000A74C4" w:rsidRPr="006A2BF9">
        <w:rPr>
          <w:lang w:val="it-IT"/>
        </w:rPr>
        <w:t xml:space="preserve"> in fase avanzata</w:t>
      </w:r>
      <w:r w:rsidR="00EA3DA5" w:rsidRPr="006A2BF9">
        <w:rPr>
          <w:lang w:val="it-IT"/>
        </w:rPr>
        <w:t xml:space="preserve">. </w:t>
      </w:r>
      <w:r w:rsidR="00D610BC" w:rsidRPr="006A2BF9">
        <w:rPr>
          <w:lang w:val="it-IT"/>
        </w:rPr>
        <w:t xml:space="preserve">In pazienti con questo tipo di tumore </w:t>
      </w:r>
      <w:r w:rsidRPr="006A2BF9">
        <w:rPr>
          <w:lang w:val="it-IT"/>
        </w:rPr>
        <w:t>Aybintio</w:t>
      </w:r>
      <w:r w:rsidRPr="006A2BF9">
        <w:rPr>
          <w:b/>
          <w:lang w:val="it-IT"/>
        </w:rPr>
        <w:t xml:space="preserve"> </w:t>
      </w:r>
      <w:r w:rsidR="00EA3DA5" w:rsidRPr="006A2BF9">
        <w:rPr>
          <w:lang w:val="it-IT"/>
        </w:rPr>
        <w:t xml:space="preserve">sarà somministrato con un altro tipo di </w:t>
      </w:r>
      <w:r w:rsidR="00D610BC" w:rsidRPr="006A2BF9">
        <w:rPr>
          <w:lang w:val="it-IT"/>
        </w:rPr>
        <w:t xml:space="preserve">medicinale </w:t>
      </w:r>
      <w:r w:rsidR="00EA3DA5" w:rsidRPr="006A2BF9">
        <w:rPr>
          <w:lang w:val="it-IT"/>
        </w:rPr>
        <w:t>chiamato interferone.</w:t>
      </w:r>
    </w:p>
    <w:p w14:paraId="5ABD96CF" w14:textId="77777777" w:rsidR="00A538E6" w:rsidRPr="006A2BF9" w:rsidRDefault="00A538E6" w:rsidP="00A538E6">
      <w:pPr>
        <w:numPr>
          <w:ilvl w:val="12"/>
          <w:numId w:val="0"/>
        </w:numPr>
        <w:ind w:right="-2"/>
        <w:rPr>
          <w:lang w:val="it-IT"/>
        </w:rPr>
      </w:pPr>
    </w:p>
    <w:p w14:paraId="364F78B0" w14:textId="77777777" w:rsidR="00A538E6" w:rsidRPr="006A2BF9" w:rsidRDefault="00AC780F" w:rsidP="00814900">
      <w:pPr>
        <w:numPr>
          <w:ilvl w:val="12"/>
          <w:numId w:val="0"/>
        </w:numPr>
        <w:ind w:right="-2"/>
        <w:rPr>
          <w:lang w:val="it-IT"/>
        </w:rPr>
      </w:pPr>
      <w:r w:rsidRPr="006A2BF9">
        <w:rPr>
          <w:lang w:val="it-IT"/>
        </w:rPr>
        <w:t>Aybintio</w:t>
      </w:r>
      <w:r w:rsidRPr="006A2BF9">
        <w:rPr>
          <w:b/>
          <w:lang w:val="it-IT"/>
        </w:rPr>
        <w:t xml:space="preserve"> </w:t>
      </w:r>
      <w:r w:rsidR="00A538E6" w:rsidRPr="006A2BF9">
        <w:rPr>
          <w:lang w:val="it-IT"/>
        </w:rPr>
        <w:t xml:space="preserve">è utilizzato anche per il trattamento </w:t>
      </w:r>
      <w:r w:rsidR="00AD5FB1" w:rsidRPr="006A2BF9">
        <w:rPr>
          <w:lang w:val="it-IT"/>
        </w:rPr>
        <w:t>di pazienti adult</w:t>
      </w:r>
      <w:r w:rsidR="00B60879" w:rsidRPr="006A2BF9">
        <w:rPr>
          <w:lang w:val="it-IT"/>
        </w:rPr>
        <w:t>e</w:t>
      </w:r>
      <w:r w:rsidR="00AD5FB1" w:rsidRPr="006A2BF9">
        <w:rPr>
          <w:lang w:val="it-IT"/>
        </w:rPr>
        <w:t xml:space="preserve"> </w:t>
      </w:r>
      <w:r w:rsidR="004F6651" w:rsidRPr="006A2BF9">
        <w:rPr>
          <w:lang w:val="it-IT"/>
        </w:rPr>
        <w:t>affett</w:t>
      </w:r>
      <w:r w:rsidR="00B60879" w:rsidRPr="006A2BF9">
        <w:rPr>
          <w:lang w:val="it-IT"/>
        </w:rPr>
        <w:t>e</w:t>
      </w:r>
      <w:r w:rsidR="004F6651" w:rsidRPr="006A2BF9">
        <w:rPr>
          <w:lang w:val="it-IT"/>
        </w:rPr>
        <w:t xml:space="preserve"> da</w:t>
      </w:r>
      <w:r w:rsidR="00A538E6" w:rsidRPr="006A2BF9">
        <w:rPr>
          <w:lang w:val="it-IT"/>
        </w:rPr>
        <w:t xml:space="preserve"> </w:t>
      </w:r>
      <w:r w:rsidR="000A74C4" w:rsidRPr="006A2BF9">
        <w:rPr>
          <w:lang w:val="it-IT"/>
        </w:rPr>
        <w:t xml:space="preserve">cancro </w:t>
      </w:r>
      <w:r w:rsidR="00A538E6" w:rsidRPr="006A2BF9">
        <w:rPr>
          <w:lang w:val="it-IT"/>
        </w:rPr>
        <w:t>epiteliale</w:t>
      </w:r>
      <w:r w:rsidR="000A74C4" w:rsidRPr="006A2BF9">
        <w:rPr>
          <w:lang w:val="it-IT"/>
        </w:rPr>
        <w:t xml:space="preserve"> dell’ovaio</w:t>
      </w:r>
      <w:r w:rsidR="00A538E6" w:rsidRPr="006A2BF9">
        <w:rPr>
          <w:lang w:val="it-IT"/>
        </w:rPr>
        <w:t>, d</w:t>
      </w:r>
      <w:r w:rsidR="004D12E0" w:rsidRPr="006A2BF9">
        <w:rPr>
          <w:lang w:val="it-IT"/>
        </w:rPr>
        <w:t>a</w:t>
      </w:r>
      <w:r w:rsidR="00A54F1C" w:rsidRPr="006A2BF9">
        <w:rPr>
          <w:lang w:val="it-IT"/>
        </w:rPr>
        <w:t xml:space="preserve"> </w:t>
      </w:r>
      <w:r w:rsidR="000A74C4" w:rsidRPr="006A2BF9">
        <w:rPr>
          <w:lang w:val="it-IT"/>
        </w:rPr>
        <w:t xml:space="preserve">cancro della tuba </w:t>
      </w:r>
      <w:r w:rsidR="00A538E6" w:rsidRPr="006A2BF9">
        <w:rPr>
          <w:lang w:val="it-IT"/>
        </w:rPr>
        <w:t xml:space="preserve">di </w:t>
      </w:r>
      <w:r w:rsidR="004D12E0" w:rsidRPr="006A2BF9">
        <w:rPr>
          <w:lang w:val="it-IT"/>
        </w:rPr>
        <w:t>F</w:t>
      </w:r>
      <w:r w:rsidR="00A538E6" w:rsidRPr="006A2BF9">
        <w:rPr>
          <w:lang w:val="it-IT"/>
        </w:rPr>
        <w:t>alloppio o d</w:t>
      </w:r>
      <w:r w:rsidR="004D12E0" w:rsidRPr="006A2BF9">
        <w:rPr>
          <w:lang w:val="it-IT"/>
        </w:rPr>
        <w:t>a</w:t>
      </w:r>
      <w:r w:rsidR="00A538E6" w:rsidRPr="006A2BF9">
        <w:rPr>
          <w:lang w:val="it-IT"/>
        </w:rPr>
        <w:t xml:space="preserve"> </w:t>
      </w:r>
      <w:r w:rsidR="000A74C4" w:rsidRPr="006A2BF9">
        <w:rPr>
          <w:lang w:val="it-IT"/>
        </w:rPr>
        <w:t xml:space="preserve">cancro </w:t>
      </w:r>
      <w:r w:rsidR="00A538E6" w:rsidRPr="006A2BF9">
        <w:rPr>
          <w:lang w:val="it-IT"/>
        </w:rPr>
        <w:t xml:space="preserve">peritoneale primario in fase avanzata. </w:t>
      </w:r>
      <w:r w:rsidR="00D610BC" w:rsidRPr="006A2BF9">
        <w:rPr>
          <w:lang w:val="it-IT"/>
        </w:rPr>
        <w:t>In pazienti con quest</w:t>
      </w:r>
      <w:r w:rsidR="004D12E0" w:rsidRPr="006A2BF9">
        <w:rPr>
          <w:lang w:val="it-IT"/>
        </w:rPr>
        <w:t>i</w:t>
      </w:r>
      <w:r w:rsidR="00D610BC" w:rsidRPr="006A2BF9">
        <w:rPr>
          <w:lang w:val="it-IT"/>
        </w:rPr>
        <w:t xml:space="preserve"> tip</w:t>
      </w:r>
      <w:r w:rsidR="004D12E0" w:rsidRPr="006A2BF9">
        <w:rPr>
          <w:lang w:val="it-IT"/>
        </w:rPr>
        <w:t>i</w:t>
      </w:r>
      <w:r w:rsidR="00D610BC" w:rsidRPr="006A2BF9">
        <w:rPr>
          <w:lang w:val="it-IT"/>
        </w:rPr>
        <w:t xml:space="preserve"> di tumore </w:t>
      </w:r>
      <w:r w:rsidRPr="006A2BF9">
        <w:rPr>
          <w:lang w:val="it-IT"/>
        </w:rPr>
        <w:t>Aybintio</w:t>
      </w:r>
      <w:r w:rsidRPr="006A2BF9">
        <w:rPr>
          <w:b/>
          <w:lang w:val="it-IT"/>
        </w:rPr>
        <w:t xml:space="preserve"> </w:t>
      </w:r>
      <w:r w:rsidR="00065890" w:rsidRPr="006A2BF9">
        <w:rPr>
          <w:lang w:val="it-IT"/>
        </w:rPr>
        <w:t>sarà</w:t>
      </w:r>
      <w:r w:rsidR="00A538E6" w:rsidRPr="006A2BF9">
        <w:rPr>
          <w:lang w:val="it-IT"/>
        </w:rPr>
        <w:t xml:space="preserve"> somministrato in associazione a carboplatino e paclitaxel.</w:t>
      </w:r>
    </w:p>
    <w:p w14:paraId="21D5CA96" w14:textId="77777777" w:rsidR="005A2D07" w:rsidRPr="006A2BF9" w:rsidRDefault="00AC780F" w:rsidP="009C0666">
      <w:pPr>
        <w:numPr>
          <w:ilvl w:val="12"/>
          <w:numId w:val="0"/>
        </w:numPr>
        <w:ind w:right="-2"/>
        <w:rPr>
          <w:lang w:val="it-IT"/>
        </w:rPr>
      </w:pPr>
      <w:r w:rsidRPr="006A2BF9">
        <w:rPr>
          <w:lang w:val="it-IT"/>
        </w:rPr>
        <w:lastRenderedPageBreak/>
        <w:t>Aybintio</w:t>
      </w:r>
      <w:r w:rsidRPr="006A2BF9">
        <w:rPr>
          <w:b/>
          <w:lang w:val="it-IT"/>
        </w:rPr>
        <w:t xml:space="preserve"> </w:t>
      </w:r>
      <w:r w:rsidR="00D77B44" w:rsidRPr="006A2BF9">
        <w:rPr>
          <w:lang w:val="it-IT"/>
        </w:rPr>
        <w:t xml:space="preserve">sarà somministrato in </w:t>
      </w:r>
      <w:r w:rsidR="00065890" w:rsidRPr="006A2BF9">
        <w:rPr>
          <w:lang w:val="it-IT"/>
        </w:rPr>
        <w:t>associazione a</w:t>
      </w:r>
      <w:r w:rsidR="00D77B44" w:rsidRPr="006A2BF9">
        <w:rPr>
          <w:lang w:val="it-IT"/>
        </w:rPr>
        <w:t xml:space="preserve"> carboplatino e gemcitabina </w:t>
      </w:r>
      <w:r w:rsidR="000924C5" w:rsidRPr="006A2BF9">
        <w:rPr>
          <w:lang w:val="it-IT"/>
        </w:rPr>
        <w:t xml:space="preserve">o a carboplatino e paclitaxel </w:t>
      </w:r>
      <w:r w:rsidR="00D77B44" w:rsidRPr="006A2BF9">
        <w:rPr>
          <w:lang w:val="it-IT"/>
        </w:rPr>
        <w:t>q</w:t>
      </w:r>
      <w:r w:rsidR="00D92BBA" w:rsidRPr="006A2BF9">
        <w:rPr>
          <w:lang w:val="it-IT"/>
        </w:rPr>
        <w:t xml:space="preserve">uando </w:t>
      </w:r>
      <w:r w:rsidR="00D77B44" w:rsidRPr="006A2BF9">
        <w:rPr>
          <w:lang w:val="it-IT"/>
        </w:rPr>
        <w:t xml:space="preserve">utilizzato </w:t>
      </w:r>
      <w:r w:rsidR="008E3703" w:rsidRPr="006A2BF9">
        <w:rPr>
          <w:lang w:val="it-IT"/>
        </w:rPr>
        <w:t>ne</w:t>
      </w:r>
      <w:r w:rsidR="00B60879" w:rsidRPr="006A2BF9">
        <w:rPr>
          <w:lang w:val="it-IT"/>
        </w:rPr>
        <w:t>lle</w:t>
      </w:r>
      <w:r w:rsidR="005A2D07" w:rsidRPr="006A2BF9">
        <w:rPr>
          <w:lang w:val="it-IT"/>
        </w:rPr>
        <w:t xml:space="preserve"> pazienti </w:t>
      </w:r>
      <w:r w:rsidR="00AD5FB1" w:rsidRPr="006A2BF9">
        <w:rPr>
          <w:lang w:val="it-IT"/>
        </w:rPr>
        <w:t>adult</w:t>
      </w:r>
      <w:r w:rsidR="00B60879" w:rsidRPr="006A2BF9">
        <w:rPr>
          <w:lang w:val="it-IT"/>
        </w:rPr>
        <w:t>e</w:t>
      </w:r>
      <w:r w:rsidR="00AD5FB1" w:rsidRPr="006A2BF9">
        <w:rPr>
          <w:lang w:val="it-IT"/>
        </w:rPr>
        <w:t xml:space="preserve"> </w:t>
      </w:r>
      <w:r w:rsidR="008E3703" w:rsidRPr="006A2BF9">
        <w:rPr>
          <w:lang w:val="it-IT"/>
        </w:rPr>
        <w:t xml:space="preserve">con </w:t>
      </w:r>
      <w:r w:rsidR="000A74C4" w:rsidRPr="006A2BF9">
        <w:rPr>
          <w:lang w:val="it-IT"/>
        </w:rPr>
        <w:t xml:space="preserve">cancro </w:t>
      </w:r>
      <w:r w:rsidR="008E3703" w:rsidRPr="006A2BF9">
        <w:rPr>
          <w:lang w:val="it-IT"/>
        </w:rPr>
        <w:t>epiteliale</w:t>
      </w:r>
      <w:r w:rsidR="000A74C4" w:rsidRPr="006A2BF9">
        <w:rPr>
          <w:lang w:val="it-IT"/>
        </w:rPr>
        <w:t xml:space="preserve"> dell’ovaio</w:t>
      </w:r>
      <w:r w:rsidR="008E3703" w:rsidRPr="006A2BF9">
        <w:rPr>
          <w:lang w:val="it-IT"/>
        </w:rPr>
        <w:t xml:space="preserve">, </w:t>
      </w:r>
      <w:r w:rsidR="000A74C4" w:rsidRPr="006A2BF9">
        <w:rPr>
          <w:lang w:val="it-IT"/>
        </w:rPr>
        <w:t xml:space="preserve">cancro della tuba </w:t>
      </w:r>
      <w:r w:rsidR="008E3703" w:rsidRPr="006A2BF9">
        <w:rPr>
          <w:lang w:val="it-IT"/>
        </w:rPr>
        <w:t xml:space="preserve">di </w:t>
      </w:r>
      <w:r w:rsidR="004D12E0" w:rsidRPr="006A2BF9">
        <w:rPr>
          <w:lang w:val="it-IT"/>
        </w:rPr>
        <w:t>F</w:t>
      </w:r>
      <w:r w:rsidR="008E3703" w:rsidRPr="006A2BF9">
        <w:rPr>
          <w:lang w:val="it-IT"/>
        </w:rPr>
        <w:t xml:space="preserve">alloppio o </w:t>
      </w:r>
      <w:r w:rsidR="000A74C4" w:rsidRPr="006A2BF9">
        <w:rPr>
          <w:lang w:val="it-IT"/>
        </w:rPr>
        <w:t xml:space="preserve">cancro </w:t>
      </w:r>
      <w:r w:rsidR="008E3703" w:rsidRPr="006A2BF9">
        <w:rPr>
          <w:lang w:val="it-IT"/>
        </w:rPr>
        <w:t xml:space="preserve">peritoneale primario in fase avanzata </w:t>
      </w:r>
      <w:r w:rsidR="005A2D07" w:rsidRPr="006A2BF9">
        <w:rPr>
          <w:lang w:val="it-IT"/>
        </w:rPr>
        <w:t xml:space="preserve">la cui malattia </w:t>
      </w:r>
      <w:r w:rsidR="00D92BBA" w:rsidRPr="006A2BF9">
        <w:rPr>
          <w:lang w:val="it-IT"/>
        </w:rPr>
        <w:t xml:space="preserve">si </w:t>
      </w:r>
      <w:r w:rsidR="005A2D07" w:rsidRPr="006A2BF9">
        <w:rPr>
          <w:lang w:val="it-IT"/>
        </w:rPr>
        <w:t xml:space="preserve">è </w:t>
      </w:r>
      <w:r w:rsidR="00D92BBA" w:rsidRPr="006A2BF9">
        <w:rPr>
          <w:lang w:val="it-IT"/>
        </w:rPr>
        <w:t>rimanifestata</w:t>
      </w:r>
      <w:r w:rsidR="005A2D07" w:rsidRPr="006A2BF9">
        <w:rPr>
          <w:lang w:val="it-IT"/>
        </w:rPr>
        <w:t xml:space="preserve"> almeno 6</w:t>
      </w:r>
      <w:r w:rsidR="005015CA" w:rsidRPr="006A2BF9">
        <w:rPr>
          <w:lang w:val="it-IT"/>
        </w:rPr>
        <w:t> </w:t>
      </w:r>
      <w:r w:rsidR="005A2D07" w:rsidRPr="006A2BF9">
        <w:rPr>
          <w:lang w:val="it-IT"/>
        </w:rPr>
        <w:t xml:space="preserve">mesi dopo l'ultima volta che sono </w:t>
      </w:r>
      <w:r w:rsidR="000A74C4" w:rsidRPr="006A2BF9">
        <w:rPr>
          <w:lang w:val="it-IT"/>
        </w:rPr>
        <w:t xml:space="preserve">state trattate </w:t>
      </w:r>
      <w:r w:rsidR="005A2D07" w:rsidRPr="006A2BF9">
        <w:rPr>
          <w:lang w:val="it-IT"/>
        </w:rPr>
        <w:t xml:space="preserve">con un regime chemioterapico </w:t>
      </w:r>
      <w:r w:rsidR="008E3703" w:rsidRPr="006A2BF9">
        <w:rPr>
          <w:lang w:val="it-IT"/>
        </w:rPr>
        <w:t xml:space="preserve">contenente un agente </w:t>
      </w:r>
      <w:r w:rsidR="00D77B44" w:rsidRPr="006A2BF9">
        <w:rPr>
          <w:lang w:val="it-IT"/>
        </w:rPr>
        <w:t>a base di</w:t>
      </w:r>
      <w:r w:rsidR="005A2D07" w:rsidRPr="006A2BF9">
        <w:rPr>
          <w:lang w:val="it-IT"/>
        </w:rPr>
        <w:t xml:space="preserve"> platino</w:t>
      </w:r>
      <w:r w:rsidR="000918E5" w:rsidRPr="006A2BF9">
        <w:rPr>
          <w:lang w:val="it-IT"/>
        </w:rPr>
        <w:t>.</w:t>
      </w:r>
      <w:r w:rsidR="005A2D07" w:rsidRPr="006A2BF9">
        <w:rPr>
          <w:lang w:val="it-IT"/>
        </w:rPr>
        <w:t xml:space="preserve"> </w:t>
      </w:r>
    </w:p>
    <w:p w14:paraId="21C99D62" w14:textId="77777777" w:rsidR="004E0CD0" w:rsidRPr="006A2BF9" w:rsidRDefault="004E0CD0" w:rsidP="009C0666">
      <w:pPr>
        <w:numPr>
          <w:ilvl w:val="12"/>
          <w:numId w:val="0"/>
        </w:numPr>
        <w:ind w:right="-2"/>
        <w:rPr>
          <w:lang w:val="it-IT"/>
        </w:rPr>
      </w:pPr>
    </w:p>
    <w:p w14:paraId="4EA7779E" w14:textId="77777777" w:rsidR="004E0CD0" w:rsidRPr="006A2BF9" w:rsidRDefault="00AC780F" w:rsidP="004E0CD0">
      <w:pPr>
        <w:numPr>
          <w:ilvl w:val="12"/>
          <w:numId w:val="0"/>
        </w:numPr>
        <w:ind w:right="-2"/>
        <w:rPr>
          <w:color w:val="000000"/>
          <w:lang w:val="it-IT"/>
        </w:rPr>
      </w:pPr>
      <w:r w:rsidRPr="006A2BF9">
        <w:rPr>
          <w:lang w:val="it-IT"/>
        </w:rPr>
        <w:t>Aybintio</w:t>
      </w:r>
      <w:r w:rsidRPr="006A2BF9">
        <w:rPr>
          <w:b/>
          <w:lang w:val="it-IT"/>
        </w:rPr>
        <w:t xml:space="preserve"> </w:t>
      </w:r>
      <w:r w:rsidR="004E0CD0" w:rsidRPr="006A2BF9">
        <w:rPr>
          <w:color w:val="000000"/>
          <w:lang w:val="it-IT"/>
        </w:rPr>
        <w:t xml:space="preserve">sarà somministrato in </w:t>
      </w:r>
      <w:r w:rsidR="00E32D61" w:rsidRPr="006A2BF9">
        <w:rPr>
          <w:color w:val="000000"/>
          <w:lang w:val="it-IT"/>
        </w:rPr>
        <w:t>associazione</w:t>
      </w:r>
      <w:r w:rsidR="004E0CD0" w:rsidRPr="006A2BF9">
        <w:rPr>
          <w:color w:val="000000"/>
          <w:lang w:val="it-IT"/>
        </w:rPr>
        <w:t xml:space="preserve"> </w:t>
      </w:r>
      <w:r w:rsidR="002D52B1">
        <w:rPr>
          <w:color w:val="000000"/>
          <w:lang w:val="it-IT"/>
        </w:rPr>
        <w:t xml:space="preserve">con </w:t>
      </w:r>
      <w:r w:rsidR="002D52B1" w:rsidRPr="00E6020B">
        <w:rPr>
          <w:szCs w:val="22"/>
          <w:lang w:val="it-IT"/>
        </w:rPr>
        <w:t>paclitaxel,</w:t>
      </w:r>
      <w:r w:rsidR="000A74C4" w:rsidRPr="006A2BF9">
        <w:rPr>
          <w:color w:val="000000"/>
          <w:lang w:val="it-IT"/>
        </w:rPr>
        <w:t xml:space="preserve"> topotecan </w:t>
      </w:r>
      <w:r w:rsidR="004E0CD0" w:rsidRPr="006A2BF9">
        <w:rPr>
          <w:color w:val="000000"/>
          <w:lang w:val="it-IT"/>
        </w:rPr>
        <w:t>o doxorubicina liposomiale pegilata quando utilizzato ne</w:t>
      </w:r>
      <w:r w:rsidR="00B60879" w:rsidRPr="006A2BF9">
        <w:rPr>
          <w:color w:val="000000"/>
          <w:lang w:val="it-IT"/>
        </w:rPr>
        <w:t>lle</w:t>
      </w:r>
      <w:r w:rsidR="00286783" w:rsidRPr="006A2BF9">
        <w:rPr>
          <w:color w:val="000000"/>
          <w:lang w:val="it-IT"/>
        </w:rPr>
        <w:t xml:space="preserve"> </w:t>
      </w:r>
      <w:r w:rsidR="004E0CD0" w:rsidRPr="006A2BF9">
        <w:rPr>
          <w:color w:val="000000"/>
          <w:lang w:val="it-IT"/>
        </w:rPr>
        <w:t>pazienti</w:t>
      </w:r>
      <w:r w:rsidR="00CB1EF1" w:rsidRPr="006A2BF9">
        <w:rPr>
          <w:color w:val="000000"/>
          <w:lang w:val="it-IT"/>
        </w:rPr>
        <w:t xml:space="preserve"> adult</w:t>
      </w:r>
      <w:r w:rsidR="00B60879" w:rsidRPr="006A2BF9">
        <w:rPr>
          <w:color w:val="000000"/>
          <w:lang w:val="it-IT"/>
        </w:rPr>
        <w:t>e</w:t>
      </w:r>
      <w:r w:rsidR="004E0CD0" w:rsidRPr="006A2BF9">
        <w:rPr>
          <w:color w:val="000000"/>
          <w:lang w:val="it-IT"/>
        </w:rPr>
        <w:t xml:space="preserve"> </w:t>
      </w:r>
      <w:r w:rsidR="00CB1EF1" w:rsidRPr="006A2BF9">
        <w:rPr>
          <w:color w:val="000000"/>
          <w:lang w:val="it-IT"/>
        </w:rPr>
        <w:t>affett</w:t>
      </w:r>
      <w:r w:rsidR="00B60879" w:rsidRPr="006A2BF9">
        <w:rPr>
          <w:color w:val="000000"/>
          <w:lang w:val="it-IT"/>
        </w:rPr>
        <w:t>e</w:t>
      </w:r>
      <w:r w:rsidR="00CB1EF1" w:rsidRPr="006A2BF9">
        <w:rPr>
          <w:color w:val="000000"/>
          <w:lang w:val="it-IT"/>
        </w:rPr>
        <w:t xml:space="preserve"> da </w:t>
      </w:r>
      <w:r w:rsidR="000A74C4" w:rsidRPr="006A2BF9">
        <w:rPr>
          <w:color w:val="000000"/>
          <w:lang w:val="it-IT"/>
        </w:rPr>
        <w:t xml:space="preserve">cancro </w:t>
      </w:r>
      <w:r w:rsidR="004E0CD0" w:rsidRPr="006A2BF9">
        <w:rPr>
          <w:color w:val="000000"/>
          <w:lang w:val="it-IT"/>
        </w:rPr>
        <w:t xml:space="preserve">epiteliale </w:t>
      </w:r>
      <w:r w:rsidR="000A74C4" w:rsidRPr="006A2BF9">
        <w:rPr>
          <w:color w:val="000000"/>
          <w:lang w:val="it-IT"/>
        </w:rPr>
        <w:t>dell’ovaio</w:t>
      </w:r>
      <w:r w:rsidR="004E0CD0" w:rsidRPr="006A2BF9">
        <w:rPr>
          <w:color w:val="000000"/>
          <w:lang w:val="it-IT"/>
        </w:rPr>
        <w:t xml:space="preserve">, </w:t>
      </w:r>
      <w:r w:rsidR="000A74C4" w:rsidRPr="006A2BF9">
        <w:rPr>
          <w:color w:val="000000"/>
          <w:lang w:val="it-IT"/>
        </w:rPr>
        <w:t xml:space="preserve">cancro della tuba </w:t>
      </w:r>
      <w:r w:rsidR="004E0CD0" w:rsidRPr="006A2BF9">
        <w:rPr>
          <w:color w:val="000000"/>
          <w:lang w:val="it-IT"/>
        </w:rPr>
        <w:t xml:space="preserve">di </w:t>
      </w:r>
      <w:r w:rsidR="004D12E0" w:rsidRPr="006A2BF9">
        <w:rPr>
          <w:color w:val="000000"/>
          <w:lang w:val="it-IT"/>
        </w:rPr>
        <w:t>F</w:t>
      </w:r>
      <w:r w:rsidR="004E0CD0" w:rsidRPr="006A2BF9">
        <w:rPr>
          <w:color w:val="000000"/>
          <w:lang w:val="it-IT"/>
        </w:rPr>
        <w:t xml:space="preserve">alloppio o </w:t>
      </w:r>
      <w:r w:rsidR="000A74C4" w:rsidRPr="006A2BF9">
        <w:rPr>
          <w:color w:val="000000"/>
          <w:lang w:val="it-IT"/>
        </w:rPr>
        <w:t xml:space="preserve">cancro </w:t>
      </w:r>
      <w:r w:rsidR="004E0CD0" w:rsidRPr="006A2BF9">
        <w:rPr>
          <w:color w:val="000000"/>
          <w:lang w:val="it-IT"/>
        </w:rPr>
        <w:t xml:space="preserve">peritoneale primario in fase avanzata la cui malattia si è rimanifestata </w:t>
      </w:r>
      <w:r w:rsidR="004D12E0" w:rsidRPr="006A2BF9">
        <w:rPr>
          <w:color w:val="000000"/>
          <w:lang w:val="it-IT"/>
        </w:rPr>
        <w:t>entro</w:t>
      </w:r>
      <w:r w:rsidR="004E0CD0" w:rsidRPr="006A2BF9">
        <w:rPr>
          <w:color w:val="000000"/>
          <w:lang w:val="it-IT"/>
        </w:rPr>
        <w:t xml:space="preserve"> 6</w:t>
      </w:r>
      <w:r w:rsidR="005015CA" w:rsidRPr="006A2BF9">
        <w:rPr>
          <w:color w:val="000000"/>
          <w:lang w:val="it-IT"/>
        </w:rPr>
        <w:t> </w:t>
      </w:r>
      <w:r w:rsidR="004E0CD0" w:rsidRPr="006A2BF9">
        <w:rPr>
          <w:color w:val="000000"/>
          <w:lang w:val="it-IT"/>
        </w:rPr>
        <w:t xml:space="preserve">mesi dall’ultima volta che sono </w:t>
      </w:r>
      <w:r w:rsidR="000A74C4" w:rsidRPr="006A2BF9">
        <w:rPr>
          <w:color w:val="000000"/>
          <w:lang w:val="it-IT"/>
        </w:rPr>
        <w:t xml:space="preserve">state trattate </w:t>
      </w:r>
      <w:r w:rsidR="004E0CD0" w:rsidRPr="006A2BF9">
        <w:rPr>
          <w:color w:val="000000"/>
          <w:lang w:val="it-IT"/>
        </w:rPr>
        <w:t>con un regime chemioterapico contenente un agente a base di platino.</w:t>
      </w:r>
    </w:p>
    <w:p w14:paraId="09A4B906" w14:textId="77777777" w:rsidR="00E57B3E" w:rsidRPr="006A2BF9" w:rsidRDefault="00E57B3E" w:rsidP="004E0CD0">
      <w:pPr>
        <w:numPr>
          <w:ilvl w:val="12"/>
          <w:numId w:val="0"/>
        </w:numPr>
        <w:ind w:right="-2"/>
        <w:rPr>
          <w:color w:val="000000"/>
          <w:lang w:val="it-IT"/>
        </w:rPr>
      </w:pPr>
    </w:p>
    <w:p w14:paraId="0F5ADFBE" w14:textId="77777777" w:rsidR="00E57B3E" w:rsidRPr="006A2BF9" w:rsidRDefault="00AC780F" w:rsidP="004E0CD0">
      <w:pPr>
        <w:numPr>
          <w:ilvl w:val="12"/>
          <w:numId w:val="0"/>
        </w:numPr>
        <w:ind w:right="-2"/>
        <w:rPr>
          <w:color w:val="000000"/>
          <w:lang w:val="it-IT"/>
        </w:rPr>
      </w:pPr>
      <w:r w:rsidRPr="006A2BF9">
        <w:rPr>
          <w:lang w:val="it-IT"/>
        </w:rPr>
        <w:t>Aybintio</w:t>
      </w:r>
      <w:r w:rsidRPr="006A2BF9">
        <w:rPr>
          <w:b/>
          <w:lang w:val="it-IT"/>
        </w:rPr>
        <w:t xml:space="preserve"> </w:t>
      </w:r>
      <w:r w:rsidR="00E57B3E" w:rsidRPr="006A2BF9">
        <w:rPr>
          <w:color w:val="000000"/>
          <w:lang w:val="it-IT"/>
        </w:rPr>
        <w:t xml:space="preserve">è usato anche per il trattamento </w:t>
      </w:r>
      <w:r w:rsidR="00B60879" w:rsidRPr="006A2BF9">
        <w:rPr>
          <w:color w:val="000000"/>
          <w:lang w:val="it-IT"/>
        </w:rPr>
        <w:t>delle pazienti adulte affette</w:t>
      </w:r>
      <w:r w:rsidR="002B3493" w:rsidRPr="006A2BF9">
        <w:rPr>
          <w:color w:val="000000"/>
          <w:lang w:val="it-IT"/>
        </w:rPr>
        <w:t xml:space="preserve"> da </w:t>
      </w:r>
      <w:r w:rsidR="000A74C4" w:rsidRPr="006A2BF9">
        <w:rPr>
          <w:color w:val="000000"/>
          <w:lang w:val="it-IT"/>
        </w:rPr>
        <w:t xml:space="preserve">cancro </w:t>
      </w:r>
      <w:r w:rsidR="00E57B3E" w:rsidRPr="006A2BF9">
        <w:rPr>
          <w:color w:val="000000"/>
          <w:lang w:val="it-IT"/>
        </w:rPr>
        <w:t xml:space="preserve">della cervice persistente, </w:t>
      </w:r>
      <w:r w:rsidR="00842110" w:rsidRPr="006A2BF9">
        <w:rPr>
          <w:color w:val="000000"/>
          <w:lang w:val="it-IT"/>
        </w:rPr>
        <w:t>ricorrente</w:t>
      </w:r>
      <w:r w:rsidR="00E57B3E" w:rsidRPr="006A2BF9">
        <w:rPr>
          <w:color w:val="000000"/>
          <w:lang w:val="it-IT"/>
        </w:rPr>
        <w:t xml:space="preserve"> o metastatico. </w:t>
      </w:r>
      <w:r w:rsidRPr="006A2BF9">
        <w:rPr>
          <w:lang w:val="it-IT"/>
        </w:rPr>
        <w:t>Aybintio</w:t>
      </w:r>
      <w:r w:rsidRPr="006A2BF9">
        <w:rPr>
          <w:b/>
          <w:lang w:val="it-IT"/>
        </w:rPr>
        <w:t xml:space="preserve"> </w:t>
      </w:r>
      <w:r w:rsidR="00E57B3E" w:rsidRPr="006A2BF9">
        <w:rPr>
          <w:color w:val="000000"/>
          <w:lang w:val="it-IT"/>
        </w:rPr>
        <w:t xml:space="preserve">verrà somministrato in associazione </w:t>
      </w:r>
      <w:r w:rsidR="000A74C4" w:rsidRPr="006A2BF9">
        <w:rPr>
          <w:color w:val="000000"/>
          <w:lang w:val="it-IT"/>
        </w:rPr>
        <w:t xml:space="preserve">a </w:t>
      </w:r>
      <w:r w:rsidR="00E57B3E" w:rsidRPr="006A2BF9">
        <w:rPr>
          <w:color w:val="000000"/>
          <w:lang w:val="it-IT"/>
        </w:rPr>
        <w:t>paclitaxel e cisplatino o, in alternativa, paclitaxel e topotecan nelle pazienti che non possono essere sottoposte a terapia a base di platino.</w:t>
      </w:r>
    </w:p>
    <w:p w14:paraId="2C463738" w14:textId="77777777" w:rsidR="004E0CD0" w:rsidRPr="006A2BF9" w:rsidRDefault="004E0CD0" w:rsidP="009C0666">
      <w:pPr>
        <w:numPr>
          <w:ilvl w:val="12"/>
          <w:numId w:val="0"/>
        </w:numPr>
        <w:ind w:right="-2"/>
        <w:rPr>
          <w:lang w:val="it-IT"/>
        </w:rPr>
      </w:pPr>
    </w:p>
    <w:p w14:paraId="1CC125DB" w14:textId="77777777" w:rsidR="00D6403E" w:rsidRPr="006A2BF9" w:rsidRDefault="00D6403E" w:rsidP="009C0666">
      <w:pPr>
        <w:numPr>
          <w:ilvl w:val="12"/>
          <w:numId w:val="0"/>
        </w:numPr>
        <w:ind w:right="-2"/>
        <w:rPr>
          <w:lang w:val="it-IT"/>
        </w:rPr>
      </w:pPr>
    </w:p>
    <w:p w14:paraId="38D5F31D" w14:textId="77777777" w:rsidR="009C0666" w:rsidRPr="006A2BF9" w:rsidRDefault="009C0666" w:rsidP="00570B43">
      <w:pPr>
        <w:keepNext/>
        <w:keepLines/>
        <w:numPr>
          <w:ilvl w:val="12"/>
          <w:numId w:val="0"/>
        </w:numPr>
        <w:ind w:left="567" w:right="-2" w:hanging="567"/>
        <w:rPr>
          <w:lang w:val="it-IT"/>
        </w:rPr>
      </w:pPr>
      <w:r w:rsidRPr="006A2BF9">
        <w:rPr>
          <w:b/>
          <w:bCs/>
          <w:lang w:val="it-IT"/>
        </w:rPr>
        <w:t>2.</w:t>
      </w:r>
      <w:r w:rsidRPr="006A2BF9">
        <w:rPr>
          <w:b/>
          <w:bCs/>
          <w:lang w:val="it-IT"/>
        </w:rPr>
        <w:tab/>
      </w:r>
      <w:r w:rsidR="00D92BBA" w:rsidRPr="006A2BF9">
        <w:rPr>
          <w:b/>
          <w:bCs/>
          <w:lang w:val="it-IT"/>
        </w:rPr>
        <w:t xml:space="preserve">Cosa deve sapere prima di usare </w:t>
      </w:r>
      <w:r w:rsidR="00AC780F" w:rsidRPr="006A2BF9">
        <w:rPr>
          <w:b/>
          <w:lang w:val="it-IT"/>
        </w:rPr>
        <w:t>Aybintio</w:t>
      </w:r>
    </w:p>
    <w:p w14:paraId="02DC6DFD" w14:textId="77777777" w:rsidR="009C0666" w:rsidRPr="006A2BF9" w:rsidRDefault="009C0666" w:rsidP="00570B43">
      <w:pPr>
        <w:keepNext/>
        <w:keepLines/>
        <w:numPr>
          <w:ilvl w:val="12"/>
          <w:numId w:val="0"/>
        </w:numPr>
        <w:ind w:right="-2"/>
        <w:rPr>
          <w:lang w:val="it-IT"/>
        </w:rPr>
      </w:pPr>
    </w:p>
    <w:p w14:paraId="5D743D34" w14:textId="77777777" w:rsidR="009C0666" w:rsidRPr="006A2BF9" w:rsidRDefault="009C0666" w:rsidP="00570B43">
      <w:pPr>
        <w:keepNext/>
        <w:keepLines/>
        <w:numPr>
          <w:ilvl w:val="12"/>
          <w:numId w:val="0"/>
        </w:numPr>
        <w:outlineLvl w:val="0"/>
        <w:rPr>
          <w:lang w:val="it-IT"/>
        </w:rPr>
      </w:pPr>
      <w:r w:rsidRPr="006A2BF9">
        <w:rPr>
          <w:b/>
          <w:bCs/>
          <w:lang w:val="it-IT"/>
        </w:rPr>
        <w:t xml:space="preserve">Non usi </w:t>
      </w:r>
      <w:r w:rsidR="00EB1B21" w:rsidRPr="006A2BF9">
        <w:rPr>
          <w:b/>
          <w:lang w:val="it-IT"/>
        </w:rPr>
        <w:t>Aybintio</w:t>
      </w:r>
    </w:p>
    <w:p w14:paraId="4F5CD9DF" w14:textId="77777777" w:rsidR="009C0666" w:rsidRPr="006A2BF9" w:rsidRDefault="009C0666" w:rsidP="00C65E97">
      <w:pPr>
        <w:keepNext/>
        <w:keepLines/>
        <w:numPr>
          <w:ilvl w:val="0"/>
          <w:numId w:val="76"/>
        </w:numPr>
        <w:ind w:left="567" w:hanging="567"/>
        <w:rPr>
          <w:lang w:val="it-IT"/>
        </w:rPr>
      </w:pPr>
      <w:r w:rsidRPr="006A2BF9">
        <w:rPr>
          <w:lang w:val="it-IT"/>
        </w:rPr>
        <w:t xml:space="preserve">se è allergico (ipersensibile) a bevacizumab o ad uno qualsiasi degli </w:t>
      </w:r>
      <w:r w:rsidR="00D610BC" w:rsidRPr="006A2BF9">
        <w:rPr>
          <w:lang w:val="it-IT"/>
        </w:rPr>
        <w:t xml:space="preserve">altri componenti </w:t>
      </w:r>
      <w:r w:rsidRPr="006A2BF9">
        <w:rPr>
          <w:lang w:val="it-IT"/>
        </w:rPr>
        <w:t>di</w:t>
      </w:r>
      <w:r w:rsidR="00B60E0D" w:rsidRPr="006A2BF9">
        <w:rPr>
          <w:lang w:val="it-IT"/>
        </w:rPr>
        <w:t xml:space="preserve"> questo medicinale (elencati al paragrafo</w:t>
      </w:r>
      <w:r w:rsidR="004C6B21" w:rsidRPr="006A2BF9">
        <w:rPr>
          <w:lang w:val="it-IT"/>
        </w:rPr>
        <w:t> </w:t>
      </w:r>
      <w:r w:rsidR="00B60E0D" w:rsidRPr="006A2BF9">
        <w:rPr>
          <w:lang w:val="it-IT"/>
        </w:rPr>
        <w:t>6)</w:t>
      </w:r>
    </w:p>
    <w:p w14:paraId="381F12A9" w14:textId="77777777" w:rsidR="009C0666" w:rsidRPr="006A2BF9" w:rsidRDefault="009C0666" w:rsidP="00C65E97">
      <w:pPr>
        <w:keepNext/>
        <w:keepLines/>
        <w:numPr>
          <w:ilvl w:val="0"/>
          <w:numId w:val="76"/>
        </w:numPr>
        <w:ind w:left="567" w:hanging="567"/>
        <w:rPr>
          <w:lang w:val="it-IT"/>
        </w:rPr>
      </w:pPr>
      <w:r w:rsidRPr="006A2BF9">
        <w:rPr>
          <w:lang w:val="it-IT"/>
        </w:rPr>
        <w:t>se è allergico (ipersensibile) ai prodotti derivati da cellule ovariche di criceto cinese (CHO) o ad altri anticorpi ricombinanti umani o umanizzati</w:t>
      </w:r>
    </w:p>
    <w:p w14:paraId="1B1B9E49" w14:textId="77777777" w:rsidR="009C0666" w:rsidRPr="006A2BF9" w:rsidRDefault="009C0666" w:rsidP="00C65E97">
      <w:pPr>
        <w:numPr>
          <w:ilvl w:val="0"/>
          <w:numId w:val="76"/>
        </w:numPr>
        <w:ind w:left="567" w:hanging="567"/>
        <w:rPr>
          <w:lang w:val="it-IT"/>
        </w:rPr>
      </w:pPr>
      <w:r w:rsidRPr="006A2BF9">
        <w:rPr>
          <w:lang w:val="it-IT"/>
        </w:rPr>
        <w:t xml:space="preserve">se è incinta. </w:t>
      </w:r>
    </w:p>
    <w:p w14:paraId="0D94158A" w14:textId="77777777" w:rsidR="009C0666" w:rsidRPr="006A2BF9" w:rsidRDefault="009C0666" w:rsidP="009C0666">
      <w:pPr>
        <w:numPr>
          <w:ilvl w:val="12"/>
          <w:numId w:val="0"/>
        </w:numPr>
        <w:ind w:right="-2"/>
        <w:rPr>
          <w:lang w:val="it-IT"/>
        </w:rPr>
      </w:pPr>
    </w:p>
    <w:p w14:paraId="050AF965" w14:textId="77777777" w:rsidR="00B60E0D" w:rsidRPr="006A2BF9" w:rsidRDefault="00B60E0D" w:rsidP="00B60E0D">
      <w:pPr>
        <w:numPr>
          <w:ilvl w:val="12"/>
          <w:numId w:val="0"/>
        </w:numPr>
        <w:ind w:right="-2"/>
        <w:outlineLvl w:val="0"/>
        <w:rPr>
          <w:b/>
          <w:bCs/>
          <w:lang w:val="it-IT"/>
        </w:rPr>
      </w:pPr>
      <w:r w:rsidRPr="006A2BF9">
        <w:rPr>
          <w:b/>
          <w:bCs/>
          <w:lang w:val="it-IT"/>
        </w:rPr>
        <w:t>Avvertenze e precauzioni</w:t>
      </w:r>
    </w:p>
    <w:p w14:paraId="110E5C41" w14:textId="77777777" w:rsidR="00D351F5" w:rsidRPr="006A2BF9" w:rsidRDefault="0071418B" w:rsidP="009C0666">
      <w:pPr>
        <w:numPr>
          <w:ilvl w:val="12"/>
          <w:numId w:val="0"/>
        </w:numPr>
        <w:ind w:left="567" w:hanging="567"/>
        <w:rPr>
          <w:b/>
          <w:bCs/>
          <w:lang w:val="it-IT"/>
        </w:rPr>
      </w:pPr>
      <w:r w:rsidRPr="006A2BF9">
        <w:rPr>
          <w:bCs/>
          <w:lang w:val="it-IT"/>
        </w:rPr>
        <w:t>Si rivolga al</w:t>
      </w:r>
      <w:r w:rsidR="0076464A" w:rsidRPr="006A2BF9">
        <w:rPr>
          <w:bCs/>
          <w:lang w:val="it-IT"/>
        </w:rPr>
        <w:t xml:space="preserve"> medico, </w:t>
      </w:r>
      <w:r w:rsidRPr="006A2BF9">
        <w:rPr>
          <w:bCs/>
          <w:lang w:val="it-IT"/>
        </w:rPr>
        <w:t>al</w:t>
      </w:r>
      <w:r w:rsidR="00B60E0D" w:rsidRPr="006A2BF9">
        <w:rPr>
          <w:bCs/>
          <w:lang w:val="it-IT"/>
        </w:rPr>
        <w:t xml:space="preserve"> farmacista</w:t>
      </w:r>
      <w:r w:rsidRPr="006A2BF9">
        <w:rPr>
          <w:bCs/>
          <w:lang w:val="it-IT"/>
        </w:rPr>
        <w:t xml:space="preserve"> </w:t>
      </w:r>
      <w:r w:rsidR="009832F5" w:rsidRPr="006A2BF9">
        <w:rPr>
          <w:bCs/>
          <w:lang w:val="it-IT"/>
        </w:rPr>
        <w:t xml:space="preserve">o </w:t>
      </w:r>
      <w:r w:rsidRPr="006A2BF9">
        <w:rPr>
          <w:bCs/>
          <w:lang w:val="it-IT"/>
        </w:rPr>
        <w:t>al</w:t>
      </w:r>
      <w:r w:rsidR="009832F5" w:rsidRPr="006A2BF9">
        <w:rPr>
          <w:bCs/>
          <w:lang w:val="it-IT"/>
        </w:rPr>
        <w:t>l’infermiere</w:t>
      </w:r>
      <w:r w:rsidR="00B60E0D" w:rsidRPr="006A2BF9">
        <w:rPr>
          <w:bCs/>
          <w:lang w:val="it-IT"/>
        </w:rPr>
        <w:t xml:space="preserve"> prima di usare </w:t>
      </w:r>
      <w:r w:rsidR="0082705A" w:rsidRPr="006A2BF9">
        <w:rPr>
          <w:lang w:val="it-IT"/>
        </w:rPr>
        <w:t>Aybintio:</w:t>
      </w:r>
    </w:p>
    <w:p w14:paraId="6EF5E4CE" w14:textId="77777777" w:rsidR="009C0666" w:rsidRPr="006A2BF9" w:rsidRDefault="009C0666" w:rsidP="009C0666">
      <w:pPr>
        <w:numPr>
          <w:ilvl w:val="12"/>
          <w:numId w:val="0"/>
        </w:numPr>
        <w:ind w:left="567" w:hanging="567"/>
        <w:rPr>
          <w:lang w:val="it-IT"/>
        </w:rPr>
      </w:pPr>
    </w:p>
    <w:p w14:paraId="6A579FB4" w14:textId="77777777" w:rsidR="009C0666" w:rsidRPr="006A2BF9" w:rsidRDefault="00C91E39" w:rsidP="009C0666">
      <w:pPr>
        <w:numPr>
          <w:ilvl w:val="12"/>
          <w:numId w:val="0"/>
        </w:numPr>
        <w:ind w:left="567" w:hanging="567"/>
        <w:rPr>
          <w:lang w:val="it-IT"/>
        </w:rPr>
      </w:pPr>
      <w:r w:rsidRPr="00330A40">
        <w:rPr>
          <w:lang w:val="it-IT"/>
        </w:rPr>
        <w:sym w:font="Symbol" w:char="F0B7"/>
      </w:r>
      <w:r w:rsidRPr="00330A40">
        <w:rPr>
          <w:lang w:val="it-IT"/>
        </w:rPr>
        <w:tab/>
      </w:r>
      <w:r w:rsidR="000A74C4" w:rsidRPr="00330A40">
        <w:rPr>
          <w:lang w:val="it-IT"/>
        </w:rPr>
        <w:t xml:space="preserve">è </w:t>
      </w:r>
      <w:r w:rsidR="00B60E0D" w:rsidRPr="00330A40">
        <w:rPr>
          <w:lang w:val="it-IT"/>
        </w:rPr>
        <w:t xml:space="preserve">possibile che </w:t>
      </w:r>
      <w:r w:rsidR="0082705A" w:rsidRPr="00330A40">
        <w:rPr>
          <w:lang w:val="it-IT"/>
        </w:rPr>
        <w:t>Aybintio</w:t>
      </w:r>
      <w:r w:rsidR="0082705A" w:rsidRPr="00330A40">
        <w:rPr>
          <w:b/>
          <w:lang w:val="it-IT"/>
        </w:rPr>
        <w:t xml:space="preserve"> </w:t>
      </w:r>
      <w:r w:rsidR="004D12E0" w:rsidRPr="00330A40">
        <w:rPr>
          <w:lang w:val="it-IT"/>
        </w:rPr>
        <w:t>aumenti</w:t>
      </w:r>
      <w:r w:rsidR="00B60E0D" w:rsidRPr="00330A40">
        <w:rPr>
          <w:lang w:val="it-IT"/>
        </w:rPr>
        <w:t xml:space="preserve"> il rischio di sviluppare </w:t>
      </w:r>
      <w:r w:rsidR="00351361" w:rsidRPr="00330A40">
        <w:rPr>
          <w:lang w:val="it-IT"/>
        </w:rPr>
        <w:t xml:space="preserve">perforazioni </w:t>
      </w:r>
      <w:r w:rsidR="00B60E0D" w:rsidRPr="00330A40">
        <w:rPr>
          <w:lang w:val="it-IT"/>
        </w:rPr>
        <w:t>nella parete intestinale. S</w:t>
      </w:r>
      <w:r w:rsidR="009C0666" w:rsidRPr="00330A40">
        <w:rPr>
          <w:lang w:val="it-IT"/>
        </w:rPr>
        <w:t>e ha condizioni che causano infiammazione all’addome (ad esempio diverticolite, ulcere gastriche, colite associata a chemioterapia),</w:t>
      </w:r>
      <w:r w:rsidR="00B60E0D" w:rsidRPr="00330A40">
        <w:rPr>
          <w:lang w:val="it-IT"/>
        </w:rPr>
        <w:t xml:space="preserve"> </w:t>
      </w:r>
      <w:r w:rsidR="00F7643B" w:rsidRPr="006A2BF9">
        <w:rPr>
          <w:lang w:val="it-IT"/>
        </w:rPr>
        <w:t>ne</w:t>
      </w:r>
      <w:r w:rsidR="00B60E0D" w:rsidRPr="006A2BF9">
        <w:rPr>
          <w:lang w:val="it-IT"/>
        </w:rPr>
        <w:t xml:space="preserve"> discut</w:t>
      </w:r>
      <w:r w:rsidR="00F7643B" w:rsidRPr="006A2BF9">
        <w:rPr>
          <w:lang w:val="it-IT"/>
        </w:rPr>
        <w:t>a</w:t>
      </w:r>
      <w:r w:rsidR="00B60E0D" w:rsidRPr="006A2BF9">
        <w:rPr>
          <w:lang w:val="it-IT"/>
        </w:rPr>
        <w:t xml:space="preserve"> con il medico</w:t>
      </w:r>
      <w:r w:rsidR="000A74C4" w:rsidRPr="006A2BF9">
        <w:rPr>
          <w:lang w:val="it-IT"/>
        </w:rPr>
        <w:t>;</w:t>
      </w:r>
    </w:p>
    <w:p w14:paraId="3E96B9BF" w14:textId="77777777" w:rsidR="00E64035" w:rsidRPr="006A2BF9" w:rsidRDefault="00E64035" w:rsidP="009C0666">
      <w:pPr>
        <w:numPr>
          <w:ilvl w:val="12"/>
          <w:numId w:val="0"/>
        </w:numPr>
        <w:ind w:left="567" w:hanging="567"/>
        <w:rPr>
          <w:lang w:val="it-IT"/>
        </w:rPr>
      </w:pPr>
    </w:p>
    <w:p w14:paraId="3760A9CE" w14:textId="77777777" w:rsidR="00E64035" w:rsidRPr="006A2BF9" w:rsidRDefault="00C91E39" w:rsidP="009C0666">
      <w:pPr>
        <w:numPr>
          <w:ilvl w:val="12"/>
          <w:numId w:val="0"/>
        </w:numPr>
        <w:ind w:left="567" w:hanging="567"/>
        <w:rPr>
          <w:lang w:val="it-IT"/>
        </w:rPr>
      </w:pPr>
      <w:r w:rsidRPr="00330A40">
        <w:rPr>
          <w:lang w:val="it-IT"/>
        </w:rPr>
        <w:sym w:font="Symbol" w:char="F0B7"/>
      </w:r>
      <w:r w:rsidRPr="00330A40">
        <w:rPr>
          <w:lang w:val="it-IT"/>
        </w:rPr>
        <w:tab/>
      </w:r>
      <w:r w:rsidR="0082705A" w:rsidRPr="00330A40">
        <w:rPr>
          <w:lang w:val="it-IT"/>
        </w:rPr>
        <w:t>Aybintio</w:t>
      </w:r>
      <w:r w:rsidR="0082705A" w:rsidRPr="00330A40">
        <w:rPr>
          <w:b/>
          <w:lang w:val="it-IT"/>
        </w:rPr>
        <w:t xml:space="preserve"> </w:t>
      </w:r>
      <w:r w:rsidR="00E64035" w:rsidRPr="00330A40">
        <w:rPr>
          <w:lang w:val="it-IT"/>
        </w:rPr>
        <w:t xml:space="preserve">può aumentare il rischio di sviluppare una connessione o passaggio </w:t>
      </w:r>
      <w:r w:rsidR="000A74C4" w:rsidRPr="00330A40">
        <w:rPr>
          <w:lang w:val="it-IT"/>
        </w:rPr>
        <w:t xml:space="preserve">anormali </w:t>
      </w:r>
      <w:r w:rsidR="00E64035" w:rsidRPr="00330A40">
        <w:rPr>
          <w:lang w:val="it-IT"/>
        </w:rPr>
        <w:t>tra due organi o vasi.</w:t>
      </w:r>
      <w:r w:rsidR="00E57B3E" w:rsidRPr="00330A40">
        <w:rPr>
          <w:lang w:val="it-IT"/>
        </w:rPr>
        <w:t xml:space="preserve"> La presenza di </w:t>
      </w:r>
      <w:r w:rsidR="000A74C4" w:rsidRPr="00330A40">
        <w:rPr>
          <w:lang w:val="it-IT"/>
        </w:rPr>
        <w:t xml:space="preserve">cancro </w:t>
      </w:r>
      <w:r w:rsidR="00E57B3E" w:rsidRPr="00330A40">
        <w:rPr>
          <w:lang w:val="it-IT"/>
        </w:rPr>
        <w:t xml:space="preserve">della cervice persistente, </w:t>
      </w:r>
      <w:r w:rsidR="00842110" w:rsidRPr="00330A40">
        <w:rPr>
          <w:lang w:val="it-IT"/>
        </w:rPr>
        <w:t>ricorrente</w:t>
      </w:r>
      <w:r w:rsidR="00E57B3E" w:rsidRPr="00330A40">
        <w:rPr>
          <w:lang w:val="it-IT"/>
        </w:rPr>
        <w:t xml:space="preserve"> o metastatico può </w:t>
      </w:r>
      <w:r w:rsidR="003D6104" w:rsidRPr="006A2BF9">
        <w:rPr>
          <w:lang w:val="it-IT"/>
        </w:rPr>
        <w:t>determinare un aumento del</w:t>
      </w:r>
      <w:r w:rsidR="00E57B3E" w:rsidRPr="006A2BF9">
        <w:rPr>
          <w:lang w:val="it-IT"/>
        </w:rPr>
        <w:t xml:space="preserve"> rischio di sviluppare </w:t>
      </w:r>
      <w:r w:rsidR="00706367" w:rsidRPr="006A2BF9">
        <w:rPr>
          <w:lang w:val="it-IT"/>
        </w:rPr>
        <w:t>connessioni</w:t>
      </w:r>
      <w:r w:rsidR="00E57B3E" w:rsidRPr="006A2BF9">
        <w:rPr>
          <w:lang w:val="it-IT"/>
        </w:rPr>
        <w:t xml:space="preserve"> tra la vagina e qualsiasi sezione del tratto gastrointestinale</w:t>
      </w:r>
      <w:r w:rsidR="000A74C4" w:rsidRPr="006A2BF9">
        <w:rPr>
          <w:lang w:val="it-IT"/>
        </w:rPr>
        <w:t>;</w:t>
      </w:r>
    </w:p>
    <w:p w14:paraId="125F2060" w14:textId="77777777" w:rsidR="009C0666" w:rsidRPr="006A2BF9" w:rsidRDefault="009C0666" w:rsidP="009C0666">
      <w:pPr>
        <w:numPr>
          <w:ilvl w:val="12"/>
          <w:numId w:val="0"/>
        </w:numPr>
        <w:ind w:left="567" w:hanging="567"/>
        <w:rPr>
          <w:lang w:val="it-IT"/>
        </w:rPr>
      </w:pPr>
    </w:p>
    <w:p w14:paraId="6669C2DD" w14:textId="77777777" w:rsidR="009C0666" w:rsidRPr="006A2BF9" w:rsidRDefault="00C91E39" w:rsidP="009C0666">
      <w:pPr>
        <w:ind w:left="567" w:hanging="567"/>
        <w:rPr>
          <w:lang w:val="it-IT"/>
        </w:rPr>
      </w:pPr>
      <w:r w:rsidRPr="00330A40">
        <w:rPr>
          <w:lang w:val="it-IT"/>
        </w:rPr>
        <w:sym w:font="Symbol" w:char="F0B7"/>
      </w:r>
      <w:r w:rsidRPr="00330A40">
        <w:rPr>
          <w:lang w:val="it-IT"/>
        </w:rPr>
        <w:tab/>
      </w:r>
      <w:r w:rsidR="000A74C4" w:rsidRPr="00330A40">
        <w:rPr>
          <w:lang w:val="it-IT"/>
        </w:rPr>
        <w:t xml:space="preserve">questo </w:t>
      </w:r>
      <w:r w:rsidR="00D610BC" w:rsidRPr="00330A40">
        <w:rPr>
          <w:lang w:val="it-IT"/>
        </w:rPr>
        <w:t xml:space="preserve">medicinale </w:t>
      </w:r>
      <w:r w:rsidR="002A5ABD" w:rsidRPr="00330A40">
        <w:rPr>
          <w:lang w:val="it-IT"/>
        </w:rPr>
        <w:t xml:space="preserve">può aumentare il rischio di sanguinamento o aumentare il rischio di problemi con la guarigione delle ferite dopo </w:t>
      </w:r>
      <w:r w:rsidR="000A74C4" w:rsidRPr="00330A40">
        <w:rPr>
          <w:lang w:val="it-IT"/>
        </w:rPr>
        <w:t xml:space="preserve">la </w:t>
      </w:r>
      <w:r w:rsidR="002A5ABD" w:rsidRPr="00330A40">
        <w:rPr>
          <w:lang w:val="it-IT"/>
        </w:rPr>
        <w:t>chirurgia. S</w:t>
      </w:r>
      <w:r w:rsidR="009C0666" w:rsidRPr="00330A40">
        <w:rPr>
          <w:lang w:val="it-IT"/>
        </w:rPr>
        <w:t>e deve essere sottoposto a un’operazione, se è stato sottoposto a chirurgia maggiore negli ultimi 28</w:t>
      </w:r>
      <w:r w:rsidR="005015CA" w:rsidRPr="00330A40">
        <w:rPr>
          <w:lang w:val="it-IT"/>
        </w:rPr>
        <w:t> </w:t>
      </w:r>
      <w:r w:rsidR="009C0666" w:rsidRPr="00330A40">
        <w:rPr>
          <w:lang w:val="it-IT"/>
        </w:rPr>
        <w:t xml:space="preserve">giorni o se ha una ferita chirurgica non ancora cicatrizzata non deve assumere questo </w:t>
      </w:r>
      <w:r w:rsidR="00D610BC" w:rsidRPr="00330A40">
        <w:rPr>
          <w:lang w:val="it-IT"/>
        </w:rPr>
        <w:t>medicinale</w:t>
      </w:r>
      <w:r w:rsidR="000A74C4" w:rsidRPr="00330A40">
        <w:rPr>
          <w:lang w:val="it-IT"/>
        </w:rPr>
        <w:t>;</w:t>
      </w:r>
      <w:r w:rsidR="009C0666" w:rsidRPr="006A2BF9">
        <w:rPr>
          <w:lang w:val="it-IT"/>
        </w:rPr>
        <w:t xml:space="preserve"> </w:t>
      </w:r>
    </w:p>
    <w:p w14:paraId="026576C6" w14:textId="77777777" w:rsidR="001F029B" w:rsidRPr="006A2BF9" w:rsidRDefault="001F029B" w:rsidP="009C0666">
      <w:pPr>
        <w:ind w:left="567" w:hanging="567"/>
        <w:rPr>
          <w:lang w:val="it-IT"/>
        </w:rPr>
      </w:pPr>
    </w:p>
    <w:p w14:paraId="098A3F48" w14:textId="77777777" w:rsidR="001F029B" w:rsidRPr="006A2BF9" w:rsidRDefault="006117A5" w:rsidP="006117A5">
      <w:pPr>
        <w:ind w:left="567" w:hanging="567"/>
        <w:rPr>
          <w:lang w:val="it-IT"/>
        </w:rPr>
      </w:pPr>
      <w:r w:rsidRPr="00330A40">
        <w:rPr>
          <w:lang w:val="it-IT"/>
        </w:rPr>
        <w:sym w:font="Symbol" w:char="F0B7"/>
      </w:r>
      <w:r w:rsidRPr="00330A40">
        <w:rPr>
          <w:lang w:val="it-IT"/>
        </w:rPr>
        <w:tab/>
      </w:r>
      <w:r w:rsidR="0082705A" w:rsidRPr="00330A40">
        <w:rPr>
          <w:lang w:val="it-IT"/>
        </w:rPr>
        <w:t>Aybintio</w:t>
      </w:r>
      <w:r w:rsidR="0082705A" w:rsidRPr="00330A40">
        <w:rPr>
          <w:b/>
          <w:lang w:val="it-IT"/>
        </w:rPr>
        <w:t xml:space="preserve"> </w:t>
      </w:r>
      <w:r w:rsidR="001F029B" w:rsidRPr="00330A40">
        <w:rPr>
          <w:lang w:val="it-IT"/>
        </w:rPr>
        <w:t xml:space="preserve">può aumentare il rischio di sviluppare gravi infezioni della pelle o di strati più profondi sotto la pelle, soprattutto se </w:t>
      </w:r>
      <w:r w:rsidR="0046409E" w:rsidRPr="00330A40">
        <w:rPr>
          <w:lang w:val="it-IT"/>
        </w:rPr>
        <w:t>ha</w:t>
      </w:r>
      <w:r w:rsidR="00DB232A" w:rsidRPr="00330A40">
        <w:rPr>
          <w:lang w:val="it-IT"/>
        </w:rPr>
        <w:t xml:space="preserve"> </w:t>
      </w:r>
      <w:r w:rsidR="00351361" w:rsidRPr="00330A40">
        <w:rPr>
          <w:lang w:val="it-IT"/>
        </w:rPr>
        <w:t xml:space="preserve">perforazioni </w:t>
      </w:r>
      <w:r w:rsidR="001F029B" w:rsidRPr="00330A40">
        <w:rPr>
          <w:lang w:val="it-IT"/>
        </w:rPr>
        <w:t>nella parete intestinale o</w:t>
      </w:r>
      <w:r w:rsidR="00DB232A" w:rsidRPr="00330A40">
        <w:rPr>
          <w:lang w:val="it-IT"/>
        </w:rPr>
        <w:t xml:space="preserve"> ha</w:t>
      </w:r>
      <w:r w:rsidR="001F029B" w:rsidRPr="00330A40">
        <w:rPr>
          <w:lang w:val="it-IT"/>
        </w:rPr>
        <w:t xml:space="preserve"> problemi </w:t>
      </w:r>
      <w:r w:rsidR="0046409E" w:rsidRPr="00330A40">
        <w:rPr>
          <w:lang w:val="it-IT"/>
        </w:rPr>
        <w:t>con la guarigione delle ferite</w:t>
      </w:r>
      <w:r w:rsidR="000A74C4" w:rsidRPr="00330A40">
        <w:rPr>
          <w:lang w:val="it-IT"/>
        </w:rPr>
        <w:t>;</w:t>
      </w:r>
    </w:p>
    <w:p w14:paraId="17AA6D3A" w14:textId="77777777" w:rsidR="009C0666" w:rsidRPr="006A2BF9" w:rsidRDefault="009C0666" w:rsidP="009C0666">
      <w:pPr>
        <w:ind w:left="567" w:hanging="567"/>
        <w:rPr>
          <w:lang w:val="it-IT"/>
        </w:rPr>
      </w:pPr>
    </w:p>
    <w:p w14:paraId="002CF9CB" w14:textId="77777777" w:rsidR="009C0666" w:rsidRPr="006A2BF9" w:rsidRDefault="00C91E39" w:rsidP="009C0666">
      <w:pPr>
        <w:ind w:left="567" w:hanging="567"/>
        <w:rPr>
          <w:lang w:val="it-IT"/>
        </w:rPr>
      </w:pPr>
      <w:r w:rsidRPr="00330A40">
        <w:rPr>
          <w:lang w:val="it-IT"/>
        </w:rPr>
        <w:sym w:font="Symbol" w:char="F0B7"/>
      </w:r>
      <w:r w:rsidRPr="00330A40">
        <w:rPr>
          <w:lang w:val="it-IT"/>
        </w:rPr>
        <w:tab/>
      </w:r>
      <w:r w:rsidR="0082705A" w:rsidRPr="00330A40">
        <w:rPr>
          <w:lang w:val="it-IT"/>
        </w:rPr>
        <w:t>Aybintio</w:t>
      </w:r>
      <w:r w:rsidR="0082705A" w:rsidRPr="00330A40">
        <w:rPr>
          <w:b/>
          <w:lang w:val="it-IT"/>
        </w:rPr>
        <w:t xml:space="preserve"> </w:t>
      </w:r>
      <w:r w:rsidR="00B741E2" w:rsidRPr="00330A40">
        <w:rPr>
          <w:lang w:val="it-IT"/>
        </w:rPr>
        <w:t xml:space="preserve">può aumentare l'incidenza di </w:t>
      </w:r>
      <w:r w:rsidR="00D610BC" w:rsidRPr="00330A40">
        <w:rPr>
          <w:lang w:val="it-IT"/>
        </w:rPr>
        <w:t>pressione sanguigna elevata</w:t>
      </w:r>
      <w:r w:rsidR="00B741E2" w:rsidRPr="00330A40">
        <w:rPr>
          <w:lang w:val="it-IT"/>
        </w:rPr>
        <w:t>. S</w:t>
      </w:r>
      <w:r w:rsidR="009C0666" w:rsidRPr="00330A40">
        <w:rPr>
          <w:lang w:val="it-IT"/>
        </w:rPr>
        <w:t xml:space="preserve">e soffre di pressione sanguigna elevata non ben controllata mediante farmaci per la pressione sanguigna, </w:t>
      </w:r>
      <w:r w:rsidR="00EC1C02" w:rsidRPr="00330A40">
        <w:rPr>
          <w:lang w:val="it-IT"/>
        </w:rPr>
        <w:t>ne</w:t>
      </w:r>
      <w:r w:rsidR="00B741E2" w:rsidRPr="00330A40">
        <w:rPr>
          <w:lang w:val="it-IT"/>
        </w:rPr>
        <w:t xml:space="preserve"> discut</w:t>
      </w:r>
      <w:r w:rsidR="00EC1C02" w:rsidRPr="00330A40">
        <w:rPr>
          <w:lang w:val="it-IT"/>
        </w:rPr>
        <w:t>a</w:t>
      </w:r>
      <w:r w:rsidR="00B741E2" w:rsidRPr="00330A40">
        <w:rPr>
          <w:lang w:val="it-IT"/>
        </w:rPr>
        <w:t xml:space="preserve"> con il medico.</w:t>
      </w:r>
      <w:r w:rsidR="009C0666" w:rsidRPr="00330A40">
        <w:rPr>
          <w:lang w:val="it-IT"/>
        </w:rPr>
        <w:t xml:space="preserve"> </w:t>
      </w:r>
      <w:r w:rsidR="00D610BC" w:rsidRPr="00330A40">
        <w:rPr>
          <w:lang w:val="it-IT"/>
        </w:rPr>
        <w:t>È</w:t>
      </w:r>
      <w:r w:rsidR="00B741E2" w:rsidRPr="00330A40">
        <w:rPr>
          <w:lang w:val="it-IT"/>
        </w:rPr>
        <w:t xml:space="preserve"> importante </w:t>
      </w:r>
      <w:r w:rsidR="009C0666" w:rsidRPr="00330A40">
        <w:rPr>
          <w:lang w:val="it-IT"/>
        </w:rPr>
        <w:t xml:space="preserve">accertarsi che la sua pressione sanguigna sia sotto controllo prima di iniziare il trattamento con </w:t>
      </w:r>
      <w:r w:rsidR="0082705A" w:rsidRPr="00330A40">
        <w:rPr>
          <w:lang w:val="it-IT"/>
        </w:rPr>
        <w:t>Aybintio</w:t>
      </w:r>
      <w:r w:rsidR="000A74C4" w:rsidRPr="006A2BF9">
        <w:rPr>
          <w:lang w:val="it-IT"/>
        </w:rPr>
        <w:t>;</w:t>
      </w:r>
    </w:p>
    <w:p w14:paraId="5877A006" w14:textId="77777777" w:rsidR="000424E3" w:rsidRPr="006A2BF9" w:rsidRDefault="000424E3" w:rsidP="009C0666">
      <w:pPr>
        <w:ind w:left="567" w:hanging="567"/>
        <w:rPr>
          <w:lang w:val="it-IT"/>
        </w:rPr>
      </w:pPr>
    </w:p>
    <w:p w14:paraId="0042DC04" w14:textId="77777777" w:rsidR="000424E3" w:rsidRPr="00330A40" w:rsidRDefault="000424E3" w:rsidP="009C0666">
      <w:pPr>
        <w:ind w:left="567" w:hanging="567"/>
        <w:rPr>
          <w:lang w:val="it-IT"/>
        </w:rPr>
      </w:pPr>
      <w:r w:rsidRPr="00330A40">
        <w:rPr>
          <w:lang w:val="it-IT"/>
        </w:rPr>
        <w:sym w:font="Symbol" w:char="F0B7"/>
      </w:r>
      <w:r w:rsidRPr="00330A40">
        <w:rPr>
          <w:lang w:val="it-IT"/>
        </w:rPr>
        <w:tab/>
      </w:r>
      <w:r w:rsidR="000A74C4" w:rsidRPr="00330A40">
        <w:rPr>
          <w:lang w:val="it-IT"/>
        </w:rPr>
        <w:t xml:space="preserve">se </w:t>
      </w:r>
      <w:r w:rsidR="0000197F" w:rsidRPr="00330A40">
        <w:rPr>
          <w:lang w:val="it-IT"/>
        </w:rPr>
        <w:t>ha o ha avuto un aneurisma (dilatazione e indebolimento della parete di un vaso sanguigno) o una lacerazione della parete di un vaso sanguigno</w:t>
      </w:r>
      <w:r w:rsidR="000A74C4" w:rsidRPr="00330A40">
        <w:rPr>
          <w:lang w:val="it-IT"/>
        </w:rPr>
        <w:t>;</w:t>
      </w:r>
    </w:p>
    <w:p w14:paraId="1FFF36C2" w14:textId="77777777" w:rsidR="009C0666" w:rsidRPr="00330A40" w:rsidRDefault="009C0666" w:rsidP="009C0666">
      <w:pPr>
        <w:ind w:left="567" w:hanging="567"/>
        <w:rPr>
          <w:lang w:val="it-IT"/>
        </w:rPr>
      </w:pPr>
    </w:p>
    <w:p w14:paraId="1CE477E3" w14:textId="77777777" w:rsidR="009C0666" w:rsidRPr="00330A40" w:rsidRDefault="00C91E39" w:rsidP="009C0666">
      <w:pPr>
        <w:ind w:left="567" w:hanging="567"/>
        <w:rPr>
          <w:lang w:val="it-IT"/>
        </w:rPr>
      </w:pPr>
      <w:r w:rsidRPr="00330A40">
        <w:rPr>
          <w:lang w:val="it-IT"/>
        </w:rPr>
        <w:lastRenderedPageBreak/>
        <w:sym w:font="Symbol" w:char="F0B7"/>
      </w:r>
      <w:r w:rsidRPr="00330A40">
        <w:rPr>
          <w:lang w:val="it-IT"/>
        </w:rPr>
        <w:tab/>
      </w:r>
      <w:r w:rsidR="000A74C4" w:rsidRPr="00330A40">
        <w:rPr>
          <w:lang w:val="it-IT"/>
        </w:rPr>
        <w:t xml:space="preserve">questo </w:t>
      </w:r>
      <w:r w:rsidR="00D610BC" w:rsidRPr="00330A40">
        <w:rPr>
          <w:lang w:val="it-IT"/>
        </w:rPr>
        <w:t xml:space="preserve">medicinale </w:t>
      </w:r>
      <w:r w:rsidR="00532FB0" w:rsidRPr="00330A40">
        <w:rPr>
          <w:lang w:val="it-IT"/>
        </w:rPr>
        <w:t>aumenta il rischio di avere proteine nelle urine, soprattutto se soffre già di pressione sanguigna elevata</w:t>
      </w:r>
      <w:r w:rsidR="000A74C4" w:rsidRPr="00330A40">
        <w:rPr>
          <w:lang w:val="it-IT"/>
        </w:rPr>
        <w:t>;</w:t>
      </w:r>
      <w:r w:rsidR="00532FB0" w:rsidRPr="00330A40">
        <w:rPr>
          <w:lang w:val="it-IT"/>
        </w:rPr>
        <w:t xml:space="preserve"> </w:t>
      </w:r>
    </w:p>
    <w:p w14:paraId="03D8054D" w14:textId="77777777" w:rsidR="009C0666" w:rsidRPr="00330A40" w:rsidRDefault="009C0666" w:rsidP="009C0666">
      <w:pPr>
        <w:ind w:left="567" w:hanging="567"/>
        <w:rPr>
          <w:lang w:val="it-IT"/>
        </w:rPr>
      </w:pPr>
    </w:p>
    <w:p w14:paraId="1150198A" w14:textId="77777777" w:rsidR="009C0666" w:rsidRPr="006A2BF9" w:rsidRDefault="00C91E39" w:rsidP="009C0666">
      <w:pPr>
        <w:ind w:left="567" w:hanging="567"/>
        <w:rPr>
          <w:lang w:val="it-IT"/>
        </w:rPr>
      </w:pPr>
      <w:r w:rsidRPr="00330A40">
        <w:rPr>
          <w:lang w:val="it-IT"/>
        </w:rPr>
        <w:sym w:font="Symbol" w:char="F0B7"/>
      </w:r>
      <w:r w:rsidRPr="00330A40">
        <w:rPr>
          <w:lang w:val="it-IT"/>
        </w:rPr>
        <w:tab/>
      </w:r>
      <w:r w:rsidR="000A74C4" w:rsidRPr="00330A40">
        <w:rPr>
          <w:lang w:val="it-IT"/>
        </w:rPr>
        <w:t xml:space="preserve">il </w:t>
      </w:r>
      <w:r w:rsidR="00B741E2" w:rsidRPr="00330A40">
        <w:rPr>
          <w:lang w:val="it-IT"/>
        </w:rPr>
        <w:t xml:space="preserve">rischio di sviluppare coaguli di sangue nelle arterie </w:t>
      </w:r>
      <w:r w:rsidR="00D610BC" w:rsidRPr="00330A40">
        <w:rPr>
          <w:lang w:val="it-IT"/>
        </w:rPr>
        <w:t xml:space="preserve">(un tipo di vaso sanguigno) </w:t>
      </w:r>
      <w:r w:rsidR="00B741E2" w:rsidRPr="00330A40">
        <w:rPr>
          <w:lang w:val="it-IT"/>
        </w:rPr>
        <w:t>può aumentare se ha più di 65</w:t>
      </w:r>
      <w:r w:rsidR="005015CA" w:rsidRPr="00330A40">
        <w:rPr>
          <w:lang w:val="it-IT"/>
        </w:rPr>
        <w:t> </w:t>
      </w:r>
      <w:r w:rsidR="00B741E2" w:rsidRPr="00330A40">
        <w:rPr>
          <w:lang w:val="it-IT"/>
        </w:rPr>
        <w:t>anni</w:t>
      </w:r>
      <w:r w:rsidR="00646C3C" w:rsidRPr="00330A40">
        <w:rPr>
          <w:lang w:val="it-IT"/>
        </w:rPr>
        <w:t>,</w:t>
      </w:r>
      <w:r w:rsidR="00EC1C02" w:rsidRPr="00330A40">
        <w:rPr>
          <w:lang w:val="it-IT"/>
        </w:rPr>
        <w:t xml:space="preserve"> </w:t>
      </w:r>
      <w:r w:rsidR="00B741E2" w:rsidRPr="00330A40">
        <w:rPr>
          <w:lang w:val="it-IT"/>
        </w:rPr>
        <w:t xml:space="preserve">se </w:t>
      </w:r>
      <w:r w:rsidR="00646C3C" w:rsidRPr="00330A40">
        <w:rPr>
          <w:lang w:val="it-IT"/>
        </w:rPr>
        <w:t xml:space="preserve">ha il diabete e se </w:t>
      </w:r>
      <w:r w:rsidR="00EC1C02" w:rsidRPr="00330A40">
        <w:rPr>
          <w:lang w:val="it-IT"/>
        </w:rPr>
        <w:t xml:space="preserve">ha </w:t>
      </w:r>
      <w:r w:rsidR="0047136B" w:rsidRPr="00330A40">
        <w:rPr>
          <w:lang w:val="it-IT"/>
        </w:rPr>
        <w:t>avut</w:t>
      </w:r>
      <w:r w:rsidR="00EC1C02" w:rsidRPr="00330A40">
        <w:rPr>
          <w:lang w:val="it-IT"/>
        </w:rPr>
        <w:t>o</w:t>
      </w:r>
      <w:r w:rsidR="00B741E2" w:rsidRPr="00330A40">
        <w:rPr>
          <w:lang w:val="it-IT"/>
        </w:rPr>
        <w:t xml:space="preserve"> precedenti coaguli di sangue nelle arterie. </w:t>
      </w:r>
      <w:r w:rsidR="00EC1C02" w:rsidRPr="00330A40">
        <w:rPr>
          <w:lang w:val="it-IT"/>
        </w:rPr>
        <w:t>P</w:t>
      </w:r>
      <w:r w:rsidR="00B741E2" w:rsidRPr="00330A40">
        <w:rPr>
          <w:lang w:val="it-IT"/>
        </w:rPr>
        <w:t>arl</w:t>
      </w:r>
      <w:r w:rsidR="002C2BE5" w:rsidRPr="00330A40">
        <w:rPr>
          <w:lang w:val="it-IT"/>
        </w:rPr>
        <w:t>i</w:t>
      </w:r>
      <w:r w:rsidR="00B741E2" w:rsidRPr="006A2BF9">
        <w:rPr>
          <w:lang w:val="it-IT"/>
        </w:rPr>
        <w:t xml:space="preserve"> con il medico perché coaguli di sangue possono portare ad attacchi cardiaci e ictus</w:t>
      </w:r>
      <w:r w:rsidR="000A74C4" w:rsidRPr="006A2BF9">
        <w:rPr>
          <w:lang w:val="it-IT"/>
        </w:rPr>
        <w:t>;</w:t>
      </w:r>
    </w:p>
    <w:p w14:paraId="48F0904F" w14:textId="77777777" w:rsidR="009C0666" w:rsidRPr="006A2BF9" w:rsidRDefault="009C0666" w:rsidP="009C0666">
      <w:pPr>
        <w:ind w:left="567" w:hanging="567"/>
        <w:rPr>
          <w:lang w:val="it-IT"/>
        </w:rPr>
      </w:pPr>
    </w:p>
    <w:p w14:paraId="4FDD03FC" w14:textId="77777777" w:rsidR="00532FB0" w:rsidRPr="00330A40" w:rsidRDefault="00C91E39" w:rsidP="009C0666">
      <w:pPr>
        <w:ind w:left="567" w:hanging="567"/>
        <w:rPr>
          <w:lang w:val="it-IT"/>
        </w:rPr>
      </w:pPr>
      <w:r w:rsidRPr="00330A40">
        <w:rPr>
          <w:lang w:val="it-IT"/>
        </w:rPr>
        <w:sym w:font="Symbol" w:char="F0B7"/>
      </w:r>
      <w:r w:rsidRPr="00330A40">
        <w:rPr>
          <w:lang w:val="it-IT"/>
        </w:rPr>
        <w:tab/>
      </w:r>
      <w:r w:rsidR="0082705A" w:rsidRPr="00330A40">
        <w:rPr>
          <w:lang w:val="it-IT"/>
        </w:rPr>
        <w:t>Aybintio</w:t>
      </w:r>
      <w:r w:rsidR="0082705A" w:rsidRPr="00330A40">
        <w:rPr>
          <w:b/>
          <w:lang w:val="it-IT"/>
        </w:rPr>
        <w:t xml:space="preserve"> </w:t>
      </w:r>
      <w:r w:rsidR="00532FB0" w:rsidRPr="00330A40">
        <w:rPr>
          <w:lang w:val="it-IT"/>
        </w:rPr>
        <w:t>può anche aumentare il rischio di sviluppare coaguli di sangue nelle vene</w:t>
      </w:r>
      <w:r w:rsidR="0062424D" w:rsidRPr="00330A40">
        <w:rPr>
          <w:lang w:val="it-IT"/>
        </w:rPr>
        <w:t xml:space="preserve"> </w:t>
      </w:r>
      <w:r w:rsidR="00D610BC" w:rsidRPr="00330A40">
        <w:rPr>
          <w:lang w:val="it-IT"/>
        </w:rPr>
        <w:t>(un tipo di vaso sanguigno)</w:t>
      </w:r>
      <w:r w:rsidR="000A74C4" w:rsidRPr="00330A40">
        <w:rPr>
          <w:lang w:val="it-IT"/>
        </w:rPr>
        <w:t>;</w:t>
      </w:r>
    </w:p>
    <w:p w14:paraId="6CEEB9DA" w14:textId="77777777" w:rsidR="00532FB0" w:rsidRPr="00330A40" w:rsidRDefault="00532FB0" w:rsidP="009C0666">
      <w:pPr>
        <w:ind w:left="567" w:hanging="567"/>
        <w:rPr>
          <w:lang w:val="it-IT"/>
        </w:rPr>
      </w:pPr>
    </w:p>
    <w:p w14:paraId="1D5CE233" w14:textId="77777777" w:rsidR="009C0666" w:rsidRPr="006A2BF9" w:rsidRDefault="00C91E39" w:rsidP="00033441">
      <w:pPr>
        <w:keepNext/>
        <w:keepLines/>
        <w:ind w:left="567" w:hanging="567"/>
        <w:rPr>
          <w:lang w:val="it-IT"/>
        </w:rPr>
      </w:pPr>
      <w:r w:rsidRPr="00330A40">
        <w:rPr>
          <w:lang w:val="it-IT"/>
        </w:rPr>
        <w:sym w:font="Symbol" w:char="F0B7"/>
      </w:r>
      <w:r w:rsidRPr="00330A40">
        <w:rPr>
          <w:lang w:val="it-IT"/>
        </w:rPr>
        <w:tab/>
      </w:r>
      <w:r w:rsidR="000A74C4" w:rsidRPr="00330A40">
        <w:rPr>
          <w:lang w:val="it-IT"/>
        </w:rPr>
        <w:t xml:space="preserve">questo </w:t>
      </w:r>
      <w:r w:rsidR="00D610BC" w:rsidRPr="00330A40">
        <w:rPr>
          <w:lang w:val="it-IT"/>
        </w:rPr>
        <w:t xml:space="preserve">medicinale </w:t>
      </w:r>
      <w:r w:rsidR="00532FB0" w:rsidRPr="00330A40">
        <w:rPr>
          <w:lang w:val="it-IT"/>
        </w:rPr>
        <w:t xml:space="preserve">può causare sanguinamento, in particolare sanguinamento correlato al tumore. </w:t>
      </w:r>
      <w:r w:rsidR="002F4F28" w:rsidRPr="00330A40">
        <w:rPr>
          <w:lang w:val="it-IT"/>
        </w:rPr>
        <w:t>C</w:t>
      </w:r>
      <w:r w:rsidR="00532FB0" w:rsidRPr="00330A40">
        <w:rPr>
          <w:lang w:val="it-IT"/>
        </w:rPr>
        <w:t>onsult</w:t>
      </w:r>
      <w:r w:rsidR="002F4F28" w:rsidRPr="00330A40">
        <w:rPr>
          <w:lang w:val="it-IT"/>
        </w:rPr>
        <w:t>i</w:t>
      </w:r>
      <w:r w:rsidR="00532FB0" w:rsidRPr="00330A40">
        <w:rPr>
          <w:lang w:val="it-IT"/>
        </w:rPr>
        <w:t xml:space="preserve"> il medico </w:t>
      </w:r>
      <w:r w:rsidR="009C0666" w:rsidRPr="00330A40">
        <w:rPr>
          <w:lang w:val="it-IT"/>
        </w:rPr>
        <w:t xml:space="preserve">se lei o altri membri della sua famiglia tendete a soffrire di problemi di coagulazione o se lei sta assumendo </w:t>
      </w:r>
      <w:r w:rsidR="00D610BC" w:rsidRPr="00330A40">
        <w:rPr>
          <w:lang w:val="it-IT"/>
        </w:rPr>
        <w:t>medicinali</w:t>
      </w:r>
      <w:r w:rsidR="009C0666" w:rsidRPr="00330A40">
        <w:rPr>
          <w:lang w:val="it-IT"/>
        </w:rPr>
        <w:t xml:space="preserve"> per fluidificare il sangue per </w:t>
      </w:r>
      <w:r w:rsidR="00532FB0" w:rsidRPr="00330A40">
        <w:rPr>
          <w:lang w:val="it-IT"/>
        </w:rPr>
        <w:t>qualunque ragione</w:t>
      </w:r>
      <w:r w:rsidR="000A74C4" w:rsidRPr="00330A40">
        <w:rPr>
          <w:lang w:val="it-IT"/>
        </w:rPr>
        <w:t>;</w:t>
      </w:r>
    </w:p>
    <w:p w14:paraId="0F5E77B3" w14:textId="77777777" w:rsidR="00532FB0" w:rsidRPr="006A2BF9" w:rsidRDefault="00532FB0" w:rsidP="009C0666">
      <w:pPr>
        <w:ind w:left="567" w:hanging="567"/>
        <w:rPr>
          <w:lang w:val="it-IT"/>
        </w:rPr>
      </w:pPr>
    </w:p>
    <w:p w14:paraId="3622D835" w14:textId="77777777" w:rsidR="00532FB0" w:rsidRPr="006A2BF9" w:rsidRDefault="00C91E39" w:rsidP="009C0666">
      <w:pPr>
        <w:ind w:left="567" w:hanging="567"/>
        <w:rPr>
          <w:lang w:val="it-IT"/>
        </w:rPr>
      </w:pPr>
      <w:r w:rsidRPr="00330A40">
        <w:rPr>
          <w:lang w:val="it-IT"/>
        </w:rPr>
        <w:sym w:font="Symbol" w:char="F0B7"/>
      </w:r>
      <w:r w:rsidRPr="00330A40">
        <w:rPr>
          <w:lang w:val="it-IT"/>
        </w:rPr>
        <w:tab/>
      </w:r>
      <w:r w:rsidR="000A74C4" w:rsidRPr="00330A40">
        <w:rPr>
          <w:lang w:val="it-IT"/>
        </w:rPr>
        <w:t xml:space="preserve">è </w:t>
      </w:r>
      <w:r w:rsidR="00532FB0" w:rsidRPr="00330A40">
        <w:rPr>
          <w:lang w:val="it-IT"/>
        </w:rPr>
        <w:t xml:space="preserve">possibile che </w:t>
      </w:r>
      <w:r w:rsidR="0082705A" w:rsidRPr="00330A40">
        <w:rPr>
          <w:lang w:val="it-IT"/>
        </w:rPr>
        <w:t>Aybintio</w:t>
      </w:r>
      <w:r w:rsidR="0082705A" w:rsidRPr="00330A40">
        <w:rPr>
          <w:b/>
          <w:lang w:val="it-IT"/>
        </w:rPr>
        <w:t xml:space="preserve"> </w:t>
      </w:r>
      <w:r w:rsidR="004D12E0" w:rsidRPr="00330A40">
        <w:rPr>
          <w:lang w:val="it-IT"/>
        </w:rPr>
        <w:t>causi</w:t>
      </w:r>
      <w:r w:rsidR="00F72945" w:rsidRPr="00330A40">
        <w:rPr>
          <w:lang w:val="it-IT"/>
        </w:rPr>
        <w:t xml:space="preserve"> sanguinamento all’interno</w:t>
      </w:r>
      <w:r w:rsidR="00AB07AE" w:rsidRPr="00330A40">
        <w:rPr>
          <w:lang w:val="it-IT"/>
        </w:rPr>
        <w:t xml:space="preserve"> </w:t>
      </w:r>
      <w:r w:rsidR="004D12E0" w:rsidRPr="00330A40">
        <w:rPr>
          <w:lang w:val="it-IT"/>
        </w:rPr>
        <w:t>del cervello</w:t>
      </w:r>
      <w:r w:rsidR="00F72945" w:rsidRPr="00330A40">
        <w:rPr>
          <w:lang w:val="it-IT"/>
        </w:rPr>
        <w:t xml:space="preserve"> e</w:t>
      </w:r>
      <w:r w:rsidR="00532FB0" w:rsidRPr="00330A40">
        <w:rPr>
          <w:lang w:val="it-IT"/>
        </w:rPr>
        <w:t xml:space="preserve"> intorno al </w:t>
      </w:r>
      <w:r w:rsidR="00F72945" w:rsidRPr="00330A40">
        <w:rPr>
          <w:lang w:val="it-IT"/>
        </w:rPr>
        <w:t xml:space="preserve">cervello. </w:t>
      </w:r>
      <w:r w:rsidR="00D610BC" w:rsidRPr="00330A40">
        <w:rPr>
          <w:lang w:val="it-IT"/>
        </w:rPr>
        <w:t>Consulti</w:t>
      </w:r>
      <w:r w:rsidR="00532FB0" w:rsidRPr="00330A40">
        <w:rPr>
          <w:lang w:val="it-IT"/>
        </w:rPr>
        <w:t xml:space="preserve"> il medico se </w:t>
      </w:r>
      <w:r w:rsidR="002F4F28" w:rsidRPr="00330A40">
        <w:rPr>
          <w:lang w:val="it-IT"/>
        </w:rPr>
        <w:t xml:space="preserve">ha </w:t>
      </w:r>
      <w:r w:rsidR="00387CD5" w:rsidRPr="00330A40">
        <w:rPr>
          <w:lang w:val="it-IT"/>
        </w:rPr>
        <w:t>un</w:t>
      </w:r>
      <w:r w:rsidR="00A54F1C" w:rsidRPr="00330A40">
        <w:rPr>
          <w:lang w:val="it-IT"/>
        </w:rPr>
        <w:t xml:space="preserve"> tumore</w:t>
      </w:r>
      <w:r w:rsidR="00387CD5" w:rsidRPr="00330A40">
        <w:rPr>
          <w:lang w:val="it-IT"/>
        </w:rPr>
        <w:t xml:space="preserve"> </w:t>
      </w:r>
      <w:r w:rsidR="00532FB0" w:rsidRPr="006A2BF9">
        <w:rPr>
          <w:lang w:val="it-IT"/>
        </w:rPr>
        <w:t>metastatic</w:t>
      </w:r>
      <w:r w:rsidR="00A54F1C" w:rsidRPr="006A2BF9">
        <w:rPr>
          <w:lang w:val="it-IT"/>
        </w:rPr>
        <w:t>o che interessa il cervello</w:t>
      </w:r>
      <w:r w:rsidR="000A74C4" w:rsidRPr="006A2BF9">
        <w:rPr>
          <w:lang w:val="it-IT"/>
        </w:rPr>
        <w:t>;</w:t>
      </w:r>
    </w:p>
    <w:p w14:paraId="71CD3C59" w14:textId="77777777" w:rsidR="00532FB0" w:rsidRPr="006A2BF9" w:rsidRDefault="00532FB0" w:rsidP="009C0666">
      <w:pPr>
        <w:ind w:left="567" w:hanging="567"/>
        <w:rPr>
          <w:lang w:val="it-IT"/>
        </w:rPr>
      </w:pPr>
    </w:p>
    <w:p w14:paraId="69910D07" w14:textId="77777777" w:rsidR="009C0666" w:rsidRPr="006A2BF9" w:rsidRDefault="00C91E39" w:rsidP="009C0666">
      <w:pPr>
        <w:ind w:left="567" w:hanging="567"/>
        <w:rPr>
          <w:lang w:val="it-IT"/>
        </w:rPr>
      </w:pPr>
      <w:r w:rsidRPr="00330A40">
        <w:rPr>
          <w:lang w:val="it-IT"/>
        </w:rPr>
        <w:sym w:font="Symbol" w:char="F0B7"/>
      </w:r>
      <w:r w:rsidRPr="00330A40">
        <w:rPr>
          <w:lang w:val="it-IT"/>
        </w:rPr>
        <w:tab/>
      </w:r>
      <w:r w:rsidR="000A74C4" w:rsidRPr="00330A40">
        <w:rPr>
          <w:lang w:val="it-IT"/>
        </w:rPr>
        <w:t xml:space="preserve">è </w:t>
      </w:r>
      <w:r w:rsidR="00EA419A" w:rsidRPr="00330A40">
        <w:rPr>
          <w:lang w:val="it-IT"/>
        </w:rPr>
        <w:t xml:space="preserve">possibile che </w:t>
      </w:r>
      <w:r w:rsidR="0082705A" w:rsidRPr="00330A40">
        <w:rPr>
          <w:lang w:val="it-IT"/>
        </w:rPr>
        <w:t>Aybintio</w:t>
      </w:r>
      <w:r w:rsidR="0082705A" w:rsidRPr="00330A40">
        <w:rPr>
          <w:b/>
          <w:lang w:val="it-IT"/>
        </w:rPr>
        <w:t xml:space="preserve"> </w:t>
      </w:r>
      <w:r w:rsidR="004D12E0" w:rsidRPr="00330A40">
        <w:rPr>
          <w:lang w:val="it-IT"/>
        </w:rPr>
        <w:t>aumenti</w:t>
      </w:r>
      <w:r w:rsidR="00EA419A" w:rsidRPr="00330A40">
        <w:rPr>
          <w:lang w:val="it-IT"/>
        </w:rPr>
        <w:t xml:space="preserve"> il rischio di sanguinamento nei polmoni, incluso sangue nella tosse o nell</w:t>
      </w:r>
      <w:r w:rsidR="00387CD5" w:rsidRPr="00330A40">
        <w:rPr>
          <w:lang w:val="it-IT"/>
        </w:rPr>
        <w:t>a saliva</w:t>
      </w:r>
      <w:r w:rsidR="00EA419A" w:rsidRPr="00330A40">
        <w:rPr>
          <w:lang w:val="it-IT"/>
        </w:rPr>
        <w:t xml:space="preserve">. </w:t>
      </w:r>
      <w:r w:rsidR="002F4F28" w:rsidRPr="00330A40">
        <w:rPr>
          <w:lang w:val="it-IT"/>
        </w:rPr>
        <w:t>D</w:t>
      </w:r>
      <w:r w:rsidR="00EA419A" w:rsidRPr="00330A40">
        <w:rPr>
          <w:lang w:val="it-IT"/>
        </w:rPr>
        <w:t>iscut</w:t>
      </w:r>
      <w:r w:rsidR="002F4F28" w:rsidRPr="00330A40">
        <w:rPr>
          <w:lang w:val="it-IT"/>
        </w:rPr>
        <w:t>a</w:t>
      </w:r>
      <w:r w:rsidR="00EA419A" w:rsidRPr="00330A40">
        <w:rPr>
          <w:lang w:val="it-IT"/>
        </w:rPr>
        <w:t xml:space="preserve"> con il medico se </w:t>
      </w:r>
      <w:r w:rsidR="002F4F28" w:rsidRPr="006A2BF9">
        <w:rPr>
          <w:lang w:val="it-IT"/>
        </w:rPr>
        <w:t xml:space="preserve">ha </w:t>
      </w:r>
      <w:r w:rsidR="00EA419A" w:rsidRPr="006A2BF9">
        <w:rPr>
          <w:lang w:val="it-IT"/>
        </w:rPr>
        <w:t>notato</w:t>
      </w:r>
      <w:r w:rsidR="005842B2" w:rsidRPr="006A2BF9">
        <w:rPr>
          <w:lang w:val="it-IT"/>
        </w:rPr>
        <w:t xml:space="preserve"> questi eventi</w:t>
      </w:r>
      <w:r w:rsidR="00EA419A" w:rsidRPr="006A2BF9">
        <w:rPr>
          <w:lang w:val="it-IT"/>
        </w:rPr>
        <w:t xml:space="preserve"> in </w:t>
      </w:r>
      <w:r w:rsidR="005842B2" w:rsidRPr="006A2BF9">
        <w:rPr>
          <w:lang w:val="it-IT"/>
        </w:rPr>
        <w:t>passato</w:t>
      </w:r>
      <w:r w:rsidR="000A74C4" w:rsidRPr="006A2BF9">
        <w:rPr>
          <w:lang w:val="it-IT"/>
        </w:rPr>
        <w:t>;</w:t>
      </w:r>
      <w:r w:rsidR="00EA419A" w:rsidRPr="006A2BF9" w:rsidDel="00037CCD">
        <w:rPr>
          <w:lang w:val="it-IT"/>
        </w:rPr>
        <w:t xml:space="preserve"> </w:t>
      </w:r>
    </w:p>
    <w:p w14:paraId="7CADB88E" w14:textId="77777777" w:rsidR="009C0666" w:rsidRPr="006A2BF9" w:rsidRDefault="009C0666" w:rsidP="009C0666">
      <w:pPr>
        <w:ind w:left="567" w:hanging="567"/>
        <w:rPr>
          <w:lang w:val="it-IT"/>
        </w:rPr>
      </w:pPr>
    </w:p>
    <w:p w14:paraId="2F8E18D2" w14:textId="77777777" w:rsidR="003A37D2" w:rsidRPr="006A2BF9" w:rsidRDefault="00C91E39" w:rsidP="006C7DD0">
      <w:pPr>
        <w:keepLines/>
        <w:ind w:left="567" w:hanging="567"/>
        <w:rPr>
          <w:lang w:val="it-IT"/>
        </w:rPr>
      </w:pPr>
      <w:r w:rsidRPr="00330A40">
        <w:rPr>
          <w:lang w:val="it-IT"/>
        </w:rPr>
        <w:sym w:font="Symbol" w:char="F0B7"/>
      </w:r>
      <w:r w:rsidRPr="00330A40">
        <w:rPr>
          <w:lang w:val="it-IT"/>
        </w:rPr>
        <w:tab/>
      </w:r>
      <w:r w:rsidR="0082705A" w:rsidRPr="00330A40">
        <w:rPr>
          <w:lang w:val="it-IT"/>
        </w:rPr>
        <w:t>Aybintio</w:t>
      </w:r>
      <w:r w:rsidR="0082705A" w:rsidRPr="00330A40">
        <w:rPr>
          <w:b/>
          <w:lang w:val="it-IT"/>
        </w:rPr>
        <w:t xml:space="preserve"> </w:t>
      </w:r>
      <w:r w:rsidR="005842B2" w:rsidRPr="00330A40">
        <w:rPr>
          <w:lang w:val="it-IT"/>
        </w:rPr>
        <w:t>può aumentare il rischio di sviluppare un</w:t>
      </w:r>
      <w:r w:rsidR="00281E54" w:rsidRPr="00330A40">
        <w:rPr>
          <w:lang w:val="it-IT"/>
        </w:rPr>
        <w:t>’</w:t>
      </w:r>
      <w:r w:rsidR="005842B2" w:rsidRPr="00330A40">
        <w:rPr>
          <w:lang w:val="it-IT"/>
        </w:rPr>
        <w:t xml:space="preserve">insufficienza cardiaca. </w:t>
      </w:r>
      <w:r w:rsidR="004D12E0" w:rsidRPr="00330A40">
        <w:rPr>
          <w:lang w:val="it-IT"/>
        </w:rPr>
        <w:t>È</w:t>
      </w:r>
      <w:r w:rsidR="004D12E0" w:rsidRPr="00330A40" w:rsidDel="004D12E0">
        <w:rPr>
          <w:lang w:val="it-IT"/>
        </w:rPr>
        <w:t xml:space="preserve"> </w:t>
      </w:r>
      <w:r w:rsidR="005842B2" w:rsidRPr="00330A40">
        <w:rPr>
          <w:lang w:val="it-IT"/>
        </w:rPr>
        <w:t xml:space="preserve">importante che il medico sappia </w:t>
      </w:r>
      <w:r w:rsidR="009C0666" w:rsidRPr="00330A40">
        <w:rPr>
          <w:lang w:val="it-IT"/>
        </w:rPr>
        <w:t xml:space="preserve">se </w:t>
      </w:r>
      <w:r w:rsidR="002F4F28" w:rsidRPr="00330A40">
        <w:rPr>
          <w:lang w:val="it-IT"/>
        </w:rPr>
        <w:t xml:space="preserve">lei </w:t>
      </w:r>
      <w:r w:rsidR="009C0666" w:rsidRPr="00330A40">
        <w:rPr>
          <w:lang w:val="it-IT"/>
        </w:rPr>
        <w:t xml:space="preserve">è stato sottoposto </w:t>
      </w:r>
      <w:r w:rsidR="002F4F28" w:rsidRPr="00330A40">
        <w:rPr>
          <w:lang w:val="it-IT"/>
        </w:rPr>
        <w:t xml:space="preserve">precedentemente </w:t>
      </w:r>
      <w:r w:rsidR="009C0666" w:rsidRPr="00330A40">
        <w:rPr>
          <w:lang w:val="it-IT"/>
        </w:rPr>
        <w:t>a terapia con antracicline (ad esempio doxorubicina, un tipo particolare di chemioterapia utilizzata per il trattamento di alcuni tumori) o a radioterapia toracica</w:t>
      </w:r>
      <w:r w:rsidR="002F4F28" w:rsidRPr="006A2BF9">
        <w:rPr>
          <w:lang w:val="it-IT"/>
        </w:rPr>
        <w:t>,</w:t>
      </w:r>
      <w:r w:rsidR="009C0666" w:rsidRPr="006A2BF9">
        <w:rPr>
          <w:lang w:val="it-IT"/>
        </w:rPr>
        <w:t xml:space="preserve"> o se ha delle malattie cardiache</w:t>
      </w:r>
      <w:r w:rsidR="00E03C8B" w:rsidRPr="006A2BF9">
        <w:rPr>
          <w:lang w:val="it-IT"/>
        </w:rPr>
        <w:t>;</w:t>
      </w:r>
    </w:p>
    <w:p w14:paraId="795B063B" w14:textId="77777777" w:rsidR="005842B2" w:rsidRPr="006A2BF9" w:rsidRDefault="005842B2" w:rsidP="003A37D2">
      <w:pPr>
        <w:ind w:left="567" w:hanging="567"/>
        <w:rPr>
          <w:lang w:val="it-IT"/>
        </w:rPr>
      </w:pPr>
    </w:p>
    <w:p w14:paraId="340AEC63" w14:textId="77777777" w:rsidR="005842B2" w:rsidRPr="00330A40" w:rsidRDefault="00C91E39" w:rsidP="003A37D2">
      <w:pPr>
        <w:ind w:left="567" w:hanging="567"/>
        <w:rPr>
          <w:lang w:val="it-IT"/>
        </w:rPr>
      </w:pPr>
      <w:r w:rsidRPr="00330A40">
        <w:rPr>
          <w:lang w:val="it-IT"/>
        </w:rPr>
        <w:sym w:font="Symbol" w:char="F0B7"/>
      </w:r>
      <w:r w:rsidRPr="00330A40">
        <w:rPr>
          <w:lang w:val="it-IT"/>
        </w:rPr>
        <w:tab/>
      </w:r>
      <w:r w:rsidR="00E03C8B" w:rsidRPr="00330A40">
        <w:rPr>
          <w:lang w:val="it-IT"/>
        </w:rPr>
        <w:t xml:space="preserve">questo </w:t>
      </w:r>
      <w:r w:rsidR="00D610BC" w:rsidRPr="00330A40">
        <w:rPr>
          <w:lang w:val="it-IT"/>
        </w:rPr>
        <w:t xml:space="preserve">medicinale </w:t>
      </w:r>
      <w:r w:rsidR="005842B2" w:rsidRPr="00330A40">
        <w:rPr>
          <w:lang w:val="it-IT"/>
        </w:rPr>
        <w:t>può causare infezioni e una riduzione del numero dei neutrofili (un tipo di cellule del sangue importanti per la protezione contro i batteri)</w:t>
      </w:r>
      <w:r w:rsidR="00E03C8B" w:rsidRPr="00330A40">
        <w:rPr>
          <w:lang w:val="it-IT"/>
        </w:rPr>
        <w:t>;</w:t>
      </w:r>
    </w:p>
    <w:p w14:paraId="221B5B9F" w14:textId="77777777" w:rsidR="005842B2" w:rsidRPr="00330A40" w:rsidRDefault="005842B2" w:rsidP="003A37D2">
      <w:pPr>
        <w:ind w:left="567" w:hanging="567"/>
        <w:rPr>
          <w:lang w:val="it-IT"/>
        </w:rPr>
      </w:pPr>
    </w:p>
    <w:p w14:paraId="0E96AB72" w14:textId="77777777" w:rsidR="005842B2" w:rsidRPr="006A2BF9" w:rsidRDefault="00C91E39" w:rsidP="003A37D2">
      <w:pPr>
        <w:ind w:left="567" w:hanging="567"/>
        <w:rPr>
          <w:lang w:val="it-IT"/>
        </w:rPr>
      </w:pPr>
      <w:r w:rsidRPr="00330A40">
        <w:rPr>
          <w:lang w:val="it-IT"/>
        </w:rPr>
        <w:sym w:font="Symbol" w:char="F0B7"/>
      </w:r>
      <w:r w:rsidRPr="00330A40">
        <w:rPr>
          <w:lang w:val="it-IT"/>
        </w:rPr>
        <w:tab/>
      </w:r>
      <w:r w:rsidR="00E03C8B" w:rsidRPr="00330A40">
        <w:rPr>
          <w:lang w:val="it-IT"/>
        </w:rPr>
        <w:t xml:space="preserve">è </w:t>
      </w:r>
      <w:r w:rsidR="005842B2" w:rsidRPr="00330A40">
        <w:rPr>
          <w:lang w:val="it-IT"/>
        </w:rPr>
        <w:t xml:space="preserve">possibile che </w:t>
      </w:r>
      <w:r w:rsidR="0082705A" w:rsidRPr="00330A40">
        <w:rPr>
          <w:lang w:val="it-IT"/>
        </w:rPr>
        <w:t>Aybintio</w:t>
      </w:r>
      <w:r w:rsidR="0082705A" w:rsidRPr="00330A40">
        <w:rPr>
          <w:b/>
          <w:lang w:val="it-IT"/>
        </w:rPr>
        <w:t xml:space="preserve"> </w:t>
      </w:r>
      <w:r w:rsidR="004D12E0" w:rsidRPr="00330A40">
        <w:rPr>
          <w:lang w:val="it-IT"/>
        </w:rPr>
        <w:t>causi</w:t>
      </w:r>
      <w:r w:rsidR="005842B2" w:rsidRPr="00330A40">
        <w:rPr>
          <w:lang w:val="it-IT"/>
        </w:rPr>
        <w:t xml:space="preserve"> ipersensibilità </w:t>
      </w:r>
      <w:r w:rsidR="00E95C16" w:rsidRPr="00E50438">
        <w:rPr>
          <w:lang w:val="it-IT"/>
        </w:rPr>
        <w:t>(compreso shock anafilattico)</w:t>
      </w:r>
      <w:r w:rsidR="00E95C16">
        <w:rPr>
          <w:lang w:val="it-IT"/>
        </w:rPr>
        <w:t xml:space="preserve"> </w:t>
      </w:r>
      <w:r w:rsidR="005842B2" w:rsidRPr="00330A40">
        <w:rPr>
          <w:lang w:val="it-IT"/>
        </w:rPr>
        <w:t xml:space="preserve">e/o reazioni da infusione </w:t>
      </w:r>
      <w:r w:rsidR="0048458D" w:rsidRPr="00330A40">
        <w:rPr>
          <w:lang w:val="it-IT"/>
        </w:rPr>
        <w:t>(reazioni correlate all’</w:t>
      </w:r>
      <w:r w:rsidR="005842B2" w:rsidRPr="00330A40">
        <w:rPr>
          <w:lang w:val="it-IT"/>
        </w:rPr>
        <w:t xml:space="preserve">iniezione del </w:t>
      </w:r>
      <w:r w:rsidR="00D610BC" w:rsidRPr="00330A40">
        <w:rPr>
          <w:lang w:val="it-IT"/>
        </w:rPr>
        <w:t>medicinale</w:t>
      </w:r>
      <w:r w:rsidR="005842B2" w:rsidRPr="00330A40">
        <w:rPr>
          <w:lang w:val="it-IT"/>
        </w:rPr>
        <w:t xml:space="preserve">). </w:t>
      </w:r>
      <w:r w:rsidR="00503F4C" w:rsidRPr="00330A40">
        <w:rPr>
          <w:lang w:val="it-IT"/>
        </w:rPr>
        <w:t>Informi</w:t>
      </w:r>
      <w:r w:rsidR="0048458D" w:rsidRPr="00330A40">
        <w:rPr>
          <w:lang w:val="it-IT"/>
        </w:rPr>
        <w:t xml:space="preserve"> il medico, </w:t>
      </w:r>
      <w:r w:rsidR="00D610BC" w:rsidRPr="00330A40">
        <w:rPr>
          <w:lang w:val="it-IT"/>
        </w:rPr>
        <w:t xml:space="preserve">il </w:t>
      </w:r>
      <w:r w:rsidR="0048458D" w:rsidRPr="006A2BF9">
        <w:rPr>
          <w:lang w:val="it-IT"/>
        </w:rPr>
        <w:t>farmacista o</w:t>
      </w:r>
      <w:r w:rsidR="005842B2" w:rsidRPr="006A2BF9">
        <w:rPr>
          <w:lang w:val="it-IT"/>
        </w:rPr>
        <w:t xml:space="preserve"> </w:t>
      </w:r>
      <w:r w:rsidR="00D610BC" w:rsidRPr="006A2BF9">
        <w:rPr>
          <w:lang w:val="it-IT"/>
        </w:rPr>
        <w:t>l’</w:t>
      </w:r>
      <w:r w:rsidR="005842B2" w:rsidRPr="006A2BF9">
        <w:rPr>
          <w:lang w:val="it-IT"/>
        </w:rPr>
        <w:t xml:space="preserve">infermiere se </w:t>
      </w:r>
      <w:r w:rsidR="00503F4C" w:rsidRPr="006A2BF9">
        <w:rPr>
          <w:lang w:val="it-IT"/>
        </w:rPr>
        <w:t xml:space="preserve">ha </w:t>
      </w:r>
      <w:r w:rsidR="005842B2" w:rsidRPr="006A2BF9">
        <w:rPr>
          <w:lang w:val="it-IT"/>
        </w:rPr>
        <w:t>già avuto problemi dopo</w:t>
      </w:r>
      <w:r w:rsidR="0048458D" w:rsidRPr="006A2BF9">
        <w:rPr>
          <w:lang w:val="it-IT"/>
        </w:rPr>
        <w:t xml:space="preserve"> le iniezioni, come </w:t>
      </w:r>
      <w:r w:rsidR="00503F4C" w:rsidRPr="006A2BF9">
        <w:rPr>
          <w:lang w:val="it-IT"/>
        </w:rPr>
        <w:t>capogiri</w:t>
      </w:r>
      <w:r w:rsidR="0048458D" w:rsidRPr="006A2BF9">
        <w:rPr>
          <w:lang w:val="it-IT"/>
        </w:rPr>
        <w:t>/</w:t>
      </w:r>
      <w:r w:rsidR="005842B2" w:rsidRPr="006A2BF9">
        <w:rPr>
          <w:lang w:val="it-IT"/>
        </w:rPr>
        <w:t>senso di svenimento, mancanza di respiro, gonfiore o eruzioni cutanee</w:t>
      </w:r>
      <w:r w:rsidR="00E03C8B" w:rsidRPr="006A2BF9">
        <w:rPr>
          <w:lang w:val="it-IT"/>
        </w:rPr>
        <w:t>;</w:t>
      </w:r>
    </w:p>
    <w:p w14:paraId="453BEF3C" w14:textId="77777777" w:rsidR="00EE4635" w:rsidRPr="006A2BF9" w:rsidRDefault="00EE4635" w:rsidP="003A37D2">
      <w:pPr>
        <w:ind w:left="567" w:hanging="567"/>
        <w:rPr>
          <w:lang w:val="it-IT"/>
        </w:rPr>
      </w:pPr>
    </w:p>
    <w:p w14:paraId="27559AD4" w14:textId="77777777" w:rsidR="009C0666" w:rsidRPr="006A2BF9" w:rsidRDefault="00C91E39" w:rsidP="00EE4635">
      <w:pPr>
        <w:ind w:left="567" w:hanging="567"/>
        <w:rPr>
          <w:lang w:val="it-IT"/>
        </w:rPr>
      </w:pPr>
      <w:r w:rsidRPr="00330A40">
        <w:rPr>
          <w:lang w:val="it-IT"/>
        </w:rPr>
        <w:sym w:font="Symbol" w:char="F0B7"/>
      </w:r>
      <w:r w:rsidRPr="00330A40">
        <w:rPr>
          <w:lang w:val="it-IT"/>
        </w:rPr>
        <w:tab/>
      </w:r>
      <w:r w:rsidR="00E03C8B" w:rsidRPr="00330A40">
        <w:rPr>
          <w:lang w:val="it-IT"/>
        </w:rPr>
        <w:t xml:space="preserve">un </w:t>
      </w:r>
      <w:r w:rsidR="00A93FDD" w:rsidRPr="00330A40">
        <w:rPr>
          <w:lang w:val="it-IT"/>
        </w:rPr>
        <w:t xml:space="preserve">raro effetto </w:t>
      </w:r>
      <w:r w:rsidR="002E22EC" w:rsidRPr="00330A40">
        <w:rPr>
          <w:lang w:val="it-IT"/>
        </w:rPr>
        <w:t xml:space="preserve">indesiderato </w:t>
      </w:r>
      <w:r w:rsidR="00A93FDD" w:rsidRPr="00330A40">
        <w:rPr>
          <w:lang w:val="it-IT"/>
        </w:rPr>
        <w:t xml:space="preserve">neurologico chiamato sindrome da encefalopatia posteriore reversibile </w:t>
      </w:r>
      <w:r w:rsidR="00DB56C5" w:rsidRPr="00330A40">
        <w:rPr>
          <w:lang w:val="it-IT"/>
        </w:rPr>
        <w:t xml:space="preserve">(PRES) </w:t>
      </w:r>
      <w:r w:rsidR="00A93FDD" w:rsidRPr="00330A40">
        <w:rPr>
          <w:lang w:val="it-IT"/>
        </w:rPr>
        <w:t>è stat</w:t>
      </w:r>
      <w:r w:rsidR="00067FEE" w:rsidRPr="00330A40">
        <w:rPr>
          <w:lang w:val="it-IT"/>
        </w:rPr>
        <w:t>o</w:t>
      </w:r>
      <w:r w:rsidR="00A93FDD" w:rsidRPr="00330A40">
        <w:rPr>
          <w:lang w:val="it-IT"/>
        </w:rPr>
        <w:t xml:space="preserve"> associat</w:t>
      </w:r>
      <w:r w:rsidR="00067FEE" w:rsidRPr="00330A40">
        <w:rPr>
          <w:lang w:val="it-IT"/>
        </w:rPr>
        <w:t>o</w:t>
      </w:r>
      <w:r w:rsidR="00A93FDD" w:rsidRPr="00330A40">
        <w:rPr>
          <w:lang w:val="it-IT"/>
        </w:rPr>
        <w:t xml:space="preserve"> al trattamento con </w:t>
      </w:r>
      <w:r w:rsidR="0082705A" w:rsidRPr="00330A40">
        <w:rPr>
          <w:lang w:val="it-IT"/>
        </w:rPr>
        <w:t>Aybintio</w:t>
      </w:r>
      <w:r w:rsidR="00A93FDD" w:rsidRPr="00330A40">
        <w:rPr>
          <w:lang w:val="it-IT"/>
        </w:rPr>
        <w:t>.</w:t>
      </w:r>
      <w:r w:rsidR="00067FEE" w:rsidRPr="00330A40">
        <w:rPr>
          <w:lang w:val="it-IT"/>
        </w:rPr>
        <w:t xml:space="preserve"> </w:t>
      </w:r>
      <w:r w:rsidR="00A93FDD" w:rsidRPr="00330A40">
        <w:rPr>
          <w:lang w:val="it-IT"/>
        </w:rPr>
        <w:t>S</w:t>
      </w:r>
      <w:r w:rsidR="003A37D2" w:rsidRPr="00330A40">
        <w:rPr>
          <w:lang w:val="it-IT"/>
        </w:rPr>
        <w:t xml:space="preserve">e ha mal di testa, </w:t>
      </w:r>
      <w:r w:rsidR="001F597E" w:rsidRPr="00330A40">
        <w:rPr>
          <w:lang w:val="it-IT"/>
        </w:rPr>
        <w:t>disturbi della visione</w:t>
      </w:r>
      <w:r w:rsidR="003A37D2" w:rsidRPr="00330A40">
        <w:rPr>
          <w:lang w:val="it-IT"/>
        </w:rPr>
        <w:t>, confusione o crisi</w:t>
      </w:r>
      <w:r w:rsidR="00AB30A6" w:rsidRPr="006A2BF9">
        <w:rPr>
          <w:lang w:val="it-IT"/>
        </w:rPr>
        <w:t xml:space="preserve"> ep</w:t>
      </w:r>
      <w:r w:rsidR="001F597E" w:rsidRPr="006A2BF9">
        <w:rPr>
          <w:lang w:val="it-IT"/>
        </w:rPr>
        <w:t>ilettiche</w:t>
      </w:r>
      <w:r w:rsidR="003A37D2" w:rsidRPr="006A2BF9">
        <w:rPr>
          <w:lang w:val="it-IT"/>
        </w:rPr>
        <w:t xml:space="preserve"> con o senza aumento della pressione, contatt</w:t>
      </w:r>
      <w:r w:rsidR="00067FEE" w:rsidRPr="006A2BF9">
        <w:rPr>
          <w:lang w:val="it-IT"/>
        </w:rPr>
        <w:t>i</w:t>
      </w:r>
      <w:r w:rsidR="003A37D2" w:rsidRPr="006A2BF9">
        <w:rPr>
          <w:lang w:val="it-IT"/>
        </w:rPr>
        <w:t xml:space="preserve"> il medico.</w:t>
      </w:r>
    </w:p>
    <w:p w14:paraId="1A217C2D" w14:textId="77777777" w:rsidR="003A37D2" w:rsidRPr="006A2BF9" w:rsidRDefault="003A37D2" w:rsidP="003A37D2">
      <w:pPr>
        <w:ind w:left="600" w:hanging="600"/>
        <w:rPr>
          <w:lang w:val="it-IT"/>
        </w:rPr>
      </w:pPr>
    </w:p>
    <w:p w14:paraId="11A596ED" w14:textId="77777777" w:rsidR="009C0666" w:rsidRPr="006A2BF9" w:rsidRDefault="009C0666" w:rsidP="009C0666">
      <w:pPr>
        <w:outlineLvl w:val="0"/>
        <w:rPr>
          <w:lang w:val="it-IT"/>
        </w:rPr>
      </w:pPr>
      <w:r w:rsidRPr="006A2BF9">
        <w:rPr>
          <w:lang w:val="it-IT"/>
        </w:rPr>
        <w:t xml:space="preserve">Si rivolga al medico anche se </w:t>
      </w:r>
      <w:r w:rsidR="00067FEE" w:rsidRPr="006A2BF9">
        <w:rPr>
          <w:lang w:val="it-IT"/>
        </w:rPr>
        <w:t>quanto</w:t>
      </w:r>
      <w:r w:rsidR="00127894" w:rsidRPr="006A2BF9">
        <w:rPr>
          <w:lang w:val="it-IT"/>
        </w:rPr>
        <w:t xml:space="preserve"> sopra descritt</w:t>
      </w:r>
      <w:r w:rsidR="00067FEE" w:rsidRPr="006A2BF9">
        <w:rPr>
          <w:lang w:val="it-IT"/>
        </w:rPr>
        <w:t>o</w:t>
      </w:r>
      <w:r w:rsidRPr="006A2BF9">
        <w:rPr>
          <w:lang w:val="it-IT"/>
        </w:rPr>
        <w:t xml:space="preserve"> </w:t>
      </w:r>
      <w:r w:rsidR="00067FEE" w:rsidRPr="006A2BF9">
        <w:rPr>
          <w:lang w:val="it-IT"/>
        </w:rPr>
        <w:t xml:space="preserve">si è </w:t>
      </w:r>
      <w:r w:rsidR="004C3C77" w:rsidRPr="006A2BF9">
        <w:rPr>
          <w:lang w:val="it-IT"/>
        </w:rPr>
        <w:t>verificato</w:t>
      </w:r>
      <w:r w:rsidR="00067FEE" w:rsidRPr="006A2BF9">
        <w:rPr>
          <w:lang w:val="it-IT"/>
        </w:rPr>
        <w:t xml:space="preserve"> </w:t>
      </w:r>
      <w:r w:rsidR="00127894" w:rsidRPr="006A2BF9">
        <w:rPr>
          <w:lang w:val="it-IT"/>
        </w:rPr>
        <w:t xml:space="preserve">solo </w:t>
      </w:r>
      <w:r w:rsidRPr="006A2BF9">
        <w:rPr>
          <w:lang w:val="it-IT"/>
        </w:rPr>
        <w:t>in passato.</w:t>
      </w:r>
    </w:p>
    <w:p w14:paraId="189BCE01" w14:textId="77777777" w:rsidR="00E11936" w:rsidRPr="006A2BF9" w:rsidRDefault="00E11936" w:rsidP="00E11936">
      <w:pPr>
        <w:outlineLvl w:val="0"/>
        <w:rPr>
          <w:lang w:val="it-IT"/>
        </w:rPr>
      </w:pPr>
    </w:p>
    <w:p w14:paraId="2C3AAFEA" w14:textId="77777777" w:rsidR="00E11936" w:rsidRPr="006A2BF9" w:rsidRDefault="00E11936" w:rsidP="00E11936">
      <w:pPr>
        <w:ind w:left="567" w:hanging="567"/>
        <w:outlineLvl w:val="0"/>
        <w:rPr>
          <w:lang w:val="it-IT"/>
        </w:rPr>
      </w:pPr>
      <w:r w:rsidRPr="006A2BF9">
        <w:rPr>
          <w:lang w:val="it-IT"/>
        </w:rPr>
        <w:t xml:space="preserve">Prima di cominciare il trattamento con </w:t>
      </w:r>
      <w:r w:rsidR="005477DC" w:rsidRPr="006A2BF9">
        <w:rPr>
          <w:lang w:val="it-IT"/>
        </w:rPr>
        <w:t xml:space="preserve">Aybintio </w:t>
      </w:r>
      <w:r w:rsidRPr="006A2BF9">
        <w:rPr>
          <w:lang w:val="it-IT"/>
        </w:rPr>
        <w:t xml:space="preserve">o durante il trattamento con </w:t>
      </w:r>
      <w:r w:rsidR="005477DC" w:rsidRPr="006A2BF9">
        <w:rPr>
          <w:lang w:val="it-IT"/>
        </w:rPr>
        <w:t>Aybintio</w:t>
      </w:r>
      <w:r w:rsidRPr="006A2BF9">
        <w:rPr>
          <w:lang w:val="it-IT"/>
        </w:rPr>
        <w:t>:</w:t>
      </w:r>
    </w:p>
    <w:p w14:paraId="627B7CA5" w14:textId="77777777" w:rsidR="00E11936" w:rsidRPr="00330A40" w:rsidRDefault="00C91E39" w:rsidP="00C65E97">
      <w:pPr>
        <w:ind w:left="567" w:hanging="567"/>
        <w:outlineLvl w:val="0"/>
        <w:rPr>
          <w:lang w:val="it-IT"/>
        </w:rPr>
      </w:pPr>
      <w:r w:rsidRPr="00330A40">
        <w:rPr>
          <w:lang w:val="it-IT"/>
        </w:rPr>
        <w:sym w:font="Symbol" w:char="F0B7"/>
      </w:r>
      <w:r w:rsidRPr="00330A40">
        <w:rPr>
          <w:lang w:val="it-IT"/>
        </w:rPr>
        <w:tab/>
      </w:r>
      <w:r w:rsidR="00876ED3" w:rsidRPr="00330A40">
        <w:rPr>
          <w:lang w:val="it-IT"/>
        </w:rPr>
        <w:t>s</w:t>
      </w:r>
      <w:r w:rsidR="00E11936" w:rsidRPr="00330A40">
        <w:rPr>
          <w:lang w:val="it-IT"/>
        </w:rPr>
        <w:t>e ha avuto o ha dolore alla bocca, ai denti e/o alla mandibola</w:t>
      </w:r>
      <w:r w:rsidR="00765095" w:rsidRPr="00330A40">
        <w:rPr>
          <w:lang w:val="it-IT"/>
        </w:rPr>
        <w:t>/mascella</w:t>
      </w:r>
      <w:r w:rsidR="00E11936" w:rsidRPr="00330A40">
        <w:rPr>
          <w:lang w:val="it-IT"/>
        </w:rPr>
        <w:t xml:space="preserve">, oppure gonfiore o </w:t>
      </w:r>
      <w:r w:rsidR="00765095" w:rsidRPr="00330A40">
        <w:rPr>
          <w:lang w:val="it-IT"/>
        </w:rPr>
        <w:t>infiammazioni</w:t>
      </w:r>
      <w:r w:rsidR="00E11936" w:rsidRPr="00330A40">
        <w:rPr>
          <w:lang w:val="it-IT"/>
        </w:rPr>
        <w:t xml:space="preserve"> </w:t>
      </w:r>
      <w:r w:rsidR="00876ED3" w:rsidRPr="00330A40">
        <w:rPr>
          <w:lang w:val="it-IT"/>
        </w:rPr>
        <w:t>nella</w:t>
      </w:r>
      <w:r w:rsidR="00E11936" w:rsidRPr="00330A40">
        <w:rPr>
          <w:lang w:val="it-IT"/>
        </w:rPr>
        <w:t xml:space="preserve"> bocca, oppure intorpidimento o senso di pesantezza </w:t>
      </w:r>
      <w:r w:rsidR="00876ED3" w:rsidRPr="00330A40">
        <w:rPr>
          <w:lang w:val="it-IT"/>
        </w:rPr>
        <w:t>alla</w:t>
      </w:r>
      <w:r w:rsidR="00E11936" w:rsidRPr="00330A40">
        <w:rPr>
          <w:lang w:val="it-IT"/>
        </w:rPr>
        <w:t xml:space="preserve"> mandibola</w:t>
      </w:r>
      <w:r w:rsidR="00765095" w:rsidRPr="00330A40">
        <w:rPr>
          <w:lang w:val="it-IT"/>
        </w:rPr>
        <w:t>/mascella</w:t>
      </w:r>
      <w:r w:rsidR="00E11936" w:rsidRPr="00330A40">
        <w:rPr>
          <w:lang w:val="it-IT"/>
        </w:rPr>
        <w:t>, o perde un dente</w:t>
      </w:r>
      <w:r w:rsidR="00876ED3" w:rsidRPr="00330A40">
        <w:rPr>
          <w:lang w:val="it-IT"/>
        </w:rPr>
        <w:t>,</w:t>
      </w:r>
      <w:r w:rsidR="00E11936" w:rsidRPr="00330A40">
        <w:rPr>
          <w:lang w:val="it-IT"/>
        </w:rPr>
        <w:t xml:space="preserve"> lo riferisca immediatamente al medico e al dentista</w:t>
      </w:r>
      <w:r w:rsidR="00A60F1C" w:rsidRPr="00330A40">
        <w:rPr>
          <w:lang w:val="it-IT"/>
        </w:rPr>
        <w:t>;</w:t>
      </w:r>
    </w:p>
    <w:p w14:paraId="3669C193" w14:textId="77777777" w:rsidR="00E11936" w:rsidRPr="00330A40" w:rsidRDefault="00C91E39" w:rsidP="00C65E97">
      <w:pPr>
        <w:ind w:left="567" w:hanging="567"/>
        <w:outlineLvl w:val="0"/>
        <w:rPr>
          <w:lang w:val="it-IT"/>
        </w:rPr>
      </w:pPr>
      <w:r w:rsidRPr="00330A40">
        <w:rPr>
          <w:lang w:val="it-IT"/>
        </w:rPr>
        <w:sym w:font="Symbol" w:char="F0B7"/>
      </w:r>
      <w:r w:rsidRPr="00330A40">
        <w:rPr>
          <w:lang w:val="it-IT"/>
        </w:rPr>
        <w:tab/>
      </w:r>
      <w:r w:rsidR="00876ED3" w:rsidRPr="00330A40">
        <w:rPr>
          <w:lang w:val="it-IT"/>
        </w:rPr>
        <w:t>s</w:t>
      </w:r>
      <w:r w:rsidR="00E11936" w:rsidRPr="00330A40">
        <w:rPr>
          <w:lang w:val="it-IT"/>
        </w:rPr>
        <w:t xml:space="preserve">e deve sottoporsi ad un trattamento dentistico invasivo o a chirurgia dentale, </w:t>
      </w:r>
      <w:r w:rsidR="00A60F1C" w:rsidRPr="00330A40">
        <w:rPr>
          <w:lang w:val="it-IT"/>
        </w:rPr>
        <w:t xml:space="preserve">riferisca </w:t>
      </w:r>
      <w:r w:rsidR="00E11936" w:rsidRPr="00330A40">
        <w:rPr>
          <w:lang w:val="it-IT"/>
        </w:rPr>
        <w:t xml:space="preserve">al dentista che è in trattamento con </w:t>
      </w:r>
      <w:r w:rsidR="0082705A" w:rsidRPr="00330A40">
        <w:rPr>
          <w:lang w:val="it-IT"/>
        </w:rPr>
        <w:t>Aybintio</w:t>
      </w:r>
      <w:r w:rsidR="00E11936" w:rsidRPr="00330A40">
        <w:rPr>
          <w:lang w:val="it-IT"/>
        </w:rPr>
        <w:t xml:space="preserve">, in particolare se ha ricevuto o sta ricevendo </w:t>
      </w:r>
      <w:r w:rsidR="004B5F66" w:rsidRPr="00330A40">
        <w:rPr>
          <w:lang w:val="it-IT"/>
        </w:rPr>
        <w:t xml:space="preserve">un’iniezione di </w:t>
      </w:r>
      <w:r w:rsidR="00E11936" w:rsidRPr="00330A40">
        <w:rPr>
          <w:lang w:val="it-IT"/>
        </w:rPr>
        <w:t>bifosfonati</w:t>
      </w:r>
      <w:r w:rsidR="004D12E0" w:rsidRPr="00330A40">
        <w:rPr>
          <w:lang w:val="it-IT"/>
        </w:rPr>
        <w:t xml:space="preserve"> nel sangue</w:t>
      </w:r>
      <w:r w:rsidR="00E11936" w:rsidRPr="00330A40">
        <w:rPr>
          <w:lang w:val="it-IT"/>
        </w:rPr>
        <w:t>.</w:t>
      </w:r>
    </w:p>
    <w:p w14:paraId="1233F301" w14:textId="77777777" w:rsidR="00E11936" w:rsidRPr="00330A40" w:rsidRDefault="00E11936" w:rsidP="00876ED3">
      <w:pPr>
        <w:ind w:left="600" w:hanging="600"/>
        <w:outlineLvl w:val="0"/>
        <w:rPr>
          <w:lang w:val="it-IT"/>
        </w:rPr>
      </w:pPr>
    </w:p>
    <w:p w14:paraId="6DFE3597" w14:textId="77777777" w:rsidR="009C0666" w:rsidRPr="006A2BF9" w:rsidRDefault="00765095" w:rsidP="00E11936">
      <w:pPr>
        <w:outlineLvl w:val="0"/>
        <w:rPr>
          <w:lang w:val="it-IT"/>
        </w:rPr>
      </w:pPr>
      <w:r w:rsidRPr="00330A40">
        <w:rPr>
          <w:lang w:val="it-IT"/>
        </w:rPr>
        <w:t xml:space="preserve">Il medico o il dentista </w:t>
      </w:r>
      <w:r w:rsidR="00A66094" w:rsidRPr="006A2BF9">
        <w:rPr>
          <w:lang w:val="it-IT"/>
        </w:rPr>
        <w:t>po</w:t>
      </w:r>
      <w:r w:rsidR="00A66094">
        <w:rPr>
          <w:lang w:val="it-IT"/>
        </w:rPr>
        <w:t>ssono</w:t>
      </w:r>
      <w:r w:rsidR="00A66094" w:rsidRPr="006A2BF9">
        <w:rPr>
          <w:lang w:val="it-IT"/>
        </w:rPr>
        <w:t xml:space="preserve"> </w:t>
      </w:r>
      <w:r w:rsidR="00E11936" w:rsidRPr="006A2BF9">
        <w:rPr>
          <w:lang w:val="it-IT"/>
        </w:rPr>
        <w:t xml:space="preserve">suggerirle di </w:t>
      </w:r>
      <w:r w:rsidR="00E03C8B" w:rsidRPr="006A2BF9">
        <w:rPr>
          <w:lang w:val="it-IT"/>
        </w:rPr>
        <w:t xml:space="preserve">sottoporsi a </w:t>
      </w:r>
      <w:r w:rsidR="00E11936" w:rsidRPr="006A2BF9">
        <w:rPr>
          <w:lang w:val="it-IT"/>
        </w:rPr>
        <w:t xml:space="preserve">un controllo dentistico prima di iniziare il trattamento con </w:t>
      </w:r>
      <w:r w:rsidR="0082705A" w:rsidRPr="006A2BF9">
        <w:rPr>
          <w:lang w:val="it-IT"/>
        </w:rPr>
        <w:t>Aybintio</w:t>
      </w:r>
      <w:r w:rsidR="00E11936" w:rsidRPr="006A2BF9">
        <w:rPr>
          <w:lang w:val="it-IT"/>
        </w:rPr>
        <w:t>.</w:t>
      </w:r>
    </w:p>
    <w:p w14:paraId="4C5AE5F4" w14:textId="77777777" w:rsidR="00E11936" w:rsidRPr="006A2BF9" w:rsidRDefault="00E11936" w:rsidP="00E11936">
      <w:pPr>
        <w:outlineLvl w:val="0"/>
        <w:rPr>
          <w:lang w:val="it-IT"/>
        </w:rPr>
      </w:pPr>
    </w:p>
    <w:p w14:paraId="5634A478" w14:textId="77777777" w:rsidR="004B5F66" w:rsidRPr="006A2BF9" w:rsidRDefault="004B5F66" w:rsidP="004B5F66">
      <w:pPr>
        <w:outlineLvl w:val="0"/>
        <w:rPr>
          <w:b/>
          <w:lang w:val="it-IT"/>
        </w:rPr>
      </w:pPr>
      <w:r w:rsidRPr="006A2BF9">
        <w:rPr>
          <w:b/>
          <w:lang w:val="it-IT"/>
        </w:rPr>
        <w:t>Bambini e adolescenti</w:t>
      </w:r>
    </w:p>
    <w:p w14:paraId="3C967FD6" w14:textId="77777777" w:rsidR="005D6C1B" w:rsidRPr="006A2BF9" w:rsidRDefault="005D6C1B" w:rsidP="005D6C1B">
      <w:pPr>
        <w:outlineLvl w:val="0"/>
        <w:rPr>
          <w:lang w:val="it-IT"/>
        </w:rPr>
      </w:pPr>
      <w:r w:rsidRPr="006A2BF9">
        <w:rPr>
          <w:lang w:val="it-IT"/>
        </w:rPr>
        <w:t xml:space="preserve">La terapia con </w:t>
      </w:r>
      <w:r w:rsidR="0082705A" w:rsidRPr="006A2BF9">
        <w:rPr>
          <w:lang w:val="it-IT"/>
        </w:rPr>
        <w:t>Aybintio</w:t>
      </w:r>
      <w:r w:rsidR="0082705A" w:rsidRPr="006A2BF9">
        <w:rPr>
          <w:b/>
          <w:lang w:val="it-IT"/>
        </w:rPr>
        <w:t xml:space="preserve"> </w:t>
      </w:r>
      <w:r w:rsidRPr="006A2BF9">
        <w:rPr>
          <w:lang w:val="it-IT"/>
        </w:rPr>
        <w:t>non è raccomandata nei bambini e negli adolescenti di età inferiore a 18</w:t>
      </w:r>
      <w:r w:rsidR="005015CA" w:rsidRPr="006A2BF9">
        <w:rPr>
          <w:lang w:val="it-IT"/>
        </w:rPr>
        <w:t> </w:t>
      </w:r>
      <w:r w:rsidR="00657040" w:rsidRPr="006A2BF9">
        <w:rPr>
          <w:lang w:val="it-IT"/>
        </w:rPr>
        <w:t xml:space="preserve">anni in quanto né la sicurezza né i benefici </w:t>
      </w:r>
      <w:r w:rsidRPr="006A2BF9">
        <w:rPr>
          <w:lang w:val="it-IT"/>
        </w:rPr>
        <w:t xml:space="preserve">sono stati stabiliti in questa popolazione di pazienti. </w:t>
      </w:r>
    </w:p>
    <w:p w14:paraId="74B31253" w14:textId="77777777" w:rsidR="00DB56C5" w:rsidRPr="006A2BF9" w:rsidRDefault="00DB56C5" w:rsidP="00E11936">
      <w:pPr>
        <w:outlineLvl w:val="0"/>
        <w:rPr>
          <w:lang w:val="it-IT"/>
        </w:rPr>
      </w:pPr>
    </w:p>
    <w:p w14:paraId="14D2F556" w14:textId="77777777" w:rsidR="004B5F66" w:rsidRPr="006A2BF9" w:rsidRDefault="00DB56C5" w:rsidP="00E11936">
      <w:pPr>
        <w:outlineLvl w:val="0"/>
        <w:rPr>
          <w:lang w:val="it-IT"/>
        </w:rPr>
      </w:pPr>
      <w:r w:rsidRPr="006A2BF9">
        <w:rPr>
          <w:lang w:val="it-IT"/>
        </w:rPr>
        <w:lastRenderedPageBreak/>
        <w:t>La morte del tessuto osseo (</w:t>
      </w:r>
      <w:r w:rsidR="004B154C" w:rsidRPr="006A2BF9">
        <w:rPr>
          <w:lang w:val="it-IT"/>
        </w:rPr>
        <w:t xml:space="preserve">osteonecrosi) in ossa diverse </w:t>
      </w:r>
      <w:r w:rsidRPr="006A2BF9">
        <w:rPr>
          <w:lang w:val="it-IT"/>
        </w:rPr>
        <w:t xml:space="preserve">dalla mascella </w:t>
      </w:r>
      <w:r w:rsidR="004B154C" w:rsidRPr="006A2BF9">
        <w:rPr>
          <w:lang w:val="it-IT"/>
        </w:rPr>
        <w:t xml:space="preserve">è stata riscontrata </w:t>
      </w:r>
      <w:r w:rsidRPr="006A2BF9">
        <w:rPr>
          <w:lang w:val="it-IT"/>
        </w:rPr>
        <w:t xml:space="preserve">in pazienti </w:t>
      </w:r>
      <w:r w:rsidR="004B154C" w:rsidRPr="006A2BF9">
        <w:rPr>
          <w:lang w:val="it-IT"/>
        </w:rPr>
        <w:t>di età inferiore a 18</w:t>
      </w:r>
      <w:r w:rsidR="005015CA" w:rsidRPr="006A2BF9">
        <w:rPr>
          <w:lang w:val="it-IT"/>
        </w:rPr>
        <w:t> </w:t>
      </w:r>
      <w:r w:rsidR="004B154C" w:rsidRPr="006A2BF9">
        <w:rPr>
          <w:lang w:val="it-IT"/>
        </w:rPr>
        <w:t xml:space="preserve">anni trattati con </w:t>
      </w:r>
      <w:r w:rsidR="0082705A" w:rsidRPr="006A2BF9">
        <w:rPr>
          <w:lang w:val="it-IT"/>
        </w:rPr>
        <w:t>Aybintio</w:t>
      </w:r>
      <w:r w:rsidR="004B154C" w:rsidRPr="006A2BF9">
        <w:rPr>
          <w:lang w:val="it-IT"/>
        </w:rPr>
        <w:t xml:space="preserve">. </w:t>
      </w:r>
    </w:p>
    <w:p w14:paraId="7C1AAF64" w14:textId="77777777" w:rsidR="009B1F33" w:rsidRPr="006A2BF9" w:rsidRDefault="009B1F33" w:rsidP="00E11936">
      <w:pPr>
        <w:outlineLvl w:val="0"/>
        <w:rPr>
          <w:lang w:val="it-IT"/>
        </w:rPr>
      </w:pPr>
    </w:p>
    <w:p w14:paraId="26C796A7" w14:textId="77777777" w:rsidR="009C0666" w:rsidRPr="006A2BF9" w:rsidRDefault="004B5F66" w:rsidP="002B72F9">
      <w:pPr>
        <w:keepNext/>
        <w:keepLines/>
        <w:outlineLvl w:val="0"/>
        <w:rPr>
          <w:b/>
          <w:lang w:val="it-IT"/>
        </w:rPr>
      </w:pPr>
      <w:r w:rsidRPr="006A2BF9">
        <w:rPr>
          <w:b/>
          <w:lang w:val="it-IT"/>
        </w:rPr>
        <w:t>A</w:t>
      </w:r>
      <w:r w:rsidR="009C0666" w:rsidRPr="006A2BF9">
        <w:rPr>
          <w:b/>
          <w:lang w:val="it-IT"/>
        </w:rPr>
        <w:t>ltri medicinali</w:t>
      </w:r>
      <w:r w:rsidRPr="006A2BF9">
        <w:rPr>
          <w:b/>
          <w:lang w:val="it-IT"/>
        </w:rPr>
        <w:t xml:space="preserve"> e </w:t>
      </w:r>
      <w:r w:rsidR="0082705A" w:rsidRPr="006A2BF9">
        <w:rPr>
          <w:b/>
          <w:lang w:val="it-IT"/>
        </w:rPr>
        <w:t>Aybintio</w:t>
      </w:r>
    </w:p>
    <w:p w14:paraId="51EB39F1" w14:textId="77777777" w:rsidR="009C0666" w:rsidRPr="006A2BF9" w:rsidRDefault="009C0666" w:rsidP="002B72F9">
      <w:pPr>
        <w:keepNext/>
        <w:keepLines/>
        <w:outlineLvl w:val="0"/>
        <w:rPr>
          <w:lang w:val="it-IT"/>
        </w:rPr>
      </w:pPr>
      <w:r w:rsidRPr="006A2BF9">
        <w:rPr>
          <w:lang w:val="it-IT"/>
        </w:rPr>
        <w:t>Informi il medico</w:t>
      </w:r>
      <w:r w:rsidR="004B5F66" w:rsidRPr="006A2BF9">
        <w:rPr>
          <w:lang w:val="it-IT"/>
        </w:rPr>
        <w:t>,</w:t>
      </w:r>
      <w:r w:rsidR="008E7313" w:rsidRPr="006A2BF9">
        <w:rPr>
          <w:lang w:val="it-IT"/>
        </w:rPr>
        <w:t xml:space="preserve"> </w:t>
      </w:r>
      <w:r w:rsidRPr="006A2BF9">
        <w:rPr>
          <w:lang w:val="it-IT"/>
        </w:rPr>
        <w:t>il farmacista</w:t>
      </w:r>
      <w:r w:rsidR="004B5F66" w:rsidRPr="006A2BF9">
        <w:rPr>
          <w:lang w:val="it-IT"/>
        </w:rPr>
        <w:t xml:space="preserve"> o l’infermiere</w:t>
      </w:r>
      <w:r w:rsidRPr="006A2BF9">
        <w:rPr>
          <w:lang w:val="it-IT"/>
        </w:rPr>
        <w:t xml:space="preserve"> se sta assumendo</w:t>
      </w:r>
      <w:r w:rsidR="004B5F66" w:rsidRPr="006A2BF9">
        <w:rPr>
          <w:lang w:val="it-IT"/>
        </w:rPr>
        <w:t>,</w:t>
      </w:r>
      <w:r w:rsidRPr="006A2BF9">
        <w:rPr>
          <w:lang w:val="it-IT"/>
        </w:rPr>
        <w:t xml:space="preserve"> ha recentemente assunto </w:t>
      </w:r>
      <w:r w:rsidR="004B5F66" w:rsidRPr="006A2BF9">
        <w:rPr>
          <w:lang w:val="it-IT"/>
        </w:rPr>
        <w:t xml:space="preserve">o potrebbe assumere </w:t>
      </w:r>
      <w:r w:rsidRPr="006A2BF9">
        <w:rPr>
          <w:lang w:val="it-IT"/>
        </w:rPr>
        <w:t>qualsiasi altro medicinale</w:t>
      </w:r>
      <w:r w:rsidR="004B5F66" w:rsidRPr="006A2BF9">
        <w:rPr>
          <w:lang w:val="it-IT"/>
        </w:rPr>
        <w:t>.</w:t>
      </w:r>
    </w:p>
    <w:p w14:paraId="481AB202" w14:textId="77777777" w:rsidR="009C0666" w:rsidRPr="006A2BF9" w:rsidRDefault="009C0666" w:rsidP="009C0666">
      <w:pPr>
        <w:rPr>
          <w:lang w:val="it-IT"/>
        </w:rPr>
      </w:pPr>
    </w:p>
    <w:p w14:paraId="432BE04D" w14:textId="77777777" w:rsidR="004B5F66" w:rsidRPr="00330A40" w:rsidRDefault="009322F4" w:rsidP="004B5F66">
      <w:pPr>
        <w:rPr>
          <w:lang w:val="it-IT"/>
        </w:rPr>
      </w:pPr>
      <w:r w:rsidRPr="006A2BF9">
        <w:rPr>
          <w:lang w:val="it-IT"/>
        </w:rPr>
        <w:t xml:space="preserve">Associazioni </w:t>
      </w:r>
      <w:r w:rsidR="004B5F66" w:rsidRPr="006A2BF9">
        <w:rPr>
          <w:lang w:val="it-IT"/>
        </w:rPr>
        <w:t xml:space="preserve">di </w:t>
      </w:r>
      <w:r w:rsidR="0082705A" w:rsidRPr="006A2BF9">
        <w:rPr>
          <w:lang w:val="it-IT"/>
        </w:rPr>
        <w:t>Aybintio</w:t>
      </w:r>
      <w:r w:rsidR="0082705A" w:rsidRPr="006A2BF9">
        <w:rPr>
          <w:b/>
          <w:lang w:val="it-IT"/>
        </w:rPr>
        <w:t xml:space="preserve"> </w:t>
      </w:r>
      <w:r w:rsidR="004B5F66" w:rsidRPr="006A2BF9">
        <w:rPr>
          <w:lang w:val="it-IT"/>
        </w:rPr>
        <w:t xml:space="preserve">con un altro </w:t>
      </w:r>
      <w:r w:rsidR="00D610BC" w:rsidRPr="006A2BF9">
        <w:rPr>
          <w:lang w:val="it-IT"/>
        </w:rPr>
        <w:t>medicinale</w:t>
      </w:r>
      <w:r w:rsidR="004B5F66" w:rsidRPr="006A2BF9">
        <w:rPr>
          <w:lang w:val="it-IT"/>
        </w:rPr>
        <w:t xml:space="preserve">, </w:t>
      </w:r>
      <w:r w:rsidR="008B46D7" w:rsidRPr="006A2BF9">
        <w:rPr>
          <w:lang w:val="it-IT"/>
        </w:rPr>
        <w:t xml:space="preserve">denominato </w:t>
      </w:r>
      <w:r w:rsidR="004B5F66" w:rsidRPr="006A2BF9">
        <w:rPr>
          <w:lang w:val="it-IT"/>
        </w:rPr>
        <w:t xml:space="preserve">sunitinib </w:t>
      </w:r>
      <w:r w:rsidR="004B5F66" w:rsidRPr="00330A40">
        <w:rPr>
          <w:lang w:val="it-IT"/>
        </w:rPr>
        <w:t xml:space="preserve">malato (prescritto per il </w:t>
      </w:r>
      <w:r w:rsidR="00387CD5" w:rsidRPr="00330A40">
        <w:rPr>
          <w:lang w:val="it-IT"/>
        </w:rPr>
        <w:t xml:space="preserve">tumore </w:t>
      </w:r>
      <w:r w:rsidR="004B5F66" w:rsidRPr="00330A40">
        <w:rPr>
          <w:lang w:val="it-IT"/>
        </w:rPr>
        <w:t xml:space="preserve">renale e gastrointestinale), possono causare </w:t>
      </w:r>
      <w:r w:rsidR="009B1F33" w:rsidRPr="00330A40">
        <w:rPr>
          <w:lang w:val="it-IT"/>
        </w:rPr>
        <w:t xml:space="preserve">gravi </w:t>
      </w:r>
      <w:r w:rsidR="004B5F66" w:rsidRPr="00330A40">
        <w:rPr>
          <w:lang w:val="it-IT"/>
        </w:rPr>
        <w:t xml:space="preserve">effetti </w:t>
      </w:r>
      <w:r w:rsidR="00CC1631" w:rsidRPr="00330A40">
        <w:rPr>
          <w:lang w:val="it-IT"/>
        </w:rPr>
        <w:t>indesiderati</w:t>
      </w:r>
      <w:r w:rsidR="004B5F66" w:rsidRPr="00330A40">
        <w:rPr>
          <w:lang w:val="it-IT"/>
        </w:rPr>
        <w:t>. Discut</w:t>
      </w:r>
      <w:r w:rsidR="00A14FE6" w:rsidRPr="00330A40">
        <w:rPr>
          <w:lang w:val="it-IT"/>
        </w:rPr>
        <w:t>a</w:t>
      </w:r>
      <w:r w:rsidR="004B5F66" w:rsidRPr="00330A40">
        <w:rPr>
          <w:lang w:val="it-IT"/>
        </w:rPr>
        <w:t xml:space="preserve"> con il medico per assicurarsi di non </w:t>
      </w:r>
      <w:r w:rsidR="00A14FE6" w:rsidRPr="00330A40">
        <w:rPr>
          <w:lang w:val="it-IT"/>
        </w:rPr>
        <w:t xml:space="preserve">associare </w:t>
      </w:r>
      <w:r w:rsidR="004B5F66" w:rsidRPr="00330A40">
        <w:rPr>
          <w:lang w:val="it-IT"/>
        </w:rPr>
        <w:t>questi</w:t>
      </w:r>
      <w:r w:rsidR="00EF464D">
        <w:rPr>
          <w:lang w:val="it-IT"/>
        </w:rPr>
        <w:t xml:space="preserve"> </w:t>
      </w:r>
      <w:r w:rsidR="00A66094">
        <w:rPr>
          <w:lang w:val="it-IT"/>
        </w:rPr>
        <w:t>medicinali</w:t>
      </w:r>
      <w:r w:rsidR="004B5F66" w:rsidRPr="00330A40">
        <w:rPr>
          <w:lang w:val="it-IT"/>
        </w:rPr>
        <w:t>.</w:t>
      </w:r>
    </w:p>
    <w:p w14:paraId="0548C131" w14:textId="77777777" w:rsidR="004B5F66" w:rsidRPr="00330A40" w:rsidRDefault="004B5F66" w:rsidP="004B5F66">
      <w:pPr>
        <w:rPr>
          <w:lang w:val="it-IT"/>
        </w:rPr>
      </w:pPr>
    </w:p>
    <w:p w14:paraId="532838C3" w14:textId="77777777" w:rsidR="004B5F66" w:rsidRPr="006A2BF9" w:rsidRDefault="004B5F66" w:rsidP="004B5F66">
      <w:pPr>
        <w:rPr>
          <w:lang w:val="it-IT"/>
        </w:rPr>
      </w:pPr>
      <w:r w:rsidRPr="00330A40">
        <w:rPr>
          <w:lang w:val="it-IT"/>
        </w:rPr>
        <w:t xml:space="preserve">Informi il medico se sta utilizzando terapie a base di platino o taxani per </w:t>
      </w:r>
      <w:r w:rsidR="00C35913">
        <w:rPr>
          <w:lang w:val="it-IT"/>
        </w:rPr>
        <w:t>cancro</w:t>
      </w:r>
      <w:r w:rsidR="00C35913" w:rsidRPr="00330A40">
        <w:rPr>
          <w:lang w:val="it-IT"/>
        </w:rPr>
        <w:t xml:space="preserve"> </w:t>
      </w:r>
      <w:r w:rsidR="00D610BC" w:rsidRPr="00330A40">
        <w:rPr>
          <w:lang w:val="it-IT"/>
        </w:rPr>
        <w:t xml:space="preserve">del polmone </w:t>
      </w:r>
      <w:r w:rsidRPr="00330A40">
        <w:rPr>
          <w:lang w:val="it-IT"/>
        </w:rPr>
        <w:t xml:space="preserve">o </w:t>
      </w:r>
      <w:r w:rsidR="00D610BC" w:rsidRPr="00330A40">
        <w:rPr>
          <w:lang w:val="it-IT"/>
        </w:rPr>
        <w:t xml:space="preserve">della </w:t>
      </w:r>
      <w:r w:rsidRPr="00330A40">
        <w:rPr>
          <w:lang w:val="it-IT"/>
        </w:rPr>
        <w:t>mamm</w:t>
      </w:r>
      <w:r w:rsidR="00D610BC" w:rsidRPr="00330A40">
        <w:rPr>
          <w:lang w:val="it-IT"/>
        </w:rPr>
        <w:t>ella</w:t>
      </w:r>
      <w:r w:rsidRPr="00330A40">
        <w:rPr>
          <w:lang w:val="it-IT"/>
        </w:rPr>
        <w:t xml:space="preserve"> metastatico. Queste terapie in </w:t>
      </w:r>
      <w:r w:rsidR="008D00BC" w:rsidRPr="00330A40">
        <w:rPr>
          <w:lang w:val="it-IT"/>
        </w:rPr>
        <w:t xml:space="preserve">associazione </w:t>
      </w:r>
      <w:r w:rsidR="00E03C8B" w:rsidRPr="00330A40">
        <w:rPr>
          <w:lang w:val="it-IT"/>
        </w:rPr>
        <w:t xml:space="preserve">ad </w:t>
      </w:r>
      <w:r w:rsidR="0082705A" w:rsidRPr="00330A40">
        <w:rPr>
          <w:lang w:val="it-IT"/>
        </w:rPr>
        <w:t>Aybintio</w:t>
      </w:r>
      <w:r w:rsidR="0082705A" w:rsidRPr="00330A40">
        <w:rPr>
          <w:b/>
          <w:lang w:val="it-IT"/>
        </w:rPr>
        <w:t xml:space="preserve"> </w:t>
      </w:r>
      <w:r w:rsidRPr="00330A40">
        <w:rPr>
          <w:lang w:val="it-IT"/>
        </w:rPr>
        <w:t xml:space="preserve">possono aumentare il rischio di </w:t>
      </w:r>
      <w:r w:rsidR="009B1F33" w:rsidRPr="00330A40">
        <w:rPr>
          <w:lang w:val="it-IT"/>
        </w:rPr>
        <w:t>gravi</w:t>
      </w:r>
      <w:r w:rsidR="00B66DC7" w:rsidRPr="006A2BF9">
        <w:rPr>
          <w:lang w:val="it-IT"/>
        </w:rPr>
        <w:t xml:space="preserve"> </w:t>
      </w:r>
      <w:r w:rsidRPr="006A2BF9">
        <w:rPr>
          <w:lang w:val="it-IT"/>
        </w:rPr>
        <w:t>effetti</w:t>
      </w:r>
      <w:r w:rsidR="006C1C65" w:rsidRPr="006A2BF9">
        <w:rPr>
          <w:lang w:val="it-IT"/>
        </w:rPr>
        <w:t xml:space="preserve"> indesiderati</w:t>
      </w:r>
      <w:r w:rsidRPr="006A2BF9">
        <w:rPr>
          <w:lang w:val="it-IT"/>
        </w:rPr>
        <w:t>.</w:t>
      </w:r>
    </w:p>
    <w:p w14:paraId="49166103" w14:textId="77777777" w:rsidR="004B5F66" w:rsidRPr="006A2BF9" w:rsidRDefault="004B5F66" w:rsidP="009C0666">
      <w:pPr>
        <w:rPr>
          <w:lang w:val="it-IT"/>
        </w:rPr>
      </w:pPr>
    </w:p>
    <w:p w14:paraId="7A949790" w14:textId="77777777" w:rsidR="009C0666" w:rsidRPr="006A2BF9" w:rsidRDefault="009C0666" w:rsidP="009C0666">
      <w:pPr>
        <w:outlineLvl w:val="0"/>
        <w:rPr>
          <w:lang w:val="it-IT"/>
        </w:rPr>
      </w:pPr>
      <w:r w:rsidRPr="006A2BF9">
        <w:rPr>
          <w:lang w:val="it-IT"/>
        </w:rPr>
        <w:t>Informi il medico se ha ricevuto di recente o sta ricevendo una radioterapia.</w:t>
      </w:r>
    </w:p>
    <w:p w14:paraId="31876999" w14:textId="77777777" w:rsidR="009C0666" w:rsidRPr="006A2BF9" w:rsidRDefault="009C0666" w:rsidP="009C0666">
      <w:pPr>
        <w:outlineLvl w:val="0"/>
        <w:rPr>
          <w:lang w:val="it-IT"/>
        </w:rPr>
      </w:pPr>
    </w:p>
    <w:p w14:paraId="32EAD6D8" w14:textId="77777777" w:rsidR="009C0666" w:rsidRPr="006A2BF9" w:rsidRDefault="009C0666" w:rsidP="00F15447">
      <w:pPr>
        <w:numPr>
          <w:ilvl w:val="12"/>
          <w:numId w:val="0"/>
        </w:numPr>
        <w:ind w:left="567" w:hanging="567"/>
        <w:rPr>
          <w:b/>
          <w:lang w:val="it-IT"/>
        </w:rPr>
      </w:pPr>
      <w:r w:rsidRPr="006A2BF9">
        <w:rPr>
          <w:b/>
          <w:lang w:val="it-IT"/>
        </w:rPr>
        <w:t>Gravidanza</w:t>
      </w:r>
      <w:r w:rsidR="004B5F66" w:rsidRPr="006A2BF9">
        <w:rPr>
          <w:b/>
          <w:lang w:val="it-IT"/>
        </w:rPr>
        <w:t xml:space="preserve">, </w:t>
      </w:r>
      <w:r w:rsidRPr="006A2BF9">
        <w:rPr>
          <w:b/>
          <w:lang w:val="it-IT"/>
        </w:rPr>
        <w:t>allattamento</w:t>
      </w:r>
      <w:r w:rsidR="004B5F66" w:rsidRPr="006A2BF9">
        <w:rPr>
          <w:b/>
          <w:lang w:val="it-IT"/>
        </w:rPr>
        <w:t xml:space="preserve"> e fertilità</w:t>
      </w:r>
    </w:p>
    <w:p w14:paraId="7640E226" w14:textId="77777777" w:rsidR="009C0666" w:rsidRPr="006A2BF9" w:rsidRDefault="009C0666" w:rsidP="009C0666">
      <w:pPr>
        <w:numPr>
          <w:ilvl w:val="12"/>
          <w:numId w:val="0"/>
        </w:numPr>
        <w:rPr>
          <w:lang w:val="it-IT"/>
        </w:rPr>
      </w:pPr>
      <w:r w:rsidRPr="006A2BF9">
        <w:rPr>
          <w:lang w:val="it-IT"/>
        </w:rPr>
        <w:t xml:space="preserve">Se è </w:t>
      </w:r>
      <w:r w:rsidR="00663AE3" w:rsidRPr="006A2BF9">
        <w:rPr>
          <w:lang w:val="it-IT"/>
        </w:rPr>
        <w:t>in corso una gravidanza</w:t>
      </w:r>
      <w:r w:rsidRPr="006A2BF9">
        <w:rPr>
          <w:lang w:val="it-IT"/>
        </w:rPr>
        <w:t xml:space="preserve"> non deve usare</w:t>
      </w:r>
      <w:r w:rsidR="00EF464D">
        <w:rPr>
          <w:lang w:val="it-IT"/>
        </w:rPr>
        <w:t xml:space="preserve"> </w:t>
      </w:r>
      <w:r w:rsidR="006E4CFE">
        <w:rPr>
          <w:lang w:val="it-IT"/>
        </w:rPr>
        <w:t>questo medicinale</w:t>
      </w:r>
      <w:r w:rsidRPr="006A2BF9">
        <w:rPr>
          <w:lang w:val="it-IT"/>
        </w:rPr>
        <w:t xml:space="preserve">. </w:t>
      </w:r>
      <w:r w:rsidR="0082705A" w:rsidRPr="006A2BF9">
        <w:rPr>
          <w:lang w:val="it-IT"/>
        </w:rPr>
        <w:t>Aybintio</w:t>
      </w:r>
      <w:r w:rsidR="0082705A" w:rsidRPr="006A2BF9">
        <w:rPr>
          <w:b/>
          <w:lang w:val="it-IT"/>
        </w:rPr>
        <w:t xml:space="preserve"> </w:t>
      </w:r>
      <w:r w:rsidRPr="006A2BF9">
        <w:rPr>
          <w:lang w:val="it-IT"/>
        </w:rPr>
        <w:t xml:space="preserve">può recare danni al bambino non ancora nato, in quanto può interrompere la formazione di nuovi vasi sanguigni. Il medico le consiglierà di utilizzare adeguate misure di contraccezione durante la terapia con </w:t>
      </w:r>
      <w:r w:rsidR="0082705A" w:rsidRPr="006A2BF9">
        <w:rPr>
          <w:lang w:val="it-IT"/>
        </w:rPr>
        <w:t>Aybintio</w:t>
      </w:r>
      <w:r w:rsidR="0082705A" w:rsidRPr="006A2BF9">
        <w:rPr>
          <w:b/>
          <w:lang w:val="it-IT"/>
        </w:rPr>
        <w:t xml:space="preserve"> </w:t>
      </w:r>
      <w:r w:rsidRPr="006A2BF9">
        <w:rPr>
          <w:lang w:val="it-IT"/>
        </w:rPr>
        <w:t>e per almeno 6</w:t>
      </w:r>
      <w:r w:rsidR="005015CA" w:rsidRPr="006A2BF9">
        <w:rPr>
          <w:lang w:val="it-IT"/>
        </w:rPr>
        <w:t> </w:t>
      </w:r>
      <w:r w:rsidRPr="006A2BF9">
        <w:rPr>
          <w:lang w:val="it-IT"/>
        </w:rPr>
        <w:t xml:space="preserve">mesi dopo l’assunzione dell’ultima dose di </w:t>
      </w:r>
      <w:r w:rsidR="0082705A" w:rsidRPr="006A2BF9">
        <w:rPr>
          <w:lang w:val="it-IT"/>
        </w:rPr>
        <w:t>Aybintio</w:t>
      </w:r>
      <w:r w:rsidRPr="006A2BF9">
        <w:rPr>
          <w:lang w:val="it-IT"/>
        </w:rPr>
        <w:t xml:space="preserve">. </w:t>
      </w:r>
    </w:p>
    <w:p w14:paraId="3230C929" w14:textId="77777777" w:rsidR="009C0666" w:rsidRPr="006A2BF9" w:rsidRDefault="009C0666" w:rsidP="009C0666">
      <w:pPr>
        <w:numPr>
          <w:ilvl w:val="12"/>
          <w:numId w:val="0"/>
        </w:numPr>
        <w:rPr>
          <w:lang w:val="it-IT"/>
        </w:rPr>
      </w:pPr>
    </w:p>
    <w:p w14:paraId="14A1FF64" w14:textId="77777777" w:rsidR="009C0666" w:rsidRPr="006A2BF9" w:rsidRDefault="009C0666" w:rsidP="009C0666">
      <w:pPr>
        <w:numPr>
          <w:ilvl w:val="12"/>
          <w:numId w:val="0"/>
        </w:numPr>
        <w:rPr>
          <w:lang w:val="it-IT"/>
        </w:rPr>
      </w:pPr>
      <w:r w:rsidRPr="006A2BF9">
        <w:rPr>
          <w:lang w:val="it-IT"/>
        </w:rPr>
        <w:t xml:space="preserve">Se è </w:t>
      </w:r>
      <w:r w:rsidR="00BA306C" w:rsidRPr="006A2BF9">
        <w:rPr>
          <w:lang w:val="it-IT"/>
        </w:rPr>
        <w:t>in corso una gravidanza</w:t>
      </w:r>
      <w:r w:rsidRPr="006A2BF9">
        <w:rPr>
          <w:lang w:val="it-IT"/>
        </w:rPr>
        <w:t xml:space="preserve">, </w:t>
      </w:r>
      <w:r w:rsidR="00BA306C" w:rsidRPr="006A2BF9">
        <w:rPr>
          <w:lang w:val="it-IT"/>
        </w:rPr>
        <w:t>se sospetta una gravidanza durante il</w:t>
      </w:r>
      <w:r w:rsidRPr="006A2BF9">
        <w:rPr>
          <w:lang w:val="it-IT"/>
        </w:rPr>
        <w:t xml:space="preserve"> trattamento con </w:t>
      </w:r>
      <w:r w:rsidR="004A3FDA" w:rsidRPr="006A2BF9">
        <w:rPr>
          <w:lang w:val="it-IT"/>
        </w:rPr>
        <w:t xml:space="preserve">questo medicinale </w:t>
      </w:r>
      <w:r w:rsidRPr="006A2BF9">
        <w:rPr>
          <w:lang w:val="it-IT"/>
        </w:rPr>
        <w:t xml:space="preserve">o sta pianificando </w:t>
      </w:r>
      <w:r w:rsidR="00154F54" w:rsidRPr="006A2BF9">
        <w:rPr>
          <w:lang w:val="it-IT"/>
        </w:rPr>
        <w:t>una gravidanza</w:t>
      </w:r>
      <w:r w:rsidRPr="006A2BF9">
        <w:rPr>
          <w:lang w:val="it-IT"/>
        </w:rPr>
        <w:t xml:space="preserve"> nell’immediato futuro, ne parli immediatamente con il medico.</w:t>
      </w:r>
      <w:r w:rsidR="004B5F66" w:rsidRPr="006A2BF9">
        <w:rPr>
          <w:lang w:val="it-IT"/>
        </w:rPr>
        <w:t xml:space="preserve"> </w:t>
      </w:r>
    </w:p>
    <w:p w14:paraId="25CF5C79" w14:textId="77777777" w:rsidR="009C0666" w:rsidRPr="006A2BF9" w:rsidRDefault="009C0666" w:rsidP="009C0666">
      <w:pPr>
        <w:numPr>
          <w:ilvl w:val="12"/>
          <w:numId w:val="0"/>
        </w:numPr>
        <w:ind w:left="567" w:hanging="567"/>
        <w:rPr>
          <w:lang w:val="it-IT"/>
        </w:rPr>
      </w:pPr>
    </w:p>
    <w:p w14:paraId="1F1B49D4" w14:textId="77777777" w:rsidR="009C0666" w:rsidRPr="006A2BF9" w:rsidRDefault="009C0666" w:rsidP="009C0666">
      <w:pPr>
        <w:numPr>
          <w:ilvl w:val="12"/>
          <w:numId w:val="0"/>
        </w:numPr>
        <w:rPr>
          <w:lang w:val="it-IT"/>
        </w:rPr>
      </w:pPr>
      <w:r w:rsidRPr="006A2BF9">
        <w:rPr>
          <w:lang w:val="it-IT"/>
        </w:rPr>
        <w:t xml:space="preserve">Non deve allattare </w:t>
      </w:r>
      <w:r w:rsidR="00B037C7" w:rsidRPr="006A2BF9">
        <w:rPr>
          <w:lang w:val="it-IT"/>
        </w:rPr>
        <w:t>con latte materno</w:t>
      </w:r>
      <w:r w:rsidRPr="006A2BF9">
        <w:rPr>
          <w:lang w:val="it-IT"/>
        </w:rPr>
        <w:t xml:space="preserve"> il bambino durante il trattamento con </w:t>
      </w:r>
      <w:r w:rsidR="0082705A" w:rsidRPr="006A2BF9">
        <w:rPr>
          <w:lang w:val="it-IT"/>
        </w:rPr>
        <w:t>Aybintio</w:t>
      </w:r>
      <w:r w:rsidR="0082705A" w:rsidRPr="006A2BF9">
        <w:rPr>
          <w:b/>
          <w:lang w:val="it-IT"/>
        </w:rPr>
        <w:t xml:space="preserve"> </w:t>
      </w:r>
      <w:r w:rsidRPr="006A2BF9">
        <w:rPr>
          <w:lang w:val="it-IT"/>
        </w:rPr>
        <w:t>e per almeno 6</w:t>
      </w:r>
      <w:r w:rsidR="005015CA" w:rsidRPr="006A2BF9">
        <w:rPr>
          <w:lang w:val="it-IT"/>
        </w:rPr>
        <w:t> </w:t>
      </w:r>
      <w:r w:rsidRPr="006A2BF9">
        <w:rPr>
          <w:lang w:val="it-IT"/>
        </w:rPr>
        <w:t xml:space="preserve">mesi dopo l’assunzione dell’ultima dose di </w:t>
      </w:r>
      <w:r w:rsidR="0082705A" w:rsidRPr="006A2BF9">
        <w:rPr>
          <w:lang w:val="it-IT"/>
        </w:rPr>
        <w:t>Aybintio</w:t>
      </w:r>
      <w:r w:rsidRPr="006A2BF9">
        <w:rPr>
          <w:lang w:val="it-IT"/>
        </w:rPr>
        <w:t xml:space="preserve">, poiché </w:t>
      </w:r>
      <w:r w:rsidR="006E4CFE">
        <w:rPr>
          <w:lang w:val="it-IT"/>
        </w:rPr>
        <w:t xml:space="preserve">questo medicinale </w:t>
      </w:r>
      <w:r w:rsidRPr="006A2BF9">
        <w:rPr>
          <w:lang w:val="it-IT"/>
        </w:rPr>
        <w:t>può interferire con la crescita e lo sviluppo del bambino.</w:t>
      </w:r>
    </w:p>
    <w:p w14:paraId="74EC0282" w14:textId="77777777" w:rsidR="008B46D7" w:rsidRPr="006A2BF9" w:rsidRDefault="008B46D7" w:rsidP="009C0666">
      <w:pPr>
        <w:numPr>
          <w:ilvl w:val="12"/>
          <w:numId w:val="0"/>
        </w:numPr>
        <w:rPr>
          <w:lang w:val="it-IT"/>
        </w:rPr>
      </w:pPr>
    </w:p>
    <w:p w14:paraId="1D2933C8" w14:textId="77777777" w:rsidR="008B46D7" w:rsidRPr="006A2BF9" w:rsidRDefault="0082705A" w:rsidP="008B46D7">
      <w:pPr>
        <w:numPr>
          <w:ilvl w:val="12"/>
          <w:numId w:val="0"/>
        </w:numPr>
        <w:rPr>
          <w:lang w:val="it-IT"/>
        </w:rPr>
      </w:pPr>
      <w:r w:rsidRPr="006A2BF9">
        <w:rPr>
          <w:lang w:val="it-IT"/>
        </w:rPr>
        <w:t>Aybintio</w:t>
      </w:r>
      <w:r w:rsidRPr="006A2BF9">
        <w:rPr>
          <w:b/>
          <w:lang w:val="it-IT"/>
        </w:rPr>
        <w:t xml:space="preserve"> </w:t>
      </w:r>
      <w:r w:rsidR="008B46D7" w:rsidRPr="006A2BF9">
        <w:rPr>
          <w:lang w:val="it-IT"/>
        </w:rPr>
        <w:t>può ridurre la fertilità femminile. Consulti il medico per ulteriori informazioni.</w:t>
      </w:r>
    </w:p>
    <w:p w14:paraId="50B4518D" w14:textId="77777777" w:rsidR="009C0666" w:rsidRPr="006A2BF9" w:rsidRDefault="009C0666" w:rsidP="009C0666">
      <w:pPr>
        <w:numPr>
          <w:ilvl w:val="12"/>
          <w:numId w:val="0"/>
        </w:numPr>
        <w:rPr>
          <w:lang w:val="it-IT"/>
        </w:rPr>
      </w:pPr>
    </w:p>
    <w:p w14:paraId="30A97C85" w14:textId="77777777" w:rsidR="009C0666" w:rsidRPr="006A2BF9" w:rsidRDefault="009C0666" w:rsidP="009C0666">
      <w:pPr>
        <w:numPr>
          <w:ilvl w:val="12"/>
          <w:numId w:val="0"/>
        </w:numPr>
        <w:rPr>
          <w:b/>
          <w:lang w:val="it-IT"/>
        </w:rPr>
      </w:pPr>
      <w:r w:rsidRPr="006A2BF9">
        <w:rPr>
          <w:lang w:val="it-IT"/>
        </w:rPr>
        <w:t>Chieda consiglio al medico</w:t>
      </w:r>
      <w:r w:rsidR="004B5F66" w:rsidRPr="006A2BF9">
        <w:rPr>
          <w:lang w:val="it-IT"/>
        </w:rPr>
        <w:t xml:space="preserve">, </w:t>
      </w:r>
      <w:r w:rsidRPr="006A2BF9">
        <w:rPr>
          <w:lang w:val="it-IT"/>
        </w:rPr>
        <w:t>al farmacista</w:t>
      </w:r>
      <w:r w:rsidR="004B5F66" w:rsidRPr="006A2BF9">
        <w:rPr>
          <w:lang w:val="it-IT"/>
        </w:rPr>
        <w:t xml:space="preserve"> o all’infermiere</w:t>
      </w:r>
      <w:r w:rsidRPr="006A2BF9">
        <w:rPr>
          <w:lang w:val="it-IT"/>
        </w:rPr>
        <w:t xml:space="preserve"> prima di prendere qualsiasi medicinale.</w:t>
      </w:r>
    </w:p>
    <w:p w14:paraId="711ABC2D" w14:textId="77777777" w:rsidR="009C0666" w:rsidRPr="006A2BF9" w:rsidRDefault="009C0666" w:rsidP="009C0666">
      <w:pPr>
        <w:numPr>
          <w:ilvl w:val="12"/>
          <w:numId w:val="0"/>
        </w:numPr>
        <w:ind w:left="567" w:hanging="567"/>
        <w:rPr>
          <w:b/>
          <w:lang w:val="it-IT"/>
        </w:rPr>
      </w:pPr>
    </w:p>
    <w:p w14:paraId="29B1FD97" w14:textId="77777777" w:rsidR="009C0666" w:rsidRPr="006A2BF9" w:rsidRDefault="009C0666" w:rsidP="009C0666">
      <w:pPr>
        <w:numPr>
          <w:ilvl w:val="12"/>
          <w:numId w:val="0"/>
        </w:numPr>
        <w:ind w:right="-2"/>
        <w:outlineLvl w:val="0"/>
        <w:rPr>
          <w:lang w:val="it-IT"/>
        </w:rPr>
      </w:pPr>
      <w:r w:rsidRPr="006A2BF9">
        <w:rPr>
          <w:b/>
          <w:bCs/>
          <w:lang w:val="it-IT"/>
        </w:rPr>
        <w:t>Guida di veicoli e utilizzo di macchinari</w:t>
      </w:r>
    </w:p>
    <w:p w14:paraId="2C5A4B6B" w14:textId="77777777" w:rsidR="009C0666" w:rsidRPr="006A2BF9" w:rsidRDefault="0082705A" w:rsidP="009C0666">
      <w:pPr>
        <w:numPr>
          <w:ilvl w:val="12"/>
          <w:numId w:val="0"/>
        </w:numPr>
        <w:ind w:right="-29"/>
        <w:outlineLvl w:val="0"/>
        <w:rPr>
          <w:lang w:val="it-IT"/>
        </w:rPr>
      </w:pPr>
      <w:r w:rsidRPr="006A2BF9">
        <w:rPr>
          <w:lang w:val="it-IT"/>
        </w:rPr>
        <w:t>Aybintio</w:t>
      </w:r>
      <w:r w:rsidRPr="006A2BF9">
        <w:rPr>
          <w:b/>
          <w:lang w:val="it-IT"/>
        </w:rPr>
        <w:t xml:space="preserve"> </w:t>
      </w:r>
      <w:r w:rsidR="009C0666" w:rsidRPr="006A2BF9">
        <w:rPr>
          <w:lang w:val="it-IT"/>
        </w:rPr>
        <w:t xml:space="preserve">non ha dimostrato di </w:t>
      </w:r>
      <w:r w:rsidR="008B46D7" w:rsidRPr="006A2BF9">
        <w:rPr>
          <w:lang w:val="it-IT"/>
        </w:rPr>
        <w:t xml:space="preserve">ridurre </w:t>
      </w:r>
      <w:r w:rsidR="009C0666" w:rsidRPr="006A2BF9">
        <w:rPr>
          <w:lang w:val="it-IT"/>
        </w:rPr>
        <w:t>la capacità di guidare veicoli o usare strumenti o macchinari.</w:t>
      </w:r>
      <w:r w:rsidR="008B46D7" w:rsidRPr="006A2BF9">
        <w:rPr>
          <w:lang w:val="it-IT"/>
        </w:rPr>
        <w:t xml:space="preserve"> Tuttavia, </w:t>
      </w:r>
      <w:r w:rsidR="00E03C8B" w:rsidRPr="006A2BF9">
        <w:rPr>
          <w:lang w:val="it-IT"/>
        </w:rPr>
        <w:t xml:space="preserve">con l'uso di Aybintio </w:t>
      </w:r>
      <w:r w:rsidR="008B46D7" w:rsidRPr="006A2BF9">
        <w:rPr>
          <w:lang w:val="it-IT"/>
        </w:rPr>
        <w:t>sono stat</w:t>
      </w:r>
      <w:r w:rsidR="004D12E0" w:rsidRPr="006A2BF9">
        <w:rPr>
          <w:lang w:val="it-IT"/>
        </w:rPr>
        <w:t>i</w:t>
      </w:r>
      <w:r w:rsidR="008B46D7" w:rsidRPr="006A2BF9">
        <w:rPr>
          <w:lang w:val="it-IT"/>
        </w:rPr>
        <w:t xml:space="preserve"> </w:t>
      </w:r>
      <w:r w:rsidR="00E03C8B" w:rsidRPr="006A2BF9">
        <w:rPr>
          <w:lang w:val="it-IT"/>
        </w:rPr>
        <w:t>segnalati sonnolenza e svenimento</w:t>
      </w:r>
      <w:r w:rsidR="008B46D7" w:rsidRPr="006A2BF9">
        <w:rPr>
          <w:lang w:val="it-IT"/>
        </w:rPr>
        <w:t xml:space="preserve">. Se manifesta sintomi che </w:t>
      </w:r>
      <w:r w:rsidR="00E03C8B" w:rsidRPr="006A2BF9">
        <w:rPr>
          <w:lang w:val="it-IT"/>
        </w:rPr>
        <w:t xml:space="preserve">interessano </w:t>
      </w:r>
      <w:r w:rsidR="008B46D7" w:rsidRPr="006A2BF9">
        <w:rPr>
          <w:lang w:val="it-IT"/>
        </w:rPr>
        <w:t xml:space="preserve">la visione o concentrazione o la capacità di </w:t>
      </w:r>
      <w:r w:rsidR="00E03C8B" w:rsidRPr="006A2BF9">
        <w:rPr>
          <w:lang w:val="it-IT"/>
        </w:rPr>
        <w:t>reazione</w:t>
      </w:r>
      <w:r w:rsidR="008B46D7" w:rsidRPr="006A2BF9">
        <w:rPr>
          <w:lang w:val="it-IT"/>
        </w:rPr>
        <w:t>, non guidi veicoli e non utilizzi macchinari fino alla scomparsa dei sintomi</w:t>
      </w:r>
      <w:r w:rsidR="004D12E0" w:rsidRPr="006A2BF9">
        <w:rPr>
          <w:lang w:val="it-IT"/>
        </w:rPr>
        <w:t>.</w:t>
      </w:r>
    </w:p>
    <w:p w14:paraId="1F0C1F3D" w14:textId="77777777" w:rsidR="009C0666" w:rsidRPr="006A2BF9" w:rsidRDefault="009C0666" w:rsidP="009C0666">
      <w:pPr>
        <w:numPr>
          <w:ilvl w:val="12"/>
          <w:numId w:val="0"/>
        </w:numPr>
        <w:ind w:right="-29"/>
        <w:rPr>
          <w:lang w:val="it-IT"/>
        </w:rPr>
      </w:pPr>
    </w:p>
    <w:p w14:paraId="2F17390F" w14:textId="6BFE183A" w:rsidR="00657040" w:rsidRPr="006A2BF9" w:rsidRDefault="005477DC" w:rsidP="00657040">
      <w:pPr>
        <w:numPr>
          <w:ilvl w:val="12"/>
          <w:numId w:val="0"/>
        </w:numPr>
        <w:ind w:right="-29"/>
        <w:outlineLvl w:val="0"/>
        <w:rPr>
          <w:b/>
          <w:lang w:val="it-IT"/>
        </w:rPr>
      </w:pPr>
      <w:bookmarkStart w:id="12" w:name="_Hlk201226330"/>
      <w:r w:rsidRPr="006A2BF9">
        <w:rPr>
          <w:b/>
          <w:lang w:val="it-IT"/>
        </w:rPr>
        <w:t>Aybintio</w:t>
      </w:r>
      <w:r w:rsidR="00AC2E82">
        <w:rPr>
          <w:b/>
          <w:lang w:val="it-IT"/>
        </w:rPr>
        <w:t xml:space="preserve"> </w:t>
      </w:r>
      <w:bookmarkEnd w:id="12"/>
      <w:r w:rsidR="00AC2E82" w:rsidRPr="008E6466">
        <w:rPr>
          <w:b/>
          <w:lang w:val="it-IT"/>
        </w:rPr>
        <w:t>contiene sodio e polisorbato</w:t>
      </w:r>
      <w:r w:rsidR="00AC2E82">
        <w:rPr>
          <w:b/>
          <w:lang w:val="it-IT"/>
        </w:rPr>
        <w:t xml:space="preserve"> 20</w:t>
      </w:r>
    </w:p>
    <w:p w14:paraId="28F4BC62" w14:textId="77777777" w:rsidR="00657040" w:rsidRPr="006A2BF9" w:rsidRDefault="00657040" w:rsidP="00657040">
      <w:pPr>
        <w:numPr>
          <w:ilvl w:val="12"/>
          <w:numId w:val="0"/>
        </w:numPr>
        <w:ind w:right="-29"/>
        <w:outlineLvl w:val="0"/>
        <w:rPr>
          <w:lang w:val="it-IT"/>
        </w:rPr>
      </w:pPr>
      <w:r w:rsidRPr="006A2BF9">
        <w:rPr>
          <w:lang w:val="it-IT"/>
        </w:rPr>
        <w:t>Questo medicinale contiene meno di 1</w:t>
      </w:r>
      <w:r w:rsidR="00EC7EB8" w:rsidRPr="006A2BF9">
        <w:rPr>
          <w:lang w:val="it-IT"/>
        </w:rPr>
        <w:t> </w:t>
      </w:r>
      <w:r w:rsidRPr="006A2BF9">
        <w:rPr>
          <w:lang w:val="it-IT"/>
        </w:rPr>
        <w:t>mmol di sodio (23</w:t>
      </w:r>
      <w:r w:rsidR="005015CA" w:rsidRPr="006A2BF9">
        <w:rPr>
          <w:lang w:val="it-IT"/>
        </w:rPr>
        <w:t> </w:t>
      </w:r>
      <w:r w:rsidRPr="006A2BF9">
        <w:rPr>
          <w:lang w:val="it-IT"/>
        </w:rPr>
        <w:t xml:space="preserve">mg) per flaconcino, ossia </w:t>
      </w:r>
      <w:r w:rsidR="00355746">
        <w:rPr>
          <w:lang w:val="it-IT"/>
        </w:rPr>
        <w:t>essenzialmente</w:t>
      </w:r>
      <w:r w:rsidR="00355746" w:rsidRPr="006A2BF9">
        <w:rPr>
          <w:lang w:val="it-IT"/>
        </w:rPr>
        <w:t xml:space="preserve"> </w:t>
      </w:r>
      <w:r w:rsidRPr="006A2BF9">
        <w:rPr>
          <w:lang w:val="it-IT"/>
        </w:rPr>
        <w:t>“</w:t>
      </w:r>
      <w:r w:rsidR="00355746">
        <w:rPr>
          <w:lang w:val="it-IT"/>
        </w:rPr>
        <w:t xml:space="preserve">senza </w:t>
      </w:r>
      <w:r w:rsidRPr="006A2BF9">
        <w:rPr>
          <w:lang w:val="it-IT"/>
        </w:rPr>
        <w:t>sodio”.</w:t>
      </w:r>
    </w:p>
    <w:p w14:paraId="4FEBBD76" w14:textId="77777777" w:rsidR="00657040" w:rsidRDefault="00657040" w:rsidP="009C0666">
      <w:pPr>
        <w:numPr>
          <w:ilvl w:val="12"/>
          <w:numId w:val="0"/>
        </w:numPr>
        <w:ind w:right="-29"/>
        <w:rPr>
          <w:lang w:val="it-IT"/>
        </w:rPr>
      </w:pPr>
    </w:p>
    <w:p w14:paraId="6BAF0241" w14:textId="153DFE70" w:rsidR="00AC2E82" w:rsidRPr="006A2BF9" w:rsidRDefault="00AC2E82" w:rsidP="009C0666">
      <w:pPr>
        <w:numPr>
          <w:ilvl w:val="12"/>
          <w:numId w:val="0"/>
        </w:numPr>
        <w:ind w:right="-29"/>
        <w:rPr>
          <w:lang w:val="it-IT"/>
        </w:rPr>
      </w:pPr>
      <w:r w:rsidRPr="008E6466">
        <w:rPr>
          <w:lang w:val="it-IT"/>
        </w:rPr>
        <w:t>Questo medicinale contiene 1,6 mg di polisorbato 20 per ogni flaconcino da 100 mg/4 ml e 6,4 mg in ogni flaconcino da 400 mg/16 ml, equivalenti a 0,4 mg/ml. I polisorbati possono causare reazioni allergiche</w:t>
      </w:r>
      <w:r>
        <w:rPr>
          <w:lang w:val="it-IT"/>
        </w:rPr>
        <w:t>.</w:t>
      </w:r>
    </w:p>
    <w:p w14:paraId="21D04B1C" w14:textId="5A2F9490" w:rsidR="009C0666" w:rsidRDefault="00AC2E82" w:rsidP="009C0666">
      <w:pPr>
        <w:numPr>
          <w:ilvl w:val="12"/>
          <w:numId w:val="0"/>
        </w:numPr>
        <w:ind w:right="-2"/>
        <w:rPr>
          <w:lang w:val="it-IT"/>
        </w:rPr>
      </w:pPr>
      <w:r w:rsidRPr="008E6466">
        <w:rPr>
          <w:lang w:val="it-IT"/>
        </w:rPr>
        <w:t>Informi il medico se ha allergie note</w:t>
      </w:r>
      <w:r>
        <w:rPr>
          <w:lang w:val="it-IT"/>
        </w:rPr>
        <w:t>.</w:t>
      </w:r>
    </w:p>
    <w:p w14:paraId="71ACF164" w14:textId="57CD8CD8" w:rsidR="00E361CB" w:rsidRDefault="00E361CB" w:rsidP="00E361CB">
      <w:pPr>
        <w:keepNext/>
        <w:tabs>
          <w:tab w:val="left" w:pos="513"/>
        </w:tabs>
        <w:ind w:left="567" w:hanging="567"/>
        <w:rPr>
          <w:lang w:val="it-IT"/>
        </w:rPr>
      </w:pPr>
    </w:p>
    <w:p w14:paraId="3FBF09C5" w14:textId="77777777" w:rsidR="00E361CB" w:rsidRDefault="00E361CB" w:rsidP="00B26F69">
      <w:pPr>
        <w:keepNext/>
        <w:tabs>
          <w:tab w:val="left" w:pos="513"/>
        </w:tabs>
        <w:ind w:left="567" w:hanging="567"/>
        <w:rPr>
          <w:lang w:val="it-IT"/>
        </w:rPr>
      </w:pPr>
    </w:p>
    <w:p w14:paraId="4EDE3295" w14:textId="33918BCC" w:rsidR="009C0666" w:rsidRPr="006A2BF9" w:rsidRDefault="009C0666" w:rsidP="00C65E97">
      <w:pPr>
        <w:keepNext/>
        <w:ind w:left="567" w:hanging="567"/>
        <w:rPr>
          <w:b/>
          <w:bCs/>
          <w:lang w:val="it-IT"/>
        </w:rPr>
      </w:pPr>
      <w:r w:rsidRPr="006A2BF9">
        <w:rPr>
          <w:b/>
          <w:bCs/>
          <w:lang w:val="it-IT"/>
        </w:rPr>
        <w:t>3.</w:t>
      </w:r>
      <w:r w:rsidRPr="006A2BF9">
        <w:rPr>
          <w:b/>
          <w:bCs/>
          <w:lang w:val="it-IT"/>
        </w:rPr>
        <w:tab/>
      </w:r>
      <w:r w:rsidR="002E5721" w:rsidRPr="006A2BF9">
        <w:rPr>
          <w:b/>
          <w:bCs/>
          <w:lang w:val="it-IT"/>
        </w:rPr>
        <w:t>Come usare</w:t>
      </w:r>
      <w:r w:rsidR="00BE5E51" w:rsidRPr="006A2BF9">
        <w:rPr>
          <w:b/>
          <w:bCs/>
          <w:lang w:val="it-IT"/>
        </w:rPr>
        <w:t xml:space="preserve"> </w:t>
      </w:r>
      <w:r w:rsidR="0082705A" w:rsidRPr="006A2BF9">
        <w:rPr>
          <w:b/>
          <w:lang w:val="it-IT"/>
        </w:rPr>
        <w:t>Aybintio</w:t>
      </w:r>
    </w:p>
    <w:p w14:paraId="3D476DEC" w14:textId="77777777" w:rsidR="009C0666" w:rsidRPr="006A2BF9" w:rsidRDefault="009C0666" w:rsidP="00C65E97">
      <w:pPr>
        <w:keepNext/>
        <w:numPr>
          <w:ilvl w:val="12"/>
          <w:numId w:val="0"/>
        </w:numPr>
        <w:rPr>
          <w:lang w:val="it-IT"/>
        </w:rPr>
      </w:pPr>
    </w:p>
    <w:p w14:paraId="7850D0DF" w14:textId="77777777" w:rsidR="009C0666" w:rsidRPr="006A2BF9" w:rsidRDefault="009C0666" w:rsidP="00C65E97">
      <w:pPr>
        <w:keepNext/>
        <w:numPr>
          <w:ilvl w:val="12"/>
          <w:numId w:val="0"/>
        </w:numPr>
        <w:outlineLvl w:val="0"/>
        <w:rPr>
          <w:b/>
          <w:bCs/>
          <w:lang w:val="it-IT"/>
        </w:rPr>
      </w:pPr>
      <w:r w:rsidRPr="006A2BF9">
        <w:rPr>
          <w:b/>
          <w:bCs/>
          <w:lang w:val="it-IT"/>
        </w:rPr>
        <w:t>Dos</w:t>
      </w:r>
      <w:r w:rsidR="009002E5">
        <w:rPr>
          <w:b/>
          <w:bCs/>
          <w:lang w:val="it-IT"/>
        </w:rPr>
        <w:t>e</w:t>
      </w:r>
      <w:r w:rsidRPr="006A2BF9">
        <w:rPr>
          <w:b/>
          <w:bCs/>
          <w:lang w:val="it-IT"/>
        </w:rPr>
        <w:t xml:space="preserve"> e frequenza di somministrazione</w:t>
      </w:r>
    </w:p>
    <w:p w14:paraId="4F69E88E" w14:textId="77777777" w:rsidR="009C0666" w:rsidRPr="006A2BF9" w:rsidRDefault="00633039" w:rsidP="009C0666">
      <w:pPr>
        <w:autoSpaceDE w:val="0"/>
        <w:autoSpaceDN w:val="0"/>
        <w:adjustRightInd w:val="0"/>
        <w:rPr>
          <w:lang w:val="it-IT"/>
        </w:rPr>
      </w:pPr>
      <w:r w:rsidRPr="006A2BF9">
        <w:rPr>
          <w:lang w:val="it-IT"/>
        </w:rPr>
        <w:t>La dose</w:t>
      </w:r>
      <w:r w:rsidR="009C0666" w:rsidRPr="006A2BF9">
        <w:rPr>
          <w:lang w:val="it-IT"/>
        </w:rPr>
        <w:t xml:space="preserve"> di </w:t>
      </w:r>
      <w:r w:rsidR="0082705A" w:rsidRPr="006A2BF9">
        <w:rPr>
          <w:lang w:val="it-IT"/>
        </w:rPr>
        <w:t>Aybintio</w:t>
      </w:r>
      <w:r w:rsidR="0082705A" w:rsidRPr="006A2BF9">
        <w:rPr>
          <w:b/>
          <w:lang w:val="it-IT"/>
        </w:rPr>
        <w:t xml:space="preserve"> </w:t>
      </w:r>
      <w:r w:rsidR="009C0666" w:rsidRPr="006A2BF9">
        <w:rPr>
          <w:lang w:val="it-IT"/>
        </w:rPr>
        <w:t>necessari</w:t>
      </w:r>
      <w:r w:rsidRPr="006A2BF9">
        <w:rPr>
          <w:lang w:val="it-IT"/>
        </w:rPr>
        <w:t>a</w:t>
      </w:r>
      <w:r w:rsidR="009C0666" w:rsidRPr="006A2BF9">
        <w:rPr>
          <w:lang w:val="it-IT"/>
        </w:rPr>
        <w:t xml:space="preserve"> dipende dal peso corporeo e dal tipo di tumore che deve essere trattato. </w:t>
      </w:r>
      <w:r w:rsidRPr="006A2BF9">
        <w:rPr>
          <w:lang w:val="it-IT"/>
        </w:rPr>
        <w:t>La dose</w:t>
      </w:r>
      <w:r w:rsidR="009C0666" w:rsidRPr="006A2BF9">
        <w:rPr>
          <w:lang w:val="it-IT"/>
        </w:rPr>
        <w:t xml:space="preserve"> raccomandat</w:t>
      </w:r>
      <w:r w:rsidRPr="006A2BF9">
        <w:rPr>
          <w:lang w:val="it-IT"/>
        </w:rPr>
        <w:t>a</w:t>
      </w:r>
      <w:r w:rsidR="009C0666" w:rsidRPr="006A2BF9">
        <w:rPr>
          <w:lang w:val="it-IT"/>
        </w:rPr>
        <w:t xml:space="preserve"> è di 5</w:t>
      </w:r>
      <w:r w:rsidR="00051995" w:rsidRPr="006A2BF9">
        <w:rPr>
          <w:lang w:val="it-IT"/>
        </w:rPr>
        <w:t> mg</w:t>
      </w:r>
      <w:r w:rsidR="009C0666" w:rsidRPr="006A2BF9">
        <w:rPr>
          <w:lang w:val="it-IT"/>
        </w:rPr>
        <w:t>, 7,5</w:t>
      </w:r>
      <w:r w:rsidR="00051995" w:rsidRPr="006A2BF9">
        <w:rPr>
          <w:lang w:val="it-IT"/>
        </w:rPr>
        <w:t> mg</w:t>
      </w:r>
      <w:r w:rsidR="009C0666" w:rsidRPr="006A2BF9">
        <w:rPr>
          <w:lang w:val="it-IT"/>
        </w:rPr>
        <w:t>, 10</w:t>
      </w:r>
      <w:r w:rsidR="00051995" w:rsidRPr="006A2BF9">
        <w:rPr>
          <w:lang w:val="it-IT"/>
        </w:rPr>
        <w:t> mg</w:t>
      </w:r>
      <w:r w:rsidR="009C0666" w:rsidRPr="006A2BF9">
        <w:rPr>
          <w:lang w:val="it-IT"/>
        </w:rPr>
        <w:t xml:space="preserve"> o 15 mg per chilogrammo di peso corporeo. Il medico prescriverà </w:t>
      </w:r>
      <w:r w:rsidR="0082705A" w:rsidRPr="006A2BF9">
        <w:rPr>
          <w:lang w:val="it-IT"/>
        </w:rPr>
        <w:t>Aybintio</w:t>
      </w:r>
      <w:r w:rsidR="0082705A" w:rsidRPr="006A2BF9">
        <w:rPr>
          <w:b/>
          <w:lang w:val="it-IT"/>
        </w:rPr>
        <w:t xml:space="preserve"> </w:t>
      </w:r>
      <w:r w:rsidR="009C0666" w:rsidRPr="006A2BF9">
        <w:rPr>
          <w:lang w:val="it-IT"/>
        </w:rPr>
        <w:t>a</w:t>
      </w:r>
      <w:r w:rsidRPr="006A2BF9">
        <w:rPr>
          <w:lang w:val="it-IT"/>
        </w:rPr>
        <w:t>lla dose</w:t>
      </w:r>
      <w:r w:rsidR="009C0666" w:rsidRPr="006A2BF9">
        <w:rPr>
          <w:lang w:val="it-IT"/>
        </w:rPr>
        <w:t xml:space="preserve"> appropriat</w:t>
      </w:r>
      <w:r w:rsidRPr="006A2BF9">
        <w:rPr>
          <w:lang w:val="it-IT"/>
        </w:rPr>
        <w:t>a</w:t>
      </w:r>
      <w:r w:rsidR="009C0666" w:rsidRPr="006A2BF9">
        <w:rPr>
          <w:lang w:val="it-IT"/>
        </w:rPr>
        <w:t xml:space="preserve"> per lei. Il trattamento con </w:t>
      </w:r>
      <w:r w:rsidR="0082705A" w:rsidRPr="006A2BF9">
        <w:rPr>
          <w:lang w:val="it-IT"/>
        </w:rPr>
        <w:t>Aybintio</w:t>
      </w:r>
      <w:r w:rsidR="0082705A" w:rsidRPr="006A2BF9">
        <w:rPr>
          <w:b/>
          <w:lang w:val="it-IT"/>
        </w:rPr>
        <w:t xml:space="preserve"> </w:t>
      </w:r>
      <w:r w:rsidR="009C0666" w:rsidRPr="006A2BF9">
        <w:rPr>
          <w:lang w:val="it-IT"/>
        </w:rPr>
        <w:t>le verrà somministrato una volta ogni 2 o 3</w:t>
      </w:r>
      <w:r w:rsidR="005015CA" w:rsidRPr="006A2BF9">
        <w:rPr>
          <w:lang w:val="it-IT"/>
        </w:rPr>
        <w:t> </w:t>
      </w:r>
      <w:r w:rsidR="009C0666" w:rsidRPr="006A2BF9">
        <w:rPr>
          <w:lang w:val="it-IT"/>
        </w:rPr>
        <w:t xml:space="preserve">settimane. Il numero di infusioni che riceverà dipenderà dalla sua risposta al </w:t>
      </w:r>
      <w:r w:rsidR="009C0666" w:rsidRPr="006A2BF9">
        <w:rPr>
          <w:lang w:val="it-IT"/>
        </w:rPr>
        <w:lastRenderedPageBreak/>
        <w:t xml:space="preserve">trattamento; comunque, </w:t>
      </w:r>
      <w:r w:rsidR="004D12E0" w:rsidRPr="006A2BF9">
        <w:rPr>
          <w:lang w:val="it-IT"/>
        </w:rPr>
        <w:t xml:space="preserve">dovrebbe </w:t>
      </w:r>
      <w:r w:rsidR="009C0666" w:rsidRPr="006A2BF9">
        <w:rPr>
          <w:lang w:val="it-IT"/>
        </w:rPr>
        <w:t>continuare</w:t>
      </w:r>
      <w:r w:rsidR="004D12E0" w:rsidRPr="006A2BF9">
        <w:rPr>
          <w:lang w:val="it-IT"/>
        </w:rPr>
        <w:t xml:space="preserve"> a ricevere questo</w:t>
      </w:r>
      <w:r w:rsidR="009C0666" w:rsidRPr="006A2BF9">
        <w:rPr>
          <w:lang w:val="it-IT"/>
        </w:rPr>
        <w:t xml:space="preserve"> trattamento fino a quando </w:t>
      </w:r>
      <w:r w:rsidR="0082705A" w:rsidRPr="006A2BF9">
        <w:rPr>
          <w:lang w:val="it-IT"/>
        </w:rPr>
        <w:t>Aybintio</w:t>
      </w:r>
      <w:r w:rsidR="0082705A" w:rsidRPr="006A2BF9">
        <w:rPr>
          <w:b/>
          <w:lang w:val="it-IT"/>
        </w:rPr>
        <w:t xml:space="preserve"> </w:t>
      </w:r>
      <w:r w:rsidR="009C0666" w:rsidRPr="006A2BF9">
        <w:rPr>
          <w:lang w:val="it-IT"/>
        </w:rPr>
        <w:t xml:space="preserve">non </w:t>
      </w:r>
      <w:r w:rsidR="00A4452F" w:rsidRPr="006A2BF9">
        <w:rPr>
          <w:lang w:val="it-IT"/>
        </w:rPr>
        <w:t xml:space="preserve">sarà </w:t>
      </w:r>
      <w:r w:rsidR="009C0666" w:rsidRPr="006A2BF9">
        <w:rPr>
          <w:lang w:val="it-IT"/>
        </w:rPr>
        <w:t xml:space="preserve">più </w:t>
      </w:r>
      <w:r w:rsidR="00A4452F" w:rsidRPr="006A2BF9">
        <w:rPr>
          <w:lang w:val="it-IT"/>
        </w:rPr>
        <w:t xml:space="preserve">in grado di </w:t>
      </w:r>
      <w:r w:rsidR="009C0666" w:rsidRPr="006A2BF9">
        <w:rPr>
          <w:lang w:val="it-IT"/>
        </w:rPr>
        <w:t xml:space="preserve">bloccare la crescita del tumore. Il medico </w:t>
      </w:r>
      <w:r w:rsidR="008D75FA" w:rsidRPr="006A2BF9">
        <w:rPr>
          <w:lang w:val="it-IT"/>
        </w:rPr>
        <w:t>n</w:t>
      </w:r>
      <w:r w:rsidR="00E144C3" w:rsidRPr="006A2BF9">
        <w:rPr>
          <w:lang w:val="it-IT"/>
        </w:rPr>
        <w:t>e</w:t>
      </w:r>
      <w:r w:rsidR="008D75FA" w:rsidRPr="006A2BF9">
        <w:rPr>
          <w:lang w:val="it-IT"/>
        </w:rPr>
        <w:t xml:space="preserve"> </w:t>
      </w:r>
      <w:r w:rsidR="00A4452F" w:rsidRPr="006A2BF9">
        <w:rPr>
          <w:lang w:val="it-IT"/>
        </w:rPr>
        <w:t xml:space="preserve">discuterà </w:t>
      </w:r>
      <w:r w:rsidR="008D75FA" w:rsidRPr="006A2BF9">
        <w:rPr>
          <w:lang w:val="it-IT"/>
        </w:rPr>
        <w:t>con lei.</w:t>
      </w:r>
    </w:p>
    <w:p w14:paraId="2D0B7F01" w14:textId="77777777" w:rsidR="009C0666" w:rsidRPr="006A2BF9" w:rsidRDefault="009C0666" w:rsidP="009C0666">
      <w:pPr>
        <w:numPr>
          <w:ilvl w:val="12"/>
          <w:numId w:val="0"/>
        </w:numPr>
        <w:ind w:right="-2"/>
        <w:rPr>
          <w:lang w:val="it-IT"/>
        </w:rPr>
      </w:pPr>
    </w:p>
    <w:p w14:paraId="2D142706" w14:textId="77777777" w:rsidR="009C0666" w:rsidRPr="006A2BF9" w:rsidRDefault="009C0666" w:rsidP="006D059E">
      <w:pPr>
        <w:keepNext/>
        <w:keepLines/>
        <w:numPr>
          <w:ilvl w:val="12"/>
          <w:numId w:val="0"/>
        </w:numPr>
        <w:ind w:right="-2"/>
        <w:outlineLvl w:val="0"/>
        <w:rPr>
          <w:b/>
          <w:bCs/>
          <w:lang w:val="it-IT"/>
        </w:rPr>
      </w:pPr>
      <w:r w:rsidRPr="006A2BF9">
        <w:rPr>
          <w:b/>
          <w:bCs/>
          <w:lang w:val="it-IT"/>
        </w:rPr>
        <w:t>Modo e via di somministrazione</w:t>
      </w:r>
    </w:p>
    <w:p w14:paraId="7929ECF7" w14:textId="77777777" w:rsidR="009C0666" w:rsidRPr="006A2BF9" w:rsidRDefault="008C738C" w:rsidP="006D059E">
      <w:pPr>
        <w:keepNext/>
        <w:keepLines/>
        <w:autoSpaceDE w:val="0"/>
        <w:autoSpaceDN w:val="0"/>
        <w:adjustRightInd w:val="0"/>
        <w:rPr>
          <w:lang w:val="it-IT"/>
        </w:rPr>
      </w:pPr>
      <w:r>
        <w:rPr>
          <w:lang w:val="it-IT"/>
        </w:rPr>
        <w:t xml:space="preserve">Non agitare il flaconcino. </w:t>
      </w:r>
      <w:r w:rsidR="0082705A" w:rsidRPr="006A2BF9">
        <w:rPr>
          <w:lang w:val="it-IT"/>
        </w:rPr>
        <w:t>Aybintio</w:t>
      </w:r>
      <w:r w:rsidR="0082705A" w:rsidRPr="006A2BF9">
        <w:rPr>
          <w:b/>
          <w:lang w:val="it-IT"/>
        </w:rPr>
        <w:t xml:space="preserve"> </w:t>
      </w:r>
      <w:r w:rsidR="009C0666" w:rsidRPr="006A2BF9">
        <w:rPr>
          <w:lang w:val="it-IT"/>
        </w:rPr>
        <w:t>è un concentrato per soluzione per infusione. A seconda del</w:t>
      </w:r>
      <w:r w:rsidR="00633039" w:rsidRPr="006A2BF9">
        <w:rPr>
          <w:lang w:val="it-IT"/>
        </w:rPr>
        <w:t>la dose</w:t>
      </w:r>
      <w:r w:rsidR="009C0666" w:rsidRPr="006A2BF9">
        <w:rPr>
          <w:lang w:val="it-IT"/>
        </w:rPr>
        <w:t xml:space="preserve"> che le verrà prescritt</w:t>
      </w:r>
      <w:r w:rsidR="00633039" w:rsidRPr="006A2BF9">
        <w:rPr>
          <w:lang w:val="it-IT"/>
        </w:rPr>
        <w:t>a</w:t>
      </w:r>
      <w:r w:rsidR="009C0666" w:rsidRPr="006A2BF9">
        <w:rPr>
          <w:lang w:val="it-IT"/>
        </w:rPr>
        <w:t xml:space="preserve">, una parte del contenuto del flaconcino o l’intero flaconcino </w:t>
      </w:r>
      <w:r w:rsidR="004D12E0" w:rsidRPr="006A2BF9">
        <w:rPr>
          <w:lang w:val="it-IT"/>
        </w:rPr>
        <w:t xml:space="preserve">di </w:t>
      </w:r>
      <w:r w:rsidR="0082705A" w:rsidRPr="006A2BF9">
        <w:rPr>
          <w:lang w:val="it-IT"/>
        </w:rPr>
        <w:t>Aybintio</w:t>
      </w:r>
      <w:r w:rsidR="0082705A" w:rsidRPr="006A2BF9">
        <w:rPr>
          <w:b/>
          <w:lang w:val="it-IT"/>
        </w:rPr>
        <w:t xml:space="preserve"> </w:t>
      </w:r>
      <w:r w:rsidR="009C0666" w:rsidRPr="006A2BF9">
        <w:rPr>
          <w:lang w:val="it-IT"/>
        </w:rPr>
        <w:t xml:space="preserve">saranno diluiti con una soluzione di </w:t>
      </w:r>
      <w:r w:rsidR="00EE4635" w:rsidRPr="006A2BF9">
        <w:rPr>
          <w:lang w:val="it-IT"/>
        </w:rPr>
        <w:t xml:space="preserve">sodio </w:t>
      </w:r>
      <w:r w:rsidR="00051995" w:rsidRPr="006A2BF9">
        <w:rPr>
          <w:lang w:val="it-IT"/>
        </w:rPr>
        <w:t xml:space="preserve">cloruro </w:t>
      </w:r>
      <w:r w:rsidR="009C0666" w:rsidRPr="006A2BF9">
        <w:rPr>
          <w:lang w:val="it-IT"/>
        </w:rPr>
        <w:t xml:space="preserve">prima dell’uso. </w:t>
      </w:r>
      <w:r w:rsidR="00E24391" w:rsidRPr="006A2BF9">
        <w:rPr>
          <w:lang w:val="it-IT"/>
        </w:rPr>
        <w:t xml:space="preserve">Il </w:t>
      </w:r>
      <w:r w:rsidR="009C0666" w:rsidRPr="006A2BF9">
        <w:rPr>
          <w:lang w:val="it-IT"/>
        </w:rPr>
        <w:t xml:space="preserve">medico o </w:t>
      </w:r>
      <w:r w:rsidR="00E24391" w:rsidRPr="006A2BF9">
        <w:rPr>
          <w:lang w:val="it-IT"/>
        </w:rPr>
        <w:t>l’</w:t>
      </w:r>
      <w:r w:rsidR="009C0666" w:rsidRPr="006A2BF9">
        <w:rPr>
          <w:lang w:val="it-IT"/>
        </w:rPr>
        <w:t>infermiere le somministrer</w:t>
      </w:r>
      <w:r w:rsidR="00E24391" w:rsidRPr="006A2BF9">
        <w:rPr>
          <w:lang w:val="it-IT"/>
        </w:rPr>
        <w:t>anno</w:t>
      </w:r>
      <w:r w:rsidR="009C0666" w:rsidRPr="006A2BF9">
        <w:rPr>
          <w:lang w:val="it-IT"/>
        </w:rPr>
        <w:t xml:space="preserve"> questa soluzione diluita di </w:t>
      </w:r>
      <w:r w:rsidR="0082705A" w:rsidRPr="006A2BF9">
        <w:rPr>
          <w:lang w:val="it-IT"/>
        </w:rPr>
        <w:t>Aybintio</w:t>
      </w:r>
      <w:r w:rsidR="0082705A" w:rsidRPr="006A2BF9">
        <w:rPr>
          <w:b/>
          <w:lang w:val="it-IT"/>
        </w:rPr>
        <w:t xml:space="preserve"> </w:t>
      </w:r>
      <w:r w:rsidR="009C0666" w:rsidRPr="006A2BF9">
        <w:rPr>
          <w:lang w:val="it-IT"/>
        </w:rPr>
        <w:t>con un’infusione endovenosa</w:t>
      </w:r>
      <w:r w:rsidR="002E5721" w:rsidRPr="006A2BF9">
        <w:rPr>
          <w:lang w:val="it-IT"/>
        </w:rPr>
        <w:t xml:space="preserve"> (una flebo in vena)</w:t>
      </w:r>
      <w:r w:rsidR="009C0666" w:rsidRPr="006A2BF9">
        <w:rPr>
          <w:lang w:val="it-IT"/>
        </w:rPr>
        <w:t>. La prima infusione le verrà somministrata nell’arco di 90</w:t>
      </w:r>
      <w:r w:rsidR="005015CA" w:rsidRPr="006A2BF9">
        <w:rPr>
          <w:lang w:val="it-IT"/>
        </w:rPr>
        <w:t> </w:t>
      </w:r>
      <w:r w:rsidR="009C0666" w:rsidRPr="006A2BF9">
        <w:rPr>
          <w:lang w:val="it-IT"/>
        </w:rPr>
        <w:t>minuti. Se questa sarà ben tollerata, la seconda infusione potrà essere somministrata nell’arco di 60</w:t>
      </w:r>
      <w:r w:rsidR="005015CA" w:rsidRPr="006A2BF9">
        <w:rPr>
          <w:lang w:val="it-IT"/>
        </w:rPr>
        <w:t> </w:t>
      </w:r>
      <w:r w:rsidR="009C0666" w:rsidRPr="006A2BF9">
        <w:rPr>
          <w:lang w:val="it-IT"/>
        </w:rPr>
        <w:t xml:space="preserve">minuti. Le infusioni successive le </w:t>
      </w:r>
      <w:r w:rsidR="006E4CFE" w:rsidRPr="006A2BF9">
        <w:rPr>
          <w:lang w:val="it-IT"/>
        </w:rPr>
        <w:t>po</w:t>
      </w:r>
      <w:r w:rsidR="006E4CFE">
        <w:rPr>
          <w:lang w:val="it-IT"/>
        </w:rPr>
        <w:t>ssono</w:t>
      </w:r>
      <w:r w:rsidR="006E4CFE" w:rsidRPr="006A2BF9">
        <w:rPr>
          <w:lang w:val="it-IT"/>
        </w:rPr>
        <w:t xml:space="preserve"> </w:t>
      </w:r>
      <w:r w:rsidR="009C0666" w:rsidRPr="006A2BF9">
        <w:rPr>
          <w:lang w:val="it-IT"/>
        </w:rPr>
        <w:t>essere somministrate nell’arco di 30</w:t>
      </w:r>
      <w:r w:rsidR="005015CA" w:rsidRPr="006A2BF9">
        <w:rPr>
          <w:lang w:val="it-IT"/>
        </w:rPr>
        <w:t> </w:t>
      </w:r>
      <w:r w:rsidR="009C0666" w:rsidRPr="006A2BF9">
        <w:rPr>
          <w:lang w:val="it-IT"/>
        </w:rPr>
        <w:t>minuti.</w:t>
      </w:r>
    </w:p>
    <w:p w14:paraId="5874AD20" w14:textId="77777777" w:rsidR="009C0666" w:rsidRPr="006A2BF9" w:rsidRDefault="009C0666" w:rsidP="009C0666">
      <w:pPr>
        <w:numPr>
          <w:ilvl w:val="12"/>
          <w:numId w:val="0"/>
        </w:numPr>
        <w:ind w:right="-2"/>
        <w:rPr>
          <w:lang w:val="it-IT"/>
        </w:rPr>
      </w:pPr>
    </w:p>
    <w:p w14:paraId="0F2285F6" w14:textId="77777777" w:rsidR="009C0666" w:rsidRPr="006A2BF9" w:rsidRDefault="009C0666" w:rsidP="008D7C25">
      <w:pPr>
        <w:numPr>
          <w:ilvl w:val="12"/>
          <w:numId w:val="0"/>
        </w:numPr>
        <w:ind w:right="-2"/>
        <w:rPr>
          <w:b/>
          <w:lang w:val="it-IT"/>
        </w:rPr>
      </w:pPr>
      <w:r w:rsidRPr="006A2BF9">
        <w:rPr>
          <w:b/>
          <w:lang w:val="it-IT"/>
        </w:rPr>
        <w:t xml:space="preserve">La somministrazione di </w:t>
      </w:r>
      <w:r w:rsidR="0082705A" w:rsidRPr="006A2BF9">
        <w:rPr>
          <w:b/>
          <w:lang w:val="it-IT"/>
        </w:rPr>
        <w:t xml:space="preserve">Aybintio </w:t>
      </w:r>
      <w:r w:rsidRPr="006A2BF9">
        <w:rPr>
          <w:b/>
          <w:lang w:val="it-IT"/>
        </w:rPr>
        <w:t>deve essere interrotta temporaneamente</w:t>
      </w:r>
    </w:p>
    <w:p w14:paraId="3A79DFF8" w14:textId="77777777" w:rsidR="009C0666" w:rsidRPr="00330A40" w:rsidRDefault="00C91E39" w:rsidP="00A64579">
      <w:pPr>
        <w:autoSpaceDE w:val="0"/>
        <w:autoSpaceDN w:val="0"/>
        <w:adjustRightInd w:val="0"/>
        <w:ind w:left="567" w:hanging="567"/>
        <w:rPr>
          <w:rFonts w:eastAsia="MS Mincho"/>
          <w:lang w:val="it-IT"/>
        </w:rPr>
      </w:pPr>
      <w:r w:rsidRPr="00330A40">
        <w:rPr>
          <w:lang w:val="it-IT"/>
        </w:rPr>
        <w:sym w:font="Symbol" w:char="F0B7"/>
      </w:r>
      <w:r w:rsidRPr="00330A40">
        <w:rPr>
          <w:lang w:val="it-IT"/>
        </w:rPr>
        <w:tab/>
      </w:r>
      <w:r w:rsidR="009C0666" w:rsidRPr="00330A40">
        <w:rPr>
          <w:lang w:val="it-IT"/>
        </w:rPr>
        <w:t>se insorgono problemi di pressione sanguigna elevata</w:t>
      </w:r>
      <w:r w:rsidR="00E144C3" w:rsidRPr="00330A40">
        <w:rPr>
          <w:lang w:val="it-IT"/>
        </w:rPr>
        <w:t xml:space="preserve"> </w:t>
      </w:r>
      <w:r w:rsidR="009B1F33" w:rsidRPr="00330A40">
        <w:rPr>
          <w:lang w:val="it-IT"/>
        </w:rPr>
        <w:t>grave</w:t>
      </w:r>
      <w:r w:rsidR="009C0666" w:rsidRPr="00330A40">
        <w:rPr>
          <w:lang w:val="it-IT"/>
        </w:rPr>
        <w:t>, che richiedano un trattamento con medicinali per controllare la pressione sanguigna,</w:t>
      </w:r>
    </w:p>
    <w:p w14:paraId="7092105F" w14:textId="77777777" w:rsidR="009C0666" w:rsidRPr="00330A40" w:rsidRDefault="00C91E39" w:rsidP="00A64579">
      <w:pPr>
        <w:autoSpaceDE w:val="0"/>
        <w:autoSpaceDN w:val="0"/>
        <w:adjustRightInd w:val="0"/>
        <w:ind w:left="567" w:hanging="567"/>
        <w:rPr>
          <w:lang w:val="it-IT"/>
        </w:rPr>
      </w:pPr>
      <w:r w:rsidRPr="00330A40">
        <w:rPr>
          <w:lang w:val="it-IT"/>
        </w:rPr>
        <w:sym w:font="Symbol" w:char="F0B7"/>
      </w:r>
      <w:r w:rsidRPr="00330A40">
        <w:rPr>
          <w:lang w:val="it-IT"/>
        </w:rPr>
        <w:tab/>
      </w:r>
      <w:r w:rsidR="009C0666" w:rsidRPr="00330A40">
        <w:rPr>
          <w:lang w:val="it-IT"/>
        </w:rPr>
        <w:t xml:space="preserve">se ha problemi di </w:t>
      </w:r>
      <w:r w:rsidR="00E24391" w:rsidRPr="00330A40">
        <w:rPr>
          <w:lang w:val="it-IT"/>
        </w:rPr>
        <w:t>guarigione d</w:t>
      </w:r>
      <w:r w:rsidR="001D128B" w:rsidRPr="00330A40">
        <w:rPr>
          <w:lang w:val="it-IT"/>
        </w:rPr>
        <w:t>elle</w:t>
      </w:r>
      <w:r w:rsidR="00E24391" w:rsidRPr="00330A40">
        <w:rPr>
          <w:lang w:val="it-IT"/>
        </w:rPr>
        <w:t xml:space="preserve"> ferite </w:t>
      </w:r>
      <w:r w:rsidR="009C0666" w:rsidRPr="00330A40">
        <w:rPr>
          <w:lang w:val="it-IT"/>
        </w:rPr>
        <w:t>dopo intervento chirurgico,</w:t>
      </w:r>
    </w:p>
    <w:p w14:paraId="2E8B0034" w14:textId="77777777" w:rsidR="009C0666" w:rsidRPr="00330A40" w:rsidRDefault="00C91E39" w:rsidP="00A64579">
      <w:pPr>
        <w:autoSpaceDE w:val="0"/>
        <w:autoSpaceDN w:val="0"/>
        <w:adjustRightInd w:val="0"/>
        <w:ind w:left="567" w:hanging="567"/>
        <w:rPr>
          <w:rFonts w:eastAsia="MS Mincho"/>
          <w:lang w:val="it-IT"/>
        </w:rPr>
      </w:pPr>
      <w:r w:rsidRPr="00330A40">
        <w:rPr>
          <w:lang w:val="it-IT"/>
        </w:rPr>
        <w:sym w:font="Symbol" w:char="F0B7"/>
      </w:r>
      <w:r w:rsidRPr="00330A40">
        <w:rPr>
          <w:lang w:val="it-IT"/>
        </w:rPr>
        <w:tab/>
      </w:r>
      <w:r w:rsidR="009C0666" w:rsidRPr="00330A40">
        <w:rPr>
          <w:lang w:val="it-IT"/>
        </w:rPr>
        <w:t>se deve essere sottoposto a un'operazione chirurgica.</w:t>
      </w:r>
    </w:p>
    <w:p w14:paraId="25938FC0" w14:textId="77777777" w:rsidR="009C0666" w:rsidRPr="00330A40" w:rsidRDefault="009C0666" w:rsidP="009C0666">
      <w:pPr>
        <w:autoSpaceDE w:val="0"/>
        <w:autoSpaceDN w:val="0"/>
        <w:adjustRightInd w:val="0"/>
        <w:rPr>
          <w:rFonts w:eastAsia="MS Mincho"/>
          <w:lang w:val="it-IT"/>
        </w:rPr>
      </w:pPr>
    </w:p>
    <w:p w14:paraId="28FE8FD2" w14:textId="77777777" w:rsidR="009C0666" w:rsidRPr="00330A40" w:rsidRDefault="009C0666" w:rsidP="009C0666">
      <w:pPr>
        <w:autoSpaceDE w:val="0"/>
        <w:autoSpaceDN w:val="0"/>
        <w:adjustRightInd w:val="0"/>
        <w:rPr>
          <w:b/>
          <w:lang w:val="it-IT"/>
        </w:rPr>
      </w:pPr>
      <w:r w:rsidRPr="00330A40">
        <w:rPr>
          <w:b/>
          <w:lang w:val="it-IT"/>
        </w:rPr>
        <w:t xml:space="preserve">La somministrazione di </w:t>
      </w:r>
      <w:r w:rsidR="0082705A" w:rsidRPr="00330A40">
        <w:rPr>
          <w:b/>
          <w:lang w:val="it-IT"/>
        </w:rPr>
        <w:t xml:space="preserve">Aybintio </w:t>
      </w:r>
      <w:r w:rsidRPr="00330A40">
        <w:rPr>
          <w:b/>
          <w:lang w:val="it-IT"/>
        </w:rPr>
        <w:t>deve essere interrotta definitivamente se insorge uno dei seguenti problemi</w:t>
      </w:r>
    </w:p>
    <w:p w14:paraId="48E02150" w14:textId="77777777" w:rsidR="009C0666" w:rsidRPr="00330A40" w:rsidRDefault="00C91E39" w:rsidP="00C65E97">
      <w:pPr>
        <w:numPr>
          <w:ilvl w:val="12"/>
          <w:numId w:val="0"/>
        </w:numPr>
        <w:ind w:left="567" w:hanging="567"/>
        <w:rPr>
          <w:lang w:val="it-IT"/>
        </w:rPr>
      </w:pPr>
      <w:r w:rsidRPr="00330A40">
        <w:rPr>
          <w:lang w:val="it-IT"/>
        </w:rPr>
        <w:sym w:font="Symbol" w:char="F0B7"/>
      </w:r>
      <w:r w:rsidRPr="00330A40">
        <w:rPr>
          <w:lang w:val="it-IT"/>
        </w:rPr>
        <w:tab/>
      </w:r>
      <w:r w:rsidR="009C0666" w:rsidRPr="00330A40">
        <w:rPr>
          <w:lang w:val="it-IT"/>
        </w:rPr>
        <w:t xml:space="preserve">pressione sanguigna elevata </w:t>
      </w:r>
      <w:r w:rsidR="009B1F33" w:rsidRPr="00330A40">
        <w:rPr>
          <w:lang w:val="it-IT"/>
        </w:rPr>
        <w:t xml:space="preserve">grave </w:t>
      </w:r>
      <w:r w:rsidR="009C0666" w:rsidRPr="00330A40">
        <w:rPr>
          <w:lang w:val="it-IT"/>
        </w:rPr>
        <w:t xml:space="preserve">che non si riesca a tenere sotto controllo con </w:t>
      </w:r>
      <w:r w:rsidR="004D3007" w:rsidRPr="00330A40">
        <w:rPr>
          <w:lang w:val="it-IT"/>
        </w:rPr>
        <w:t xml:space="preserve">farmaci </w:t>
      </w:r>
      <w:r w:rsidR="008014D6" w:rsidRPr="00330A40">
        <w:rPr>
          <w:lang w:val="it-IT"/>
        </w:rPr>
        <w:t>anti-ipertensiv</w:t>
      </w:r>
      <w:r w:rsidR="004D3007" w:rsidRPr="00330A40">
        <w:rPr>
          <w:lang w:val="it-IT"/>
        </w:rPr>
        <w:t>i</w:t>
      </w:r>
      <w:r w:rsidR="009C0666" w:rsidRPr="00330A40">
        <w:rPr>
          <w:lang w:val="it-IT"/>
        </w:rPr>
        <w:t xml:space="preserve">, oppure aumento improvviso e </w:t>
      </w:r>
      <w:r w:rsidR="009B1F33" w:rsidRPr="00330A40">
        <w:rPr>
          <w:lang w:val="it-IT"/>
        </w:rPr>
        <w:t xml:space="preserve">grave </w:t>
      </w:r>
      <w:r w:rsidR="009C0666" w:rsidRPr="00330A40">
        <w:rPr>
          <w:lang w:val="it-IT"/>
        </w:rPr>
        <w:t>della pressione sanguigna,</w:t>
      </w:r>
    </w:p>
    <w:p w14:paraId="596AD27A" w14:textId="77777777" w:rsidR="009C0666" w:rsidRPr="00330A40" w:rsidRDefault="00C91E39" w:rsidP="00C65E97">
      <w:pPr>
        <w:numPr>
          <w:ilvl w:val="12"/>
          <w:numId w:val="0"/>
        </w:numPr>
        <w:ind w:left="567" w:hanging="567"/>
        <w:rPr>
          <w:lang w:val="it-IT"/>
        </w:rPr>
      </w:pPr>
      <w:r w:rsidRPr="00330A40">
        <w:rPr>
          <w:lang w:val="it-IT"/>
        </w:rPr>
        <w:sym w:font="Symbol" w:char="F0B7"/>
      </w:r>
      <w:r w:rsidRPr="00330A40">
        <w:rPr>
          <w:lang w:val="it-IT"/>
        </w:rPr>
        <w:tab/>
      </w:r>
      <w:r w:rsidR="00A77829" w:rsidRPr="00330A40">
        <w:rPr>
          <w:lang w:val="it-IT"/>
        </w:rPr>
        <w:t xml:space="preserve">presenza di </w:t>
      </w:r>
      <w:r w:rsidR="009C0666" w:rsidRPr="00330A40">
        <w:rPr>
          <w:lang w:val="it-IT"/>
        </w:rPr>
        <w:t xml:space="preserve">proteine nelle urine associate a </w:t>
      </w:r>
      <w:r w:rsidR="000F62AF" w:rsidRPr="00330A40">
        <w:rPr>
          <w:lang w:val="it-IT"/>
        </w:rPr>
        <w:t>edema (</w:t>
      </w:r>
      <w:r w:rsidR="00A77829" w:rsidRPr="00330A40">
        <w:rPr>
          <w:lang w:val="it-IT"/>
        </w:rPr>
        <w:t>gonfiore del corpo</w:t>
      </w:r>
      <w:r w:rsidR="000F62AF" w:rsidRPr="00330A40">
        <w:rPr>
          <w:lang w:val="it-IT"/>
        </w:rPr>
        <w:t>)</w:t>
      </w:r>
      <w:r w:rsidR="009C0666" w:rsidRPr="00330A40">
        <w:rPr>
          <w:lang w:val="it-IT"/>
        </w:rPr>
        <w:t>,</w:t>
      </w:r>
    </w:p>
    <w:p w14:paraId="7219790B" w14:textId="77777777" w:rsidR="009C0666" w:rsidRPr="00330A40" w:rsidRDefault="00C91E39" w:rsidP="00C65E97">
      <w:pPr>
        <w:numPr>
          <w:ilvl w:val="12"/>
          <w:numId w:val="0"/>
        </w:numPr>
        <w:ind w:left="567" w:hanging="567"/>
        <w:rPr>
          <w:lang w:val="it-IT"/>
        </w:rPr>
      </w:pPr>
      <w:r w:rsidRPr="00330A40">
        <w:rPr>
          <w:lang w:val="it-IT"/>
        </w:rPr>
        <w:sym w:font="Symbol" w:char="F0B7"/>
      </w:r>
      <w:r w:rsidRPr="00330A40">
        <w:rPr>
          <w:lang w:val="it-IT"/>
        </w:rPr>
        <w:tab/>
      </w:r>
      <w:r w:rsidR="009C0666" w:rsidRPr="00330A40">
        <w:rPr>
          <w:lang w:val="it-IT"/>
        </w:rPr>
        <w:t>perforazione della parete intestinale,</w:t>
      </w:r>
    </w:p>
    <w:p w14:paraId="56459C52" w14:textId="77777777" w:rsidR="009C0666" w:rsidRPr="006A2BF9" w:rsidRDefault="00C91E39" w:rsidP="00C65E97">
      <w:pPr>
        <w:numPr>
          <w:ilvl w:val="12"/>
          <w:numId w:val="0"/>
        </w:numPr>
        <w:ind w:left="567" w:hanging="567"/>
        <w:rPr>
          <w:lang w:val="it-IT"/>
        </w:rPr>
      </w:pPr>
      <w:r w:rsidRPr="00330A40">
        <w:rPr>
          <w:lang w:val="it-IT"/>
        </w:rPr>
        <w:sym w:font="Symbol" w:char="F0B7"/>
      </w:r>
      <w:r w:rsidRPr="00330A40">
        <w:rPr>
          <w:lang w:val="it-IT"/>
        </w:rPr>
        <w:tab/>
      </w:r>
      <w:r w:rsidR="009C0666" w:rsidRPr="00330A40">
        <w:rPr>
          <w:lang w:val="it-IT"/>
        </w:rPr>
        <w:t>una connessione o un passaggio</w:t>
      </w:r>
      <w:r w:rsidR="004D12E0" w:rsidRPr="00330A40">
        <w:rPr>
          <w:lang w:val="it-IT"/>
        </w:rPr>
        <w:t xml:space="preserve"> </w:t>
      </w:r>
      <w:r w:rsidR="00A4452F" w:rsidRPr="00330A40">
        <w:rPr>
          <w:lang w:val="it-IT"/>
        </w:rPr>
        <w:t xml:space="preserve">anomali </w:t>
      </w:r>
      <w:r w:rsidR="009C0666" w:rsidRPr="00330A40">
        <w:rPr>
          <w:lang w:val="it-IT"/>
        </w:rPr>
        <w:t>fra trachea ed esofago, organi interni e cute</w:t>
      </w:r>
      <w:r w:rsidR="00E57B3E" w:rsidRPr="00330A40">
        <w:rPr>
          <w:lang w:val="it-IT"/>
        </w:rPr>
        <w:t>, vagina e qualsiasi sezione del tratto gastrointestinale, oppure tra</w:t>
      </w:r>
      <w:r w:rsidR="009C0666" w:rsidRPr="00330A40">
        <w:rPr>
          <w:lang w:val="it-IT"/>
        </w:rPr>
        <w:t xml:space="preserve"> altri tessuti che non sono normalmente connessi</w:t>
      </w:r>
      <w:r w:rsidR="006A0DFC" w:rsidRPr="00330A40">
        <w:rPr>
          <w:lang w:val="it-IT"/>
        </w:rPr>
        <w:t xml:space="preserve"> (fistola)</w:t>
      </w:r>
      <w:r w:rsidR="009C0666" w:rsidRPr="00330A40">
        <w:rPr>
          <w:lang w:val="it-IT"/>
        </w:rPr>
        <w:t xml:space="preserve">, e che sono giudicati dal medico come </w:t>
      </w:r>
      <w:r w:rsidR="009B1F33" w:rsidRPr="006A2BF9">
        <w:rPr>
          <w:lang w:val="it-IT"/>
        </w:rPr>
        <w:t>gravi</w:t>
      </w:r>
      <w:r w:rsidR="009C0666" w:rsidRPr="006A2BF9">
        <w:rPr>
          <w:lang w:val="it-IT"/>
        </w:rPr>
        <w:t>,</w:t>
      </w:r>
    </w:p>
    <w:p w14:paraId="478AE369" w14:textId="77777777" w:rsidR="00DB232A" w:rsidRPr="00330A40" w:rsidRDefault="00895A61" w:rsidP="00C65E97">
      <w:pPr>
        <w:ind w:left="567" w:hanging="567"/>
        <w:rPr>
          <w:lang w:val="it-IT"/>
        </w:rPr>
      </w:pPr>
      <w:r w:rsidRPr="00330A40">
        <w:rPr>
          <w:lang w:val="it-IT"/>
        </w:rPr>
        <w:sym w:font="Symbol" w:char="F0B7"/>
      </w:r>
      <w:r w:rsidRPr="00330A40">
        <w:rPr>
          <w:lang w:val="it-IT"/>
        </w:rPr>
        <w:tab/>
      </w:r>
      <w:r w:rsidR="00E04C8C" w:rsidRPr="00330A40">
        <w:rPr>
          <w:lang w:val="it-IT"/>
        </w:rPr>
        <w:t xml:space="preserve">gravi </w:t>
      </w:r>
      <w:r w:rsidR="00DB232A" w:rsidRPr="00330A40">
        <w:rPr>
          <w:lang w:val="it-IT"/>
        </w:rPr>
        <w:t>infezioni della pelle o degli strati più profondi sotto la pelle,</w:t>
      </w:r>
    </w:p>
    <w:p w14:paraId="36430305" w14:textId="77777777" w:rsidR="009C0666" w:rsidRPr="00330A40" w:rsidRDefault="00C91E39" w:rsidP="00C65E97">
      <w:pPr>
        <w:numPr>
          <w:ilvl w:val="12"/>
          <w:numId w:val="0"/>
        </w:numPr>
        <w:ind w:left="567" w:hanging="567"/>
        <w:rPr>
          <w:lang w:val="it-IT"/>
        </w:rPr>
      </w:pPr>
      <w:r w:rsidRPr="00330A40">
        <w:rPr>
          <w:lang w:val="it-IT"/>
        </w:rPr>
        <w:sym w:font="Symbol" w:char="F0B7"/>
      </w:r>
      <w:r w:rsidRPr="00330A40">
        <w:rPr>
          <w:lang w:val="it-IT"/>
        </w:rPr>
        <w:tab/>
      </w:r>
      <w:r w:rsidR="009C0666" w:rsidRPr="00330A40">
        <w:rPr>
          <w:lang w:val="it-IT"/>
        </w:rPr>
        <w:t xml:space="preserve">coaguli di sangue nelle arterie, </w:t>
      </w:r>
    </w:p>
    <w:p w14:paraId="43D7A26B" w14:textId="77777777" w:rsidR="009C0666" w:rsidRPr="00330A40" w:rsidRDefault="00C91E39" w:rsidP="00C65E97">
      <w:pPr>
        <w:numPr>
          <w:ilvl w:val="12"/>
          <w:numId w:val="0"/>
        </w:numPr>
        <w:ind w:left="567" w:hanging="567"/>
        <w:rPr>
          <w:lang w:val="it-IT"/>
        </w:rPr>
      </w:pPr>
      <w:r w:rsidRPr="00330A40">
        <w:rPr>
          <w:lang w:val="it-IT"/>
        </w:rPr>
        <w:sym w:font="Symbol" w:char="F0B7"/>
      </w:r>
      <w:r w:rsidRPr="00330A40">
        <w:rPr>
          <w:lang w:val="it-IT"/>
        </w:rPr>
        <w:tab/>
      </w:r>
      <w:r w:rsidR="009C0666" w:rsidRPr="00330A40">
        <w:rPr>
          <w:lang w:val="it-IT"/>
        </w:rPr>
        <w:t>coaguli di sangue ne</w:t>
      </w:r>
      <w:r w:rsidR="0018124B" w:rsidRPr="00330A40">
        <w:rPr>
          <w:lang w:val="it-IT"/>
        </w:rPr>
        <w:t xml:space="preserve">i vasi sanguigni </w:t>
      </w:r>
      <w:r w:rsidR="009C0666" w:rsidRPr="00330A40">
        <w:rPr>
          <w:lang w:val="it-IT"/>
        </w:rPr>
        <w:t>polmonari,</w:t>
      </w:r>
    </w:p>
    <w:p w14:paraId="427EC746" w14:textId="77777777" w:rsidR="009C0666" w:rsidRPr="00330A40" w:rsidRDefault="00C91E39" w:rsidP="00C65E97">
      <w:pPr>
        <w:numPr>
          <w:ilvl w:val="12"/>
          <w:numId w:val="0"/>
        </w:numPr>
        <w:ind w:left="567" w:hanging="567"/>
        <w:rPr>
          <w:lang w:val="it-IT"/>
        </w:rPr>
      </w:pPr>
      <w:r w:rsidRPr="00330A40">
        <w:rPr>
          <w:lang w:val="it-IT"/>
        </w:rPr>
        <w:sym w:font="Symbol" w:char="F0B7"/>
      </w:r>
      <w:r w:rsidRPr="00330A40">
        <w:rPr>
          <w:lang w:val="it-IT"/>
        </w:rPr>
        <w:tab/>
      </w:r>
      <w:r w:rsidR="009C0666" w:rsidRPr="00330A40">
        <w:rPr>
          <w:lang w:val="it-IT"/>
        </w:rPr>
        <w:t xml:space="preserve">sanguinamento </w:t>
      </w:r>
      <w:r w:rsidR="009B1F33" w:rsidRPr="00330A40">
        <w:rPr>
          <w:lang w:val="it-IT"/>
        </w:rPr>
        <w:t xml:space="preserve">grave </w:t>
      </w:r>
      <w:r w:rsidR="009C0666" w:rsidRPr="00330A40">
        <w:rPr>
          <w:lang w:val="it-IT"/>
        </w:rPr>
        <w:t>di qualunque tipo.</w:t>
      </w:r>
    </w:p>
    <w:p w14:paraId="14AFB18F" w14:textId="77777777" w:rsidR="009C0666" w:rsidRPr="00330A40" w:rsidRDefault="009C0666" w:rsidP="009C0666">
      <w:pPr>
        <w:numPr>
          <w:ilvl w:val="12"/>
          <w:numId w:val="0"/>
        </w:numPr>
        <w:ind w:left="600" w:right="-2" w:hanging="600"/>
        <w:outlineLvl w:val="0"/>
        <w:rPr>
          <w:b/>
          <w:bCs/>
          <w:lang w:val="it-IT"/>
        </w:rPr>
      </w:pPr>
    </w:p>
    <w:p w14:paraId="333B685B" w14:textId="77777777" w:rsidR="009C0666" w:rsidRPr="00330A40" w:rsidRDefault="009C0666" w:rsidP="008B3BC8">
      <w:pPr>
        <w:keepNext/>
        <w:keepLines/>
        <w:numPr>
          <w:ilvl w:val="12"/>
          <w:numId w:val="0"/>
        </w:numPr>
        <w:ind w:left="600" w:right="-2" w:hanging="600"/>
        <w:outlineLvl w:val="0"/>
        <w:rPr>
          <w:b/>
          <w:bCs/>
          <w:lang w:val="it-IT"/>
        </w:rPr>
      </w:pPr>
      <w:r w:rsidRPr="00330A40">
        <w:rPr>
          <w:b/>
          <w:bCs/>
          <w:lang w:val="it-IT"/>
        </w:rPr>
        <w:t xml:space="preserve">Se viene somministrata una dose eccessiva di </w:t>
      </w:r>
      <w:r w:rsidR="0082705A" w:rsidRPr="00330A40">
        <w:rPr>
          <w:b/>
          <w:lang w:val="it-IT"/>
        </w:rPr>
        <w:t>Aybintio</w:t>
      </w:r>
    </w:p>
    <w:p w14:paraId="091F47C0" w14:textId="77777777" w:rsidR="009C0666" w:rsidRPr="00330A40" w:rsidRDefault="00C91E39" w:rsidP="00C65E97">
      <w:pPr>
        <w:keepNext/>
        <w:keepLines/>
        <w:numPr>
          <w:ilvl w:val="12"/>
          <w:numId w:val="0"/>
        </w:numPr>
        <w:ind w:left="567" w:hanging="567"/>
        <w:rPr>
          <w:lang w:val="it-IT"/>
        </w:rPr>
      </w:pPr>
      <w:r w:rsidRPr="00330A40">
        <w:rPr>
          <w:lang w:val="it-IT"/>
        </w:rPr>
        <w:sym w:font="Symbol" w:char="F0B7"/>
      </w:r>
      <w:r w:rsidRPr="00330A40">
        <w:rPr>
          <w:lang w:val="it-IT"/>
        </w:rPr>
        <w:tab/>
      </w:r>
      <w:r w:rsidR="006E4CFE" w:rsidRPr="00330A40">
        <w:rPr>
          <w:lang w:val="it-IT"/>
        </w:rPr>
        <w:t>p</w:t>
      </w:r>
      <w:r w:rsidR="006E4CFE">
        <w:rPr>
          <w:lang w:val="it-IT"/>
        </w:rPr>
        <w:t>uò</w:t>
      </w:r>
      <w:r w:rsidR="006E4CFE" w:rsidRPr="00330A40">
        <w:rPr>
          <w:lang w:val="it-IT"/>
        </w:rPr>
        <w:t xml:space="preserve"> </w:t>
      </w:r>
      <w:r w:rsidR="009C0666" w:rsidRPr="00330A40">
        <w:rPr>
          <w:lang w:val="it-IT"/>
        </w:rPr>
        <w:t>manifestare</w:t>
      </w:r>
      <w:r w:rsidR="00AA18B8" w:rsidRPr="00330A40">
        <w:rPr>
          <w:lang w:val="it-IT"/>
        </w:rPr>
        <w:t xml:space="preserve"> </w:t>
      </w:r>
      <w:r w:rsidR="004D12E0" w:rsidRPr="00330A40">
        <w:rPr>
          <w:lang w:val="it-IT"/>
        </w:rPr>
        <w:t xml:space="preserve">una </w:t>
      </w:r>
      <w:r w:rsidR="009B1F33" w:rsidRPr="00330A40">
        <w:rPr>
          <w:lang w:val="it-IT"/>
        </w:rPr>
        <w:t xml:space="preserve">grave </w:t>
      </w:r>
      <w:r w:rsidR="004D12E0" w:rsidRPr="00330A40">
        <w:rPr>
          <w:lang w:val="it-IT"/>
        </w:rPr>
        <w:t>emicrania</w:t>
      </w:r>
      <w:r w:rsidR="009C0666" w:rsidRPr="00330A40">
        <w:rPr>
          <w:lang w:val="it-IT"/>
        </w:rPr>
        <w:t>. In questo caso, si rivolga immediatamente al medico</w:t>
      </w:r>
      <w:r w:rsidR="002E5721" w:rsidRPr="00330A40">
        <w:rPr>
          <w:lang w:val="it-IT"/>
        </w:rPr>
        <w:t xml:space="preserve">, </w:t>
      </w:r>
      <w:r w:rsidR="009C0666" w:rsidRPr="00330A40">
        <w:rPr>
          <w:lang w:val="it-IT"/>
        </w:rPr>
        <w:t>al farmacista</w:t>
      </w:r>
      <w:r w:rsidR="002E5721" w:rsidRPr="00330A40">
        <w:rPr>
          <w:lang w:val="it-IT"/>
        </w:rPr>
        <w:t xml:space="preserve"> o all’infermiere</w:t>
      </w:r>
      <w:r w:rsidR="009C0666" w:rsidRPr="00330A40">
        <w:rPr>
          <w:lang w:val="it-IT"/>
        </w:rPr>
        <w:t xml:space="preserve">. </w:t>
      </w:r>
    </w:p>
    <w:p w14:paraId="10103851" w14:textId="77777777" w:rsidR="009C0666" w:rsidRPr="00330A40" w:rsidRDefault="009C0666" w:rsidP="008B3BC8">
      <w:pPr>
        <w:keepNext/>
        <w:keepLines/>
        <w:numPr>
          <w:ilvl w:val="12"/>
          <w:numId w:val="0"/>
        </w:numPr>
        <w:ind w:left="567" w:right="-29" w:hanging="567"/>
        <w:rPr>
          <w:lang w:val="it-IT"/>
        </w:rPr>
      </w:pPr>
    </w:p>
    <w:p w14:paraId="594D2B4E" w14:textId="77777777" w:rsidR="009C0666" w:rsidRPr="006A2BF9" w:rsidRDefault="009C0666" w:rsidP="008B3BC8">
      <w:pPr>
        <w:keepNext/>
        <w:keepLines/>
        <w:numPr>
          <w:ilvl w:val="12"/>
          <w:numId w:val="0"/>
        </w:numPr>
        <w:ind w:left="601" w:hanging="601"/>
        <w:outlineLvl w:val="0"/>
        <w:rPr>
          <w:b/>
          <w:bCs/>
          <w:lang w:val="it-IT"/>
        </w:rPr>
      </w:pPr>
      <w:r w:rsidRPr="00330A40">
        <w:rPr>
          <w:b/>
          <w:bCs/>
          <w:lang w:val="it-IT"/>
        </w:rPr>
        <w:t xml:space="preserve">Se dimentica di prendere una dose di </w:t>
      </w:r>
      <w:r w:rsidR="0082705A" w:rsidRPr="006A2BF9">
        <w:rPr>
          <w:b/>
          <w:lang w:val="it-IT"/>
        </w:rPr>
        <w:t>Aybintio</w:t>
      </w:r>
    </w:p>
    <w:p w14:paraId="00832BCD" w14:textId="77777777" w:rsidR="009C0666" w:rsidRPr="00330A40" w:rsidRDefault="00C91E39" w:rsidP="00C65E97">
      <w:pPr>
        <w:keepNext/>
        <w:keepLines/>
        <w:numPr>
          <w:ilvl w:val="12"/>
          <w:numId w:val="0"/>
        </w:numPr>
        <w:ind w:left="567" w:hanging="567"/>
        <w:rPr>
          <w:lang w:val="it-IT"/>
        </w:rPr>
      </w:pPr>
      <w:r w:rsidRPr="00330A40">
        <w:rPr>
          <w:lang w:val="it-IT"/>
        </w:rPr>
        <w:sym w:font="Symbol" w:char="F0B7"/>
      </w:r>
      <w:r w:rsidRPr="00330A40">
        <w:rPr>
          <w:lang w:val="it-IT"/>
        </w:rPr>
        <w:tab/>
      </w:r>
      <w:r w:rsidR="00A4452F" w:rsidRPr="00330A40">
        <w:rPr>
          <w:lang w:val="it-IT"/>
        </w:rPr>
        <w:t xml:space="preserve">il </w:t>
      </w:r>
      <w:r w:rsidR="009C0666" w:rsidRPr="00330A40">
        <w:rPr>
          <w:lang w:val="it-IT"/>
        </w:rPr>
        <w:t xml:space="preserve">medico deciderà il momento più opportuno per farle assumere la dose successiva di </w:t>
      </w:r>
      <w:r w:rsidR="0082705A" w:rsidRPr="00330A40">
        <w:rPr>
          <w:lang w:val="it-IT"/>
        </w:rPr>
        <w:t>Aybintio</w:t>
      </w:r>
      <w:r w:rsidR="009C0666" w:rsidRPr="00330A40">
        <w:rPr>
          <w:lang w:val="it-IT"/>
        </w:rPr>
        <w:t xml:space="preserve">. </w:t>
      </w:r>
      <w:r w:rsidR="001D128B" w:rsidRPr="00330A40">
        <w:rPr>
          <w:lang w:val="it-IT"/>
        </w:rPr>
        <w:t>D</w:t>
      </w:r>
      <w:r w:rsidR="009C0666" w:rsidRPr="00330A40">
        <w:rPr>
          <w:lang w:val="it-IT"/>
        </w:rPr>
        <w:t>iscut</w:t>
      </w:r>
      <w:r w:rsidR="001D128B" w:rsidRPr="00330A40">
        <w:rPr>
          <w:lang w:val="it-IT"/>
        </w:rPr>
        <w:t>a</w:t>
      </w:r>
      <w:r w:rsidR="009C0666" w:rsidRPr="00330A40">
        <w:rPr>
          <w:lang w:val="it-IT"/>
        </w:rPr>
        <w:t xml:space="preserve"> di ciò con il medico.</w:t>
      </w:r>
    </w:p>
    <w:p w14:paraId="4334107E" w14:textId="77777777" w:rsidR="009C0666" w:rsidRPr="00330A40" w:rsidRDefault="009C0666" w:rsidP="009C0666">
      <w:pPr>
        <w:numPr>
          <w:ilvl w:val="12"/>
          <w:numId w:val="0"/>
        </w:numPr>
        <w:ind w:right="-2"/>
        <w:rPr>
          <w:lang w:val="it-IT"/>
        </w:rPr>
      </w:pPr>
    </w:p>
    <w:p w14:paraId="3F699461" w14:textId="77777777" w:rsidR="009C0666" w:rsidRPr="006A2BF9" w:rsidRDefault="009C0666" w:rsidP="009C0666">
      <w:pPr>
        <w:numPr>
          <w:ilvl w:val="12"/>
          <w:numId w:val="0"/>
        </w:numPr>
        <w:ind w:right="-2"/>
        <w:outlineLvl w:val="0"/>
        <w:rPr>
          <w:b/>
          <w:bCs/>
          <w:lang w:val="it-IT"/>
        </w:rPr>
      </w:pPr>
      <w:r w:rsidRPr="00330A40">
        <w:rPr>
          <w:b/>
          <w:bCs/>
          <w:lang w:val="it-IT"/>
        </w:rPr>
        <w:t xml:space="preserve">Se interrompe il trattamento con </w:t>
      </w:r>
      <w:r w:rsidR="0082705A" w:rsidRPr="006A2BF9">
        <w:rPr>
          <w:b/>
          <w:lang w:val="it-IT"/>
        </w:rPr>
        <w:t>Aybintio</w:t>
      </w:r>
    </w:p>
    <w:p w14:paraId="506E340A" w14:textId="77777777" w:rsidR="009C0666" w:rsidRPr="006A2BF9" w:rsidRDefault="009C0666" w:rsidP="009C0666">
      <w:pPr>
        <w:numPr>
          <w:ilvl w:val="12"/>
          <w:numId w:val="0"/>
        </w:numPr>
        <w:ind w:right="-2"/>
        <w:rPr>
          <w:lang w:val="it-IT"/>
        </w:rPr>
      </w:pPr>
      <w:r w:rsidRPr="006A2BF9">
        <w:rPr>
          <w:lang w:val="it-IT"/>
        </w:rPr>
        <w:t xml:space="preserve">Interrompere il trattamento con </w:t>
      </w:r>
      <w:r w:rsidR="0082705A" w:rsidRPr="006A2BF9">
        <w:rPr>
          <w:lang w:val="it-IT"/>
        </w:rPr>
        <w:t>Aybintio</w:t>
      </w:r>
      <w:r w:rsidR="0082705A" w:rsidRPr="006A2BF9">
        <w:rPr>
          <w:b/>
          <w:lang w:val="it-IT"/>
        </w:rPr>
        <w:t xml:space="preserve"> </w:t>
      </w:r>
      <w:r w:rsidR="006E4CFE" w:rsidRPr="00330A40">
        <w:rPr>
          <w:lang w:val="it-IT"/>
        </w:rPr>
        <w:t>p</w:t>
      </w:r>
      <w:r w:rsidR="006E4CFE">
        <w:rPr>
          <w:lang w:val="it-IT"/>
        </w:rPr>
        <w:t>uò</w:t>
      </w:r>
      <w:r w:rsidR="006E4CFE" w:rsidRPr="00330A40">
        <w:rPr>
          <w:lang w:val="it-IT"/>
        </w:rPr>
        <w:t xml:space="preserve"> </w:t>
      </w:r>
      <w:r w:rsidRPr="006A2BF9">
        <w:rPr>
          <w:lang w:val="it-IT"/>
        </w:rPr>
        <w:t xml:space="preserve">far cessare l'azione di contenimento della crescita tumorale. Non interrompa il trattamento con </w:t>
      </w:r>
      <w:r w:rsidR="0082705A" w:rsidRPr="006A2BF9">
        <w:rPr>
          <w:lang w:val="it-IT"/>
        </w:rPr>
        <w:t>Aybintio</w:t>
      </w:r>
      <w:r w:rsidR="0082705A" w:rsidRPr="006A2BF9">
        <w:rPr>
          <w:b/>
          <w:lang w:val="it-IT"/>
        </w:rPr>
        <w:t xml:space="preserve"> </w:t>
      </w:r>
      <w:r w:rsidRPr="006A2BF9">
        <w:rPr>
          <w:lang w:val="it-IT"/>
        </w:rPr>
        <w:t xml:space="preserve">prima di </w:t>
      </w:r>
      <w:r w:rsidR="00A4452F" w:rsidRPr="006A2BF9">
        <w:rPr>
          <w:lang w:val="it-IT"/>
        </w:rPr>
        <w:t xml:space="preserve">aver consultato </w:t>
      </w:r>
      <w:r w:rsidRPr="006A2BF9">
        <w:rPr>
          <w:lang w:val="it-IT"/>
        </w:rPr>
        <w:t>il medico.</w:t>
      </w:r>
    </w:p>
    <w:p w14:paraId="2ECF4591" w14:textId="77777777" w:rsidR="009C0666" w:rsidRPr="006A2BF9" w:rsidRDefault="009C0666" w:rsidP="009C0666">
      <w:pPr>
        <w:numPr>
          <w:ilvl w:val="12"/>
          <w:numId w:val="0"/>
        </w:numPr>
        <w:ind w:right="-2"/>
        <w:rPr>
          <w:lang w:val="it-IT"/>
        </w:rPr>
      </w:pPr>
    </w:p>
    <w:p w14:paraId="60AC8EA9" w14:textId="77777777" w:rsidR="009C0666" w:rsidRPr="006A2BF9" w:rsidRDefault="009C0666" w:rsidP="00EE4635">
      <w:pPr>
        <w:numPr>
          <w:ilvl w:val="12"/>
          <w:numId w:val="0"/>
        </w:numPr>
        <w:ind w:right="-2"/>
        <w:rPr>
          <w:lang w:val="it-IT"/>
        </w:rPr>
      </w:pPr>
      <w:r w:rsidRPr="006A2BF9">
        <w:rPr>
          <w:lang w:val="it-IT"/>
        </w:rPr>
        <w:t xml:space="preserve">Se ha qualsiasi dubbio sull’uso di questo </w:t>
      </w:r>
      <w:r w:rsidR="00EE4635" w:rsidRPr="006A2BF9">
        <w:rPr>
          <w:lang w:val="it-IT"/>
        </w:rPr>
        <w:t>medicinale</w:t>
      </w:r>
      <w:r w:rsidRPr="006A2BF9">
        <w:rPr>
          <w:lang w:val="it-IT"/>
        </w:rPr>
        <w:t>, si rivolga al medico</w:t>
      </w:r>
      <w:r w:rsidR="00B9318C" w:rsidRPr="006A2BF9">
        <w:rPr>
          <w:lang w:val="it-IT"/>
        </w:rPr>
        <w:t xml:space="preserve">, </w:t>
      </w:r>
      <w:r w:rsidRPr="006A2BF9">
        <w:rPr>
          <w:lang w:val="it-IT"/>
        </w:rPr>
        <w:t>al farmacista</w:t>
      </w:r>
      <w:r w:rsidR="00B9318C" w:rsidRPr="006A2BF9">
        <w:rPr>
          <w:lang w:val="it-IT"/>
        </w:rPr>
        <w:t xml:space="preserve"> o all’infermiere</w:t>
      </w:r>
      <w:r w:rsidRPr="006A2BF9">
        <w:rPr>
          <w:lang w:val="it-IT"/>
        </w:rPr>
        <w:t>.</w:t>
      </w:r>
    </w:p>
    <w:p w14:paraId="56E9D211" w14:textId="77777777" w:rsidR="009C0666" w:rsidRPr="006A2BF9" w:rsidRDefault="009C0666" w:rsidP="009C0666">
      <w:pPr>
        <w:numPr>
          <w:ilvl w:val="12"/>
          <w:numId w:val="0"/>
        </w:numPr>
        <w:ind w:right="-2"/>
        <w:rPr>
          <w:lang w:val="it-IT"/>
        </w:rPr>
      </w:pPr>
    </w:p>
    <w:p w14:paraId="632CCCDC" w14:textId="77777777" w:rsidR="009C0666" w:rsidRPr="006A2BF9" w:rsidRDefault="009C0666" w:rsidP="009C0666">
      <w:pPr>
        <w:numPr>
          <w:ilvl w:val="12"/>
          <w:numId w:val="0"/>
        </w:numPr>
        <w:ind w:right="-2"/>
        <w:rPr>
          <w:lang w:val="it-IT"/>
        </w:rPr>
      </w:pPr>
    </w:p>
    <w:p w14:paraId="48BC0956" w14:textId="77777777" w:rsidR="009C0666" w:rsidRPr="006A2BF9" w:rsidRDefault="009C0666" w:rsidP="00C65E97">
      <w:pPr>
        <w:keepNext/>
        <w:numPr>
          <w:ilvl w:val="12"/>
          <w:numId w:val="0"/>
        </w:numPr>
        <w:ind w:left="567" w:right="-2" w:hanging="567"/>
        <w:rPr>
          <w:lang w:val="it-IT"/>
        </w:rPr>
      </w:pPr>
      <w:r w:rsidRPr="006A2BF9">
        <w:rPr>
          <w:b/>
          <w:bCs/>
          <w:lang w:val="it-IT"/>
        </w:rPr>
        <w:t>4.</w:t>
      </w:r>
      <w:r w:rsidRPr="006A2BF9">
        <w:rPr>
          <w:b/>
          <w:bCs/>
          <w:lang w:val="it-IT"/>
        </w:rPr>
        <w:tab/>
      </w:r>
      <w:r w:rsidR="00CB4D64" w:rsidRPr="006A2BF9">
        <w:rPr>
          <w:b/>
          <w:bCs/>
          <w:lang w:val="it-IT"/>
        </w:rPr>
        <w:t>Possibili effetti indesiderati</w:t>
      </w:r>
    </w:p>
    <w:p w14:paraId="70BEF3EB" w14:textId="77777777" w:rsidR="009C0666" w:rsidRPr="006A2BF9" w:rsidRDefault="009C0666" w:rsidP="00C65E97">
      <w:pPr>
        <w:keepNext/>
        <w:numPr>
          <w:ilvl w:val="12"/>
          <w:numId w:val="0"/>
        </w:numPr>
        <w:ind w:left="567" w:right="-29" w:hanging="567"/>
        <w:rPr>
          <w:lang w:val="it-IT"/>
        </w:rPr>
      </w:pPr>
    </w:p>
    <w:p w14:paraId="68A069BE" w14:textId="77777777" w:rsidR="009C0666" w:rsidRPr="006A2BF9" w:rsidRDefault="009C0666" w:rsidP="009C0666">
      <w:pPr>
        <w:numPr>
          <w:ilvl w:val="12"/>
          <w:numId w:val="0"/>
        </w:numPr>
        <w:ind w:right="-29"/>
        <w:outlineLvl w:val="0"/>
        <w:rPr>
          <w:lang w:val="it-IT"/>
        </w:rPr>
      </w:pPr>
      <w:r w:rsidRPr="006A2BF9">
        <w:rPr>
          <w:lang w:val="it-IT"/>
        </w:rPr>
        <w:t xml:space="preserve">Come tutti i medicinali, </w:t>
      </w:r>
      <w:r w:rsidR="00B9318C" w:rsidRPr="006A2BF9">
        <w:rPr>
          <w:lang w:val="it-IT"/>
        </w:rPr>
        <w:t>questo medicinale</w:t>
      </w:r>
      <w:r w:rsidR="0081178F" w:rsidRPr="006A2BF9">
        <w:rPr>
          <w:lang w:val="it-IT"/>
        </w:rPr>
        <w:t xml:space="preserve"> </w:t>
      </w:r>
      <w:r w:rsidRPr="006A2BF9">
        <w:rPr>
          <w:lang w:val="it-IT"/>
        </w:rPr>
        <w:t>può causare effetti indesiderati sebbene non tutte le persone li manifestino.</w:t>
      </w:r>
    </w:p>
    <w:p w14:paraId="6D058319" w14:textId="77777777" w:rsidR="009C0666" w:rsidRPr="006A2BF9" w:rsidRDefault="009C0666" w:rsidP="009C0666">
      <w:pPr>
        <w:numPr>
          <w:ilvl w:val="12"/>
          <w:numId w:val="0"/>
        </w:numPr>
        <w:ind w:right="-29"/>
        <w:outlineLvl w:val="0"/>
        <w:rPr>
          <w:lang w:val="it-IT"/>
        </w:rPr>
      </w:pPr>
    </w:p>
    <w:p w14:paraId="07835790" w14:textId="77777777" w:rsidR="009C0666" w:rsidRPr="006A2BF9" w:rsidRDefault="009C0666" w:rsidP="009C0666">
      <w:pPr>
        <w:numPr>
          <w:ilvl w:val="12"/>
          <w:numId w:val="0"/>
        </w:numPr>
        <w:ind w:right="-29"/>
        <w:outlineLvl w:val="0"/>
        <w:rPr>
          <w:lang w:val="it-IT"/>
        </w:rPr>
      </w:pPr>
      <w:r w:rsidRPr="006A2BF9">
        <w:rPr>
          <w:lang w:val="it-IT"/>
        </w:rPr>
        <w:t>Se</w:t>
      </w:r>
      <w:r w:rsidR="00B9318C" w:rsidRPr="006A2BF9">
        <w:rPr>
          <w:lang w:val="it-IT"/>
        </w:rPr>
        <w:t xml:space="preserve"> si manifest</w:t>
      </w:r>
      <w:r w:rsidR="00EE7F92" w:rsidRPr="006A2BF9">
        <w:rPr>
          <w:lang w:val="it-IT"/>
        </w:rPr>
        <w:t>a</w:t>
      </w:r>
      <w:r w:rsidRPr="006A2BF9">
        <w:rPr>
          <w:lang w:val="it-IT"/>
        </w:rPr>
        <w:t xml:space="preserve"> un qualsiasi</w:t>
      </w:r>
      <w:r w:rsidR="00B9318C" w:rsidRPr="006A2BF9">
        <w:rPr>
          <w:lang w:val="it-IT"/>
        </w:rPr>
        <w:t xml:space="preserve"> effetto indesiderato, compresi quelli</w:t>
      </w:r>
      <w:r w:rsidRPr="006A2BF9">
        <w:rPr>
          <w:lang w:val="it-IT"/>
        </w:rPr>
        <w:t xml:space="preserve"> non elencat</w:t>
      </w:r>
      <w:r w:rsidR="00B9318C" w:rsidRPr="006A2BF9">
        <w:rPr>
          <w:lang w:val="it-IT"/>
        </w:rPr>
        <w:t>i</w:t>
      </w:r>
      <w:r w:rsidRPr="006A2BF9">
        <w:rPr>
          <w:lang w:val="it-IT"/>
        </w:rPr>
        <w:t xml:space="preserve"> in questo foglio, </w:t>
      </w:r>
      <w:r w:rsidR="00B9318C" w:rsidRPr="006A2BF9">
        <w:rPr>
          <w:lang w:val="it-IT"/>
        </w:rPr>
        <w:t>si rivolga al</w:t>
      </w:r>
      <w:r w:rsidRPr="006A2BF9">
        <w:rPr>
          <w:lang w:val="it-IT"/>
        </w:rPr>
        <w:t xml:space="preserve"> medico</w:t>
      </w:r>
      <w:r w:rsidR="00B9318C" w:rsidRPr="006A2BF9">
        <w:rPr>
          <w:lang w:val="it-IT"/>
        </w:rPr>
        <w:t xml:space="preserve">, </w:t>
      </w:r>
      <w:r w:rsidR="00A77829" w:rsidRPr="006A2BF9">
        <w:rPr>
          <w:lang w:val="it-IT"/>
        </w:rPr>
        <w:t xml:space="preserve">al </w:t>
      </w:r>
      <w:r w:rsidRPr="006A2BF9">
        <w:rPr>
          <w:lang w:val="it-IT"/>
        </w:rPr>
        <w:t>farmacista</w:t>
      </w:r>
      <w:r w:rsidR="00B9318C" w:rsidRPr="006A2BF9">
        <w:rPr>
          <w:lang w:val="it-IT"/>
        </w:rPr>
        <w:t xml:space="preserve"> o </w:t>
      </w:r>
      <w:r w:rsidR="00A77829" w:rsidRPr="006A2BF9">
        <w:rPr>
          <w:lang w:val="it-IT"/>
        </w:rPr>
        <w:t>all’</w:t>
      </w:r>
      <w:r w:rsidR="00B9318C" w:rsidRPr="006A2BF9">
        <w:rPr>
          <w:lang w:val="it-IT"/>
        </w:rPr>
        <w:t>infermiere</w:t>
      </w:r>
      <w:r w:rsidRPr="006A2BF9">
        <w:rPr>
          <w:lang w:val="it-IT"/>
        </w:rPr>
        <w:t>.</w:t>
      </w:r>
    </w:p>
    <w:p w14:paraId="54C2DDFE" w14:textId="77777777" w:rsidR="009C0666" w:rsidRPr="006A2BF9" w:rsidRDefault="009C0666" w:rsidP="009C0666">
      <w:pPr>
        <w:numPr>
          <w:ilvl w:val="12"/>
          <w:numId w:val="0"/>
        </w:numPr>
        <w:ind w:right="-29"/>
        <w:outlineLvl w:val="0"/>
        <w:rPr>
          <w:lang w:val="it-IT"/>
        </w:rPr>
      </w:pPr>
    </w:p>
    <w:p w14:paraId="52CB3955" w14:textId="77777777" w:rsidR="009C0666" w:rsidRPr="006A2BF9" w:rsidRDefault="009C0666" w:rsidP="009C0666">
      <w:pPr>
        <w:numPr>
          <w:ilvl w:val="12"/>
          <w:numId w:val="0"/>
        </w:numPr>
        <w:ind w:right="-29"/>
        <w:outlineLvl w:val="0"/>
        <w:rPr>
          <w:lang w:val="it-IT"/>
        </w:rPr>
      </w:pPr>
      <w:r w:rsidRPr="006A2BF9">
        <w:rPr>
          <w:lang w:val="it-IT"/>
        </w:rPr>
        <w:lastRenderedPageBreak/>
        <w:t xml:space="preserve">Gli effetti indesiderati elencati di seguito sono stati osservati in pazienti trattati con </w:t>
      </w:r>
      <w:r w:rsidR="0082705A" w:rsidRPr="006A2BF9">
        <w:rPr>
          <w:lang w:val="it-IT"/>
        </w:rPr>
        <w:t>Aybintio</w:t>
      </w:r>
      <w:r w:rsidR="0082705A" w:rsidRPr="006A2BF9">
        <w:rPr>
          <w:b/>
          <w:lang w:val="it-IT"/>
        </w:rPr>
        <w:t xml:space="preserve"> </w:t>
      </w:r>
      <w:r w:rsidRPr="006A2BF9">
        <w:rPr>
          <w:lang w:val="it-IT"/>
        </w:rPr>
        <w:t xml:space="preserve">associato a chemioterapia. Ciò non significa che tali effetti indesiderati siano stati necessariamente determinati da </w:t>
      </w:r>
      <w:r w:rsidR="0082705A" w:rsidRPr="006A2BF9">
        <w:rPr>
          <w:lang w:val="it-IT"/>
        </w:rPr>
        <w:t>Aybintio</w:t>
      </w:r>
      <w:r w:rsidRPr="006A2BF9">
        <w:rPr>
          <w:lang w:val="it-IT"/>
        </w:rPr>
        <w:t>.</w:t>
      </w:r>
    </w:p>
    <w:p w14:paraId="59634679" w14:textId="77777777" w:rsidR="009C0666" w:rsidRPr="006A2BF9" w:rsidRDefault="009C0666" w:rsidP="009C0666">
      <w:pPr>
        <w:numPr>
          <w:ilvl w:val="12"/>
          <w:numId w:val="0"/>
        </w:numPr>
        <w:ind w:right="-29"/>
        <w:outlineLvl w:val="0"/>
        <w:rPr>
          <w:lang w:val="it-IT"/>
        </w:rPr>
      </w:pPr>
    </w:p>
    <w:p w14:paraId="50936C91" w14:textId="77777777" w:rsidR="004A25D4" w:rsidRPr="006A2BF9" w:rsidRDefault="004A25D4" w:rsidP="004A25D4">
      <w:pPr>
        <w:numPr>
          <w:ilvl w:val="12"/>
          <w:numId w:val="0"/>
        </w:numPr>
        <w:ind w:right="-29"/>
        <w:outlineLvl w:val="0"/>
        <w:rPr>
          <w:b/>
          <w:lang w:val="it-IT"/>
        </w:rPr>
      </w:pPr>
      <w:r w:rsidRPr="006A2BF9">
        <w:rPr>
          <w:b/>
          <w:lang w:val="it-IT"/>
        </w:rPr>
        <w:t>Reazioni allergiche</w:t>
      </w:r>
    </w:p>
    <w:p w14:paraId="42B8E3FF" w14:textId="77777777" w:rsidR="00E95C16" w:rsidRPr="002429CE" w:rsidRDefault="004A25D4" w:rsidP="00E95C16">
      <w:pPr>
        <w:numPr>
          <w:ilvl w:val="12"/>
          <w:numId w:val="0"/>
        </w:numPr>
        <w:ind w:right="-29"/>
        <w:outlineLvl w:val="0"/>
        <w:rPr>
          <w:lang w:val="it-IT"/>
        </w:rPr>
      </w:pPr>
      <w:r w:rsidRPr="006A2BF9">
        <w:rPr>
          <w:lang w:val="it-IT"/>
        </w:rPr>
        <w:t>Se dovesse avere una reazione alle</w:t>
      </w:r>
      <w:r w:rsidR="00987E39" w:rsidRPr="006A2BF9">
        <w:rPr>
          <w:lang w:val="it-IT"/>
        </w:rPr>
        <w:t>r</w:t>
      </w:r>
      <w:r w:rsidRPr="006A2BF9">
        <w:rPr>
          <w:lang w:val="it-IT"/>
        </w:rPr>
        <w:t xml:space="preserve">gica, </w:t>
      </w:r>
      <w:r w:rsidR="00A4452F" w:rsidRPr="006A2BF9">
        <w:rPr>
          <w:lang w:val="it-IT"/>
        </w:rPr>
        <w:t xml:space="preserve">si rivolga immediatamente </w:t>
      </w:r>
      <w:r w:rsidRPr="006A2BF9">
        <w:rPr>
          <w:lang w:val="it-IT"/>
        </w:rPr>
        <w:t>al medico o ad un membro del</w:t>
      </w:r>
      <w:r w:rsidR="00987E39" w:rsidRPr="006A2BF9">
        <w:rPr>
          <w:lang w:val="it-IT"/>
        </w:rPr>
        <w:t xml:space="preserve"> personale medico</w:t>
      </w:r>
      <w:r w:rsidR="00DE13A3" w:rsidRPr="006A2BF9">
        <w:rPr>
          <w:lang w:val="it-IT"/>
        </w:rPr>
        <w:t xml:space="preserve">. </w:t>
      </w:r>
      <w:r w:rsidRPr="006A2BF9">
        <w:rPr>
          <w:lang w:val="it-IT"/>
        </w:rPr>
        <w:t xml:space="preserve">I segni </w:t>
      </w:r>
      <w:r w:rsidR="006E4CFE" w:rsidRPr="006A2BF9">
        <w:rPr>
          <w:lang w:val="it-IT"/>
        </w:rPr>
        <w:t>po</w:t>
      </w:r>
      <w:r w:rsidR="006E4CFE">
        <w:rPr>
          <w:lang w:val="it-IT"/>
        </w:rPr>
        <w:t>ssono</w:t>
      </w:r>
      <w:r w:rsidR="006E4CFE" w:rsidRPr="006A2BF9">
        <w:rPr>
          <w:lang w:val="it-IT"/>
        </w:rPr>
        <w:t xml:space="preserve"> </w:t>
      </w:r>
      <w:r w:rsidRPr="006A2BF9">
        <w:rPr>
          <w:lang w:val="it-IT"/>
        </w:rPr>
        <w:t>includere: difficoltà a respirare o dolore al torace</w:t>
      </w:r>
      <w:r w:rsidR="00987E39" w:rsidRPr="006A2BF9">
        <w:rPr>
          <w:lang w:val="it-IT"/>
        </w:rPr>
        <w:t>.</w:t>
      </w:r>
      <w:r w:rsidRPr="006A2BF9">
        <w:rPr>
          <w:lang w:val="it-IT"/>
        </w:rPr>
        <w:t xml:space="preserve"> </w:t>
      </w:r>
      <w:r w:rsidR="006E4CFE" w:rsidRPr="006A2BF9">
        <w:rPr>
          <w:lang w:val="it-IT"/>
        </w:rPr>
        <w:t>Po</w:t>
      </w:r>
      <w:r w:rsidR="006E4CFE">
        <w:rPr>
          <w:lang w:val="it-IT"/>
        </w:rPr>
        <w:t>ssono</w:t>
      </w:r>
      <w:r w:rsidR="006E4CFE" w:rsidRPr="006A2BF9">
        <w:rPr>
          <w:lang w:val="it-IT"/>
        </w:rPr>
        <w:t xml:space="preserve"> </w:t>
      </w:r>
      <w:r w:rsidRPr="006A2BF9">
        <w:rPr>
          <w:lang w:val="it-IT"/>
        </w:rPr>
        <w:t xml:space="preserve">anche </w:t>
      </w:r>
      <w:r w:rsidR="00A77829" w:rsidRPr="006A2BF9">
        <w:rPr>
          <w:lang w:val="it-IT"/>
        </w:rPr>
        <w:t xml:space="preserve">verificarsi </w:t>
      </w:r>
      <w:r w:rsidRPr="006A2BF9">
        <w:rPr>
          <w:lang w:val="it-IT"/>
        </w:rPr>
        <w:t xml:space="preserve">arrossamento della pelle o vampate o eruzione cutanea, </w:t>
      </w:r>
      <w:r w:rsidR="00B9012B" w:rsidRPr="006A2BF9">
        <w:rPr>
          <w:lang w:val="it-IT"/>
        </w:rPr>
        <w:t>brividi di freddo</w:t>
      </w:r>
      <w:r w:rsidR="00804486" w:rsidRPr="006A2BF9">
        <w:rPr>
          <w:lang w:val="it-IT"/>
        </w:rPr>
        <w:t xml:space="preserve"> e tremori</w:t>
      </w:r>
      <w:r w:rsidRPr="006A2BF9">
        <w:rPr>
          <w:lang w:val="it-IT"/>
        </w:rPr>
        <w:t xml:space="preserve">, </w:t>
      </w:r>
      <w:r w:rsidR="00987E39" w:rsidRPr="006A2BF9">
        <w:rPr>
          <w:lang w:val="it-IT"/>
        </w:rPr>
        <w:t>sensazione di malessere (</w:t>
      </w:r>
      <w:r w:rsidRPr="006A2BF9">
        <w:rPr>
          <w:lang w:val="it-IT"/>
        </w:rPr>
        <w:t>nausea</w:t>
      </w:r>
      <w:r w:rsidR="00987E39" w:rsidRPr="006A2BF9">
        <w:rPr>
          <w:lang w:val="it-IT"/>
        </w:rPr>
        <w:t>)</w:t>
      </w:r>
      <w:r w:rsidRPr="006A2BF9">
        <w:rPr>
          <w:lang w:val="it-IT"/>
        </w:rPr>
        <w:t xml:space="preserve"> o vomito</w:t>
      </w:r>
      <w:r w:rsidR="00E95C16" w:rsidRPr="00E50438">
        <w:rPr>
          <w:lang w:val="it-IT"/>
        </w:rPr>
        <w:t xml:space="preserve">, </w:t>
      </w:r>
      <w:r w:rsidR="00E95C16" w:rsidRPr="007B3ACC">
        <w:rPr>
          <w:lang w:val="it-IT"/>
        </w:rPr>
        <w:t>gonfiore</w:t>
      </w:r>
      <w:r w:rsidR="00E95C16" w:rsidRPr="00E50438">
        <w:rPr>
          <w:lang w:val="it-IT"/>
        </w:rPr>
        <w:t xml:space="preserve">, </w:t>
      </w:r>
      <w:r w:rsidR="00E95C16" w:rsidRPr="007B3ACC">
        <w:rPr>
          <w:lang w:val="it-IT"/>
        </w:rPr>
        <w:t>girament</w:t>
      </w:r>
      <w:r w:rsidR="00E95C16">
        <w:rPr>
          <w:lang w:val="it-IT"/>
        </w:rPr>
        <w:t>i</w:t>
      </w:r>
      <w:r w:rsidR="00E95C16" w:rsidRPr="007B3ACC">
        <w:rPr>
          <w:lang w:val="it-IT"/>
        </w:rPr>
        <w:t xml:space="preserve"> di testa</w:t>
      </w:r>
      <w:r w:rsidR="00E95C16" w:rsidRPr="00E50438">
        <w:rPr>
          <w:lang w:val="it-IT"/>
        </w:rPr>
        <w:t>, batti</w:t>
      </w:r>
      <w:r w:rsidR="00E95C16" w:rsidRPr="007B3ACC">
        <w:rPr>
          <w:lang w:val="it-IT"/>
        </w:rPr>
        <w:t>t</w:t>
      </w:r>
      <w:r w:rsidR="00E95C16" w:rsidRPr="00E50438">
        <w:rPr>
          <w:lang w:val="it-IT"/>
        </w:rPr>
        <w:t>o cardiaco accelerato e perdita di coscienza.</w:t>
      </w:r>
    </w:p>
    <w:p w14:paraId="4A0F8800" w14:textId="77777777" w:rsidR="004A25D4" w:rsidRPr="006A2BF9" w:rsidRDefault="004A25D4" w:rsidP="004A25D4">
      <w:pPr>
        <w:numPr>
          <w:ilvl w:val="12"/>
          <w:numId w:val="0"/>
        </w:numPr>
        <w:ind w:right="-29"/>
        <w:outlineLvl w:val="0"/>
        <w:rPr>
          <w:lang w:val="it-IT"/>
        </w:rPr>
      </w:pPr>
    </w:p>
    <w:p w14:paraId="50E14416" w14:textId="77777777" w:rsidR="009C0666" w:rsidRPr="006A2BF9" w:rsidRDefault="008D7C25" w:rsidP="00C1500B">
      <w:pPr>
        <w:keepNext/>
        <w:keepLines/>
        <w:numPr>
          <w:ilvl w:val="12"/>
          <w:numId w:val="0"/>
        </w:numPr>
        <w:ind w:right="-28"/>
        <w:rPr>
          <w:b/>
          <w:iCs/>
          <w:lang w:val="it-IT"/>
        </w:rPr>
      </w:pPr>
      <w:r w:rsidRPr="006A2BF9">
        <w:rPr>
          <w:b/>
          <w:iCs/>
          <w:lang w:val="it-IT"/>
        </w:rPr>
        <w:t>Se dovesse manifestare uno degli effetti indesiderati descritti sotto, chieda immediatamente aiuto.</w:t>
      </w:r>
    </w:p>
    <w:p w14:paraId="6CFDE2E5" w14:textId="77777777" w:rsidR="008D7C25" w:rsidRPr="006A2BF9" w:rsidRDefault="008D7C25" w:rsidP="00C1500B">
      <w:pPr>
        <w:keepNext/>
        <w:keepLines/>
        <w:numPr>
          <w:ilvl w:val="12"/>
          <w:numId w:val="0"/>
        </w:numPr>
        <w:ind w:right="-28"/>
        <w:rPr>
          <w:lang w:val="it-IT"/>
        </w:rPr>
      </w:pPr>
    </w:p>
    <w:p w14:paraId="62F66267" w14:textId="77777777" w:rsidR="009C0666" w:rsidRPr="006A2BF9" w:rsidRDefault="00A651CE" w:rsidP="00D71134">
      <w:pPr>
        <w:keepNext/>
        <w:keepLines/>
        <w:numPr>
          <w:ilvl w:val="12"/>
          <w:numId w:val="0"/>
        </w:numPr>
        <w:ind w:right="-28"/>
        <w:rPr>
          <w:lang w:val="it-IT"/>
        </w:rPr>
      </w:pPr>
      <w:r w:rsidRPr="006A2BF9">
        <w:rPr>
          <w:lang w:val="it-IT"/>
        </w:rPr>
        <w:t>E</w:t>
      </w:r>
      <w:r w:rsidR="009C0666" w:rsidRPr="006A2BF9">
        <w:rPr>
          <w:lang w:val="it-IT"/>
        </w:rPr>
        <w:t xml:space="preserve">ffetti indesiderati </w:t>
      </w:r>
      <w:r w:rsidR="00AA5AAE" w:rsidRPr="006A2BF9">
        <w:rPr>
          <w:lang w:val="it-IT"/>
        </w:rPr>
        <w:t>gravi</w:t>
      </w:r>
      <w:r w:rsidR="00922A10" w:rsidRPr="006A2BF9">
        <w:rPr>
          <w:lang w:val="it-IT"/>
        </w:rPr>
        <w:t>,</w:t>
      </w:r>
      <w:r w:rsidR="009C0666" w:rsidRPr="006A2BF9">
        <w:rPr>
          <w:lang w:val="it-IT"/>
        </w:rPr>
        <w:t xml:space="preserve"> che possono risultare </w:t>
      </w:r>
      <w:r w:rsidR="009C0666" w:rsidRPr="006A2BF9">
        <w:rPr>
          <w:b/>
          <w:lang w:val="it-IT"/>
        </w:rPr>
        <w:t>molto comuni</w:t>
      </w:r>
      <w:r w:rsidRPr="006A2BF9">
        <w:rPr>
          <w:lang w:val="it-IT"/>
        </w:rPr>
        <w:t xml:space="preserve"> (</w:t>
      </w:r>
      <w:r w:rsidR="00E95C16">
        <w:rPr>
          <w:lang w:val="it-IT"/>
        </w:rPr>
        <w:t>possono interessare</w:t>
      </w:r>
      <w:r w:rsidR="00E95C16" w:rsidRPr="002429CE">
        <w:rPr>
          <w:lang w:val="it-IT"/>
        </w:rPr>
        <w:t xml:space="preserve"> più di 1 </w:t>
      </w:r>
      <w:r w:rsidR="00E95C16">
        <w:rPr>
          <w:lang w:val="it-IT"/>
        </w:rPr>
        <w:t>persona</w:t>
      </w:r>
      <w:r w:rsidR="00E95C16" w:rsidRPr="002429CE">
        <w:rPr>
          <w:lang w:val="it-IT"/>
        </w:rPr>
        <w:t xml:space="preserve"> su 10</w:t>
      </w:r>
      <w:r w:rsidRPr="006A2BF9">
        <w:rPr>
          <w:lang w:val="it-IT"/>
        </w:rPr>
        <w:t>)</w:t>
      </w:r>
      <w:r w:rsidR="00131C19" w:rsidRPr="006A2BF9">
        <w:rPr>
          <w:b/>
          <w:lang w:val="it-IT"/>
        </w:rPr>
        <w:t>,</w:t>
      </w:r>
      <w:r w:rsidR="009C0666" w:rsidRPr="006A2BF9">
        <w:rPr>
          <w:lang w:val="it-IT"/>
        </w:rPr>
        <w:t xml:space="preserve"> includono:</w:t>
      </w:r>
    </w:p>
    <w:p w14:paraId="2129E2F6" w14:textId="77777777" w:rsidR="009C0666" w:rsidRPr="00330A40" w:rsidRDefault="00C91E39" w:rsidP="00C65E97">
      <w:pPr>
        <w:keepNext/>
        <w:keepLines/>
        <w:ind w:left="567" w:hanging="567"/>
        <w:rPr>
          <w:lang w:val="it-IT"/>
        </w:rPr>
      </w:pPr>
      <w:r w:rsidRPr="00330A40">
        <w:rPr>
          <w:lang w:val="it-IT"/>
        </w:rPr>
        <w:sym w:font="Symbol" w:char="F0B7"/>
      </w:r>
      <w:r w:rsidRPr="00330A40">
        <w:rPr>
          <w:lang w:val="it-IT"/>
        </w:rPr>
        <w:tab/>
      </w:r>
      <w:r w:rsidR="009C0666" w:rsidRPr="00330A40">
        <w:rPr>
          <w:lang w:val="it-IT"/>
        </w:rPr>
        <w:t>pressione sanguigna elevata,</w:t>
      </w:r>
    </w:p>
    <w:p w14:paraId="5EF4AD2A" w14:textId="77777777" w:rsidR="00922A10" w:rsidRPr="00330A40" w:rsidRDefault="00C91E39" w:rsidP="00C65E97">
      <w:pPr>
        <w:keepNext/>
        <w:keepLines/>
        <w:ind w:left="567" w:hanging="567"/>
        <w:rPr>
          <w:lang w:val="it-IT"/>
        </w:rPr>
      </w:pPr>
      <w:r w:rsidRPr="00330A40">
        <w:rPr>
          <w:lang w:val="it-IT"/>
        </w:rPr>
        <w:sym w:font="Symbol" w:char="F0B7"/>
      </w:r>
      <w:r w:rsidRPr="00330A40">
        <w:rPr>
          <w:lang w:val="it-IT"/>
        </w:rPr>
        <w:tab/>
      </w:r>
      <w:r w:rsidR="009C0666" w:rsidRPr="00330A40">
        <w:rPr>
          <w:lang w:val="it-IT"/>
        </w:rPr>
        <w:t>sensazione di intorpidimento o formicolio alle mani o ai piedi,</w:t>
      </w:r>
    </w:p>
    <w:p w14:paraId="6BA40E21"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riduzione del numero delle cellule del sangue, tra cui globuli bianchi, che agiscono contro le infezioni</w:t>
      </w:r>
      <w:r w:rsidR="00E54B18" w:rsidRPr="00330A40">
        <w:rPr>
          <w:lang w:val="it-IT"/>
        </w:rPr>
        <w:t xml:space="preserve"> (questa può essere accompagnata da febbre)</w:t>
      </w:r>
      <w:r w:rsidR="009C0666" w:rsidRPr="00330A40">
        <w:rPr>
          <w:lang w:val="it-IT"/>
        </w:rPr>
        <w:t xml:space="preserve">, e </w:t>
      </w:r>
      <w:r w:rsidR="00E54B18" w:rsidRPr="00330A40">
        <w:rPr>
          <w:lang w:val="it-IT"/>
        </w:rPr>
        <w:t>del</w:t>
      </w:r>
      <w:r w:rsidR="009C0666" w:rsidRPr="00330A40">
        <w:rPr>
          <w:lang w:val="it-IT"/>
        </w:rPr>
        <w:t>le cellule che contribuiscono alla coagulazione del sangue,</w:t>
      </w:r>
    </w:p>
    <w:p w14:paraId="0FBEFB15" w14:textId="77777777" w:rsidR="00CD78D8" w:rsidRPr="00330A40" w:rsidRDefault="00C91E39" w:rsidP="00C65E97">
      <w:pPr>
        <w:ind w:left="567" w:hanging="567"/>
        <w:rPr>
          <w:lang w:val="it-IT"/>
        </w:rPr>
      </w:pPr>
      <w:r w:rsidRPr="00330A40">
        <w:rPr>
          <w:lang w:val="it-IT"/>
        </w:rPr>
        <w:sym w:font="Symbol" w:char="F0B7"/>
      </w:r>
      <w:r w:rsidRPr="00330A40">
        <w:rPr>
          <w:lang w:val="it-IT"/>
        </w:rPr>
        <w:tab/>
      </w:r>
      <w:r w:rsidR="00CD78D8" w:rsidRPr="00330A40">
        <w:rPr>
          <w:lang w:val="it-IT"/>
        </w:rPr>
        <w:t>sensazione di debolezza e mancanza di energia</w:t>
      </w:r>
      <w:r w:rsidR="00A651CE" w:rsidRPr="00330A40">
        <w:rPr>
          <w:lang w:val="it-IT"/>
        </w:rPr>
        <w:t>,</w:t>
      </w:r>
      <w:r w:rsidR="00CD78D8" w:rsidRPr="00330A40">
        <w:rPr>
          <w:lang w:val="it-IT"/>
        </w:rPr>
        <w:t xml:space="preserve"> </w:t>
      </w:r>
      <w:r w:rsidR="009C0666" w:rsidRPr="00330A40">
        <w:rPr>
          <w:lang w:val="it-IT"/>
        </w:rPr>
        <w:t xml:space="preserve"> </w:t>
      </w:r>
    </w:p>
    <w:p w14:paraId="2CB3081B" w14:textId="77777777" w:rsidR="009C0666" w:rsidRPr="00330A40" w:rsidRDefault="00CD1F5A" w:rsidP="00C65E97">
      <w:pPr>
        <w:ind w:left="567" w:hanging="567"/>
        <w:rPr>
          <w:lang w:val="it-IT"/>
        </w:rPr>
      </w:pPr>
      <w:r w:rsidRPr="00330A40">
        <w:rPr>
          <w:lang w:val="it-IT"/>
        </w:rPr>
        <w:sym w:font="Symbol" w:char="F0B7"/>
      </w:r>
      <w:r w:rsidRPr="00330A40">
        <w:rPr>
          <w:lang w:val="it-IT"/>
        </w:rPr>
        <w:tab/>
      </w:r>
      <w:r w:rsidR="009C0666" w:rsidRPr="00330A40">
        <w:rPr>
          <w:lang w:val="it-IT"/>
        </w:rPr>
        <w:t xml:space="preserve">stanchezza, </w:t>
      </w:r>
    </w:p>
    <w:p w14:paraId="6B4AC57A"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22A10" w:rsidRPr="00330A40">
        <w:rPr>
          <w:lang w:val="it-IT"/>
        </w:rPr>
        <w:t xml:space="preserve">diarrea, </w:t>
      </w:r>
      <w:r w:rsidR="009C0666" w:rsidRPr="00330A40">
        <w:rPr>
          <w:lang w:val="it-IT"/>
        </w:rPr>
        <w:t>nausea</w:t>
      </w:r>
      <w:r w:rsidR="006B6D3D" w:rsidRPr="00330A40">
        <w:rPr>
          <w:lang w:val="it-IT"/>
        </w:rPr>
        <w:t>,</w:t>
      </w:r>
      <w:r w:rsidR="009C0666" w:rsidRPr="00330A40">
        <w:rPr>
          <w:lang w:val="it-IT"/>
        </w:rPr>
        <w:t xml:space="preserve"> vomito</w:t>
      </w:r>
      <w:r w:rsidR="006B6D3D" w:rsidRPr="00330A40">
        <w:rPr>
          <w:lang w:val="it-IT"/>
        </w:rPr>
        <w:t xml:space="preserve"> e dolore addominale</w:t>
      </w:r>
      <w:r w:rsidR="009C0666" w:rsidRPr="00330A40">
        <w:rPr>
          <w:lang w:val="it-IT"/>
        </w:rPr>
        <w:t>.</w:t>
      </w:r>
    </w:p>
    <w:p w14:paraId="2E86D913" w14:textId="77777777" w:rsidR="009C0666" w:rsidRPr="00330A40" w:rsidRDefault="009C0666" w:rsidP="009C0666">
      <w:pPr>
        <w:ind w:right="-29"/>
        <w:rPr>
          <w:lang w:val="it-IT"/>
        </w:rPr>
      </w:pPr>
    </w:p>
    <w:p w14:paraId="06427C35" w14:textId="77777777" w:rsidR="009C0666" w:rsidRPr="006A2BF9" w:rsidRDefault="00A651CE" w:rsidP="009C0666">
      <w:pPr>
        <w:ind w:right="-29"/>
        <w:rPr>
          <w:lang w:val="it-IT"/>
        </w:rPr>
      </w:pPr>
      <w:r w:rsidRPr="00330A40">
        <w:rPr>
          <w:lang w:val="it-IT"/>
        </w:rPr>
        <w:t>E</w:t>
      </w:r>
      <w:r w:rsidR="009C0666" w:rsidRPr="00330A40">
        <w:rPr>
          <w:lang w:val="it-IT"/>
        </w:rPr>
        <w:t xml:space="preserve">ffetti indesiderati </w:t>
      </w:r>
      <w:r w:rsidR="00AA5AAE" w:rsidRPr="006A2BF9">
        <w:rPr>
          <w:lang w:val="it-IT"/>
        </w:rPr>
        <w:t>gravi</w:t>
      </w:r>
      <w:r w:rsidR="00922A10" w:rsidRPr="006A2BF9">
        <w:rPr>
          <w:lang w:val="it-IT"/>
        </w:rPr>
        <w:t>,</w:t>
      </w:r>
      <w:r w:rsidR="009C0666" w:rsidRPr="006A2BF9">
        <w:rPr>
          <w:lang w:val="it-IT"/>
        </w:rPr>
        <w:t xml:space="preserve"> che possono risultare </w:t>
      </w:r>
      <w:r w:rsidR="009C0666" w:rsidRPr="006A2BF9">
        <w:rPr>
          <w:b/>
          <w:lang w:val="it-IT"/>
        </w:rPr>
        <w:t>comuni</w:t>
      </w:r>
      <w:r w:rsidRPr="006A2BF9">
        <w:rPr>
          <w:lang w:val="it-IT"/>
        </w:rPr>
        <w:t xml:space="preserve"> (</w:t>
      </w:r>
      <w:r w:rsidR="00E95C16">
        <w:rPr>
          <w:lang w:val="it-IT"/>
        </w:rPr>
        <w:t>possono interessare fino a</w:t>
      </w:r>
      <w:r w:rsidR="00E95C16" w:rsidRPr="002429CE">
        <w:rPr>
          <w:lang w:val="it-IT"/>
        </w:rPr>
        <w:t xml:space="preserve"> 1</w:t>
      </w:r>
      <w:r w:rsidR="00E95C16">
        <w:rPr>
          <w:lang w:val="it-IT"/>
        </w:rPr>
        <w:t xml:space="preserve"> persona su</w:t>
      </w:r>
      <w:r w:rsidR="00E95C16" w:rsidRPr="002429CE">
        <w:rPr>
          <w:lang w:val="it-IT"/>
        </w:rPr>
        <w:t xml:space="preserve"> 10</w:t>
      </w:r>
      <w:r w:rsidRPr="006A2BF9">
        <w:rPr>
          <w:lang w:val="it-IT"/>
        </w:rPr>
        <w:t>)</w:t>
      </w:r>
      <w:r w:rsidR="00922A10" w:rsidRPr="006A2BF9">
        <w:rPr>
          <w:lang w:val="it-IT"/>
        </w:rPr>
        <w:t>,</w:t>
      </w:r>
      <w:r w:rsidR="009C0666" w:rsidRPr="006A2BF9">
        <w:rPr>
          <w:lang w:val="it-IT"/>
        </w:rPr>
        <w:t xml:space="preserve"> includono:</w:t>
      </w:r>
    </w:p>
    <w:p w14:paraId="3FA3A99D" w14:textId="77777777" w:rsidR="00B9318C" w:rsidRPr="00330A40" w:rsidRDefault="00C91E39" w:rsidP="00C65E97">
      <w:pPr>
        <w:ind w:left="567" w:hanging="567"/>
        <w:rPr>
          <w:lang w:val="it-IT"/>
        </w:rPr>
      </w:pPr>
      <w:r w:rsidRPr="00330A40">
        <w:rPr>
          <w:lang w:val="it-IT"/>
        </w:rPr>
        <w:sym w:font="Symbol" w:char="F0B7"/>
      </w:r>
      <w:r w:rsidRPr="00330A40">
        <w:rPr>
          <w:lang w:val="it-IT"/>
        </w:rPr>
        <w:tab/>
      </w:r>
      <w:r w:rsidR="00B9318C" w:rsidRPr="00330A40">
        <w:rPr>
          <w:lang w:val="it-IT"/>
        </w:rPr>
        <w:t>perforazione intestinale</w:t>
      </w:r>
      <w:r w:rsidR="00296FED" w:rsidRPr="00330A40">
        <w:rPr>
          <w:lang w:val="it-IT"/>
        </w:rPr>
        <w:t>,</w:t>
      </w:r>
    </w:p>
    <w:p w14:paraId="04AEB3E5" w14:textId="77777777" w:rsidR="00B9318C" w:rsidRPr="00330A40" w:rsidRDefault="00C91E39" w:rsidP="00C65E97">
      <w:pPr>
        <w:ind w:left="567" w:hanging="567"/>
        <w:rPr>
          <w:lang w:val="it-IT"/>
        </w:rPr>
      </w:pPr>
      <w:r w:rsidRPr="00330A40">
        <w:rPr>
          <w:lang w:val="it-IT"/>
        </w:rPr>
        <w:sym w:font="Symbol" w:char="F0B7"/>
      </w:r>
      <w:r w:rsidRPr="00330A40">
        <w:rPr>
          <w:lang w:val="it-IT"/>
        </w:rPr>
        <w:tab/>
      </w:r>
      <w:r w:rsidR="00B9318C" w:rsidRPr="00330A40">
        <w:rPr>
          <w:lang w:val="it-IT"/>
        </w:rPr>
        <w:t xml:space="preserve">sanguinamento, incluso sanguinamento nei polmoni nei pazienti con </w:t>
      </w:r>
      <w:r w:rsidR="00A4452F" w:rsidRPr="00330A40">
        <w:rPr>
          <w:lang w:val="it-IT"/>
        </w:rPr>
        <w:t xml:space="preserve">cancro del polmone </w:t>
      </w:r>
      <w:r w:rsidR="00B9318C" w:rsidRPr="00330A40">
        <w:rPr>
          <w:lang w:val="it-IT"/>
        </w:rPr>
        <w:t>non a piccole cellule</w:t>
      </w:r>
      <w:r w:rsidR="00296FED" w:rsidRPr="00330A40">
        <w:rPr>
          <w:lang w:val="it-IT"/>
        </w:rPr>
        <w:t>,</w:t>
      </w:r>
    </w:p>
    <w:p w14:paraId="3D381316" w14:textId="77777777" w:rsidR="00B9318C" w:rsidRPr="00330A40" w:rsidRDefault="00C91E39" w:rsidP="00C65E97">
      <w:pPr>
        <w:keepNext/>
        <w:ind w:left="567" w:hanging="567"/>
        <w:rPr>
          <w:lang w:val="it-IT"/>
        </w:rPr>
      </w:pPr>
      <w:r w:rsidRPr="00330A40">
        <w:rPr>
          <w:lang w:val="it-IT"/>
        </w:rPr>
        <w:sym w:font="Symbol" w:char="F0B7"/>
      </w:r>
      <w:r w:rsidRPr="00330A40">
        <w:rPr>
          <w:lang w:val="it-IT"/>
        </w:rPr>
        <w:tab/>
      </w:r>
      <w:r w:rsidR="00B9318C" w:rsidRPr="00330A40">
        <w:rPr>
          <w:lang w:val="it-IT"/>
        </w:rPr>
        <w:t>arterie bloccate da un coagulo di sangue</w:t>
      </w:r>
      <w:r w:rsidR="00296FED" w:rsidRPr="00330A40">
        <w:rPr>
          <w:lang w:val="it-IT"/>
        </w:rPr>
        <w:t>,</w:t>
      </w:r>
    </w:p>
    <w:p w14:paraId="2B4103FE" w14:textId="77777777" w:rsidR="00CD78D8" w:rsidRPr="00330A40" w:rsidRDefault="00CD1F5A" w:rsidP="00C65E97">
      <w:pPr>
        <w:keepNext/>
        <w:ind w:left="567" w:hanging="567"/>
        <w:rPr>
          <w:lang w:val="it-IT"/>
        </w:rPr>
      </w:pPr>
      <w:r w:rsidRPr="00330A40">
        <w:rPr>
          <w:lang w:val="it-IT"/>
        </w:rPr>
        <w:sym w:font="Symbol" w:char="F0B7"/>
      </w:r>
      <w:r w:rsidRPr="00330A40">
        <w:rPr>
          <w:lang w:val="it-IT"/>
        </w:rPr>
        <w:tab/>
      </w:r>
      <w:r w:rsidR="00CD78D8" w:rsidRPr="00330A40">
        <w:rPr>
          <w:lang w:val="it-IT"/>
        </w:rPr>
        <w:t>vene bloccate da un coagulo di sangue</w:t>
      </w:r>
      <w:r w:rsidR="00A651CE" w:rsidRPr="00330A40">
        <w:rPr>
          <w:lang w:val="it-IT"/>
        </w:rPr>
        <w:t>,</w:t>
      </w:r>
    </w:p>
    <w:p w14:paraId="7842E84F" w14:textId="77777777" w:rsidR="00B9318C" w:rsidRPr="00330A40" w:rsidRDefault="00C91E39" w:rsidP="00C65E97">
      <w:pPr>
        <w:ind w:left="567" w:hanging="567"/>
        <w:rPr>
          <w:lang w:val="it-IT"/>
        </w:rPr>
      </w:pPr>
      <w:r w:rsidRPr="00330A40">
        <w:rPr>
          <w:lang w:val="it-IT"/>
        </w:rPr>
        <w:sym w:font="Symbol" w:char="F0B7"/>
      </w:r>
      <w:r w:rsidRPr="00330A40">
        <w:rPr>
          <w:lang w:val="it-IT"/>
        </w:rPr>
        <w:tab/>
      </w:r>
      <w:r w:rsidR="00B9318C" w:rsidRPr="00330A40">
        <w:rPr>
          <w:lang w:val="it-IT"/>
        </w:rPr>
        <w:t>v</w:t>
      </w:r>
      <w:r w:rsidR="00A443DF" w:rsidRPr="00330A40">
        <w:rPr>
          <w:lang w:val="it-IT"/>
        </w:rPr>
        <w:t>asi sangu</w:t>
      </w:r>
      <w:r w:rsidR="00AE6505" w:rsidRPr="00330A40">
        <w:rPr>
          <w:lang w:val="it-IT"/>
        </w:rPr>
        <w:t>i</w:t>
      </w:r>
      <w:r w:rsidR="00A443DF" w:rsidRPr="00330A40">
        <w:rPr>
          <w:lang w:val="it-IT"/>
        </w:rPr>
        <w:t>gni</w:t>
      </w:r>
      <w:r w:rsidR="00B9318C" w:rsidRPr="00330A40">
        <w:rPr>
          <w:lang w:val="it-IT"/>
        </w:rPr>
        <w:t xml:space="preserve"> polmonari bloccat</w:t>
      </w:r>
      <w:r w:rsidR="004D12E0" w:rsidRPr="00330A40">
        <w:rPr>
          <w:lang w:val="it-IT"/>
        </w:rPr>
        <w:t>i</w:t>
      </w:r>
      <w:r w:rsidR="00B9318C" w:rsidRPr="00330A40">
        <w:rPr>
          <w:lang w:val="it-IT"/>
        </w:rPr>
        <w:t xml:space="preserve"> da un coagulo di sangue</w:t>
      </w:r>
      <w:r w:rsidR="00296FED" w:rsidRPr="00330A40">
        <w:rPr>
          <w:lang w:val="it-IT"/>
        </w:rPr>
        <w:t>,</w:t>
      </w:r>
    </w:p>
    <w:p w14:paraId="39D71204" w14:textId="77777777" w:rsidR="00CD78D8" w:rsidRPr="00330A40" w:rsidRDefault="00CD1F5A" w:rsidP="00C65E97">
      <w:pPr>
        <w:ind w:left="567" w:hanging="567"/>
        <w:rPr>
          <w:lang w:val="it-IT"/>
        </w:rPr>
      </w:pPr>
      <w:r w:rsidRPr="00330A40">
        <w:rPr>
          <w:lang w:val="it-IT"/>
        </w:rPr>
        <w:sym w:font="Symbol" w:char="F0B7"/>
      </w:r>
      <w:r w:rsidRPr="00330A40">
        <w:rPr>
          <w:lang w:val="it-IT"/>
        </w:rPr>
        <w:tab/>
      </w:r>
      <w:r w:rsidR="00CD78D8" w:rsidRPr="00330A40">
        <w:rPr>
          <w:lang w:val="it-IT"/>
        </w:rPr>
        <w:t>vene delle gambe bloccate da un coagulo di sangue</w:t>
      </w:r>
      <w:r w:rsidR="00A651CE" w:rsidRPr="00330A40">
        <w:rPr>
          <w:lang w:val="it-IT"/>
        </w:rPr>
        <w:t>,</w:t>
      </w:r>
      <w:r w:rsidR="00CD78D8" w:rsidRPr="00330A40">
        <w:rPr>
          <w:lang w:val="it-IT"/>
        </w:rPr>
        <w:t xml:space="preserve"> </w:t>
      </w:r>
    </w:p>
    <w:p w14:paraId="0ADAEBEA" w14:textId="77777777" w:rsidR="00B9318C" w:rsidRPr="00330A40" w:rsidRDefault="00C91E39" w:rsidP="00C65E97">
      <w:pPr>
        <w:ind w:left="567" w:hanging="567"/>
        <w:rPr>
          <w:lang w:val="it-IT"/>
        </w:rPr>
      </w:pPr>
      <w:r w:rsidRPr="00330A40">
        <w:rPr>
          <w:lang w:val="it-IT"/>
        </w:rPr>
        <w:sym w:font="Symbol" w:char="F0B7"/>
      </w:r>
      <w:r w:rsidRPr="00330A40">
        <w:rPr>
          <w:lang w:val="it-IT"/>
        </w:rPr>
        <w:tab/>
      </w:r>
      <w:r w:rsidR="00B9318C" w:rsidRPr="00330A40">
        <w:rPr>
          <w:lang w:val="it-IT"/>
        </w:rPr>
        <w:t>insufficienza cardiaca</w:t>
      </w:r>
      <w:r w:rsidR="00296FED" w:rsidRPr="00330A40">
        <w:rPr>
          <w:lang w:val="it-IT"/>
        </w:rPr>
        <w:t>,</w:t>
      </w:r>
    </w:p>
    <w:p w14:paraId="0B9915ED" w14:textId="77777777" w:rsidR="00CD78D8" w:rsidRPr="00330A40" w:rsidRDefault="00CD1F5A" w:rsidP="00C65E97">
      <w:pPr>
        <w:ind w:left="567" w:hanging="567"/>
        <w:rPr>
          <w:lang w:val="it-IT"/>
        </w:rPr>
      </w:pPr>
      <w:r w:rsidRPr="00330A40">
        <w:rPr>
          <w:lang w:val="it-IT"/>
        </w:rPr>
        <w:sym w:font="Symbol" w:char="F0B7"/>
      </w:r>
      <w:r w:rsidRPr="00330A40">
        <w:rPr>
          <w:lang w:val="it-IT"/>
        </w:rPr>
        <w:tab/>
      </w:r>
      <w:r w:rsidR="00CD78D8" w:rsidRPr="00330A40">
        <w:rPr>
          <w:lang w:val="it-IT"/>
        </w:rPr>
        <w:t xml:space="preserve">problemi di </w:t>
      </w:r>
      <w:r w:rsidR="003A65AF" w:rsidRPr="00330A40">
        <w:rPr>
          <w:lang w:val="it-IT"/>
        </w:rPr>
        <w:t>guarigione delle ferite</w:t>
      </w:r>
      <w:r w:rsidR="00CD78D8" w:rsidRPr="00330A40">
        <w:rPr>
          <w:lang w:val="it-IT"/>
        </w:rPr>
        <w:t xml:space="preserve"> dopo intervento chirurgico,</w:t>
      </w:r>
    </w:p>
    <w:p w14:paraId="0AEAD521" w14:textId="77777777" w:rsidR="00CD78D8" w:rsidRPr="00330A40" w:rsidRDefault="00CD1F5A" w:rsidP="00C65E97">
      <w:pPr>
        <w:ind w:left="567" w:hanging="567"/>
        <w:rPr>
          <w:lang w:val="it-IT"/>
        </w:rPr>
      </w:pPr>
      <w:r w:rsidRPr="00330A40">
        <w:rPr>
          <w:lang w:val="it-IT"/>
        </w:rPr>
        <w:sym w:font="Symbol" w:char="F0B7"/>
      </w:r>
      <w:r w:rsidRPr="00330A40">
        <w:rPr>
          <w:lang w:val="it-IT"/>
        </w:rPr>
        <w:tab/>
      </w:r>
      <w:r w:rsidR="00A651CE" w:rsidRPr="00330A40">
        <w:rPr>
          <w:lang w:val="it-IT"/>
        </w:rPr>
        <w:t xml:space="preserve">arrossamento, desquamazione, </w:t>
      </w:r>
      <w:r w:rsidR="00CD78D8" w:rsidRPr="00330A40">
        <w:rPr>
          <w:lang w:val="it-IT"/>
        </w:rPr>
        <w:t xml:space="preserve">indolenzimento, dolore o formazione di vesciche sulle dita </w:t>
      </w:r>
      <w:r w:rsidR="004D12E0" w:rsidRPr="00330A40">
        <w:rPr>
          <w:lang w:val="it-IT"/>
        </w:rPr>
        <w:t xml:space="preserve">delle mani </w:t>
      </w:r>
      <w:r w:rsidR="00CD78D8" w:rsidRPr="00330A40">
        <w:rPr>
          <w:lang w:val="it-IT"/>
        </w:rPr>
        <w:t>o sui piedi</w:t>
      </w:r>
      <w:r w:rsidR="00244905" w:rsidRPr="00330A40">
        <w:rPr>
          <w:lang w:val="it-IT"/>
        </w:rPr>
        <w:t>,</w:t>
      </w:r>
      <w:r w:rsidR="00CD78D8" w:rsidRPr="00330A40">
        <w:rPr>
          <w:lang w:val="it-IT"/>
        </w:rPr>
        <w:t xml:space="preserve"> </w:t>
      </w:r>
    </w:p>
    <w:p w14:paraId="6DFF1705"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riduzione del numero de</w:t>
      </w:r>
      <w:r w:rsidR="00E54B18" w:rsidRPr="00330A40">
        <w:rPr>
          <w:lang w:val="it-IT"/>
        </w:rPr>
        <w:t xml:space="preserve">i globuli rossi </w:t>
      </w:r>
      <w:r w:rsidR="009C0666" w:rsidRPr="00330A40">
        <w:rPr>
          <w:lang w:val="it-IT"/>
        </w:rPr>
        <w:t>del sangue,</w:t>
      </w:r>
    </w:p>
    <w:p w14:paraId="6E231852"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mancanza di</w:t>
      </w:r>
      <w:r w:rsidR="006B6D3D" w:rsidRPr="00330A40">
        <w:rPr>
          <w:lang w:val="it-IT"/>
        </w:rPr>
        <w:t xml:space="preserve"> </w:t>
      </w:r>
      <w:r w:rsidR="00063DE0" w:rsidRPr="00330A40">
        <w:rPr>
          <w:lang w:val="it-IT"/>
        </w:rPr>
        <w:t>energia</w:t>
      </w:r>
      <w:r w:rsidR="009C0666" w:rsidRPr="00330A40">
        <w:rPr>
          <w:lang w:val="it-IT"/>
        </w:rPr>
        <w:t>,</w:t>
      </w:r>
    </w:p>
    <w:p w14:paraId="5368E538" w14:textId="77777777" w:rsidR="001E2935" w:rsidRPr="00330A40" w:rsidRDefault="00CD1F5A" w:rsidP="00C65E97">
      <w:pPr>
        <w:ind w:left="567" w:hanging="567"/>
        <w:rPr>
          <w:lang w:val="it-IT"/>
        </w:rPr>
      </w:pPr>
      <w:r w:rsidRPr="00330A40">
        <w:rPr>
          <w:lang w:val="it-IT"/>
        </w:rPr>
        <w:sym w:font="Symbol" w:char="F0B7"/>
      </w:r>
      <w:r w:rsidRPr="00330A40">
        <w:rPr>
          <w:lang w:val="it-IT"/>
        </w:rPr>
        <w:tab/>
      </w:r>
      <w:r w:rsidR="001E2935" w:rsidRPr="00330A40">
        <w:rPr>
          <w:lang w:val="it-IT"/>
        </w:rPr>
        <w:t>disturbi allo stomaco e all’intestino</w:t>
      </w:r>
      <w:r w:rsidR="00F919CB" w:rsidRPr="00330A40">
        <w:rPr>
          <w:lang w:val="it-IT"/>
        </w:rPr>
        <w:t>,</w:t>
      </w:r>
    </w:p>
    <w:p w14:paraId="7A2E70AE" w14:textId="77777777" w:rsidR="001A2863" w:rsidRPr="00330A40" w:rsidRDefault="00C91E39" w:rsidP="00C65E97">
      <w:pPr>
        <w:ind w:left="567" w:hanging="567"/>
        <w:rPr>
          <w:lang w:val="it-IT"/>
        </w:rPr>
      </w:pPr>
      <w:r w:rsidRPr="00330A40">
        <w:rPr>
          <w:lang w:val="it-IT"/>
        </w:rPr>
        <w:sym w:font="Symbol" w:char="F0B7"/>
      </w:r>
      <w:r w:rsidRPr="00330A40">
        <w:rPr>
          <w:lang w:val="it-IT"/>
        </w:rPr>
        <w:tab/>
      </w:r>
      <w:r w:rsidR="001A2863" w:rsidRPr="00330A40">
        <w:rPr>
          <w:lang w:val="it-IT"/>
        </w:rPr>
        <w:t>dolore muscolare</w:t>
      </w:r>
      <w:r w:rsidR="00A538E6" w:rsidRPr="00330A40">
        <w:rPr>
          <w:lang w:val="it-IT"/>
        </w:rPr>
        <w:t xml:space="preserve"> e articolare,</w:t>
      </w:r>
      <w:r w:rsidR="001E2935" w:rsidRPr="00330A40">
        <w:rPr>
          <w:lang w:val="it-IT"/>
        </w:rPr>
        <w:t xml:space="preserve"> debolezza muscolare,</w:t>
      </w:r>
    </w:p>
    <w:p w14:paraId="62A5AD28"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secchezza della bocca associata a sete e/o urine ridotte o scure,</w:t>
      </w:r>
    </w:p>
    <w:p w14:paraId="08F0D1BE" w14:textId="77777777" w:rsidR="001E2935" w:rsidRPr="00330A40" w:rsidRDefault="00C91E39" w:rsidP="00C65E97">
      <w:pPr>
        <w:ind w:left="567" w:hanging="567"/>
        <w:rPr>
          <w:lang w:val="it-IT"/>
        </w:rPr>
      </w:pPr>
      <w:r w:rsidRPr="00330A40">
        <w:rPr>
          <w:lang w:val="it-IT"/>
        </w:rPr>
        <w:sym w:font="Symbol" w:char="F0B7"/>
      </w:r>
      <w:r w:rsidRPr="00330A40">
        <w:rPr>
          <w:lang w:val="it-IT"/>
        </w:rPr>
        <w:tab/>
      </w:r>
      <w:r w:rsidR="001A2863" w:rsidRPr="00330A40">
        <w:rPr>
          <w:lang w:val="it-IT"/>
        </w:rPr>
        <w:t xml:space="preserve">infiammazione </w:t>
      </w:r>
      <w:r w:rsidR="001E2935" w:rsidRPr="00330A40">
        <w:rPr>
          <w:lang w:val="it-IT"/>
        </w:rPr>
        <w:t xml:space="preserve">della mucosa orale, dell’intestino, dei polmoni e delle vie aeree, </w:t>
      </w:r>
      <w:r w:rsidR="00A77829" w:rsidRPr="00330A40">
        <w:rPr>
          <w:lang w:val="it-IT"/>
        </w:rPr>
        <w:t xml:space="preserve">dell’apparato </w:t>
      </w:r>
      <w:r w:rsidR="001E2935" w:rsidRPr="00330A40">
        <w:rPr>
          <w:lang w:val="it-IT"/>
        </w:rPr>
        <w:t>riproduttiv</w:t>
      </w:r>
      <w:r w:rsidR="00A77829" w:rsidRPr="00330A40">
        <w:rPr>
          <w:lang w:val="it-IT"/>
        </w:rPr>
        <w:t>o</w:t>
      </w:r>
      <w:r w:rsidR="001E2935" w:rsidRPr="00330A40">
        <w:rPr>
          <w:lang w:val="it-IT"/>
        </w:rPr>
        <w:t xml:space="preserve"> e urinari</w:t>
      </w:r>
      <w:r w:rsidR="00A77829" w:rsidRPr="00330A40">
        <w:rPr>
          <w:lang w:val="it-IT"/>
        </w:rPr>
        <w:t>o</w:t>
      </w:r>
      <w:r w:rsidR="001E2935" w:rsidRPr="00330A40">
        <w:rPr>
          <w:lang w:val="it-IT"/>
        </w:rPr>
        <w:t>,</w:t>
      </w:r>
    </w:p>
    <w:p w14:paraId="19AB2351" w14:textId="77777777" w:rsidR="00F919CB" w:rsidRPr="00330A40" w:rsidRDefault="00CD1F5A" w:rsidP="00C65E97">
      <w:pPr>
        <w:ind w:left="567" w:hanging="567"/>
        <w:rPr>
          <w:lang w:val="it-IT"/>
        </w:rPr>
      </w:pPr>
      <w:r w:rsidRPr="00330A40">
        <w:rPr>
          <w:lang w:val="it-IT"/>
        </w:rPr>
        <w:sym w:font="Symbol" w:char="F0B7"/>
      </w:r>
      <w:r w:rsidRPr="00330A40">
        <w:rPr>
          <w:lang w:val="it-IT"/>
        </w:rPr>
        <w:tab/>
      </w:r>
      <w:r w:rsidR="00DE4081" w:rsidRPr="00330A40">
        <w:rPr>
          <w:lang w:val="it-IT"/>
        </w:rPr>
        <w:t xml:space="preserve">ulcere nella bocca </w:t>
      </w:r>
      <w:r w:rsidR="007435CF" w:rsidRPr="00330A40">
        <w:rPr>
          <w:lang w:val="it-IT"/>
        </w:rPr>
        <w:t>e</w:t>
      </w:r>
      <w:r w:rsidR="00DE4081" w:rsidRPr="00330A40">
        <w:rPr>
          <w:lang w:val="it-IT"/>
        </w:rPr>
        <w:t xml:space="preserve"> nell’esofago che possono causare dolore e difficoltà a deglutire,</w:t>
      </w:r>
    </w:p>
    <w:p w14:paraId="5576A43B"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dolore, incluso mal di testa,</w:t>
      </w:r>
      <w:r w:rsidR="006B6D3D" w:rsidRPr="00330A40">
        <w:rPr>
          <w:lang w:val="it-IT"/>
        </w:rPr>
        <w:t xml:space="preserve"> mal di schiena e dolore in corrispondenza della zona del bacino e dell’ano,</w:t>
      </w:r>
    </w:p>
    <w:p w14:paraId="4387420D"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ascessi localizzati,</w:t>
      </w:r>
    </w:p>
    <w:p w14:paraId="36FDC5AA"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infezione, e in particolare infezione nel sangue o nella vescica,</w:t>
      </w:r>
    </w:p>
    <w:p w14:paraId="4094D589"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ridotto afflusso di sangue al cervello o ictus,</w:t>
      </w:r>
    </w:p>
    <w:p w14:paraId="28D0CD40"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7059B8" w:rsidRPr="00330A40">
        <w:rPr>
          <w:lang w:val="it-IT"/>
        </w:rPr>
        <w:t>sonnolenza</w:t>
      </w:r>
      <w:r w:rsidR="009C0666" w:rsidRPr="00330A40">
        <w:rPr>
          <w:lang w:val="it-IT"/>
        </w:rPr>
        <w:t>,</w:t>
      </w:r>
    </w:p>
    <w:p w14:paraId="6D5ED9FA"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sangue dal naso,</w:t>
      </w:r>
    </w:p>
    <w:p w14:paraId="6ADD41D5"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aumento della frequenza cardiaca (pulsazioni),</w:t>
      </w:r>
    </w:p>
    <w:p w14:paraId="45336584"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blocco intestinale,</w:t>
      </w:r>
    </w:p>
    <w:p w14:paraId="5FCA4A66" w14:textId="77777777" w:rsidR="009C0666" w:rsidRPr="00330A40" w:rsidRDefault="00C91E39" w:rsidP="00C65E97">
      <w:pPr>
        <w:ind w:left="567" w:hanging="567"/>
        <w:rPr>
          <w:lang w:val="it-IT"/>
        </w:rPr>
      </w:pPr>
      <w:r w:rsidRPr="00330A40">
        <w:rPr>
          <w:lang w:val="it-IT"/>
        </w:rPr>
        <w:lastRenderedPageBreak/>
        <w:sym w:font="Symbol" w:char="F0B7"/>
      </w:r>
      <w:r w:rsidRPr="00330A40">
        <w:rPr>
          <w:lang w:val="it-IT"/>
        </w:rPr>
        <w:tab/>
      </w:r>
      <w:r w:rsidR="009C0666" w:rsidRPr="00330A40">
        <w:rPr>
          <w:lang w:val="it-IT"/>
        </w:rPr>
        <w:t>alterazione degli esami delle urine (presenza di proteine nelle urine),</w:t>
      </w:r>
    </w:p>
    <w:p w14:paraId="6E9515E6" w14:textId="77777777" w:rsidR="009C0666" w:rsidRPr="00330A40" w:rsidRDefault="00C91E39" w:rsidP="00C65E97">
      <w:pPr>
        <w:numPr>
          <w:ilvl w:val="12"/>
          <w:numId w:val="0"/>
        </w:numPr>
        <w:ind w:left="567" w:hanging="567"/>
        <w:rPr>
          <w:lang w:val="it-IT"/>
        </w:rPr>
      </w:pPr>
      <w:r w:rsidRPr="00330A40">
        <w:rPr>
          <w:lang w:val="it-IT"/>
        </w:rPr>
        <w:sym w:font="Symbol" w:char="F0B7"/>
      </w:r>
      <w:r w:rsidRPr="00330A40">
        <w:rPr>
          <w:lang w:val="it-IT"/>
        </w:rPr>
        <w:tab/>
      </w:r>
      <w:r w:rsidR="009C0666" w:rsidRPr="00330A40">
        <w:rPr>
          <w:lang w:val="it-IT"/>
        </w:rPr>
        <w:t>affanno o ridotti livelli di ossigeno nel sangue</w:t>
      </w:r>
      <w:r w:rsidR="006B6D3D" w:rsidRPr="00330A40">
        <w:rPr>
          <w:lang w:val="it-IT"/>
        </w:rPr>
        <w:t>,</w:t>
      </w:r>
    </w:p>
    <w:p w14:paraId="68761981" w14:textId="77777777" w:rsidR="006B6D3D" w:rsidRPr="00330A40" w:rsidRDefault="006B6D3D" w:rsidP="00C65E97">
      <w:pPr>
        <w:numPr>
          <w:ilvl w:val="12"/>
          <w:numId w:val="0"/>
        </w:numPr>
        <w:ind w:left="567" w:hanging="567"/>
        <w:rPr>
          <w:lang w:val="it-IT"/>
        </w:rPr>
      </w:pPr>
      <w:r w:rsidRPr="00330A40">
        <w:rPr>
          <w:lang w:val="it-IT"/>
        </w:rPr>
        <w:sym w:font="Symbol" w:char="F0B7"/>
      </w:r>
      <w:r w:rsidRPr="00330A40">
        <w:rPr>
          <w:lang w:val="it-IT"/>
        </w:rPr>
        <w:tab/>
        <w:t>infezioni della pelle o degli strati più profondi della cute,</w:t>
      </w:r>
    </w:p>
    <w:p w14:paraId="15BD5AEF" w14:textId="77777777" w:rsidR="00E95C16" w:rsidRDefault="006B6D3D" w:rsidP="00E95C16">
      <w:pPr>
        <w:numPr>
          <w:ilvl w:val="12"/>
          <w:numId w:val="0"/>
        </w:numPr>
        <w:ind w:left="567" w:right="-29" w:hanging="567"/>
        <w:rPr>
          <w:lang w:val="it-IT"/>
        </w:rPr>
      </w:pPr>
      <w:r w:rsidRPr="00330A40">
        <w:rPr>
          <w:lang w:val="it-IT"/>
        </w:rPr>
        <w:sym w:font="Symbol" w:char="F0B7"/>
      </w:r>
      <w:r w:rsidRPr="00330A40">
        <w:rPr>
          <w:lang w:val="it-IT"/>
        </w:rPr>
        <w:tab/>
      </w:r>
      <w:r w:rsidR="002B3493" w:rsidRPr="00330A40">
        <w:rPr>
          <w:lang w:val="it-IT"/>
        </w:rPr>
        <w:t xml:space="preserve">fistole: </w:t>
      </w:r>
      <w:r w:rsidRPr="00330A40">
        <w:rPr>
          <w:lang w:val="it-IT"/>
        </w:rPr>
        <w:t>connessione tubolare ano</w:t>
      </w:r>
      <w:r w:rsidR="0016729C" w:rsidRPr="00330A40">
        <w:rPr>
          <w:lang w:val="it-IT"/>
        </w:rPr>
        <w:t>rmale</w:t>
      </w:r>
      <w:r w:rsidRPr="00330A40">
        <w:rPr>
          <w:lang w:val="it-IT"/>
        </w:rPr>
        <w:t xml:space="preserve"> tra organi interni e cute o altri tessuti che non sono normalmente collegati tra loro, incluse connessioni tra vagina e tratto gastrointestinale in pazienti affette da </w:t>
      </w:r>
      <w:r w:rsidR="0043091C" w:rsidRPr="00330A40">
        <w:rPr>
          <w:lang w:val="it-IT"/>
        </w:rPr>
        <w:t xml:space="preserve">cancro </w:t>
      </w:r>
      <w:r w:rsidRPr="00330A40">
        <w:rPr>
          <w:lang w:val="it-IT"/>
        </w:rPr>
        <w:t>della cervice</w:t>
      </w:r>
      <w:r w:rsidR="00E95C16">
        <w:rPr>
          <w:lang w:val="it-IT"/>
        </w:rPr>
        <w:t>,</w:t>
      </w:r>
    </w:p>
    <w:p w14:paraId="1C5639F9" w14:textId="77777777" w:rsidR="00E95C16" w:rsidRPr="00E50438" w:rsidRDefault="00E95C16" w:rsidP="00E95C16">
      <w:pPr>
        <w:numPr>
          <w:ilvl w:val="0"/>
          <w:numId w:val="80"/>
        </w:numPr>
        <w:ind w:left="567" w:right="-29" w:hanging="567"/>
        <w:rPr>
          <w:lang w:val="it-IT"/>
        </w:rPr>
      </w:pPr>
      <w:r w:rsidRPr="005C3A95">
        <w:rPr>
          <w:lang w:val="it-IT"/>
        </w:rPr>
        <w:t xml:space="preserve">reazioni allergiche (i segni possono </w:t>
      </w:r>
      <w:r w:rsidRPr="00E50438">
        <w:rPr>
          <w:lang w:val="it-IT"/>
        </w:rPr>
        <w:t>includere respirazione difficoltosa, arrossamento del viso, eruzione cutanea, bassa o alta pressione sanguigna, basso livello di ossigeno nel sangue, dolore al torace, o nausea/ vomito).</w:t>
      </w:r>
    </w:p>
    <w:p w14:paraId="32FAD34F" w14:textId="77777777" w:rsidR="00E95C16" w:rsidRPr="00E50438" w:rsidRDefault="00E95C16" w:rsidP="00E95C16">
      <w:pPr>
        <w:ind w:right="-29"/>
        <w:rPr>
          <w:lang w:val="it-IT"/>
        </w:rPr>
      </w:pPr>
    </w:p>
    <w:p w14:paraId="5B894CF9" w14:textId="77777777" w:rsidR="00E95C16" w:rsidRPr="00E50438" w:rsidRDefault="00E95C16" w:rsidP="00E95C16">
      <w:pPr>
        <w:ind w:right="-29"/>
        <w:rPr>
          <w:lang w:val="it-IT"/>
        </w:rPr>
      </w:pPr>
      <w:r w:rsidRPr="00E50438">
        <w:rPr>
          <w:lang w:val="it-IT"/>
        </w:rPr>
        <w:t xml:space="preserve">Effetti indesiderati gravi di frequenza </w:t>
      </w:r>
      <w:r w:rsidRPr="00E50438">
        <w:rPr>
          <w:b/>
          <w:lang w:val="it-IT"/>
        </w:rPr>
        <w:t>rara</w:t>
      </w:r>
      <w:r w:rsidRPr="00E50438">
        <w:rPr>
          <w:lang w:val="it-IT"/>
        </w:rPr>
        <w:t xml:space="preserve"> (</w:t>
      </w:r>
      <w:r>
        <w:rPr>
          <w:lang w:val="it-IT"/>
        </w:rPr>
        <w:t>possono interessare fino a</w:t>
      </w:r>
      <w:r w:rsidRPr="00E50438">
        <w:rPr>
          <w:lang w:val="it-IT"/>
        </w:rPr>
        <w:t xml:space="preserve"> 1 </w:t>
      </w:r>
      <w:r>
        <w:rPr>
          <w:lang w:val="it-IT"/>
        </w:rPr>
        <w:t>persona</w:t>
      </w:r>
      <w:r w:rsidRPr="00E50438">
        <w:rPr>
          <w:lang w:val="it-IT"/>
        </w:rPr>
        <w:t xml:space="preserve"> su 1000), includono:</w:t>
      </w:r>
    </w:p>
    <w:p w14:paraId="3D5ACD0A" w14:textId="77777777" w:rsidR="006B6D3D" w:rsidRPr="00330A40" w:rsidRDefault="00E95C16" w:rsidP="00E95C16">
      <w:pPr>
        <w:numPr>
          <w:ilvl w:val="12"/>
          <w:numId w:val="0"/>
        </w:numPr>
        <w:ind w:left="567" w:hanging="567"/>
        <w:rPr>
          <w:lang w:val="it-IT"/>
        </w:rPr>
      </w:pPr>
      <w:r w:rsidRPr="00E50438">
        <w:rPr>
          <w:lang w:val="it-IT"/>
        </w:rPr>
        <w:t xml:space="preserve">reazione allergica improvvisa e severa con respirazione difficoltosa, </w:t>
      </w:r>
      <w:r w:rsidRPr="007B3ACC">
        <w:rPr>
          <w:lang w:val="it-IT"/>
        </w:rPr>
        <w:t>gonfiore</w:t>
      </w:r>
      <w:r w:rsidRPr="00E50438">
        <w:rPr>
          <w:lang w:val="it-IT"/>
        </w:rPr>
        <w:t xml:space="preserve">, </w:t>
      </w:r>
      <w:r w:rsidRPr="007B3ACC">
        <w:rPr>
          <w:lang w:val="it-IT"/>
        </w:rPr>
        <w:t>girament</w:t>
      </w:r>
      <w:r>
        <w:rPr>
          <w:lang w:val="it-IT"/>
        </w:rPr>
        <w:t>i</w:t>
      </w:r>
      <w:r w:rsidRPr="007B3ACC">
        <w:rPr>
          <w:lang w:val="it-IT"/>
        </w:rPr>
        <w:t xml:space="preserve"> di testa</w:t>
      </w:r>
      <w:r w:rsidRPr="00E50438">
        <w:rPr>
          <w:lang w:val="it-IT"/>
        </w:rPr>
        <w:t>, batti</w:t>
      </w:r>
      <w:r w:rsidRPr="007B3ACC">
        <w:rPr>
          <w:lang w:val="it-IT"/>
        </w:rPr>
        <w:t>t</w:t>
      </w:r>
      <w:r w:rsidRPr="00E50438">
        <w:rPr>
          <w:lang w:val="it-IT"/>
        </w:rPr>
        <w:t>o cardiaco accelerato, sudorazione e perdita di coscienza</w:t>
      </w:r>
      <w:r w:rsidRPr="007B3ACC">
        <w:rPr>
          <w:lang w:val="it-IT"/>
        </w:rPr>
        <w:t xml:space="preserve"> (shock anafilattico)</w:t>
      </w:r>
      <w:r w:rsidRPr="00E50438">
        <w:rPr>
          <w:lang w:val="it-IT"/>
        </w:rPr>
        <w:t>.</w:t>
      </w:r>
    </w:p>
    <w:p w14:paraId="5F78D7A4" w14:textId="77777777" w:rsidR="009C0666" w:rsidRPr="00330A40" w:rsidRDefault="009C0666" w:rsidP="009C0666">
      <w:pPr>
        <w:numPr>
          <w:ilvl w:val="12"/>
          <w:numId w:val="0"/>
        </w:numPr>
        <w:ind w:right="-29"/>
        <w:rPr>
          <w:lang w:val="it-IT"/>
        </w:rPr>
      </w:pPr>
    </w:p>
    <w:p w14:paraId="39F594B5" w14:textId="77777777" w:rsidR="001E2935" w:rsidRPr="006A2BF9" w:rsidRDefault="001E2935" w:rsidP="00830FC5">
      <w:pPr>
        <w:keepNext/>
        <w:keepLines/>
        <w:numPr>
          <w:ilvl w:val="12"/>
          <w:numId w:val="0"/>
        </w:numPr>
        <w:ind w:right="-28"/>
        <w:rPr>
          <w:lang w:val="it-IT"/>
        </w:rPr>
      </w:pPr>
      <w:r w:rsidRPr="00330A40">
        <w:rPr>
          <w:lang w:val="it-IT"/>
        </w:rPr>
        <w:t xml:space="preserve">Effetti indesiderati </w:t>
      </w:r>
      <w:r w:rsidR="00AA5AAE" w:rsidRPr="006A2BF9">
        <w:rPr>
          <w:lang w:val="it-IT"/>
        </w:rPr>
        <w:t xml:space="preserve">gravi </w:t>
      </w:r>
      <w:r w:rsidRPr="006A2BF9">
        <w:rPr>
          <w:lang w:val="it-IT"/>
        </w:rPr>
        <w:t xml:space="preserve">di frequenza </w:t>
      </w:r>
      <w:r w:rsidRPr="006A2BF9">
        <w:rPr>
          <w:b/>
          <w:lang w:val="it-IT"/>
        </w:rPr>
        <w:t>non nota</w:t>
      </w:r>
      <w:r w:rsidRPr="006A2BF9">
        <w:rPr>
          <w:lang w:val="it-IT"/>
        </w:rPr>
        <w:t xml:space="preserve"> </w:t>
      </w:r>
      <w:r w:rsidR="007059B8" w:rsidRPr="006A2BF9">
        <w:rPr>
          <w:lang w:val="it-IT"/>
        </w:rPr>
        <w:t xml:space="preserve">(la frequenza non può essere </w:t>
      </w:r>
      <w:r w:rsidR="0043091C" w:rsidRPr="006A2BF9">
        <w:rPr>
          <w:lang w:val="it-IT"/>
        </w:rPr>
        <w:t xml:space="preserve">definita </w:t>
      </w:r>
      <w:r w:rsidR="007059B8" w:rsidRPr="006A2BF9">
        <w:rPr>
          <w:lang w:val="it-IT"/>
        </w:rPr>
        <w:t xml:space="preserve">sulla base dei dati disponibili) </w:t>
      </w:r>
      <w:r w:rsidRPr="006A2BF9">
        <w:rPr>
          <w:lang w:val="it-IT"/>
        </w:rPr>
        <w:t>includono:</w:t>
      </w:r>
    </w:p>
    <w:p w14:paraId="1D56AD56" w14:textId="77777777" w:rsidR="00E43F39" w:rsidRPr="00330A40" w:rsidRDefault="00CD1F5A" w:rsidP="00C65E97">
      <w:pPr>
        <w:keepNext/>
        <w:keepLines/>
        <w:ind w:left="567" w:hanging="567"/>
        <w:rPr>
          <w:lang w:val="it-IT"/>
        </w:rPr>
      </w:pPr>
      <w:r w:rsidRPr="00330A40">
        <w:rPr>
          <w:lang w:val="it-IT"/>
        </w:rPr>
        <w:sym w:font="Symbol" w:char="F0B7"/>
      </w:r>
      <w:r w:rsidRPr="00330A40">
        <w:rPr>
          <w:lang w:val="it-IT"/>
        </w:rPr>
        <w:tab/>
      </w:r>
      <w:r w:rsidR="00E43F39" w:rsidRPr="00330A40">
        <w:rPr>
          <w:lang w:val="it-IT"/>
        </w:rPr>
        <w:t xml:space="preserve">infezioni </w:t>
      </w:r>
      <w:r w:rsidR="00E02FBA" w:rsidRPr="00330A40">
        <w:rPr>
          <w:lang w:val="it-IT"/>
        </w:rPr>
        <w:t>gravi</w:t>
      </w:r>
      <w:r w:rsidR="00E43F39" w:rsidRPr="00330A40">
        <w:rPr>
          <w:lang w:val="it-IT"/>
        </w:rPr>
        <w:t xml:space="preserve"> della pelle o degli strati più profondi sotto la pelle, soprattutto se </w:t>
      </w:r>
      <w:r w:rsidR="00E569A3" w:rsidRPr="00330A40">
        <w:rPr>
          <w:lang w:val="it-IT"/>
        </w:rPr>
        <w:t>ha</w:t>
      </w:r>
      <w:r w:rsidR="00E43F39" w:rsidRPr="00330A40">
        <w:rPr>
          <w:lang w:val="it-IT"/>
        </w:rPr>
        <w:t xml:space="preserve"> avuto perforazioni nella parete intestinale o problemi con la </w:t>
      </w:r>
      <w:r w:rsidR="00E02FBA" w:rsidRPr="00330A40">
        <w:rPr>
          <w:lang w:val="it-IT"/>
        </w:rPr>
        <w:t xml:space="preserve">guarigione </w:t>
      </w:r>
      <w:r w:rsidR="00E43F39" w:rsidRPr="00330A40">
        <w:rPr>
          <w:lang w:val="it-IT"/>
        </w:rPr>
        <w:t>delle ferite,</w:t>
      </w:r>
    </w:p>
    <w:p w14:paraId="21447DF5" w14:textId="77777777" w:rsidR="00245A6D" w:rsidRPr="00330A40" w:rsidRDefault="00CD1F5A" w:rsidP="00C65E97">
      <w:pPr>
        <w:ind w:left="567" w:hanging="567"/>
        <w:rPr>
          <w:lang w:val="it-IT"/>
        </w:rPr>
      </w:pPr>
      <w:r w:rsidRPr="00330A40">
        <w:rPr>
          <w:lang w:val="it-IT"/>
        </w:rPr>
        <w:sym w:font="Symbol" w:char="F0B7"/>
      </w:r>
      <w:r w:rsidRPr="00330A40">
        <w:rPr>
          <w:lang w:val="it-IT"/>
        </w:rPr>
        <w:tab/>
      </w:r>
      <w:r w:rsidR="00245A6D" w:rsidRPr="00330A40">
        <w:rPr>
          <w:lang w:val="it-IT"/>
        </w:rPr>
        <w:t>un effetto negativo sulla capacità delle donne di avere figli (vedere i paragrafi successivi all’elenco degli effetti indesiderati per ulteriori raccomandazioni),</w:t>
      </w:r>
    </w:p>
    <w:p w14:paraId="5BA0DEF1" w14:textId="77777777" w:rsidR="001E2935" w:rsidRPr="00330A40" w:rsidRDefault="00CD1F5A" w:rsidP="00C65E97">
      <w:pPr>
        <w:ind w:left="567" w:hanging="567"/>
        <w:rPr>
          <w:lang w:val="it-IT"/>
        </w:rPr>
      </w:pPr>
      <w:r w:rsidRPr="00330A40">
        <w:rPr>
          <w:lang w:val="it-IT"/>
        </w:rPr>
        <w:sym w:font="Symbol" w:char="F0B7"/>
      </w:r>
      <w:r w:rsidRPr="00330A40">
        <w:rPr>
          <w:lang w:val="it-IT"/>
        </w:rPr>
        <w:tab/>
      </w:r>
      <w:r w:rsidR="001E2935" w:rsidRPr="00330A40">
        <w:rPr>
          <w:lang w:val="it-IT"/>
        </w:rPr>
        <w:t xml:space="preserve">una condizione </w:t>
      </w:r>
      <w:r w:rsidR="00245A6D" w:rsidRPr="00330A40">
        <w:rPr>
          <w:lang w:val="it-IT"/>
        </w:rPr>
        <w:t>del cervello</w:t>
      </w:r>
      <w:r w:rsidR="001E2935" w:rsidRPr="00330A40">
        <w:rPr>
          <w:lang w:val="it-IT"/>
        </w:rPr>
        <w:t xml:space="preserve"> con sintomi quali convulsioni (crisi convulsive), mal di testa, confusione e alterazioni della visione (sindrome da encefalopatia posteriore reversibile</w:t>
      </w:r>
      <w:r w:rsidR="00316DB2" w:rsidRPr="00330A40">
        <w:rPr>
          <w:lang w:val="it-IT"/>
        </w:rPr>
        <w:t>,</w:t>
      </w:r>
      <w:r w:rsidR="001E2935" w:rsidRPr="00330A40">
        <w:rPr>
          <w:lang w:val="it-IT"/>
        </w:rPr>
        <w:t xml:space="preserve"> PRES)),</w:t>
      </w:r>
    </w:p>
    <w:p w14:paraId="4595B392" w14:textId="77777777" w:rsidR="001E2935" w:rsidRPr="00330A40" w:rsidRDefault="00CD1F5A" w:rsidP="00C65E97">
      <w:pPr>
        <w:ind w:left="567" w:hanging="567"/>
        <w:rPr>
          <w:lang w:val="it-IT"/>
        </w:rPr>
      </w:pPr>
      <w:r w:rsidRPr="00330A40">
        <w:rPr>
          <w:lang w:val="it-IT"/>
        </w:rPr>
        <w:sym w:font="Symbol" w:char="F0B7"/>
      </w:r>
      <w:r w:rsidRPr="00330A40">
        <w:rPr>
          <w:lang w:val="it-IT"/>
        </w:rPr>
        <w:tab/>
      </w:r>
      <w:r w:rsidR="001E2935" w:rsidRPr="00330A40">
        <w:rPr>
          <w:lang w:val="it-IT"/>
        </w:rPr>
        <w:t>sintomi che suggeriscono alterazioni della normale funzione cerebrale (mal di testa, disturbi visivi, confusione o convulsioni) e pressione sanguigna elevata,</w:t>
      </w:r>
    </w:p>
    <w:p w14:paraId="1B16B0B9" w14:textId="77777777" w:rsidR="000424E3" w:rsidRPr="00330A40" w:rsidRDefault="000424E3" w:rsidP="00C65E97">
      <w:pPr>
        <w:ind w:left="567" w:hanging="567"/>
        <w:rPr>
          <w:lang w:val="it-IT"/>
        </w:rPr>
      </w:pPr>
      <w:r w:rsidRPr="00330A40">
        <w:rPr>
          <w:lang w:val="it-IT"/>
        </w:rPr>
        <w:sym w:font="Symbol" w:char="F0B7"/>
      </w:r>
      <w:r w:rsidRPr="00330A40">
        <w:rPr>
          <w:lang w:val="it-IT"/>
        </w:rPr>
        <w:tab/>
      </w:r>
      <w:r w:rsidR="0000197F" w:rsidRPr="00330A40">
        <w:rPr>
          <w:lang w:val="it-IT"/>
        </w:rPr>
        <w:t>dilatazione e indebolimento della parete di un vaso sanguigno o una lacerazione della parete di un vaso sanguigno (aneurismi e dissezioni arteriose).</w:t>
      </w:r>
    </w:p>
    <w:p w14:paraId="50866406" w14:textId="77777777" w:rsidR="001E2935" w:rsidRPr="00330A40" w:rsidRDefault="00CD1F5A" w:rsidP="00C65E97">
      <w:pPr>
        <w:ind w:left="567" w:hanging="567"/>
        <w:rPr>
          <w:lang w:val="it-IT"/>
        </w:rPr>
      </w:pPr>
      <w:r w:rsidRPr="00330A40">
        <w:rPr>
          <w:lang w:val="it-IT"/>
        </w:rPr>
        <w:sym w:font="Symbol" w:char="F0B7"/>
      </w:r>
      <w:r w:rsidRPr="00330A40">
        <w:rPr>
          <w:lang w:val="it-IT"/>
        </w:rPr>
        <w:tab/>
      </w:r>
      <w:r w:rsidR="001E2935" w:rsidRPr="00330A40">
        <w:rPr>
          <w:lang w:val="it-IT"/>
        </w:rPr>
        <w:t>ostruzione di un piccolo</w:t>
      </w:r>
      <w:r w:rsidR="00A77829" w:rsidRPr="00330A40">
        <w:rPr>
          <w:lang w:val="it-IT"/>
        </w:rPr>
        <w:t>(i)</w:t>
      </w:r>
      <w:r w:rsidR="001E2935" w:rsidRPr="00330A40">
        <w:rPr>
          <w:lang w:val="it-IT"/>
        </w:rPr>
        <w:t xml:space="preserve"> vaso(i) sanguigno(i) nel rene,</w:t>
      </w:r>
    </w:p>
    <w:p w14:paraId="4EB82A92" w14:textId="77777777" w:rsidR="001E2935" w:rsidRPr="00330A40" w:rsidRDefault="00CD1F5A" w:rsidP="00C65E97">
      <w:pPr>
        <w:ind w:left="567" w:hanging="567"/>
        <w:rPr>
          <w:lang w:val="it-IT"/>
        </w:rPr>
      </w:pPr>
      <w:r w:rsidRPr="00330A40">
        <w:rPr>
          <w:lang w:val="it-IT"/>
        </w:rPr>
        <w:sym w:font="Symbol" w:char="F0B7"/>
      </w:r>
      <w:r w:rsidRPr="00330A40">
        <w:rPr>
          <w:lang w:val="it-IT"/>
        </w:rPr>
        <w:tab/>
      </w:r>
      <w:r w:rsidR="001E2935" w:rsidRPr="00330A40">
        <w:rPr>
          <w:lang w:val="it-IT"/>
        </w:rPr>
        <w:t xml:space="preserve">un’anomala pressione sanguigna </w:t>
      </w:r>
      <w:r w:rsidR="00316DB2" w:rsidRPr="00330A40">
        <w:rPr>
          <w:lang w:val="it-IT"/>
        </w:rPr>
        <w:t xml:space="preserve">elevata </w:t>
      </w:r>
      <w:r w:rsidR="001E2935" w:rsidRPr="00330A40">
        <w:rPr>
          <w:lang w:val="it-IT"/>
        </w:rPr>
        <w:t xml:space="preserve">nei vasi dei polmoni che rende il </w:t>
      </w:r>
      <w:r w:rsidR="00316DB2" w:rsidRPr="00330A40">
        <w:rPr>
          <w:lang w:val="it-IT"/>
        </w:rPr>
        <w:t xml:space="preserve">funzionamento </w:t>
      </w:r>
      <w:r w:rsidR="001E2935" w:rsidRPr="00330A40">
        <w:rPr>
          <w:lang w:val="it-IT"/>
        </w:rPr>
        <w:t xml:space="preserve">della parte destra del cuore più </w:t>
      </w:r>
      <w:r w:rsidR="00041688" w:rsidRPr="00330A40">
        <w:rPr>
          <w:lang w:val="it-IT"/>
        </w:rPr>
        <w:t>difficile</w:t>
      </w:r>
      <w:r w:rsidR="001E2935" w:rsidRPr="00330A40">
        <w:rPr>
          <w:lang w:val="it-IT"/>
        </w:rPr>
        <w:t xml:space="preserve"> del normale,</w:t>
      </w:r>
    </w:p>
    <w:p w14:paraId="0A460E91" w14:textId="77777777" w:rsidR="00245A6D" w:rsidRPr="00330A40" w:rsidRDefault="00CD1F5A" w:rsidP="00C65E97">
      <w:pPr>
        <w:ind w:left="567" w:hanging="567"/>
        <w:rPr>
          <w:lang w:val="it-IT"/>
        </w:rPr>
      </w:pPr>
      <w:r w:rsidRPr="00330A40">
        <w:rPr>
          <w:lang w:val="it-IT"/>
        </w:rPr>
        <w:sym w:font="Symbol" w:char="F0B7"/>
      </w:r>
      <w:r w:rsidRPr="00330A40">
        <w:rPr>
          <w:lang w:val="it-IT"/>
        </w:rPr>
        <w:tab/>
      </w:r>
      <w:r w:rsidR="00245A6D" w:rsidRPr="00330A40">
        <w:rPr>
          <w:lang w:val="it-IT"/>
        </w:rPr>
        <w:t>perforazione della parete di cartilagine che separa le narici,</w:t>
      </w:r>
    </w:p>
    <w:p w14:paraId="3CA976E4" w14:textId="77777777" w:rsidR="00245A6D" w:rsidRPr="00330A40" w:rsidRDefault="00CD1F5A" w:rsidP="00C65E97">
      <w:pPr>
        <w:ind w:left="567" w:hanging="567"/>
        <w:rPr>
          <w:lang w:val="it-IT"/>
        </w:rPr>
      </w:pPr>
      <w:r w:rsidRPr="00330A40">
        <w:rPr>
          <w:lang w:val="it-IT"/>
        </w:rPr>
        <w:sym w:font="Symbol" w:char="F0B7"/>
      </w:r>
      <w:r w:rsidRPr="00330A40">
        <w:rPr>
          <w:lang w:val="it-IT"/>
        </w:rPr>
        <w:tab/>
      </w:r>
      <w:r w:rsidR="00245A6D" w:rsidRPr="00330A40">
        <w:rPr>
          <w:lang w:val="it-IT"/>
        </w:rPr>
        <w:t>perforazione dello stomaco o dell’intestino,</w:t>
      </w:r>
    </w:p>
    <w:p w14:paraId="4C42D4BB" w14:textId="77777777" w:rsidR="003C1717" w:rsidRPr="00330A40" w:rsidRDefault="00CD1F5A" w:rsidP="00C65E97">
      <w:pPr>
        <w:ind w:left="567" w:hanging="567"/>
        <w:rPr>
          <w:lang w:val="it-IT"/>
        </w:rPr>
      </w:pPr>
      <w:r w:rsidRPr="00330A40">
        <w:rPr>
          <w:lang w:val="it-IT"/>
        </w:rPr>
        <w:sym w:font="Symbol" w:char="F0B7"/>
      </w:r>
      <w:r w:rsidRPr="00330A40">
        <w:rPr>
          <w:lang w:val="it-IT"/>
        </w:rPr>
        <w:tab/>
      </w:r>
      <w:r w:rsidR="003C1717" w:rsidRPr="00330A40">
        <w:rPr>
          <w:lang w:val="it-IT"/>
        </w:rPr>
        <w:t>una ferita aperta o una perforazione nel rivestimento dello stomaco o dell’intestino tenue (i segni possono includere dolore addominale, sensazione di gonfiore, feci nere catramose, sangue nelle feci o sangue nel vomito),</w:t>
      </w:r>
    </w:p>
    <w:p w14:paraId="3AE7E3D9" w14:textId="77777777" w:rsidR="00CA20BF" w:rsidRPr="00330A40" w:rsidRDefault="00CD1F5A" w:rsidP="00C65E97">
      <w:pPr>
        <w:ind w:left="567" w:hanging="567"/>
        <w:rPr>
          <w:lang w:val="it-IT"/>
        </w:rPr>
      </w:pPr>
      <w:r w:rsidRPr="00330A40">
        <w:rPr>
          <w:lang w:val="it-IT"/>
        </w:rPr>
        <w:sym w:font="Symbol" w:char="F0B7"/>
      </w:r>
      <w:r w:rsidRPr="00330A40">
        <w:rPr>
          <w:lang w:val="it-IT"/>
        </w:rPr>
        <w:tab/>
      </w:r>
      <w:r w:rsidR="00CA20BF" w:rsidRPr="00330A40">
        <w:rPr>
          <w:lang w:val="it-IT"/>
        </w:rPr>
        <w:t xml:space="preserve">sanguinamento dalla parte </w:t>
      </w:r>
      <w:r w:rsidR="00E569A3" w:rsidRPr="00330A40">
        <w:rPr>
          <w:lang w:val="it-IT"/>
        </w:rPr>
        <w:t>inferiore</w:t>
      </w:r>
      <w:r w:rsidR="00CA20BF" w:rsidRPr="00330A40">
        <w:rPr>
          <w:lang w:val="it-IT"/>
        </w:rPr>
        <w:t xml:space="preserve"> dell’intestino crasso,</w:t>
      </w:r>
    </w:p>
    <w:p w14:paraId="6D1CD478" w14:textId="77777777" w:rsidR="001E2935" w:rsidRPr="00330A40" w:rsidRDefault="00CD1F5A" w:rsidP="00C65E97">
      <w:pPr>
        <w:ind w:left="567" w:hanging="567"/>
        <w:rPr>
          <w:lang w:val="it-IT"/>
        </w:rPr>
      </w:pPr>
      <w:r w:rsidRPr="00330A40">
        <w:rPr>
          <w:lang w:val="it-IT"/>
        </w:rPr>
        <w:sym w:font="Symbol" w:char="F0B7"/>
      </w:r>
      <w:r w:rsidRPr="00330A40">
        <w:rPr>
          <w:lang w:val="it-IT"/>
        </w:rPr>
        <w:tab/>
      </w:r>
      <w:r w:rsidR="001E2935" w:rsidRPr="00330A40">
        <w:rPr>
          <w:lang w:val="it-IT"/>
        </w:rPr>
        <w:t xml:space="preserve">lesioni alle gengive, con esposizione di un osso della </w:t>
      </w:r>
      <w:r w:rsidR="00BD0270" w:rsidRPr="00330A40">
        <w:rPr>
          <w:lang w:val="it-IT"/>
        </w:rPr>
        <w:t>mandibola/</w:t>
      </w:r>
      <w:r w:rsidR="001E2935" w:rsidRPr="00330A40">
        <w:rPr>
          <w:lang w:val="it-IT"/>
        </w:rPr>
        <w:t xml:space="preserve">mascella che non guarisce, che possono essere associate a dolore e infiammazione del tessuto circostante (vedere </w:t>
      </w:r>
      <w:r w:rsidR="005F7815" w:rsidRPr="00330A40">
        <w:rPr>
          <w:lang w:val="it-IT"/>
        </w:rPr>
        <w:t xml:space="preserve">i paragrafi successivi all’elenco degli effetti indesiderati </w:t>
      </w:r>
      <w:r w:rsidR="001E2935" w:rsidRPr="00330A40">
        <w:rPr>
          <w:lang w:val="it-IT"/>
        </w:rPr>
        <w:t>per ulteriori raccomandazioni),</w:t>
      </w:r>
    </w:p>
    <w:p w14:paraId="060FFB3B" w14:textId="77777777" w:rsidR="001A7062" w:rsidRPr="00330A40" w:rsidRDefault="00CD1F5A" w:rsidP="00C65E97">
      <w:pPr>
        <w:ind w:left="567" w:hanging="567"/>
        <w:rPr>
          <w:lang w:val="it-IT"/>
        </w:rPr>
      </w:pPr>
      <w:r w:rsidRPr="00330A40">
        <w:rPr>
          <w:lang w:val="it-IT"/>
        </w:rPr>
        <w:sym w:font="Symbol" w:char="F0B7"/>
      </w:r>
      <w:r w:rsidRPr="00330A40">
        <w:rPr>
          <w:lang w:val="it-IT"/>
        </w:rPr>
        <w:tab/>
      </w:r>
      <w:r w:rsidR="001A7062" w:rsidRPr="00330A40">
        <w:rPr>
          <w:lang w:val="it-IT"/>
        </w:rPr>
        <w:t>perforazione della cistifellea (sintomi e segni possono includere dolore addominale, febbre e nausea/vomito).</w:t>
      </w:r>
    </w:p>
    <w:p w14:paraId="2E25AED2" w14:textId="77777777" w:rsidR="009C0666" w:rsidRPr="00330A40" w:rsidRDefault="009C0666" w:rsidP="009C0666">
      <w:pPr>
        <w:numPr>
          <w:ilvl w:val="12"/>
          <w:numId w:val="0"/>
        </w:numPr>
        <w:ind w:right="-29"/>
        <w:rPr>
          <w:lang w:val="it-IT"/>
        </w:rPr>
      </w:pPr>
    </w:p>
    <w:p w14:paraId="76B08474" w14:textId="77777777" w:rsidR="009C0666" w:rsidRPr="00330A40" w:rsidRDefault="009C0666" w:rsidP="009C0666">
      <w:pPr>
        <w:numPr>
          <w:ilvl w:val="12"/>
          <w:numId w:val="0"/>
        </w:numPr>
        <w:ind w:right="-29"/>
        <w:outlineLvl w:val="0"/>
        <w:rPr>
          <w:b/>
          <w:iCs/>
          <w:lang w:val="it-IT"/>
        </w:rPr>
      </w:pPr>
      <w:r w:rsidRPr="00330A40">
        <w:rPr>
          <w:b/>
          <w:iCs/>
          <w:lang w:val="it-IT"/>
        </w:rPr>
        <w:t xml:space="preserve">Se dovesse manifestare uno degli effetti indesiderati descritti </w:t>
      </w:r>
      <w:r w:rsidR="008D7C25" w:rsidRPr="00330A40">
        <w:rPr>
          <w:b/>
          <w:iCs/>
          <w:lang w:val="it-IT"/>
        </w:rPr>
        <w:t>sotto</w:t>
      </w:r>
      <w:r w:rsidRPr="00330A40">
        <w:rPr>
          <w:b/>
          <w:iCs/>
          <w:lang w:val="it-IT"/>
        </w:rPr>
        <w:t xml:space="preserve">, chieda </w:t>
      </w:r>
      <w:r w:rsidR="00316DB2" w:rsidRPr="00330A40">
        <w:rPr>
          <w:b/>
          <w:iCs/>
          <w:lang w:val="it-IT"/>
        </w:rPr>
        <w:t>immediatamente aiuto.</w:t>
      </w:r>
    </w:p>
    <w:p w14:paraId="6CD651FF" w14:textId="77777777" w:rsidR="009C0666" w:rsidRPr="006A2BF9" w:rsidRDefault="009C0666" w:rsidP="009C0666">
      <w:pPr>
        <w:numPr>
          <w:ilvl w:val="12"/>
          <w:numId w:val="0"/>
        </w:numPr>
        <w:ind w:right="-29"/>
        <w:rPr>
          <w:lang w:val="it-IT"/>
        </w:rPr>
      </w:pPr>
    </w:p>
    <w:p w14:paraId="75148737" w14:textId="77777777" w:rsidR="009C0666" w:rsidRPr="00330A40" w:rsidRDefault="00905B74" w:rsidP="009C0666">
      <w:pPr>
        <w:numPr>
          <w:ilvl w:val="12"/>
          <w:numId w:val="0"/>
        </w:numPr>
        <w:ind w:right="-29"/>
        <w:rPr>
          <w:lang w:val="it-IT"/>
        </w:rPr>
      </w:pPr>
      <w:r w:rsidRPr="006A2BF9">
        <w:rPr>
          <w:lang w:val="it-IT"/>
        </w:rPr>
        <w:t>E</w:t>
      </w:r>
      <w:r w:rsidR="009C0666" w:rsidRPr="006A2BF9">
        <w:rPr>
          <w:lang w:val="it-IT"/>
        </w:rPr>
        <w:t xml:space="preserve">ffetti indesiderati </w:t>
      </w:r>
      <w:r w:rsidR="009C0666" w:rsidRPr="006A2BF9">
        <w:rPr>
          <w:b/>
          <w:lang w:val="it-IT"/>
        </w:rPr>
        <w:t>molto comuni</w:t>
      </w:r>
      <w:r w:rsidRPr="006A2BF9">
        <w:rPr>
          <w:lang w:val="it-IT"/>
        </w:rPr>
        <w:t xml:space="preserve"> (</w:t>
      </w:r>
      <w:r w:rsidR="00E95C16">
        <w:rPr>
          <w:lang w:val="it-IT"/>
        </w:rPr>
        <w:t>possono interessare</w:t>
      </w:r>
      <w:r w:rsidR="00E95C16" w:rsidRPr="002429CE">
        <w:rPr>
          <w:lang w:val="it-IT"/>
        </w:rPr>
        <w:t xml:space="preserve"> più di 1 </w:t>
      </w:r>
      <w:r w:rsidR="00E95C16">
        <w:rPr>
          <w:lang w:val="it-IT"/>
        </w:rPr>
        <w:t>persona</w:t>
      </w:r>
      <w:r w:rsidR="00E95C16" w:rsidRPr="002429CE">
        <w:rPr>
          <w:lang w:val="it-IT"/>
        </w:rPr>
        <w:t xml:space="preserve"> su 10</w:t>
      </w:r>
      <w:r w:rsidRPr="006A2BF9">
        <w:rPr>
          <w:lang w:val="it-IT"/>
        </w:rPr>
        <w:t>)</w:t>
      </w:r>
      <w:r w:rsidR="001F597E" w:rsidRPr="000F0246">
        <w:rPr>
          <w:lang w:val="it-IT"/>
        </w:rPr>
        <w:t>,</w:t>
      </w:r>
      <w:r w:rsidR="009C0666" w:rsidRPr="00330A40">
        <w:rPr>
          <w:b/>
          <w:lang w:val="it-IT"/>
        </w:rPr>
        <w:t xml:space="preserve"> </w:t>
      </w:r>
      <w:r w:rsidR="001F597E" w:rsidRPr="00330A40">
        <w:rPr>
          <w:bCs/>
          <w:lang w:val="it-IT"/>
        </w:rPr>
        <w:t>che</w:t>
      </w:r>
      <w:r w:rsidR="009C0666" w:rsidRPr="00330A40">
        <w:rPr>
          <w:bCs/>
          <w:lang w:val="it-IT"/>
        </w:rPr>
        <w:t xml:space="preserve"> </w:t>
      </w:r>
      <w:r w:rsidR="009C0666" w:rsidRPr="00330A40">
        <w:rPr>
          <w:lang w:val="it-IT"/>
        </w:rPr>
        <w:t xml:space="preserve">non </w:t>
      </w:r>
      <w:r w:rsidR="00131C19" w:rsidRPr="00330A40">
        <w:rPr>
          <w:lang w:val="it-IT"/>
        </w:rPr>
        <w:t xml:space="preserve">sono risultati </w:t>
      </w:r>
      <w:r w:rsidR="00AA5AAE" w:rsidRPr="00330A40">
        <w:rPr>
          <w:lang w:val="it-IT"/>
        </w:rPr>
        <w:t>gravi</w:t>
      </w:r>
      <w:r w:rsidR="001F597E" w:rsidRPr="00330A40">
        <w:rPr>
          <w:lang w:val="it-IT"/>
        </w:rPr>
        <w:t>,</w:t>
      </w:r>
      <w:r w:rsidR="009C0666" w:rsidRPr="00330A40">
        <w:rPr>
          <w:lang w:val="it-IT"/>
        </w:rPr>
        <w:t xml:space="preserve"> includono:</w:t>
      </w:r>
    </w:p>
    <w:p w14:paraId="2F943242" w14:textId="77777777" w:rsidR="009C0666" w:rsidRPr="00330A40" w:rsidRDefault="009C0666" w:rsidP="009C0666">
      <w:pPr>
        <w:ind w:right="-29"/>
        <w:rPr>
          <w:lang w:val="it-IT"/>
        </w:rPr>
      </w:pPr>
    </w:p>
    <w:p w14:paraId="6358C965" w14:textId="77777777" w:rsidR="001E2935"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 xml:space="preserve">stitichezza, </w:t>
      </w:r>
    </w:p>
    <w:p w14:paraId="6033031A" w14:textId="77777777" w:rsidR="009C0666" w:rsidRPr="00330A40" w:rsidRDefault="00C91E39" w:rsidP="00C65E97">
      <w:pPr>
        <w:ind w:left="567" w:hanging="567"/>
        <w:rPr>
          <w:lang w:val="it-IT"/>
        </w:rPr>
      </w:pPr>
      <w:r w:rsidRPr="00330A40">
        <w:rPr>
          <w:lang w:val="it-IT"/>
        </w:rPr>
        <w:sym w:font="Symbol" w:char="F0B7"/>
      </w:r>
      <w:r w:rsidRPr="00330A40">
        <w:rPr>
          <w:lang w:val="it-IT"/>
        </w:rPr>
        <w:tab/>
      </w:r>
      <w:r w:rsidR="009C0666" w:rsidRPr="00330A40">
        <w:rPr>
          <w:lang w:val="it-IT"/>
        </w:rPr>
        <w:t>perdita di appetito</w:t>
      </w:r>
      <w:r w:rsidR="00296FED" w:rsidRPr="00330A40">
        <w:rPr>
          <w:lang w:val="it-IT"/>
        </w:rPr>
        <w:t>,</w:t>
      </w:r>
    </w:p>
    <w:p w14:paraId="200AED5D" w14:textId="77777777" w:rsidR="009C0666" w:rsidRPr="00330A40" w:rsidRDefault="00C91E39" w:rsidP="00C65E97">
      <w:pPr>
        <w:tabs>
          <w:tab w:val="left" w:pos="561"/>
          <w:tab w:val="left" w:pos="1122"/>
          <w:tab w:val="left" w:pos="8406"/>
        </w:tabs>
        <w:ind w:left="567" w:hanging="567"/>
        <w:rPr>
          <w:lang w:val="it-IT"/>
        </w:rPr>
      </w:pPr>
      <w:r w:rsidRPr="00330A40">
        <w:rPr>
          <w:lang w:val="it-IT"/>
        </w:rPr>
        <w:sym w:font="Symbol" w:char="F0B7"/>
      </w:r>
      <w:r w:rsidRPr="00330A40">
        <w:rPr>
          <w:lang w:val="it-IT"/>
        </w:rPr>
        <w:tab/>
      </w:r>
      <w:r w:rsidR="009C0666" w:rsidRPr="00330A40">
        <w:rPr>
          <w:lang w:val="it-IT"/>
        </w:rPr>
        <w:t>febbre,</w:t>
      </w:r>
    </w:p>
    <w:p w14:paraId="5E40D85C" w14:textId="77777777" w:rsidR="00A538E6" w:rsidRPr="00330A40" w:rsidRDefault="00C91E39" w:rsidP="00C65E97">
      <w:pPr>
        <w:ind w:left="567" w:hanging="567"/>
        <w:rPr>
          <w:lang w:val="it-IT"/>
        </w:rPr>
      </w:pPr>
      <w:r w:rsidRPr="00330A40">
        <w:rPr>
          <w:lang w:val="it-IT"/>
        </w:rPr>
        <w:sym w:font="Symbol" w:char="F0B7"/>
      </w:r>
      <w:r w:rsidRPr="00330A40">
        <w:rPr>
          <w:lang w:val="it-IT"/>
        </w:rPr>
        <w:tab/>
      </w:r>
      <w:r w:rsidR="001A2863" w:rsidRPr="00330A40">
        <w:rPr>
          <w:lang w:val="it-IT"/>
        </w:rPr>
        <w:t>problemi agli occhi (inclusa l’aumentata lacrimazione)</w:t>
      </w:r>
      <w:r w:rsidR="00A538E6" w:rsidRPr="00330A40">
        <w:rPr>
          <w:lang w:val="it-IT"/>
        </w:rPr>
        <w:t>,</w:t>
      </w:r>
    </w:p>
    <w:p w14:paraId="78B91783" w14:textId="77777777" w:rsidR="00A538E6" w:rsidRPr="00330A40" w:rsidRDefault="00C91E39" w:rsidP="00C65E97">
      <w:pPr>
        <w:keepNext/>
        <w:numPr>
          <w:ilvl w:val="12"/>
          <w:numId w:val="0"/>
        </w:numPr>
        <w:ind w:left="567" w:hanging="567"/>
        <w:rPr>
          <w:lang w:val="it-IT"/>
        </w:rPr>
      </w:pPr>
      <w:r w:rsidRPr="00330A40">
        <w:rPr>
          <w:lang w:val="it-IT"/>
        </w:rPr>
        <w:sym w:font="Symbol" w:char="F0B7"/>
      </w:r>
      <w:r w:rsidRPr="00330A40">
        <w:rPr>
          <w:lang w:val="it-IT"/>
        </w:rPr>
        <w:tab/>
      </w:r>
      <w:r w:rsidR="001E2935" w:rsidRPr="00330A40">
        <w:rPr>
          <w:lang w:val="it-IT"/>
        </w:rPr>
        <w:t xml:space="preserve">alterazioni </w:t>
      </w:r>
      <w:r w:rsidR="00A538E6" w:rsidRPr="00330A40">
        <w:rPr>
          <w:lang w:val="it-IT"/>
        </w:rPr>
        <w:t>del linguaggio,</w:t>
      </w:r>
    </w:p>
    <w:p w14:paraId="6FC7F17A" w14:textId="77777777" w:rsidR="001E2935" w:rsidRPr="00330A40" w:rsidRDefault="00CD1F5A" w:rsidP="00C65E97">
      <w:pPr>
        <w:ind w:left="567" w:hanging="567"/>
        <w:rPr>
          <w:lang w:val="it-IT"/>
        </w:rPr>
      </w:pPr>
      <w:r w:rsidRPr="00330A40">
        <w:rPr>
          <w:lang w:val="it-IT"/>
        </w:rPr>
        <w:sym w:font="Symbol" w:char="F0B7"/>
      </w:r>
      <w:r w:rsidRPr="00330A40">
        <w:rPr>
          <w:lang w:val="it-IT"/>
        </w:rPr>
        <w:tab/>
      </w:r>
      <w:r w:rsidR="001E2935" w:rsidRPr="00330A40">
        <w:rPr>
          <w:lang w:val="it-IT"/>
        </w:rPr>
        <w:t>alterazione del senso del gusto,</w:t>
      </w:r>
    </w:p>
    <w:p w14:paraId="6487BCF2" w14:textId="77777777" w:rsidR="001E2935" w:rsidRPr="00330A40" w:rsidRDefault="00CD1F5A" w:rsidP="00C65E97">
      <w:pPr>
        <w:ind w:left="567" w:hanging="567"/>
        <w:rPr>
          <w:lang w:val="it-IT"/>
        </w:rPr>
      </w:pPr>
      <w:r w:rsidRPr="00330A40">
        <w:rPr>
          <w:lang w:val="it-IT"/>
        </w:rPr>
        <w:sym w:font="Symbol" w:char="F0B7"/>
      </w:r>
      <w:r w:rsidRPr="00330A40">
        <w:rPr>
          <w:lang w:val="it-IT"/>
        </w:rPr>
        <w:tab/>
      </w:r>
      <w:r w:rsidR="001E2935" w:rsidRPr="00330A40">
        <w:rPr>
          <w:lang w:val="it-IT"/>
        </w:rPr>
        <w:t>naso che cola,</w:t>
      </w:r>
    </w:p>
    <w:p w14:paraId="466871D8" w14:textId="77777777" w:rsidR="001E2935" w:rsidRPr="00330A40" w:rsidRDefault="00CD1F5A" w:rsidP="00C65E97">
      <w:pPr>
        <w:ind w:left="567" w:hanging="567"/>
        <w:rPr>
          <w:lang w:val="it-IT"/>
        </w:rPr>
      </w:pPr>
      <w:r w:rsidRPr="00330A40">
        <w:rPr>
          <w:lang w:val="it-IT"/>
        </w:rPr>
        <w:sym w:font="Symbol" w:char="F0B7"/>
      </w:r>
      <w:r w:rsidRPr="00330A40">
        <w:rPr>
          <w:lang w:val="it-IT"/>
        </w:rPr>
        <w:tab/>
      </w:r>
      <w:r w:rsidR="001E2935" w:rsidRPr="00330A40">
        <w:rPr>
          <w:lang w:val="it-IT"/>
        </w:rPr>
        <w:t>pelle secca, desquamazione e infiammazione della pelle, cambiamento del colore della pelle</w:t>
      </w:r>
      <w:r w:rsidR="006B6D3D" w:rsidRPr="00330A40">
        <w:rPr>
          <w:lang w:val="it-IT"/>
        </w:rPr>
        <w:t>,</w:t>
      </w:r>
    </w:p>
    <w:p w14:paraId="2FE454D2" w14:textId="77777777" w:rsidR="000924C5" w:rsidRPr="00330A40" w:rsidRDefault="00CD1F5A" w:rsidP="00C65E97">
      <w:pPr>
        <w:ind w:left="567" w:hanging="567"/>
        <w:rPr>
          <w:lang w:val="it-IT"/>
        </w:rPr>
      </w:pPr>
      <w:r w:rsidRPr="00330A40">
        <w:rPr>
          <w:lang w:val="it-IT"/>
        </w:rPr>
        <w:lastRenderedPageBreak/>
        <w:sym w:font="Symbol" w:char="F0B7"/>
      </w:r>
      <w:r w:rsidRPr="00330A40">
        <w:rPr>
          <w:lang w:val="it-IT"/>
        </w:rPr>
        <w:tab/>
      </w:r>
      <w:r w:rsidR="006B6D3D" w:rsidRPr="00330A40">
        <w:rPr>
          <w:lang w:val="it-IT"/>
        </w:rPr>
        <w:t>perdita di peso corporeo</w:t>
      </w:r>
      <w:r w:rsidR="001B3F05" w:rsidRPr="00330A40">
        <w:rPr>
          <w:lang w:val="it-IT"/>
        </w:rPr>
        <w:t>,</w:t>
      </w:r>
    </w:p>
    <w:p w14:paraId="6596BE99" w14:textId="77777777" w:rsidR="00F526B9" w:rsidRPr="00330A40" w:rsidRDefault="000924C5" w:rsidP="00C65E97">
      <w:pPr>
        <w:ind w:left="567" w:hanging="567"/>
        <w:rPr>
          <w:lang w:val="it-IT"/>
        </w:rPr>
      </w:pPr>
      <w:r w:rsidRPr="00330A40">
        <w:rPr>
          <w:lang w:val="it-IT"/>
        </w:rPr>
        <w:sym w:font="Symbol" w:char="F0B7"/>
      </w:r>
      <w:r w:rsidRPr="00330A40">
        <w:rPr>
          <w:lang w:val="it-IT"/>
        </w:rPr>
        <w:tab/>
        <w:t>sangue dal naso</w:t>
      </w:r>
      <w:r w:rsidR="009B1F33" w:rsidRPr="00330A40">
        <w:rPr>
          <w:lang w:val="it-IT"/>
        </w:rPr>
        <w:t>.</w:t>
      </w:r>
    </w:p>
    <w:p w14:paraId="631AEA44" w14:textId="77777777" w:rsidR="009C0666" w:rsidRPr="00330A40" w:rsidRDefault="009C0666" w:rsidP="009C0666">
      <w:pPr>
        <w:numPr>
          <w:ilvl w:val="12"/>
          <w:numId w:val="0"/>
        </w:numPr>
        <w:ind w:right="-29"/>
        <w:rPr>
          <w:lang w:val="it-IT"/>
        </w:rPr>
      </w:pPr>
    </w:p>
    <w:p w14:paraId="1A9A281E" w14:textId="77777777" w:rsidR="009C0666" w:rsidRPr="006A2BF9" w:rsidRDefault="00905B74" w:rsidP="00D71134">
      <w:pPr>
        <w:keepNext/>
        <w:keepLines/>
        <w:numPr>
          <w:ilvl w:val="12"/>
          <w:numId w:val="0"/>
        </w:numPr>
        <w:ind w:right="-28"/>
        <w:rPr>
          <w:lang w:val="it-IT"/>
        </w:rPr>
      </w:pPr>
      <w:r w:rsidRPr="00330A40">
        <w:rPr>
          <w:lang w:val="it-IT"/>
        </w:rPr>
        <w:t>E</w:t>
      </w:r>
      <w:r w:rsidR="009C0666" w:rsidRPr="00330A40">
        <w:rPr>
          <w:lang w:val="it-IT"/>
        </w:rPr>
        <w:t xml:space="preserve">ffetti indesiderati </w:t>
      </w:r>
      <w:r w:rsidR="009C0666" w:rsidRPr="00330A40">
        <w:rPr>
          <w:b/>
          <w:lang w:val="it-IT"/>
        </w:rPr>
        <w:t>comuni</w:t>
      </w:r>
      <w:r w:rsidRPr="00330A40">
        <w:rPr>
          <w:lang w:val="it-IT"/>
        </w:rPr>
        <w:t xml:space="preserve"> (</w:t>
      </w:r>
      <w:r w:rsidR="00E95C16">
        <w:rPr>
          <w:lang w:val="it-IT"/>
        </w:rPr>
        <w:t>possono interessare fino a</w:t>
      </w:r>
      <w:r w:rsidR="00E95C16" w:rsidRPr="002429CE">
        <w:rPr>
          <w:lang w:val="it-IT"/>
        </w:rPr>
        <w:t xml:space="preserve"> 1</w:t>
      </w:r>
      <w:r w:rsidR="00E95C16">
        <w:rPr>
          <w:lang w:val="it-IT"/>
        </w:rPr>
        <w:t xml:space="preserve"> persona</w:t>
      </w:r>
      <w:r w:rsidR="00E95C16" w:rsidRPr="002429CE">
        <w:rPr>
          <w:lang w:val="it-IT"/>
        </w:rPr>
        <w:t xml:space="preserve"> a 10</w:t>
      </w:r>
      <w:r w:rsidRPr="006A2BF9">
        <w:rPr>
          <w:lang w:val="it-IT"/>
        </w:rPr>
        <w:t>)</w:t>
      </w:r>
      <w:r w:rsidR="001F597E" w:rsidRPr="006A2BF9">
        <w:rPr>
          <w:bCs/>
          <w:lang w:val="it-IT"/>
        </w:rPr>
        <w:t>,</w:t>
      </w:r>
      <w:r w:rsidR="009C0666" w:rsidRPr="006A2BF9">
        <w:rPr>
          <w:b/>
          <w:lang w:val="it-IT"/>
        </w:rPr>
        <w:t xml:space="preserve"> </w:t>
      </w:r>
      <w:r w:rsidR="001F597E" w:rsidRPr="006A2BF9">
        <w:rPr>
          <w:bCs/>
          <w:lang w:val="it-IT"/>
        </w:rPr>
        <w:t>che</w:t>
      </w:r>
      <w:r w:rsidR="009C0666" w:rsidRPr="006A2BF9">
        <w:rPr>
          <w:bCs/>
          <w:lang w:val="it-IT"/>
        </w:rPr>
        <w:t xml:space="preserve"> </w:t>
      </w:r>
      <w:r w:rsidR="009C0666" w:rsidRPr="006A2BF9">
        <w:rPr>
          <w:lang w:val="it-IT"/>
        </w:rPr>
        <w:t xml:space="preserve">non </w:t>
      </w:r>
      <w:r w:rsidR="00131C19" w:rsidRPr="006A2BF9">
        <w:rPr>
          <w:lang w:val="it-IT"/>
        </w:rPr>
        <w:t xml:space="preserve">sono risultati </w:t>
      </w:r>
      <w:r w:rsidR="00AA5AAE" w:rsidRPr="006A2BF9">
        <w:rPr>
          <w:lang w:val="it-IT"/>
        </w:rPr>
        <w:t>gravi</w:t>
      </w:r>
      <w:r w:rsidR="001F597E" w:rsidRPr="006A2BF9">
        <w:rPr>
          <w:lang w:val="it-IT"/>
        </w:rPr>
        <w:t>,</w:t>
      </w:r>
      <w:r w:rsidR="009C0666" w:rsidRPr="006A2BF9">
        <w:rPr>
          <w:lang w:val="it-IT"/>
        </w:rPr>
        <w:t xml:space="preserve"> includono:</w:t>
      </w:r>
    </w:p>
    <w:p w14:paraId="2701D294" w14:textId="77777777" w:rsidR="000972CC" w:rsidRPr="00330A40" w:rsidRDefault="00C91E39" w:rsidP="00C65E97">
      <w:pPr>
        <w:ind w:left="567" w:hanging="567"/>
        <w:rPr>
          <w:lang w:val="it-IT"/>
        </w:rPr>
      </w:pPr>
      <w:r w:rsidRPr="00330A40">
        <w:rPr>
          <w:lang w:val="it-IT"/>
        </w:rPr>
        <w:sym w:font="Symbol" w:char="F0B7"/>
      </w:r>
      <w:r w:rsidRPr="00330A40">
        <w:rPr>
          <w:lang w:val="it-IT"/>
        </w:rPr>
        <w:tab/>
      </w:r>
      <w:r w:rsidR="000972CC" w:rsidRPr="00330A40">
        <w:rPr>
          <w:lang w:val="it-IT"/>
        </w:rPr>
        <w:t>cambiamenti della voce</w:t>
      </w:r>
      <w:r w:rsidR="00905B74" w:rsidRPr="00330A40">
        <w:rPr>
          <w:lang w:val="it-IT"/>
        </w:rPr>
        <w:t xml:space="preserve"> e</w:t>
      </w:r>
      <w:r w:rsidR="000972CC" w:rsidRPr="00330A40">
        <w:rPr>
          <w:lang w:val="it-IT"/>
        </w:rPr>
        <w:t xml:space="preserve"> raucedine</w:t>
      </w:r>
      <w:r w:rsidR="00EA1C4C" w:rsidRPr="00330A40">
        <w:rPr>
          <w:lang w:val="it-IT"/>
        </w:rPr>
        <w:t>.</w:t>
      </w:r>
    </w:p>
    <w:p w14:paraId="0BF83CC7" w14:textId="77777777" w:rsidR="007378C6" w:rsidRPr="00330A40" w:rsidRDefault="007378C6" w:rsidP="009C0666">
      <w:pPr>
        <w:ind w:right="-29"/>
        <w:rPr>
          <w:lang w:val="it-IT"/>
        </w:rPr>
      </w:pPr>
    </w:p>
    <w:p w14:paraId="4D405CEF" w14:textId="77777777" w:rsidR="00905B74" w:rsidRPr="00330A40" w:rsidRDefault="00905B74" w:rsidP="006D059E">
      <w:pPr>
        <w:keepNext/>
        <w:keepLines/>
        <w:numPr>
          <w:ilvl w:val="12"/>
          <w:numId w:val="0"/>
        </w:numPr>
        <w:ind w:right="-29"/>
        <w:rPr>
          <w:lang w:val="it-IT"/>
        </w:rPr>
      </w:pPr>
      <w:r w:rsidRPr="00330A40">
        <w:rPr>
          <w:lang w:val="it-IT"/>
        </w:rPr>
        <w:t xml:space="preserve">I pazienti con più di 65 anni presentano un maggiore rischio di avere i seguenti </w:t>
      </w:r>
      <w:r w:rsidR="009C0666" w:rsidRPr="00330A40">
        <w:rPr>
          <w:lang w:val="it-IT"/>
        </w:rPr>
        <w:t>effetti indesiderati</w:t>
      </w:r>
      <w:r w:rsidRPr="00330A40">
        <w:rPr>
          <w:lang w:val="it-IT"/>
        </w:rPr>
        <w:t>:</w:t>
      </w:r>
      <w:r w:rsidR="009C0666" w:rsidRPr="00330A40">
        <w:rPr>
          <w:lang w:val="it-IT"/>
        </w:rPr>
        <w:t xml:space="preserve"> </w:t>
      </w:r>
    </w:p>
    <w:p w14:paraId="393A10F8" w14:textId="77777777" w:rsidR="00905B74" w:rsidRPr="00330A40" w:rsidRDefault="00AC78BC" w:rsidP="00C65E97">
      <w:pPr>
        <w:keepNext/>
        <w:keepLines/>
        <w:ind w:left="567" w:hanging="567"/>
        <w:rPr>
          <w:lang w:val="it-IT"/>
        </w:rPr>
      </w:pPr>
      <w:r w:rsidRPr="00330A40">
        <w:rPr>
          <w:lang w:val="it-IT"/>
        </w:rPr>
        <w:sym w:font="Symbol" w:char="F0B7"/>
      </w:r>
      <w:r w:rsidRPr="00330A40">
        <w:rPr>
          <w:lang w:val="it-IT"/>
        </w:rPr>
        <w:tab/>
      </w:r>
      <w:r w:rsidR="009C0666" w:rsidRPr="00330A40">
        <w:rPr>
          <w:lang w:val="it-IT"/>
        </w:rPr>
        <w:t>coaguli di sangue nelle arterie, che possono determinare ictus o attacco cardiaco</w:t>
      </w:r>
      <w:r w:rsidR="00905B74" w:rsidRPr="00330A40">
        <w:rPr>
          <w:lang w:val="it-IT"/>
        </w:rPr>
        <w:t>,</w:t>
      </w:r>
    </w:p>
    <w:p w14:paraId="03A9D343" w14:textId="77777777" w:rsidR="00905B74" w:rsidRPr="00330A40" w:rsidRDefault="00AC78BC" w:rsidP="00C65E97">
      <w:pPr>
        <w:ind w:left="567" w:hanging="567"/>
        <w:rPr>
          <w:lang w:val="it-IT"/>
        </w:rPr>
      </w:pPr>
      <w:r w:rsidRPr="00330A40">
        <w:rPr>
          <w:lang w:val="it-IT"/>
        </w:rPr>
        <w:sym w:font="Symbol" w:char="F0B7"/>
      </w:r>
      <w:r w:rsidR="009C0666" w:rsidRPr="00330A40">
        <w:rPr>
          <w:lang w:val="it-IT"/>
        </w:rPr>
        <w:t xml:space="preserve"> </w:t>
      </w:r>
      <w:r w:rsidR="00CD1F5A" w:rsidRPr="00330A40">
        <w:rPr>
          <w:lang w:val="it-IT"/>
        </w:rPr>
        <w:tab/>
      </w:r>
      <w:r w:rsidR="009C0666" w:rsidRPr="00330A40">
        <w:rPr>
          <w:lang w:val="it-IT"/>
        </w:rPr>
        <w:t>riduzione del numero di globuli bianchi e delle cellule che contribuiscono alla coagulazione del sangue</w:t>
      </w:r>
      <w:r w:rsidR="00905B74" w:rsidRPr="00330A40">
        <w:rPr>
          <w:lang w:val="it-IT"/>
        </w:rPr>
        <w:t>,</w:t>
      </w:r>
    </w:p>
    <w:p w14:paraId="251A6AA9" w14:textId="77777777" w:rsidR="00905B74" w:rsidRPr="00330A40" w:rsidRDefault="00CD1F5A" w:rsidP="00C65E97">
      <w:pPr>
        <w:ind w:left="567" w:hanging="567"/>
        <w:rPr>
          <w:lang w:val="it-IT"/>
        </w:rPr>
      </w:pPr>
      <w:r w:rsidRPr="00330A40">
        <w:rPr>
          <w:lang w:val="it-IT"/>
        </w:rPr>
        <w:sym w:font="Symbol" w:char="F0B7"/>
      </w:r>
      <w:r w:rsidRPr="00330A40">
        <w:rPr>
          <w:lang w:val="it-IT"/>
        </w:rPr>
        <w:tab/>
      </w:r>
      <w:r w:rsidR="009C0666" w:rsidRPr="00330A40">
        <w:rPr>
          <w:lang w:val="it-IT"/>
        </w:rPr>
        <w:t xml:space="preserve">diarrea, </w:t>
      </w:r>
    </w:p>
    <w:p w14:paraId="017AAD84" w14:textId="77777777" w:rsidR="00905B74" w:rsidRPr="00330A40" w:rsidRDefault="00CD1F5A" w:rsidP="00C65E97">
      <w:pPr>
        <w:ind w:left="567" w:hanging="567"/>
        <w:rPr>
          <w:lang w:val="it-IT"/>
        </w:rPr>
      </w:pPr>
      <w:r w:rsidRPr="00330A40">
        <w:rPr>
          <w:lang w:val="it-IT"/>
        </w:rPr>
        <w:sym w:font="Symbol" w:char="F0B7"/>
      </w:r>
      <w:r w:rsidRPr="00330A40">
        <w:rPr>
          <w:lang w:val="it-IT"/>
        </w:rPr>
        <w:tab/>
      </w:r>
      <w:r w:rsidR="009C0666" w:rsidRPr="00330A40">
        <w:rPr>
          <w:lang w:val="it-IT"/>
        </w:rPr>
        <w:t xml:space="preserve">senso di malessere, </w:t>
      </w:r>
    </w:p>
    <w:p w14:paraId="5A5F4571" w14:textId="77777777" w:rsidR="00905B74" w:rsidRPr="00330A40" w:rsidRDefault="00CD1F5A" w:rsidP="00C65E97">
      <w:pPr>
        <w:ind w:left="567" w:hanging="567"/>
        <w:rPr>
          <w:lang w:val="it-IT"/>
        </w:rPr>
      </w:pPr>
      <w:r w:rsidRPr="00330A40">
        <w:rPr>
          <w:lang w:val="it-IT"/>
        </w:rPr>
        <w:sym w:font="Symbol" w:char="F0B7"/>
      </w:r>
      <w:r w:rsidRPr="00330A40">
        <w:rPr>
          <w:lang w:val="it-IT"/>
        </w:rPr>
        <w:tab/>
      </w:r>
      <w:r w:rsidR="009C0666" w:rsidRPr="00330A40">
        <w:rPr>
          <w:lang w:val="it-IT"/>
        </w:rPr>
        <w:t>mal di testa</w:t>
      </w:r>
      <w:r w:rsidR="00905B74" w:rsidRPr="00330A40">
        <w:rPr>
          <w:lang w:val="it-IT"/>
        </w:rPr>
        <w:t>,</w:t>
      </w:r>
    </w:p>
    <w:p w14:paraId="13F7EB81" w14:textId="77777777" w:rsidR="00225379" w:rsidRPr="00330A40" w:rsidRDefault="00CD1F5A" w:rsidP="00C65E97">
      <w:pPr>
        <w:ind w:left="567" w:hanging="567"/>
        <w:rPr>
          <w:lang w:val="it-IT"/>
        </w:rPr>
      </w:pPr>
      <w:r w:rsidRPr="00330A40">
        <w:rPr>
          <w:lang w:val="it-IT"/>
        </w:rPr>
        <w:sym w:font="Symbol" w:char="F0B7"/>
      </w:r>
      <w:r w:rsidRPr="00330A40">
        <w:rPr>
          <w:lang w:val="it-IT"/>
        </w:rPr>
        <w:tab/>
      </w:r>
      <w:r w:rsidR="009C0666" w:rsidRPr="00330A40">
        <w:rPr>
          <w:lang w:val="it-IT"/>
        </w:rPr>
        <w:t>senso di affaticamento</w:t>
      </w:r>
      <w:r w:rsidR="00225379" w:rsidRPr="00330A40">
        <w:rPr>
          <w:lang w:val="it-IT"/>
        </w:rPr>
        <w:t>,</w:t>
      </w:r>
    </w:p>
    <w:p w14:paraId="29125E93" w14:textId="77777777" w:rsidR="009C0666" w:rsidRPr="00330A40" w:rsidRDefault="00CD1F5A" w:rsidP="00C65E97">
      <w:pPr>
        <w:ind w:left="567" w:hanging="567"/>
        <w:rPr>
          <w:lang w:val="it-IT"/>
        </w:rPr>
      </w:pPr>
      <w:r w:rsidRPr="00330A40">
        <w:rPr>
          <w:lang w:val="it-IT"/>
        </w:rPr>
        <w:sym w:font="Symbol" w:char="F0B7"/>
      </w:r>
      <w:r w:rsidRPr="00330A40">
        <w:rPr>
          <w:lang w:val="it-IT"/>
        </w:rPr>
        <w:tab/>
      </w:r>
      <w:r w:rsidR="00225379" w:rsidRPr="00330A40">
        <w:rPr>
          <w:lang w:val="it-IT"/>
        </w:rPr>
        <w:t>pressione sanguigna elevata</w:t>
      </w:r>
      <w:r w:rsidR="009C0666" w:rsidRPr="00330A40">
        <w:rPr>
          <w:lang w:val="it-IT"/>
        </w:rPr>
        <w:t>.</w:t>
      </w:r>
    </w:p>
    <w:p w14:paraId="40C2F569" w14:textId="77777777" w:rsidR="009C0666" w:rsidRPr="00330A40" w:rsidRDefault="009C0666" w:rsidP="009C0666">
      <w:pPr>
        <w:numPr>
          <w:ilvl w:val="12"/>
          <w:numId w:val="0"/>
        </w:numPr>
        <w:ind w:right="-29"/>
        <w:rPr>
          <w:lang w:val="it-IT"/>
        </w:rPr>
      </w:pPr>
    </w:p>
    <w:p w14:paraId="124D85FA" w14:textId="77777777" w:rsidR="009C0666" w:rsidRPr="006A2BF9" w:rsidRDefault="0082705A" w:rsidP="009C0666">
      <w:pPr>
        <w:numPr>
          <w:ilvl w:val="12"/>
          <w:numId w:val="0"/>
        </w:numPr>
        <w:ind w:right="-29"/>
        <w:rPr>
          <w:lang w:val="it-IT"/>
        </w:rPr>
      </w:pPr>
      <w:r w:rsidRPr="00330A40">
        <w:rPr>
          <w:lang w:val="it-IT"/>
        </w:rPr>
        <w:t>Aybintio</w:t>
      </w:r>
      <w:r w:rsidRPr="00330A40">
        <w:rPr>
          <w:b/>
          <w:lang w:val="it-IT"/>
        </w:rPr>
        <w:t xml:space="preserve"> </w:t>
      </w:r>
      <w:r w:rsidR="009C0666" w:rsidRPr="00330A40">
        <w:rPr>
          <w:lang w:val="it-IT"/>
        </w:rPr>
        <w:t xml:space="preserve">può inoltre determinare </w:t>
      </w:r>
      <w:r w:rsidR="004D1238" w:rsidRPr="00330A40">
        <w:rPr>
          <w:lang w:val="it-IT"/>
        </w:rPr>
        <w:t xml:space="preserve">alterazioni </w:t>
      </w:r>
      <w:r w:rsidR="009C0666" w:rsidRPr="00330A40">
        <w:rPr>
          <w:lang w:val="it-IT"/>
        </w:rPr>
        <w:t>nei risultati delle analisi di laboratorio prescritte dal medico. Queste comprendono</w:t>
      </w:r>
      <w:r w:rsidR="004D1238" w:rsidRPr="006A2BF9">
        <w:rPr>
          <w:lang w:val="it-IT"/>
        </w:rPr>
        <w:t>:</w:t>
      </w:r>
      <w:r w:rsidR="009C0666" w:rsidRPr="006A2BF9">
        <w:rPr>
          <w:lang w:val="it-IT"/>
        </w:rPr>
        <w:t xml:space="preserve"> una riduzione del numero di globuli bianchi, in particolare dei neutrofili (un tipo di globuli bianchi che aiuta a proteggere dalle infezioni)</w:t>
      </w:r>
      <w:r w:rsidR="00296FED" w:rsidRPr="006A2BF9">
        <w:rPr>
          <w:lang w:val="it-IT"/>
        </w:rPr>
        <w:t xml:space="preserve"> nel sangue</w:t>
      </w:r>
      <w:r w:rsidR="00F07D73" w:rsidRPr="006A2BF9">
        <w:rPr>
          <w:lang w:val="it-IT"/>
        </w:rPr>
        <w:t>;</w:t>
      </w:r>
      <w:r w:rsidR="009C0666" w:rsidRPr="006A2BF9">
        <w:rPr>
          <w:lang w:val="it-IT"/>
        </w:rPr>
        <w:t xml:space="preserve"> presenza di proteine nelle urine</w:t>
      </w:r>
      <w:r w:rsidR="00F07D73" w:rsidRPr="006A2BF9">
        <w:rPr>
          <w:lang w:val="it-IT"/>
        </w:rPr>
        <w:t>;</w:t>
      </w:r>
      <w:r w:rsidR="009C0666" w:rsidRPr="006A2BF9">
        <w:rPr>
          <w:lang w:val="it-IT"/>
        </w:rPr>
        <w:t xml:space="preserve"> riduzione del potassio, del sodio o del fosforo (un minerale) nel sangue</w:t>
      </w:r>
      <w:r w:rsidR="00F07D73" w:rsidRPr="006A2BF9">
        <w:rPr>
          <w:lang w:val="it-IT"/>
        </w:rPr>
        <w:t>;</w:t>
      </w:r>
      <w:r w:rsidR="009C0666" w:rsidRPr="006A2BF9">
        <w:rPr>
          <w:lang w:val="it-IT"/>
        </w:rPr>
        <w:t xml:space="preserve"> aumento della glicemia</w:t>
      </w:r>
      <w:r w:rsidR="00F07D73" w:rsidRPr="006A2BF9">
        <w:rPr>
          <w:lang w:val="it-IT"/>
        </w:rPr>
        <w:t>;</w:t>
      </w:r>
      <w:r w:rsidR="009C0666" w:rsidRPr="006A2BF9">
        <w:rPr>
          <w:lang w:val="it-IT"/>
        </w:rPr>
        <w:t xml:space="preserve"> aumento della fosfatasi alcalina </w:t>
      </w:r>
      <w:r w:rsidR="00A77829" w:rsidRPr="006A2BF9">
        <w:rPr>
          <w:lang w:val="it-IT"/>
        </w:rPr>
        <w:t xml:space="preserve">(un enzima) </w:t>
      </w:r>
      <w:r w:rsidR="009C0666" w:rsidRPr="006A2BF9">
        <w:rPr>
          <w:lang w:val="it-IT"/>
        </w:rPr>
        <w:t>nel sangue</w:t>
      </w:r>
      <w:r w:rsidR="00674844" w:rsidRPr="006A2BF9">
        <w:rPr>
          <w:lang w:val="it-IT"/>
        </w:rPr>
        <w:t>; aum</w:t>
      </w:r>
      <w:r w:rsidR="002766E6" w:rsidRPr="006A2BF9">
        <w:rPr>
          <w:lang w:val="it-IT"/>
        </w:rPr>
        <w:t>ento della creatinina sierica (</w:t>
      </w:r>
      <w:r w:rsidR="00674844" w:rsidRPr="006A2BF9">
        <w:rPr>
          <w:lang w:val="it-IT"/>
        </w:rPr>
        <w:t xml:space="preserve">una proteina misurata </w:t>
      </w:r>
      <w:r w:rsidR="002766E6" w:rsidRPr="006A2BF9">
        <w:rPr>
          <w:lang w:val="it-IT"/>
        </w:rPr>
        <w:t>attraverso le analisi del sangue per valutare</w:t>
      </w:r>
      <w:r w:rsidR="00E10F07" w:rsidRPr="006A2BF9">
        <w:rPr>
          <w:lang w:val="it-IT"/>
        </w:rPr>
        <w:t xml:space="preserve"> come funzionano i suoi reni);</w:t>
      </w:r>
      <w:r w:rsidR="005A78E7" w:rsidRPr="006A2BF9">
        <w:rPr>
          <w:lang w:val="it-IT"/>
        </w:rPr>
        <w:t xml:space="preserve"> </w:t>
      </w:r>
      <w:r w:rsidR="009C0666" w:rsidRPr="006A2BF9">
        <w:rPr>
          <w:lang w:val="it-IT"/>
        </w:rPr>
        <w:t xml:space="preserve">riduzione dell’emoglobina (che si trova nei globuli rossi e trasporta l’ossigeno), che può essere </w:t>
      </w:r>
      <w:r w:rsidR="009B1F33" w:rsidRPr="006A2BF9">
        <w:rPr>
          <w:lang w:val="it-IT"/>
        </w:rPr>
        <w:t>grave</w:t>
      </w:r>
      <w:r w:rsidR="009C0666" w:rsidRPr="006A2BF9">
        <w:rPr>
          <w:lang w:val="it-IT"/>
        </w:rPr>
        <w:t>.</w:t>
      </w:r>
    </w:p>
    <w:p w14:paraId="43199093" w14:textId="77777777" w:rsidR="0072024F" w:rsidRPr="006A2BF9" w:rsidRDefault="0072024F" w:rsidP="0072024F">
      <w:pPr>
        <w:numPr>
          <w:ilvl w:val="12"/>
          <w:numId w:val="0"/>
        </w:numPr>
        <w:ind w:right="-29"/>
        <w:rPr>
          <w:lang w:val="it-IT"/>
        </w:rPr>
      </w:pPr>
    </w:p>
    <w:p w14:paraId="46CC3F8D" w14:textId="77777777" w:rsidR="0072024F" w:rsidRPr="006A2BF9" w:rsidRDefault="0072024F" w:rsidP="0072024F">
      <w:pPr>
        <w:numPr>
          <w:ilvl w:val="12"/>
          <w:numId w:val="0"/>
        </w:numPr>
        <w:ind w:right="-29"/>
        <w:rPr>
          <w:lang w:val="it-IT"/>
        </w:rPr>
      </w:pPr>
      <w:r w:rsidRPr="006A2BF9">
        <w:rPr>
          <w:lang w:val="it-IT"/>
        </w:rPr>
        <w:t xml:space="preserve">Dolore in bocca, ai denti e/o alla </w:t>
      </w:r>
      <w:r w:rsidR="004D1238" w:rsidRPr="006A2BF9">
        <w:rPr>
          <w:lang w:val="it-IT"/>
        </w:rPr>
        <w:t>mandibola/</w:t>
      </w:r>
      <w:r w:rsidR="00765095" w:rsidRPr="006A2BF9">
        <w:rPr>
          <w:lang w:val="it-IT"/>
        </w:rPr>
        <w:t>mascella</w:t>
      </w:r>
      <w:r w:rsidRPr="006A2BF9">
        <w:rPr>
          <w:lang w:val="it-IT"/>
        </w:rPr>
        <w:t xml:space="preserve">, gonfiore o </w:t>
      </w:r>
      <w:r w:rsidR="00765095" w:rsidRPr="006A2BF9">
        <w:rPr>
          <w:lang w:val="it-IT"/>
        </w:rPr>
        <w:t>vesciche</w:t>
      </w:r>
      <w:r w:rsidR="00876ED3" w:rsidRPr="006A2BF9">
        <w:rPr>
          <w:lang w:val="it-IT"/>
        </w:rPr>
        <w:t xml:space="preserve"> nella bocca</w:t>
      </w:r>
      <w:r w:rsidRPr="006A2BF9">
        <w:rPr>
          <w:lang w:val="it-IT"/>
        </w:rPr>
        <w:t>, intorpidimento o sensazione di pesantezza alla mandibola</w:t>
      </w:r>
      <w:r w:rsidR="00765095" w:rsidRPr="006A2BF9">
        <w:rPr>
          <w:lang w:val="it-IT"/>
        </w:rPr>
        <w:t>/mascella</w:t>
      </w:r>
      <w:r w:rsidRPr="006A2BF9">
        <w:rPr>
          <w:lang w:val="it-IT"/>
        </w:rPr>
        <w:t xml:space="preserve"> o perdita di un dente. Questi possono essere segni e sintomi di danno all’osso della mandibola</w:t>
      </w:r>
      <w:r w:rsidR="00765095" w:rsidRPr="006A2BF9">
        <w:rPr>
          <w:lang w:val="it-IT"/>
        </w:rPr>
        <w:t>/mascella</w:t>
      </w:r>
      <w:r w:rsidRPr="006A2BF9">
        <w:rPr>
          <w:lang w:val="it-IT"/>
        </w:rPr>
        <w:t xml:space="preserve"> (osteonecrosi). Informi immediatamente il medico e il dentista </w:t>
      </w:r>
      <w:r w:rsidR="007D7A0F" w:rsidRPr="006A2BF9">
        <w:rPr>
          <w:lang w:val="it-IT"/>
        </w:rPr>
        <w:t xml:space="preserve">se si verifica uno </w:t>
      </w:r>
      <w:r w:rsidRPr="006A2BF9">
        <w:rPr>
          <w:lang w:val="it-IT"/>
        </w:rPr>
        <w:t>di questi</w:t>
      </w:r>
      <w:r w:rsidR="00A77829" w:rsidRPr="006A2BF9">
        <w:rPr>
          <w:lang w:val="it-IT"/>
        </w:rPr>
        <w:t xml:space="preserve"> effetti</w:t>
      </w:r>
      <w:r w:rsidRPr="006A2BF9">
        <w:rPr>
          <w:lang w:val="it-IT"/>
        </w:rPr>
        <w:t>.</w:t>
      </w:r>
    </w:p>
    <w:p w14:paraId="24AEF07F" w14:textId="77777777" w:rsidR="008A64DF" w:rsidRPr="006A2BF9" w:rsidRDefault="008A64DF" w:rsidP="0072024F">
      <w:pPr>
        <w:numPr>
          <w:ilvl w:val="12"/>
          <w:numId w:val="0"/>
        </w:numPr>
        <w:ind w:right="-29"/>
        <w:rPr>
          <w:lang w:val="it-IT"/>
        </w:rPr>
      </w:pPr>
    </w:p>
    <w:p w14:paraId="664CFDAB" w14:textId="77777777" w:rsidR="008A64DF" w:rsidRPr="006A2BF9" w:rsidRDefault="008A64DF" w:rsidP="008A64DF">
      <w:pPr>
        <w:numPr>
          <w:ilvl w:val="12"/>
          <w:numId w:val="0"/>
        </w:numPr>
        <w:ind w:right="-2"/>
        <w:rPr>
          <w:lang w:val="it-IT"/>
        </w:rPr>
      </w:pPr>
      <w:r w:rsidRPr="006A2BF9">
        <w:rPr>
          <w:lang w:val="it-IT"/>
        </w:rPr>
        <w:t>Donne in premenopausa (donne</w:t>
      </w:r>
      <w:r w:rsidR="00E52C82" w:rsidRPr="006A2BF9">
        <w:rPr>
          <w:lang w:val="it-IT"/>
        </w:rPr>
        <w:t xml:space="preserve"> che hanno un</w:t>
      </w:r>
      <w:r w:rsidRPr="006A2BF9">
        <w:rPr>
          <w:lang w:val="it-IT"/>
        </w:rPr>
        <w:t xml:space="preserve"> ciclo mestruale) </w:t>
      </w:r>
      <w:r w:rsidR="006E4CFE" w:rsidRPr="006A2BF9">
        <w:rPr>
          <w:lang w:val="it-IT"/>
        </w:rPr>
        <w:t>po</w:t>
      </w:r>
      <w:r w:rsidR="006E4CFE">
        <w:rPr>
          <w:lang w:val="it-IT"/>
        </w:rPr>
        <w:t>ssono</w:t>
      </w:r>
      <w:r w:rsidR="006E4CFE" w:rsidRPr="006A2BF9">
        <w:rPr>
          <w:lang w:val="it-IT"/>
        </w:rPr>
        <w:t xml:space="preserve"> </w:t>
      </w:r>
      <w:r w:rsidRPr="006A2BF9">
        <w:rPr>
          <w:lang w:val="it-IT"/>
        </w:rPr>
        <w:t>notare irregolarità dei cicli mestruali, assenza di</w:t>
      </w:r>
      <w:r w:rsidR="00B6544D" w:rsidRPr="006A2BF9">
        <w:rPr>
          <w:lang w:val="it-IT"/>
        </w:rPr>
        <w:t xml:space="preserve"> mestruazioni</w:t>
      </w:r>
      <w:r w:rsidR="00E52C82" w:rsidRPr="006A2BF9">
        <w:rPr>
          <w:lang w:val="it-IT"/>
        </w:rPr>
        <w:t xml:space="preserve"> e </w:t>
      </w:r>
      <w:r w:rsidR="006E4CFE" w:rsidRPr="006A2BF9">
        <w:rPr>
          <w:lang w:val="it-IT"/>
        </w:rPr>
        <w:t>po</w:t>
      </w:r>
      <w:r w:rsidR="006E4CFE">
        <w:rPr>
          <w:lang w:val="it-IT"/>
        </w:rPr>
        <w:t>ssono</w:t>
      </w:r>
      <w:r w:rsidR="006E4CFE" w:rsidRPr="006A2BF9">
        <w:rPr>
          <w:lang w:val="it-IT"/>
        </w:rPr>
        <w:t xml:space="preserve"> </w:t>
      </w:r>
      <w:r w:rsidR="00E52C82" w:rsidRPr="006A2BF9">
        <w:rPr>
          <w:lang w:val="it-IT"/>
        </w:rPr>
        <w:t>avere</w:t>
      </w:r>
      <w:r w:rsidRPr="006A2BF9">
        <w:rPr>
          <w:lang w:val="it-IT"/>
        </w:rPr>
        <w:t xml:space="preserve"> conseguenze</w:t>
      </w:r>
      <w:r w:rsidR="00B6544D" w:rsidRPr="006A2BF9">
        <w:rPr>
          <w:lang w:val="it-IT"/>
        </w:rPr>
        <w:t xml:space="preserve"> negative</w:t>
      </w:r>
      <w:r w:rsidRPr="006A2BF9">
        <w:rPr>
          <w:lang w:val="it-IT"/>
        </w:rPr>
        <w:t xml:space="preserve"> sulla </w:t>
      </w:r>
      <w:r w:rsidR="00A26CFB" w:rsidRPr="006A2BF9">
        <w:rPr>
          <w:lang w:val="it-IT"/>
        </w:rPr>
        <w:t xml:space="preserve">fertilità. Qualora stia considerando di avere </w:t>
      </w:r>
      <w:r w:rsidR="00E52C82" w:rsidRPr="006A2BF9">
        <w:rPr>
          <w:lang w:val="it-IT"/>
        </w:rPr>
        <w:t>figli</w:t>
      </w:r>
      <w:r w:rsidR="00A26CFB" w:rsidRPr="006A2BF9">
        <w:rPr>
          <w:lang w:val="it-IT"/>
        </w:rPr>
        <w:t xml:space="preserve">, </w:t>
      </w:r>
      <w:r w:rsidR="00F07D73" w:rsidRPr="006A2BF9">
        <w:rPr>
          <w:lang w:val="it-IT"/>
        </w:rPr>
        <w:t>consulti</w:t>
      </w:r>
      <w:r w:rsidR="00A26CFB" w:rsidRPr="006A2BF9">
        <w:rPr>
          <w:lang w:val="it-IT"/>
        </w:rPr>
        <w:t xml:space="preserve"> il</w:t>
      </w:r>
      <w:r w:rsidR="00B6544D" w:rsidRPr="006A2BF9">
        <w:rPr>
          <w:lang w:val="it-IT"/>
        </w:rPr>
        <w:t xml:space="preserve"> medico</w:t>
      </w:r>
      <w:r w:rsidRPr="006A2BF9">
        <w:rPr>
          <w:lang w:val="it-IT"/>
        </w:rPr>
        <w:t xml:space="preserve"> prima di </w:t>
      </w:r>
      <w:r w:rsidR="00A77829" w:rsidRPr="006A2BF9">
        <w:rPr>
          <w:lang w:val="it-IT"/>
        </w:rPr>
        <w:t xml:space="preserve">iniziare </w:t>
      </w:r>
      <w:r w:rsidRPr="006A2BF9">
        <w:rPr>
          <w:lang w:val="it-IT"/>
        </w:rPr>
        <w:t>il trattamento.</w:t>
      </w:r>
    </w:p>
    <w:p w14:paraId="32AC788A" w14:textId="77777777" w:rsidR="005E2B8E" w:rsidRPr="006A2BF9" w:rsidRDefault="005E2B8E" w:rsidP="009C0666">
      <w:pPr>
        <w:numPr>
          <w:ilvl w:val="12"/>
          <w:numId w:val="0"/>
        </w:numPr>
        <w:ind w:right="-29"/>
        <w:rPr>
          <w:lang w:val="it-IT"/>
        </w:rPr>
      </w:pPr>
    </w:p>
    <w:p w14:paraId="1D9923CC" w14:textId="77777777" w:rsidR="0057380E" w:rsidRPr="006A2BF9" w:rsidRDefault="0082705A" w:rsidP="0057380E">
      <w:pPr>
        <w:numPr>
          <w:ilvl w:val="12"/>
          <w:numId w:val="0"/>
        </w:numPr>
        <w:ind w:right="-29"/>
        <w:rPr>
          <w:lang w:val="it-IT"/>
        </w:rPr>
      </w:pPr>
      <w:r w:rsidRPr="006A2BF9">
        <w:rPr>
          <w:lang w:val="it-IT"/>
        </w:rPr>
        <w:t>Aybintio</w:t>
      </w:r>
      <w:r w:rsidRPr="006A2BF9">
        <w:rPr>
          <w:b/>
          <w:lang w:val="it-IT"/>
        </w:rPr>
        <w:t xml:space="preserve"> </w:t>
      </w:r>
      <w:r w:rsidR="0057380E" w:rsidRPr="006A2BF9">
        <w:rPr>
          <w:lang w:val="it-IT"/>
        </w:rPr>
        <w:t xml:space="preserve">è stato sviluppato e realizzato per il trattamento del tumore mediante iniezione endovenosa. Non è stato sviluppato o realizzato per la somministrazione mediante iniezione all’interno dell’occhio. Non è quindi autorizzato l’utilizzo di questa via di somministrazione. Quando </w:t>
      </w:r>
      <w:r w:rsidRPr="006A2BF9">
        <w:rPr>
          <w:lang w:val="it-IT"/>
        </w:rPr>
        <w:t>Aybintio</w:t>
      </w:r>
      <w:r w:rsidRPr="006A2BF9">
        <w:rPr>
          <w:b/>
          <w:lang w:val="it-IT"/>
        </w:rPr>
        <w:t xml:space="preserve"> </w:t>
      </w:r>
      <w:r w:rsidR="0057380E" w:rsidRPr="006A2BF9">
        <w:rPr>
          <w:lang w:val="it-IT"/>
        </w:rPr>
        <w:t>è iniettato direttamente all’interno dell’occhio (uso non approvato), si possono manifestare i seguenti effetti indesiderati:</w:t>
      </w:r>
    </w:p>
    <w:p w14:paraId="16FEFE89" w14:textId="77777777" w:rsidR="005E2B8E" w:rsidRPr="006A2BF9" w:rsidRDefault="005E2B8E" w:rsidP="005E2B8E">
      <w:pPr>
        <w:numPr>
          <w:ilvl w:val="12"/>
          <w:numId w:val="0"/>
        </w:numPr>
        <w:ind w:right="-2"/>
        <w:rPr>
          <w:lang w:val="it-IT"/>
        </w:rPr>
      </w:pPr>
    </w:p>
    <w:p w14:paraId="4F7794CD" w14:textId="77777777" w:rsidR="005E2B8E" w:rsidRPr="00330A40" w:rsidRDefault="00C91E39" w:rsidP="00C65E97">
      <w:pPr>
        <w:numPr>
          <w:ilvl w:val="12"/>
          <w:numId w:val="0"/>
        </w:numPr>
        <w:ind w:left="567" w:hanging="567"/>
        <w:rPr>
          <w:lang w:val="it-IT"/>
        </w:rPr>
      </w:pPr>
      <w:r w:rsidRPr="00330A40">
        <w:rPr>
          <w:lang w:val="it-IT"/>
        </w:rPr>
        <w:sym w:font="Symbol" w:char="F0B7"/>
      </w:r>
      <w:r w:rsidRPr="00330A40">
        <w:rPr>
          <w:lang w:val="it-IT"/>
        </w:rPr>
        <w:tab/>
      </w:r>
      <w:r w:rsidR="005E2B8E" w:rsidRPr="00330A40">
        <w:rPr>
          <w:lang w:val="it-IT"/>
        </w:rPr>
        <w:t xml:space="preserve">infezione o infiammazione del </w:t>
      </w:r>
      <w:r w:rsidR="00611084" w:rsidRPr="00330A40">
        <w:rPr>
          <w:lang w:val="it-IT"/>
        </w:rPr>
        <w:t xml:space="preserve">bulbo </w:t>
      </w:r>
      <w:r w:rsidR="005E2B8E" w:rsidRPr="00330A40">
        <w:rPr>
          <w:lang w:val="it-IT"/>
        </w:rPr>
        <w:t>oculare,</w:t>
      </w:r>
    </w:p>
    <w:p w14:paraId="39945DCE" w14:textId="77777777" w:rsidR="005E2B8E" w:rsidRPr="00330A40" w:rsidRDefault="00C91E39" w:rsidP="00316B25">
      <w:pPr>
        <w:numPr>
          <w:ilvl w:val="12"/>
          <w:numId w:val="0"/>
        </w:numPr>
        <w:tabs>
          <w:tab w:val="num" w:pos="567"/>
        </w:tabs>
        <w:ind w:left="567" w:hanging="567"/>
        <w:rPr>
          <w:lang w:val="it-IT"/>
        </w:rPr>
      </w:pPr>
      <w:r w:rsidRPr="00330A40">
        <w:rPr>
          <w:lang w:val="it-IT"/>
        </w:rPr>
        <w:sym w:font="Symbol" w:char="F0B7"/>
      </w:r>
      <w:r w:rsidRPr="00330A40">
        <w:rPr>
          <w:lang w:val="it-IT"/>
        </w:rPr>
        <w:tab/>
      </w:r>
      <w:r w:rsidR="005E2B8E" w:rsidRPr="00330A40">
        <w:rPr>
          <w:lang w:val="it-IT"/>
        </w:rPr>
        <w:t>arrossamento dell'occhio, comparsa di particelle o punti fluttuanti nel campo visivo ("mosche volanti"), dolore all’occhio,</w:t>
      </w:r>
    </w:p>
    <w:p w14:paraId="0BDF7FCE" w14:textId="77777777" w:rsidR="005E2B8E" w:rsidRPr="00330A40" w:rsidRDefault="00C91E39" w:rsidP="00C65E97">
      <w:pPr>
        <w:numPr>
          <w:ilvl w:val="12"/>
          <w:numId w:val="0"/>
        </w:numPr>
        <w:tabs>
          <w:tab w:val="num" w:pos="567"/>
        </w:tabs>
        <w:ind w:left="567" w:hanging="567"/>
        <w:rPr>
          <w:lang w:val="it-IT"/>
        </w:rPr>
      </w:pPr>
      <w:r w:rsidRPr="00330A40">
        <w:rPr>
          <w:lang w:val="it-IT"/>
        </w:rPr>
        <w:sym w:font="Symbol" w:char="F0B7"/>
      </w:r>
      <w:r w:rsidRPr="00330A40">
        <w:rPr>
          <w:lang w:val="it-IT"/>
        </w:rPr>
        <w:tab/>
      </w:r>
      <w:r w:rsidR="005E2B8E" w:rsidRPr="00330A40">
        <w:rPr>
          <w:lang w:val="it-IT"/>
        </w:rPr>
        <w:t>lampi di luce e "mosche volanti" che progrediscono fino alla perdita di parte del campo visivo,</w:t>
      </w:r>
    </w:p>
    <w:p w14:paraId="1836BEC1" w14:textId="77777777" w:rsidR="005E2B8E" w:rsidRPr="00330A40" w:rsidRDefault="00C91E39" w:rsidP="00C65E97">
      <w:pPr>
        <w:numPr>
          <w:ilvl w:val="12"/>
          <w:numId w:val="0"/>
        </w:numPr>
        <w:tabs>
          <w:tab w:val="num" w:pos="567"/>
        </w:tabs>
        <w:ind w:left="567" w:hanging="567"/>
        <w:rPr>
          <w:lang w:val="it-IT"/>
        </w:rPr>
      </w:pPr>
      <w:r w:rsidRPr="00330A40">
        <w:rPr>
          <w:lang w:val="it-IT"/>
        </w:rPr>
        <w:sym w:font="Symbol" w:char="F0B7"/>
      </w:r>
      <w:r w:rsidRPr="00330A40">
        <w:rPr>
          <w:lang w:val="it-IT"/>
        </w:rPr>
        <w:tab/>
      </w:r>
      <w:r w:rsidR="005E2B8E" w:rsidRPr="00330A40">
        <w:rPr>
          <w:lang w:val="it-IT"/>
        </w:rPr>
        <w:t>aumento della pressione dell’occhio</w:t>
      </w:r>
      <w:r w:rsidR="00611084" w:rsidRPr="00330A40">
        <w:rPr>
          <w:lang w:val="it-IT"/>
        </w:rPr>
        <w:t>,</w:t>
      </w:r>
    </w:p>
    <w:p w14:paraId="0740BF71" w14:textId="77777777" w:rsidR="005E2B8E" w:rsidRPr="00330A40" w:rsidRDefault="00C91E39" w:rsidP="00C65E97">
      <w:pPr>
        <w:numPr>
          <w:ilvl w:val="12"/>
          <w:numId w:val="0"/>
        </w:numPr>
        <w:tabs>
          <w:tab w:val="num" w:pos="567"/>
        </w:tabs>
        <w:ind w:left="567" w:hanging="567"/>
        <w:rPr>
          <w:lang w:val="it-IT"/>
        </w:rPr>
      </w:pPr>
      <w:r w:rsidRPr="00330A40">
        <w:rPr>
          <w:lang w:val="it-IT"/>
        </w:rPr>
        <w:sym w:font="Symbol" w:char="F0B7"/>
      </w:r>
      <w:r w:rsidRPr="00330A40">
        <w:rPr>
          <w:lang w:val="it-IT"/>
        </w:rPr>
        <w:tab/>
      </w:r>
      <w:r w:rsidR="005E2B8E" w:rsidRPr="00330A40">
        <w:rPr>
          <w:lang w:val="it-IT"/>
        </w:rPr>
        <w:t>emorragie dell’occhio.</w:t>
      </w:r>
    </w:p>
    <w:p w14:paraId="59FD16E9" w14:textId="77777777" w:rsidR="009C0666" w:rsidRPr="00330A40" w:rsidRDefault="009C0666" w:rsidP="009C0666">
      <w:pPr>
        <w:numPr>
          <w:ilvl w:val="12"/>
          <w:numId w:val="0"/>
        </w:numPr>
        <w:ind w:right="-2"/>
        <w:rPr>
          <w:lang w:val="it-IT"/>
        </w:rPr>
      </w:pPr>
    </w:p>
    <w:p w14:paraId="5D64BFB6" w14:textId="77777777" w:rsidR="00646C3C" w:rsidRPr="00330A40" w:rsidRDefault="00646C3C" w:rsidP="00646C3C">
      <w:pPr>
        <w:tabs>
          <w:tab w:val="left" w:pos="6300"/>
        </w:tabs>
        <w:ind w:right="-2"/>
        <w:rPr>
          <w:b/>
          <w:szCs w:val="22"/>
          <w:lang w:val="it-IT"/>
        </w:rPr>
      </w:pPr>
      <w:r w:rsidRPr="00330A40">
        <w:rPr>
          <w:b/>
          <w:szCs w:val="22"/>
          <w:lang w:val="it-IT"/>
        </w:rPr>
        <w:t>Segnalazione degli effetti indesiderati</w:t>
      </w:r>
    </w:p>
    <w:p w14:paraId="7D1B8580" w14:textId="77777777" w:rsidR="00646C3C" w:rsidRPr="00330A40" w:rsidRDefault="00646C3C" w:rsidP="00646C3C">
      <w:pPr>
        <w:suppressAutoHyphens/>
        <w:rPr>
          <w:szCs w:val="22"/>
          <w:lang w:val="it-IT"/>
        </w:rPr>
      </w:pPr>
      <w:r w:rsidRPr="00330A40">
        <w:rPr>
          <w:szCs w:val="22"/>
          <w:lang w:val="it-IT"/>
        </w:rPr>
        <w:t xml:space="preserve">Se manifesta un qualsiasi effetto indesiderato, compresi quelli non elencati in questo foglio, si rivolga al medico, al farmacista o all’infermiere. </w:t>
      </w:r>
      <w:r w:rsidR="00CE2E50" w:rsidRPr="00330A40">
        <w:rPr>
          <w:szCs w:val="22"/>
          <w:lang w:val="it-IT"/>
        </w:rPr>
        <w:t>P</w:t>
      </w:r>
      <w:r w:rsidR="006A5412" w:rsidRPr="00330A40">
        <w:rPr>
          <w:rFonts w:cs="Calibri"/>
          <w:lang w:val="it-IT"/>
        </w:rPr>
        <w:t xml:space="preserve">uò inoltre segnalare gli effetti indesiderati direttamente tramite </w:t>
      </w:r>
      <w:r w:rsidR="006A5412" w:rsidRPr="006A2BF9">
        <w:rPr>
          <w:highlight w:val="lightGray"/>
          <w:lang w:val="it-IT"/>
        </w:rPr>
        <w:t>il sistema nazionale di segnalazione riportato nell’</w:t>
      </w:r>
      <w:hyperlink r:id="rId15" w:history="1">
        <w:r w:rsidR="00CE2E50" w:rsidRPr="00330A40">
          <w:rPr>
            <w:rStyle w:val="Hyperlink"/>
            <w:highlight w:val="lightGray"/>
            <w:lang w:val="it-IT"/>
          </w:rPr>
          <w:t>a</w:t>
        </w:r>
        <w:r w:rsidR="006A5412" w:rsidRPr="00330A40">
          <w:rPr>
            <w:rStyle w:val="Hyperlink"/>
            <w:highlight w:val="lightGray"/>
            <w:lang w:val="it-IT"/>
          </w:rPr>
          <w:t>llegato V</w:t>
        </w:r>
        <w:r w:rsidR="006A5412" w:rsidRPr="00330A40">
          <w:rPr>
            <w:rStyle w:val="Hyperlink"/>
            <w:lang w:val="it-IT"/>
          </w:rPr>
          <w:t>.</w:t>
        </w:r>
      </w:hyperlink>
      <w:r w:rsidR="0017023E" w:rsidRPr="00330A40">
        <w:rPr>
          <w:szCs w:val="22"/>
          <w:lang w:val="it-IT"/>
        </w:rPr>
        <w:t xml:space="preserve"> </w:t>
      </w:r>
      <w:r w:rsidRPr="00330A40">
        <w:rPr>
          <w:szCs w:val="22"/>
          <w:lang w:val="it-IT"/>
        </w:rPr>
        <w:t>Segnalando gli effetti indesiderati può contribuire a fornire maggiori informazioni sulla sicurezza di questo medicinale.</w:t>
      </w:r>
    </w:p>
    <w:p w14:paraId="23DD7E48" w14:textId="77777777" w:rsidR="00646C3C" w:rsidRPr="00330A40" w:rsidRDefault="00646C3C" w:rsidP="009C0666">
      <w:pPr>
        <w:numPr>
          <w:ilvl w:val="12"/>
          <w:numId w:val="0"/>
        </w:numPr>
        <w:ind w:right="-2"/>
        <w:rPr>
          <w:lang w:val="it-IT"/>
        </w:rPr>
      </w:pPr>
    </w:p>
    <w:p w14:paraId="03425086" w14:textId="77777777" w:rsidR="00646C3C" w:rsidRPr="00330A40" w:rsidRDefault="00646C3C" w:rsidP="009C0666">
      <w:pPr>
        <w:numPr>
          <w:ilvl w:val="12"/>
          <w:numId w:val="0"/>
        </w:numPr>
        <w:ind w:right="-2"/>
        <w:rPr>
          <w:lang w:val="it-IT"/>
        </w:rPr>
      </w:pPr>
    </w:p>
    <w:p w14:paraId="2217D948" w14:textId="77777777" w:rsidR="009C0666" w:rsidRPr="00330A40" w:rsidRDefault="009C0666" w:rsidP="007F0A09">
      <w:pPr>
        <w:keepNext/>
        <w:keepLines/>
        <w:numPr>
          <w:ilvl w:val="12"/>
          <w:numId w:val="0"/>
        </w:numPr>
        <w:ind w:left="562" w:hanging="562"/>
        <w:rPr>
          <w:lang w:val="it-IT"/>
        </w:rPr>
      </w:pPr>
      <w:r w:rsidRPr="00330A40">
        <w:rPr>
          <w:b/>
          <w:bCs/>
          <w:lang w:val="it-IT"/>
        </w:rPr>
        <w:lastRenderedPageBreak/>
        <w:t>5.</w:t>
      </w:r>
      <w:r w:rsidRPr="00330A40">
        <w:rPr>
          <w:b/>
          <w:bCs/>
          <w:lang w:val="it-IT"/>
        </w:rPr>
        <w:tab/>
      </w:r>
      <w:r w:rsidR="00CB4D64" w:rsidRPr="00330A40">
        <w:rPr>
          <w:b/>
          <w:bCs/>
          <w:lang w:val="it-IT"/>
        </w:rPr>
        <w:t>Come conservare</w:t>
      </w:r>
      <w:r w:rsidRPr="00330A40">
        <w:rPr>
          <w:b/>
          <w:bCs/>
          <w:lang w:val="it-IT"/>
        </w:rPr>
        <w:t xml:space="preserve"> </w:t>
      </w:r>
      <w:r w:rsidR="0082705A" w:rsidRPr="00330A40">
        <w:rPr>
          <w:b/>
          <w:lang w:val="it-IT"/>
        </w:rPr>
        <w:t>Aybintio</w:t>
      </w:r>
    </w:p>
    <w:p w14:paraId="07F76645" w14:textId="77777777" w:rsidR="009C0666" w:rsidRPr="00330A40" w:rsidRDefault="009C0666" w:rsidP="007F0A09">
      <w:pPr>
        <w:keepNext/>
        <w:keepLines/>
        <w:numPr>
          <w:ilvl w:val="12"/>
          <w:numId w:val="0"/>
        </w:numPr>
        <w:rPr>
          <w:lang w:val="it-IT"/>
        </w:rPr>
      </w:pPr>
    </w:p>
    <w:p w14:paraId="391B17A5" w14:textId="77777777" w:rsidR="009C0666" w:rsidRPr="006A2BF9" w:rsidRDefault="00CE2E50" w:rsidP="007F0A09">
      <w:pPr>
        <w:keepNext/>
        <w:keepLines/>
        <w:numPr>
          <w:ilvl w:val="12"/>
          <w:numId w:val="0"/>
        </w:numPr>
        <w:outlineLvl w:val="0"/>
        <w:rPr>
          <w:lang w:val="it-IT"/>
        </w:rPr>
      </w:pPr>
      <w:r w:rsidRPr="006A2BF9">
        <w:rPr>
          <w:lang w:val="it-IT"/>
        </w:rPr>
        <w:t xml:space="preserve">Conservi </w:t>
      </w:r>
      <w:r w:rsidR="00CB4D64" w:rsidRPr="006A2BF9">
        <w:rPr>
          <w:lang w:val="it-IT"/>
        </w:rPr>
        <w:t xml:space="preserve">questo medicinale </w:t>
      </w:r>
      <w:r w:rsidR="009C0666" w:rsidRPr="006A2BF9">
        <w:rPr>
          <w:lang w:val="it-IT"/>
        </w:rPr>
        <w:t>fuori dalla</w:t>
      </w:r>
      <w:r w:rsidR="00CB4D64" w:rsidRPr="006A2BF9">
        <w:rPr>
          <w:lang w:val="it-IT"/>
        </w:rPr>
        <w:t xml:space="preserve"> vista e dalla</w:t>
      </w:r>
      <w:r w:rsidR="009C0666" w:rsidRPr="006A2BF9">
        <w:rPr>
          <w:lang w:val="it-IT"/>
        </w:rPr>
        <w:t xml:space="preserve"> portata dei bambini.</w:t>
      </w:r>
    </w:p>
    <w:p w14:paraId="5F66DFB8" w14:textId="77777777" w:rsidR="009C0666" w:rsidRPr="006A2BF9" w:rsidRDefault="009C0666" w:rsidP="00F44CF1">
      <w:pPr>
        <w:numPr>
          <w:ilvl w:val="12"/>
          <w:numId w:val="0"/>
        </w:numPr>
        <w:ind w:right="-2"/>
        <w:rPr>
          <w:lang w:val="it-IT"/>
        </w:rPr>
      </w:pPr>
    </w:p>
    <w:p w14:paraId="08A17A54" w14:textId="77777777" w:rsidR="00EB4AE3" w:rsidRPr="00330A40" w:rsidRDefault="00EB4AE3" w:rsidP="00F44CF1">
      <w:pPr>
        <w:numPr>
          <w:ilvl w:val="12"/>
          <w:numId w:val="0"/>
        </w:numPr>
        <w:ind w:right="-2"/>
        <w:outlineLvl w:val="0"/>
        <w:rPr>
          <w:lang w:val="it-IT"/>
        </w:rPr>
      </w:pPr>
      <w:r w:rsidRPr="006A2BF9">
        <w:rPr>
          <w:lang w:val="it-IT"/>
        </w:rPr>
        <w:t xml:space="preserve">Non usi </w:t>
      </w:r>
      <w:r w:rsidR="00CB4D64" w:rsidRPr="006A2BF9">
        <w:rPr>
          <w:lang w:val="it-IT"/>
        </w:rPr>
        <w:t xml:space="preserve">questo medicinale </w:t>
      </w:r>
      <w:r w:rsidRPr="006A2BF9">
        <w:rPr>
          <w:lang w:val="it-IT"/>
        </w:rPr>
        <w:t xml:space="preserve">dopo la data di scadenza che è riportata sull’imballaggio esterno e sull'etichetta del flaconcino dopo </w:t>
      </w:r>
      <w:r w:rsidR="004D12E0" w:rsidRPr="006A2BF9">
        <w:rPr>
          <w:lang w:val="it-IT"/>
        </w:rPr>
        <w:t>“</w:t>
      </w:r>
      <w:r w:rsidR="005849C3" w:rsidRPr="006A2BF9">
        <w:rPr>
          <w:lang w:val="it-IT"/>
        </w:rPr>
        <w:t>Scad.</w:t>
      </w:r>
      <w:r w:rsidR="00D24B6D">
        <w:rPr>
          <w:lang w:val="it-IT"/>
        </w:rPr>
        <w:t>/EXP</w:t>
      </w:r>
      <w:r w:rsidR="005849C3" w:rsidRPr="00330A40">
        <w:rPr>
          <w:lang w:val="it-IT"/>
        </w:rPr>
        <w:t>”.</w:t>
      </w:r>
      <w:r w:rsidR="00CE2E50" w:rsidRPr="00330A40">
        <w:rPr>
          <w:lang w:val="it-IT"/>
        </w:rPr>
        <w:t xml:space="preserve"> </w:t>
      </w:r>
      <w:r w:rsidRPr="00330A40">
        <w:rPr>
          <w:lang w:val="it-IT"/>
        </w:rPr>
        <w:t>La data di scadenza si riferisce all’ultimo giorno d</w:t>
      </w:r>
      <w:r w:rsidR="00CE2E50" w:rsidRPr="00330A40">
        <w:rPr>
          <w:lang w:val="it-IT"/>
        </w:rPr>
        <w:t>i qu</w:t>
      </w:r>
      <w:r w:rsidRPr="00330A40">
        <w:rPr>
          <w:lang w:val="it-IT"/>
        </w:rPr>
        <w:t>el mese.</w:t>
      </w:r>
    </w:p>
    <w:p w14:paraId="35DE8BE2" w14:textId="77777777" w:rsidR="001F597E" w:rsidRPr="00330A40" w:rsidRDefault="001F597E" w:rsidP="009C0666">
      <w:pPr>
        <w:numPr>
          <w:ilvl w:val="12"/>
          <w:numId w:val="0"/>
        </w:numPr>
        <w:ind w:right="-2"/>
        <w:outlineLvl w:val="0"/>
        <w:rPr>
          <w:lang w:val="it-IT"/>
        </w:rPr>
      </w:pPr>
    </w:p>
    <w:p w14:paraId="35A92CC0" w14:textId="77777777" w:rsidR="001F597E" w:rsidRPr="00330A40" w:rsidRDefault="001F597E" w:rsidP="001F597E">
      <w:pPr>
        <w:numPr>
          <w:ilvl w:val="12"/>
          <w:numId w:val="0"/>
        </w:numPr>
        <w:ind w:right="-2"/>
        <w:outlineLvl w:val="0"/>
        <w:rPr>
          <w:lang w:val="it-IT"/>
        </w:rPr>
      </w:pPr>
      <w:r w:rsidRPr="00330A40">
        <w:rPr>
          <w:lang w:val="it-IT"/>
        </w:rPr>
        <w:t>Conservare in frigorifero (</w:t>
      </w:r>
      <w:r w:rsidR="009002E5">
        <w:rPr>
          <w:noProof/>
          <w:lang w:val="it-IT"/>
        </w:rPr>
        <w:t>2</w:t>
      </w:r>
      <w:r w:rsidR="009002E5">
        <w:rPr>
          <w:noProof/>
          <w:lang w:val="it-IT"/>
        </w:rPr>
        <w:sym w:font="Symbol" w:char="F0B0"/>
      </w:r>
      <w:r w:rsidR="009002E5">
        <w:rPr>
          <w:noProof/>
          <w:lang w:val="it-IT"/>
        </w:rPr>
        <w:t>C – 8</w:t>
      </w:r>
      <w:r w:rsidR="009002E5">
        <w:rPr>
          <w:noProof/>
          <w:lang w:val="it-IT"/>
        </w:rPr>
        <w:sym w:font="Symbol" w:char="F0B0"/>
      </w:r>
      <w:r w:rsidR="009002E5">
        <w:rPr>
          <w:noProof/>
          <w:lang w:val="it-IT"/>
        </w:rPr>
        <w:t>C</w:t>
      </w:r>
      <w:r w:rsidR="009516D9">
        <w:rPr>
          <w:noProof/>
          <w:lang w:val="it-IT"/>
        </w:rPr>
        <w:t>)</w:t>
      </w:r>
      <w:r w:rsidRPr="00330A40">
        <w:rPr>
          <w:lang w:val="it-IT"/>
        </w:rPr>
        <w:t>.</w:t>
      </w:r>
      <w:r w:rsidR="00365467">
        <w:rPr>
          <w:lang w:val="it-IT"/>
        </w:rPr>
        <w:t xml:space="preserve"> </w:t>
      </w:r>
      <w:r w:rsidRPr="00330A40">
        <w:rPr>
          <w:lang w:val="it-IT"/>
        </w:rPr>
        <w:t>Non congelare.</w:t>
      </w:r>
    </w:p>
    <w:p w14:paraId="36269ED0" w14:textId="77777777" w:rsidR="001F597E" w:rsidRDefault="001F597E" w:rsidP="001F597E">
      <w:pPr>
        <w:numPr>
          <w:ilvl w:val="12"/>
          <w:numId w:val="0"/>
        </w:numPr>
        <w:ind w:right="-2"/>
        <w:rPr>
          <w:lang w:val="it-IT"/>
        </w:rPr>
      </w:pPr>
      <w:r w:rsidRPr="00330A40">
        <w:rPr>
          <w:lang w:val="it-IT"/>
        </w:rPr>
        <w:t>Tenere il flaconcino nell’imballaggio esterno</w:t>
      </w:r>
      <w:r w:rsidR="00131C19" w:rsidRPr="00330A40">
        <w:rPr>
          <w:lang w:val="it-IT"/>
        </w:rPr>
        <w:t xml:space="preserve"> per proteggere il medicinale da</w:t>
      </w:r>
      <w:r w:rsidR="00131C19" w:rsidRPr="006A2BF9">
        <w:rPr>
          <w:lang w:val="it-IT"/>
        </w:rPr>
        <w:t>lla luce</w:t>
      </w:r>
      <w:r w:rsidRPr="006A2BF9">
        <w:rPr>
          <w:lang w:val="it-IT"/>
        </w:rPr>
        <w:t>.</w:t>
      </w:r>
    </w:p>
    <w:p w14:paraId="02A75BF8" w14:textId="77777777" w:rsidR="00365467" w:rsidRPr="006A2BF9" w:rsidRDefault="00365467" w:rsidP="001F597E">
      <w:pPr>
        <w:numPr>
          <w:ilvl w:val="12"/>
          <w:numId w:val="0"/>
        </w:numPr>
        <w:ind w:right="-2"/>
        <w:rPr>
          <w:lang w:val="it-IT"/>
        </w:rPr>
      </w:pPr>
    </w:p>
    <w:p w14:paraId="697FFABB" w14:textId="77777777" w:rsidR="001F597E" w:rsidRDefault="00365467" w:rsidP="009C0666">
      <w:pPr>
        <w:numPr>
          <w:ilvl w:val="12"/>
          <w:numId w:val="0"/>
        </w:numPr>
        <w:ind w:right="-2"/>
        <w:outlineLvl w:val="0"/>
        <w:rPr>
          <w:lang w:val="it-IT"/>
        </w:rPr>
      </w:pPr>
      <w:r>
        <w:rPr>
          <w:lang w:val="it-IT"/>
        </w:rPr>
        <w:t xml:space="preserve">Il </w:t>
      </w:r>
      <w:r w:rsidRPr="00365467">
        <w:rPr>
          <w:lang w:val="it-IT"/>
        </w:rPr>
        <w:t>flaconcino chiuso può essere conservato a temperature non superiori a 30°C per un periodo massimo di 35 giorni.</w:t>
      </w:r>
      <w:r>
        <w:rPr>
          <w:lang w:val="it-IT"/>
        </w:rPr>
        <w:t xml:space="preserve"> </w:t>
      </w:r>
      <w:r w:rsidRPr="00365467">
        <w:rPr>
          <w:lang w:val="it-IT"/>
        </w:rPr>
        <w:t xml:space="preserve">Il flaconcino deve essere eliminato se non viene utilizzato entro 35 giorni dalla rimozione dal frigorifero, anche qualora </w:t>
      </w:r>
      <w:r w:rsidR="00CA348D">
        <w:rPr>
          <w:lang w:val="it-IT"/>
        </w:rPr>
        <w:t xml:space="preserve">sia stato </w:t>
      </w:r>
      <w:r w:rsidRPr="00365467">
        <w:rPr>
          <w:lang w:val="it-IT"/>
        </w:rPr>
        <w:t>rimesso in frigorifero</w:t>
      </w:r>
      <w:r w:rsidR="00CA348D">
        <w:rPr>
          <w:lang w:val="it-IT"/>
        </w:rPr>
        <w:t xml:space="preserve"> durante tale periodo</w:t>
      </w:r>
      <w:r w:rsidRPr="00365467">
        <w:rPr>
          <w:lang w:val="it-IT"/>
        </w:rPr>
        <w:t>.</w:t>
      </w:r>
    </w:p>
    <w:p w14:paraId="6DC2B645" w14:textId="77777777" w:rsidR="00365467" w:rsidRPr="006A2BF9" w:rsidRDefault="00365467" w:rsidP="009C0666">
      <w:pPr>
        <w:numPr>
          <w:ilvl w:val="12"/>
          <w:numId w:val="0"/>
        </w:numPr>
        <w:ind w:right="-2"/>
        <w:outlineLvl w:val="0"/>
        <w:rPr>
          <w:lang w:val="it-IT"/>
        </w:rPr>
      </w:pPr>
    </w:p>
    <w:p w14:paraId="61D759D8" w14:textId="77777777" w:rsidR="00097192" w:rsidRDefault="009C0666" w:rsidP="009C0666">
      <w:pPr>
        <w:numPr>
          <w:ilvl w:val="12"/>
          <w:numId w:val="0"/>
        </w:numPr>
        <w:ind w:right="-2"/>
        <w:outlineLvl w:val="0"/>
        <w:rPr>
          <w:lang w:val="it-IT"/>
        </w:rPr>
      </w:pPr>
      <w:r w:rsidRPr="006A2BF9">
        <w:rPr>
          <w:lang w:val="it-IT"/>
        </w:rPr>
        <w:t>Le soluzioni per infusione devono essere utilizzate immediatamente dopo essere state diluite.</w:t>
      </w:r>
      <w:r w:rsidR="00AC3D88" w:rsidRPr="006A2BF9">
        <w:rPr>
          <w:lang w:val="it-IT"/>
        </w:rPr>
        <w:t xml:space="preserve"> </w:t>
      </w:r>
      <w:r w:rsidR="00097192" w:rsidRPr="006A2BF9">
        <w:rPr>
          <w:lang w:val="it-IT"/>
        </w:rPr>
        <w:t>Nel caso in cui l’utilizzo non fosse immediato, l’utilizzatore è da ritenersi responsabile dei tempi e delle condizioni di conservazione, che normalmente non dovrebbero superare le 24</w:t>
      </w:r>
      <w:r w:rsidR="00316B25" w:rsidRPr="006A2BF9">
        <w:rPr>
          <w:lang w:val="it-IT"/>
        </w:rPr>
        <w:t> </w:t>
      </w:r>
      <w:r w:rsidR="00097192" w:rsidRPr="006A2BF9">
        <w:rPr>
          <w:lang w:val="it-IT"/>
        </w:rPr>
        <w:t>ore a temperatura compresa tra 2°C e 8°C, a meno che le soluzioni per infusione non siano state preparate in un ambiente sterile.</w:t>
      </w:r>
      <w:r w:rsidR="00365467">
        <w:rPr>
          <w:lang w:val="it-IT"/>
        </w:rPr>
        <w:t xml:space="preserve"> </w:t>
      </w:r>
      <w:r w:rsidR="00365467" w:rsidRPr="00365467">
        <w:rPr>
          <w:lang w:val="it-IT"/>
        </w:rPr>
        <w:t xml:space="preserve">Se la diluizione è avvenuta in un ambiente sterile, Aybintio è stabile per 45 giorni a temperatura compresa tra </w:t>
      </w:r>
      <w:r w:rsidR="00365467">
        <w:rPr>
          <w:lang w:val="it-IT"/>
        </w:rPr>
        <w:t>2</w:t>
      </w:r>
      <w:r w:rsidR="002F3EFD">
        <w:rPr>
          <w:lang w:val="it-IT"/>
        </w:rPr>
        <w:t>°</w:t>
      </w:r>
      <w:r w:rsidR="00365467">
        <w:rPr>
          <w:lang w:val="it-IT"/>
        </w:rPr>
        <w:t>C</w:t>
      </w:r>
      <w:r w:rsidR="00365467" w:rsidRPr="00365467">
        <w:rPr>
          <w:lang w:val="it-IT"/>
        </w:rPr>
        <w:t xml:space="preserve"> e 8</w:t>
      </w:r>
      <w:r w:rsidR="00365467">
        <w:rPr>
          <w:lang w:val="it-IT"/>
        </w:rPr>
        <w:t>°</w:t>
      </w:r>
      <w:r w:rsidR="00365467" w:rsidRPr="00365467">
        <w:rPr>
          <w:lang w:val="it-IT"/>
        </w:rPr>
        <w:t xml:space="preserve">C più </w:t>
      </w:r>
      <w:r w:rsidR="00365467">
        <w:rPr>
          <w:lang w:val="it-IT"/>
        </w:rPr>
        <w:t xml:space="preserve">ulteriori </w:t>
      </w:r>
      <w:r w:rsidR="00365467" w:rsidRPr="00365467">
        <w:rPr>
          <w:lang w:val="it-IT"/>
        </w:rPr>
        <w:t>72 ore a temperature non superiori a 30</w:t>
      </w:r>
      <w:r w:rsidR="00365467">
        <w:rPr>
          <w:lang w:val="it-IT"/>
        </w:rPr>
        <w:t>°</w:t>
      </w:r>
      <w:r w:rsidR="00365467" w:rsidRPr="00365467">
        <w:rPr>
          <w:lang w:val="it-IT"/>
        </w:rPr>
        <w:t>C.</w:t>
      </w:r>
    </w:p>
    <w:p w14:paraId="1D9E9926" w14:textId="77777777" w:rsidR="00365467" w:rsidRPr="006A2BF9" w:rsidRDefault="00365467" w:rsidP="009C0666">
      <w:pPr>
        <w:numPr>
          <w:ilvl w:val="12"/>
          <w:numId w:val="0"/>
        </w:numPr>
        <w:ind w:right="-2"/>
        <w:outlineLvl w:val="0"/>
        <w:rPr>
          <w:lang w:val="it-IT"/>
        </w:rPr>
      </w:pPr>
    </w:p>
    <w:p w14:paraId="68660CEF" w14:textId="77777777" w:rsidR="00097192" w:rsidRPr="006A2BF9" w:rsidRDefault="00365467" w:rsidP="009C0666">
      <w:pPr>
        <w:numPr>
          <w:ilvl w:val="12"/>
          <w:numId w:val="0"/>
        </w:numPr>
        <w:ind w:right="-2"/>
        <w:outlineLvl w:val="0"/>
        <w:rPr>
          <w:lang w:val="it-IT"/>
        </w:rPr>
      </w:pPr>
      <w:r w:rsidRPr="006A2BF9">
        <w:rPr>
          <w:lang w:val="it-IT"/>
        </w:rPr>
        <w:t>Non usi Aybintio</w:t>
      </w:r>
      <w:r w:rsidRPr="006A2BF9">
        <w:rPr>
          <w:b/>
          <w:lang w:val="it-IT"/>
        </w:rPr>
        <w:t xml:space="preserve"> </w:t>
      </w:r>
      <w:r w:rsidRPr="006A2BF9">
        <w:rPr>
          <w:lang w:val="it-IT"/>
        </w:rPr>
        <w:t>se nota materiale particellare o variazioni di colore prima della somministrazione.</w:t>
      </w:r>
    </w:p>
    <w:p w14:paraId="2E0B2DA1" w14:textId="77777777" w:rsidR="00AC3D88" w:rsidRPr="006A2BF9" w:rsidRDefault="00AC3D88" w:rsidP="009C0666">
      <w:pPr>
        <w:numPr>
          <w:ilvl w:val="12"/>
          <w:numId w:val="0"/>
        </w:numPr>
        <w:ind w:right="-2"/>
        <w:outlineLvl w:val="0"/>
        <w:rPr>
          <w:lang w:val="it-IT"/>
        </w:rPr>
      </w:pPr>
    </w:p>
    <w:p w14:paraId="7DE2362D" w14:textId="77777777" w:rsidR="00AC3D88" w:rsidRPr="006A2BF9" w:rsidRDefault="00CB4D64" w:rsidP="009C0666">
      <w:pPr>
        <w:numPr>
          <w:ilvl w:val="12"/>
          <w:numId w:val="0"/>
        </w:numPr>
        <w:ind w:right="-2"/>
        <w:outlineLvl w:val="0"/>
        <w:rPr>
          <w:lang w:val="it-IT"/>
        </w:rPr>
      </w:pPr>
      <w:r w:rsidRPr="006A2BF9">
        <w:rPr>
          <w:lang w:val="it-IT"/>
        </w:rPr>
        <w:t>Non getti alcun medicinale</w:t>
      </w:r>
      <w:r w:rsidR="00AC3D88" w:rsidRPr="006A2BF9">
        <w:rPr>
          <w:lang w:val="it-IT"/>
        </w:rPr>
        <w:t xml:space="preserve"> nell’acqua di scarico e nei rifiuti domestici. Chieda al farmacista come eliminare i medicinali che non utilizza più. Questo aiuterà a proteggere l’ambiente.</w:t>
      </w:r>
    </w:p>
    <w:p w14:paraId="6A45617E" w14:textId="77777777" w:rsidR="009C0666" w:rsidRPr="006A2BF9" w:rsidRDefault="009C0666" w:rsidP="009C0666">
      <w:pPr>
        <w:numPr>
          <w:ilvl w:val="12"/>
          <w:numId w:val="0"/>
        </w:numPr>
        <w:ind w:right="-2"/>
        <w:rPr>
          <w:lang w:val="it-IT"/>
        </w:rPr>
      </w:pPr>
    </w:p>
    <w:p w14:paraId="02BA1670" w14:textId="77777777" w:rsidR="009C0666" w:rsidRPr="006A2BF9" w:rsidRDefault="009C0666" w:rsidP="009C0666">
      <w:pPr>
        <w:numPr>
          <w:ilvl w:val="12"/>
          <w:numId w:val="0"/>
        </w:numPr>
        <w:ind w:left="567" w:right="-2" w:hanging="567"/>
        <w:rPr>
          <w:b/>
          <w:bCs/>
          <w:lang w:val="it-IT"/>
        </w:rPr>
      </w:pPr>
    </w:p>
    <w:p w14:paraId="37FB7D3C" w14:textId="77777777" w:rsidR="009C0666" w:rsidRPr="006A2BF9" w:rsidRDefault="009C0666" w:rsidP="00C1500B">
      <w:pPr>
        <w:keepNext/>
        <w:keepLines/>
        <w:numPr>
          <w:ilvl w:val="12"/>
          <w:numId w:val="0"/>
        </w:numPr>
        <w:ind w:left="567" w:hanging="567"/>
        <w:rPr>
          <w:b/>
          <w:bCs/>
          <w:lang w:val="it-IT"/>
        </w:rPr>
      </w:pPr>
      <w:r w:rsidRPr="006A2BF9">
        <w:rPr>
          <w:b/>
          <w:bCs/>
          <w:lang w:val="it-IT"/>
        </w:rPr>
        <w:t>6.</w:t>
      </w:r>
      <w:r w:rsidRPr="006A2BF9">
        <w:rPr>
          <w:b/>
          <w:bCs/>
          <w:lang w:val="it-IT"/>
        </w:rPr>
        <w:tab/>
      </w:r>
      <w:r w:rsidR="00CB4D64" w:rsidRPr="006A2BF9">
        <w:rPr>
          <w:b/>
          <w:bCs/>
          <w:lang w:val="it-IT"/>
        </w:rPr>
        <w:t>Contenuto della confezione e altre informazioni</w:t>
      </w:r>
    </w:p>
    <w:p w14:paraId="460049A1" w14:textId="77777777" w:rsidR="009C0666" w:rsidRPr="006A2BF9" w:rsidRDefault="009C0666" w:rsidP="00C1500B">
      <w:pPr>
        <w:keepNext/>
        <w:keepLines/>
        <w:numPr>
          <w:ilvl w:val="12"/>
          <w:numId w:val="0"/>
        </w:numPr>
        <w:rPr>
          <w:lang w:val="it-IT"/>
        </w:rPr>
      </w:pPr>
    </w:p>
    <w:p w14:paraId="14158660" w14:textId="77777777" w:rsidR="009C0666" w:rsidRPr="006A2BF9" w:rsidRDefault="009C0666" w:rsidP="00C1500B">
      <w:pPr>
        <w:keepNext/>
        <w:keepLines/>
        <w:numPr>
          <w:ilvl w:val="12"/>
          <w:numId w:val="0"/>
        </w:numPr>
        <w:rPr>
          <w:b/>
          <w:lang w:val="it-IT"/>
        </w:rPr>
      </w:pPr>
      <w:r w:rsidRPr="006A2BF9">
        <w:rPr>
          <w:b/>
          <w:lang w:val="it-IT"/>
        </w:rPr>
        <w:t xml:space="preserve">Cosa contiene </w:t>
      </w:r>
      <w:r w:rsidR="003D07BE" w:rsidRPr="006A2BF9">
        <w:rPr>
          <w:b/>
          <w:lang w:val="it-IT"/>
        </w:rPr>
        <w:t>Aybintio</w:t>
      </w:r>
    </w:p>
    <w:p w14:paraId="18D0BF09" w14:textId="77777777" w:rsidR="009C0666" w:rsidRPr="006A2BF9" w:rsidRDefault="009C0666" w:rsidP="00C1500B">
      <w:pPr>
        <w:keepNext/>
        <w:keepLines/>
        <w:numPr>
          <w:ilvl w:val="12"/>
          <w:numId w:val="0"/>
        </w:numPr>
        <w:rPr>
          <w:b/>
          <w:lang w:val="it-IT"/>
        </w:rPr>
      </w:pPr>
    </w:p>
    <w:p w14:paraId="1B3D6B8D" w14:textId="77777777" w:rsidR="009C0666" w:rsidRPr="006A2BF9" w:rsidRDefault="009832F5" w:rsidP="00C65E97">
      <w:pPr>
        <w:numPr>
          <w:ilvl w:val="0"/>
          <w:numId w:val="78"/>
        </w:numPr>
        <w:ind w:left="357" w:hanging="357"/>
        <w:rPr>
          <w:lang w:val="it-IT"/>
        </w:rPr>
      </w:pPr>
      <w:r w:rsidRPr="006A2BF9">
        <w:rPr>
          <w:lang w:val="it-IT"/>
        </w:rPr>
        <w:t xml:space="preserve">Il principio attivo </w:t>
      </w:r>
      <w:r w:rsidR="00B56C13" w:rsidRPr="006A2BF9">
        <w:rPr>
          <w:lang w:val="it-IT"/>
        </w:rPr>
        <w:t>è</w:t>
      </w:r>
      <w:r w:rsidRPr="006A2BF9">
        <w:rPr>
          <w:lang w:val="it-IT"/>
        </w:rPr>
        <w:t xml:space="preserve"> bevacizumab.</w:t>
      </w:r>
      <w:r w:rsidR="003D07BE" w:rsidRPr="006A2BF9">
        <w:rPr>
          <w:lang w:val="it-IT"/>
        </w:rPr>
        <w:t xml:space="preserve"> </w:t>
      </w:r>
      <w:r w:rsidR="00192791" w:rsidRPr="006A2BF9">
        <w:rPr>
          <w:lang w:val="it-IT"/>
        </w:rPr>
        <w:t xml:space="preserve">Ogni </w:t>
      </w:r>
      <w:r w:rsidR="008572EE" w:rsidRPr="006A2BF9">
        <w:rPr>
          <w:lang w:val="it-IT"/>
        </w:rPr>
        <w:t>mL</w:t>
      </w:r>
      <w:r w:rsidR="00192791" w:rsidRPr="006A2BF9">
        <w:rPr>
          <w:lang w:val="it-IT"/>
        </w:rPr>
        <w:t xml:space="preserve"> </w:t>
      </w:r>
      <w:r w:rsidRPr="006A2BF9">
        <w:rPr>
          <w:lang w:val="it-IT"/>
        </w:rPr>
        <w:t xml:space="preserve">di concentrato </w:t>
      </w:r>
      <w:r w:rsidR="00192791" w:rsidRPr="006A2BF9">
        <w:rPr>
          <w:lang w:val="it-IT"/>
        </w:rPr>
        <w:t>contiene 25 mg di</w:t>
      </w:r>
      <w:r w:rsidR="009C0666" w:rsidRPr="006A2BF9">
        <w:rPr>
          <w:lang w:val="it-IT"/>
        </w:rPr>
        <w:t xml:space="preserve"> bevacizumab.</w:t>
      </w:r>
    </w:p>
    <w:p w14:paraId="1E53CB4E" w14:textId="77777777" w:rsidR="009832F5" w:rsidRPr="006A2BF9" w:rsidRDefault="009832F5" w:rsidP="00C65E97">
      <w:pPr>
        <w:ind w:left="357"/>
        <w:rPr>
          <w:lang w:val="it-IT"/>
        </w:rPr>
      </w:pPr>
      <w:r w:rsidRPr="006A2BF9">
        <w:rPr>
          <w:lang w:val="it-IT"/>
        </w:rPr>
        <w:t>Ogni flaconcino da 4</w:t>
      </w:r>
      <w:r w:rsidR="00316B25" w:rsidRPr="006A2BF9">
        <w:rPr>
          <w:lang w:val="it-IT"/>
        </w:rPr>
        <w:t> </w:t>
      </w:r>
      <w:r w:rsidR="008572EE" w:rsidRPr="006A2BF9">
        <w:rPr>
          <w:lang w:val="it-IT"/>
        </w:rPr>
        <w:t>mL</w:t>
      </w:r>
      <w:r w:rsidRPr="006A2BF9">
        <w:rPr>
          <w:lang w:val="it-IT"/>
        </w:rPr>
        <w:t xml:space="preserve"> contiene 100</w:t>
      </w:r>
      <w:r w:rsidR="00316B25" w:rsidRPr="006A2BF9">
        <w:rPr>
          <w:lang w:val="it-IT"/>
        </w:rPr>
        <w:t> </w:t>
      </w:r>
      <w:r w:rsidRPr="006A2BF9">
        <w:rPr>
          <w:lang w:val="it-IT"/>
        </w:rPr>
        <w:t>mg di bevacizumab, corrispondenti a 1,4</w:t>
      </w:r>
      <w:r w:rsidR="00316B25" w:rsidRPr="006A2BF9">
        <w:rPr>
          <w:lang w:val="it-IT"/>
        </w:rPr>
        <w:t> </w:t>
      </w:r>
      <w:r w:rsidRPr="006A2BF9">
        <w:rPr>
          <w:lang w:val="it-IT"/>
        </w:rPr>
        <w:t>mg/</w:t>
      </w:r>
      <w:r w:rsidR="008572EE" w:rsidRPr="006A2BF9">
        <w:rPr>
          <w:lang w:val="it-IT"/>
        </w:rPr>
        <w:t>mL</w:t>
      </w:r>
      <w:r w:rsidRPr="006A2BF9">
        <w:rPr>
          <w:lang w:val="it-IT"/>
        </w:rPr>
        <w:t xml:space="preserve"> quando diluiti come raccomandato.</w:t>
      </w:r>
    </w:p>
    <w:p w14:paraId="0FAB22F7" w14:textId="77777777" w:rsidR="009832F5" w:rsidRPr="006A2BF9" w:rsidRDefault="009832F5" w:rsidP="00C65E97">
      <w:pPr>
        <w:ind w:left="357"/>
        <w:rPr>
          <w:lang w:val="it-IT"/>
        </w:rPr>
      </w:pPr>
      <w:r w:rsidRPr="006A2BF9">
        <w:rPr>
          <w:lang w:val="it-IT"/>
        </w:rPr>
        <w:t>Ogni flaconcino da 16</w:t>
      </w:r>
      <w:r w:rsidR="00316B25" w:rsidRPr="006A2BF9">
        <w:rPr>
          <w:lang w:val="it-IT"/>
        </w:rPr>
        <w:t> </w:t>
      </w:r>
      <w:r w:rsidR="008572EE" w:rsidRPr="006A2BF9">
        <w:rPr>
          <w:lang w:val="it-IT"/>
        </w:rPr>
        <w:t>mL</w:t>
      </w:r>
      <w:r w:rsidRPr="006A2BF9">
        <w:rPr>
          <w:lang w:val="it-IT"/>
        </w:rPr>
        <w:t xml:space="preserve"> contiene 400</w:t>
      </w:r>
      <w:r w:rsidR="00316B25" w:rsidRPr="006A2BF9">
        <w:rPr>
          <w:lang w:val="it-IT"/>
        </w:rPr>
        <w:t> </w:t>
      </w:r>
      <w:r w:rsidRPr="006A2BF9">
        <w:rPr>
          <w:lang w:val="it-IT"/>
        </w:rPr>
        <w:t>mg di bevacizumab, corrispondenti a 16,5</w:t>
      </w:r>
      <w:r w:rsidR="00316B25" w:rsidRPr="006A2BF9">
        <w:rPr>
          <w:lang w:val="it-IT"/>
        </w:rPr>
        <w:t> </w:t>
      </w:r>
      <w:r w:rsidRPr="006A2BF9">
        <w:rPr>
          <w:lang w:val="it-IT"/>
        </w:rPr>
        <w:t>mg/</w:t>
      </w:r>
      <w:r w:rsidR="008572EE" w:rsidRPr="006A2BF9">
        <w:rPr>
          <w:lang w:val="it-IT"/>
        </w:rPr>
        <w:t>mL</w:t>
      </w:r>
      <w:r w:rsidRPr="006A2BF9">
        <w:rPr>
          <w:lang w:val="it-IT"/>
        </w:rPr>
        <w:t xml:space="preserve"> quando diluiti come raccomandato.</w:t>
      </w:r>
    </w:p>
    <w:p w14:paraId="336916FA" w14:textId="4807C694" w:rsidR="009C0666" w:rsidRPr="006A2BF9" w:rsidRDefault="009C0666" w:rsidP="00C65E97">
      <w:pPr>
        <w:numPr>
          <w:ilvl w:val="0"/>
          <w:numId w:val="78"/>
        </w:numPr>
        <w:ind w:left="357" w:hanging="357"/>
        <w:rPr>
          <w:lang w:val="it-IT"/>
        </w:rPr>
      </w:pPr>
      <w:r w:rsidRPr="006A2BF9">
        <w:rPr>
          <w:lang w:val="it-IT"/>
        </w:rPr>
        <w:t xml:space="preserve">Gli </w:t>
      </w:r>
      <w:r w:rsidR="00A77829" w:rsidRPr="006A2BF9">
        <w:rPr>
          <w:lang w:val="it-IT"/>
        </w:rPr>
        <w:t xml:space="preserve">altri componenti </w:t>
      </w:r>
      <w:r w:rsidRPr="006A2BF9">
        <w:rPr>
          <w:lang w:val="it-IT"/>
        </w:rPr>
        <w:t>sono trealosio diidrato, sodio fosfato, polisorbato</w:t>
      </w:r>
      <w:r w:rsidR="00316B25" w:rsidRPr="006A2BF9">
        <w:rPr>
          <w:lang w:val="it-IT"/>
        </w:rPr>
        <w:t> </w:t>
      </w:r>
      <w:r w:rsidRPr="006A2BF9">
        <w:rPr>
          <w:lang w:val="it-IT"/>
        </w:rPr>
        <w:t>20</w:t>
      </w:r>
      <w:r w:rsidR="00AC2E82">
        <w:rPr>
          <w:lang w:val="it-IT"/>
        </w:rPr>
        <w:t xml:space="preserve"> </w:t>
      </w:r>
      <w:r w:rsidR="00AC2E82" w:rsidRPr="008E6466">
        <w:rPr>
          <w:lang w:val="it-IT"/>
        </w:rPr>
        <w:t>(E 432) (vedere sezione 2 “</w:t>
      </w:r>
      <w:r w:rsidR="006B6535" w:rsidRPr="006B6535">
        <w:rPr>
          <w:lang w:val="it-IT"/>
        </w:rPr>
        <w:t xml:space="preserve">Aybintio </w:t>
      </w:r>
      <w:r w:rsidR="00AC2E82" w:rsidRPr="008E6466">
        <w:rPr>
          <w:lang w:val="it-IT"/>
        </w:rPr>
        <w:t>contiene sodio e polisorbato 20</w:t>
      </w:r>
      <w:r w:rsidR="00E361CB">
        <w:rPr>
          <w:lang w:val="it-IT"/>
        </w:rPr>
        <w:t>”</w:t>
      </w:r>
      <w:r w:rsidR="00AC2E82" w:rsidRPr="008E6466">
        <w:rPr>
          <w:lang w:val="it-IT"/>
        </w:rPr>
        <w:t>)</w:t>
      </w:r>
      <w:r w:rsidRPr="006A2BF9">
        <w:rPr>
          <w:lang w:val="it-IT"/>
        </w:rPr>
        <w:t xml:space="preserve"> e acqua per preparazioni iniettabili</w:t>
      </w:r>
      <w:r w:rsidR="00AC2E82">
        <w:rPr>
          <w:lang w:val="it-IT"/>
        </w:rPr>
        <w:t>.</w:t>
      </w:r>
    </w:p>
    <w:p w14:paraId="61A345F7" w14:textId="77777777" w:rsidR="009C0666" w:rsidRPr="006A2BF9" w:rsidRDefault="009C0666" w:rsidP="009C0666">
      <w:pPr>
        <w:ind w:left="567" w:right="-2" w:hanging="567"/>
        <w:rPr>
          <w:lang w:val="it-IT"/>
        </w:rPr>
      </w:pPr>
    </w:p>
    <w:p w14:paraId="4FC00A11" w14:textId="77777777" w:rsidR="009C0666" w:rsidRPr="006A2BF9" w:rsidRDefault="009C0666" w:rsidP="008B3BC8">
      <w:pPr>
        <w:keepNext/>
        <w:keepLines/>
        <w:ind w:left="567" w:right="-2" w:hanging="567"/>
        <w:rPr>
          <w:b/>
          <w:lang w:val="it-IT"/>
        </w:rPr>
      </w:pPr>
      <w:r w:rsidRPr="006A2BF9">
        <w:rPr>
          <w:b/>
          <w:lang w:val="it-IT"/>
        </w:rPr>
        <w:t xml:space="preserve">Descrizione dell’aspetto di </w:t>
      </w:r>
      <w:r w:rsidR="003D07BE" w:rsidRPr="006A2BF9">
        <w:rPr>
          <w:b/>
          <w:lang w:val="it-IT"/>
        </w:rPr>
        <w:t xml:space="preserve">Aybintio </w:t>
      </w:r>
      <w:r w:rsidRPr="006A2BF9">
        <w:rPr>
          <w:b/>
          <w:lang w:val="it-IT"/>
        </w:rPr>
        <w:t>e contenuto della confezione</w:t>
      </w:r>
    </w:p>
    <w:p w14:paraId="154F1940" w14:textId="77777777" w:rsidR="009C0666" w:rsidRPr="006A2BF9" w:rsidRDefault="003D07BE" w:rsidP="008B3BC8">
      <w:pPr>
        <w:keepNext/>
        <w:keepLines/>
        <w:rPr>
          <w:lang w:val="it-IT"/>
        </w:rPr>
      </w:pPr>
      <w:r w:rsidRPr="006A2BF9">
        <w:rPr>
          <w:lang w:val="it-IT"/>
        </w:rPr>
        <w:t>Aybintio</w:t>
      </w:r>
      <w:r w:rsidRPr="006A2BF9">
        <w:rPr>
          <w:b/>
          <w:lang w:val="it-IT"/>
        </w:rPr>
        <w:t xml:space="preserve"> </w:t>
      </w:r>
      <w:r w:rsidR="009832F5" w:rsidRPr="006A2BF9">
        <w:rPr>
          <w:lang w:val="it-IT"/>
        </w:rPr>
        <w:t>è un concentrato per soluzione per infusione.</w:t>
      </w:r>
      <w:r w:rsidR="009C0666" w:rsidRPr="006A2BF9">
        <w:rPr>
          <w:lang w:val="it-IT"/>
        </w:rPr>
        <w:t xml:space="preserve"> </w:t>
      </w:r>
      <w:r w:rsidR="009832F5" w:rsidRPr="006A2BF9">
        <w:rPr>
          <w:lang w:val="it-IT"/>
        </w:rPr>
        <w:t xml:space="preserve">Il concentrato </w:t>
      </w:r>
      <w:r w:rsidR="009C0666" w:rsidRPr="006A2BF9">
        <w:rPr>
          <w:lang w:val="it-IT"/>
        </w:rPr>
        <w:t xml:space="preserve">è un liquido </w:t>
      </w:r>
      <w:r w:rsidR="00611084" w:rsidRPr="006A2BF9">
        <w:rPr>
          <w:lang w:val="it-IT"/>
        </w:rPr>
        <w:t>limpido</w:t>
      </w:r>
      <w:r w:rsidR="009C0666" w:rsidRPr="006A2BF9">
        <w:rPr>
          <w:lang w:val="it-IT"/>
        </w:rPr>
        <w:t>, da incolore a marrone chiaro in un flaconcino di vetro chiuso con un tappo di gomma. Ogni flaconcino contiene 100 mg di bevacizumab in 4 </w:t>
      </w:r>
      <w:r w:rsidR="008572EE" w:rsidRPr="006A2BF9">
        <w:rPr>
          <w:lang w:val="it-IT"/>
        </w:rPr>
        <w:t>mL</w:t>
      </w:r>
      <w:r w:rsidR="009C0666" w:rsidRPr="006A2BF9">
        <w:rPr>
          <w:lang w:val="it-IT"/>
        </w:rPr>
        <w:t xml:space="preserve"> di soluzione o 400 mg di bevacizumab in 16 </w:t>
      </w:r>
      <w:r w:rsidR="008572EE" w:rsidRPr="006A2BF9">
        <w:rPr>
          <w:lang w:val="it-IT"/>
        </w:rPr>
        <w:t>mL</w:t>
      </w:r>
      <w:r w:rsidR="009C0666" w:rsidRPr="006A2BF9">
        <w:rPr>
          <w:lang w:val="it-IT"/>
        </w:rPr>
        <w:t xml:space="preserve"> di soluzione.</w:t>
      </w:r>
      <w:r w:rsidR="009832F5" w:rsidRPr="006A2BF9">
        <w:rPr>
          <w:lang w:val="it-IT"/>
        </w:rPr>
        <w:t xml:space="preserve"> Ogni confezione di </w:t>
      </w:r>
      <w:r w:rsidRPr="006A2BF9">
        <w:rPr>
          <w:lang w:val="it-IT"/>
        </w:rPr>
        <w:t>Aybintio</w:t>
      </w:r>
      <w:r w:rsidRPr="006A2BF9">
        <w:rPr>
          <w:b/>
          <w:lang w:val="it-IT"/>
        </w:rPr>
        <w:t xml:space="preserve"> </w:t>
      </w:r>
      <w:r w:rsidR="009832F5" w:rsidRPr="006A2BF9">
        <w:rPr>
          <w:lang w:val="it-IT"/>
        </w:rPr>
        <w:t>contiene un flaconcino.</w:t>
      </w:r>
    </w:p>
    <w:p w14:paraId="16887562" w14:textId="77777777" w:rsidR="009C0666" w:rsidRPr="006A2BF9" w:rsidRDefault="009C0666" w:rsidP="008B3BC8">
      <w:pPr>
        <w:keepNext/>
        <w:keepLines/>
        <w:rPr>
          <w:lang w:val="it-IT"/>
        </w:rPr>
      </w:pPr>
    </w:p>
    <w:p w14:paraId="0C0BEEDF" w14:textId="77777777" w:rsidR="009C0666" w:rsidRPr="006A2BF9" w:rsidRDefault="009C0666" w:rsidP="008B3BC8">
      <w:pPr>
        <w:keepNext/>
        <w:keepLines/>
        <w:numPr>
          <w:ilvl w:val="12"/>
          <w:numId w:val="0"/>
        </w:numPr>
        <w:ind w:right="-2"/>
        <w:outlineLvl w:val="0"/>
        <w:rPr>
          <w:b/>
          <w:bCs/>
          <w:lang w:val="it-IT"/>
        </w:rPr>
      </w:pPr>
      <w:r w:rsidRPr="006A2BF9">
        <w:rPr>
          <w:b/>
          <w:bCs/>
          <w:lang w:val="it-IT"/>
        </w:rPr>
        <w:t>Titolare dell'autorizzazione all'immissione in commercio</w:t>
      </w:r>
    </w:p>
    <w:p w14:paraId="40D79251" w14:textId="77777777" w:rsidR="003D07BE" w:rsidRPr="00ED70C3" w:rsidRDefault="003D07BE" w:rsidP="003D07BE">
      <w:pPr>
        <w:numPr>
          <w:ilvl w:val="12"/>
          <w:numId w:val="0"/>
        </w:numPr>
        <w:ind w:right="-2"/>
        <w:rPr>
          <w:lang w:val="it-IT"/>
        </w:rPr>
      </w:pPr>
      <w:r w:rsidRPr="00ED70C3">
        <w:rPr>
          <w:lang w:val="it-IT"/>
        </w:rPr>
        <w:t>Samsung Bioepis NL B.V.</w:t>
      </w:r>
    </w:p>
    <w:p w14:paraId="2914F4D6" w14:textId="77777777" w:rsidR="003D07BE" w:rsidRPr="000F0246" w:rsidRDefault="003D07BE" w:rsidP="003D07BE">
      <w:pPr>
        <w:numPr>
          <w:ilvl w:val="12"/>
          <w:numId w:val="0"/>
        </w:numPr>
        <w:ind w:right="-2"/>
        <w:rPr>
          <w:lang w:val="it-IT"/>
        </w:rPr>
      </w:pPr>
      <w:r w:rsidRPr="000F0246">
        <w:rPr>
          <w:lang w:val="it-IT"/>
        </w:rPr>
        <w:t>Olof Palmestraat 10</w:t>
      </w:r>
    </w:p>
    <w:p w14:paraId="24016D31" w14:textId="77777777" w:rsidR="003D07BE" w:rsidRPr="000F0246" w:rsidRDefault="003D07BE" w:rsidP="003D07BE">
      <w:pPr>
        <w:numPr>
          <w:ilvl w:val="12"/>
          <w:numId w:val="0"/>
        </w:numPr>
        <w:ind w:right="-2"/>
        <w:rPr>
          <w:lang w:val="it-IT"/>
        </w:rPr>
      </w:pPr>
      <w:r w:rsidRPr="000F0246">
        <w:rPr>
          <w:lang w:val="it-IT"/>
        </w:rPr>
        <w:t>2616 LR Delft</w:t>
      </w:r>
    </w:p>
    <w:p w14:paraId="65C6B429" w14:textId="77777777" w:rsidR="003D07BE" w:rsidRDefault="003D07BE" w:rsidP="003D07BE">
      <w:pPr>
        <w:numPr>
          <w:ilvl w:val="12"/>
          <w:numId w:val="0"/>
        </w:numPr>
        <w:ind w:right="-2"/>
        <w:rPr>
          <w:lang w:val="it-IT"/>
        </w:rPr>
      </w:pPr>
      <w:r w:rsidRPr="000F0246">
        <w:rPr>
          <w:lang w:val="it-IT"/>
        </w:rPr>
        <w:t xml:space="preserve">Paesi </w:t>
      </w:r>
      <w:r w:rsidR="00586C32" w:rsidRPr="000F0246">
        <w:rPr>
          <w:lang w:val="it-IT"/>
        </w:rPr>
        <w:t>B</w:t>
      </w:r>
      <w:r w:rsidRPr="000F0246">
        <w:rPr>
          <w:lang w:val="it-IT"/>
        </w:rPr>
        <w:t>assi</w:t>
      </w:r>
    </w:p>
    <w:p w14:paraId="12FA6E0D" w14:textId="77777777" w:rsidR="0076757D" w:rsidRDefault="000B1DED" w:rsidP="003D07BE">
      <w:pPr>
        <w:numPr>
          <w:ilvl w:val="12"/>
          <w:numId w:val="0"/>
        </w:numPr>
        <w:ind w:right="-2"/>
        <w:rPr>
          <w:lang w:val="it-IT"/>
        </w:rPr>
      </w:pPr>
      <w:r>
        <w:fldChar w:fldCharType="begin"/>
      </w:r>
      <w:r w:rsidRPr="001A04C2">
        <w:rPr>
          <w:lang w:val="it-IT"/>
          <w:rPrChange w:id="13" w:author="Author">
            <w:rPr/>
          </w:rPrChange>
        </w:rPr>
        <w:instrText xml:space="preserve"> HYPERLINK "mailto:bioepis.mi@medinformation.co.uk" </w:instrText>
      </w:r>
      <w:r>
        <w:fldChar w:fldCharType="separate"/>
      </w:r>
      <w:r w:rsidR="0076757D" w:rsidRPr="00121152">
        <w:rPr>
          <w:rStyle w:val="Hyperlink"/>
          <w:lang w:val="it-IT"/>
        </w:rPr>
        <w:t>bioepis.mi@medinformation.co.uk</w:t>
      </w:r>
      <w:r>
        <w:rPr>
          <w:rStyle w:val="Hyperlink"/>
          <w:lang w:val="it-IT"/>
        </w:rPr>
        <w:fldChar w:fldCharType="end"/>
      </w:r>
    </w:p>
    <w:p w14:paraId="2C5CA471" w14:textId="77777777" w:rsidR="009C0666" w:rsidRPr="006A2BF9" w:rsidRDefault="009C0666" w:rsidP="00613321">
      <w:pPr>
        <w:keepNext/>
        <w:numPr>
          <w:ilvl w:val="12"/>
          <w:numId w:val="0"/>
        </w:numPr>
        <w:rPr>
          <w:lang w:val="it-IT"/>
        </w:rPr>
      </w:pPr>
    </w:p>
    <w:p w14:paraId="791D53F8" w14:textId="77777777" w:rsidR="009C0666" w:rsidRPr="00ED70C3" w:rsidRDefault="009C0666" w:rsidP="002C2B00">
      <w:pPr>
        <w:keepNext/>
        <w:numPr>
          <w:ilvl w:val="12"/>
          <w:numId w:val="0"/>
        </w:numPr>
        <w:ind w:right="-2"/>
        <w:outlineLvl w:val="0"/>
        <w:rPr>
          <w:b/>
          <w:lang w:val="it-IT"/>
        </w:rPr>
      </w:pPr>
      <w:r w:rsidRPr="00ED70C3">
        <w:rPr>
          <w:b/>
          <w:lang w:val="it-IT"/>
        </w:rPr>
        <w:t>Produttore</w:t>
      </w:r>
    </w:p>
    <w:p w14:paraId="752B57E3" w14:textId="77777777" w:rsidR="00ED753B" w:rsidRPr="00ED753B" w:rsidRDefault="00ED753B" w:rsidP="00ED753B">
      <w:pPr>
        <w:numPr>
          <w:ilvl w:val="12"/>
          <w:numId w:val="0"/>
        </w:numPr>
        <w:ind w:right="-2"/>
        <w:rPr>
          <w:rFonts w:eastAsia="Yu Mincho"/>
          <w:szCs w:val="22"/>
        </w:rPr>
      </w:pPr>
      <w:r w:rsidRPr="00ED753B">
        <w:rPr>
          <w:rFonts w:eastAsia="Yu Mincho"/>
          <w:szCs w:val="22"/>
        </w:rPr>
        <w:t>Samsung Bioepis NL B.V.</w:t>
      </w:r>
    </w:p>
    <w:p w14:paraId="1AD796FA" w14:textId="77777777" w:rsidR="00ED753B" w:rsidRPr="00ED753B" w:rsidRDefault="00ED753B" w:rsidP="00ED753B">
      <w:pPr>
        <w:numPr>
          <w:ilvl w:val="12"/>
          <w:numId w:val="0"/>
        </w:numPr>
        <w:ind w:right="-2"/>
        <w:rPr>
          <w:rFonts w:eastAsia="Yu Mincho"/>
          <w:szCs w:val="22"/>
        </w:rPr>
      </w:pPr>
      <w:r w:rsidRPr="00ED753B">
        <w:rPr>
          <w:rFonts w:eastAsia="Yu Mincho"/>
          <w:szCs w:val="22"/>
        </w:rPr>
        <w:t>Olof Palmestraat 10</w:t>
      </w:r>
    </w:p>
    <w:p w14:paraId="5BC7C3DE" w14:textId="77777777" w:rsidR="00ED753B" w:rsidRPr="00ED753B" w:rsidRDefault="00ED753B" w:rsidP="00ED753B">
      <w:pPr>
        <w:numPr>
          <w:ilvl w:val="12"/>
          <w:numId w:val="0"/>
        </w:numPr>
        <w:ind w:right="-2"/>
        <w:rPr>
          <w:rFonts w:eastAsia="Yu Mincho"/>
          <w:szCs w:val="22"/>
        </w:rPr>
      </w:pPr>
      <w:r w:rsidRPr="00ED753B">
        <w:rPr>
          <w:rFonts w:eastAsia="Yu Mincho"/>
          <w:szCs w:val="22"/>
        </w:rPr>
        <w:t>2616 LR Delft</w:t>
      </w:r>
    </w:p>
    <w:p w14:paraId="19B20DB1" w14:textId="77777777" w:rsidR="00ED753B" w:rsidRPr="00671A63" w:rsidRDefault="00ED753B" w:rsidP="00ED753B">
      <w:pPr>
        <w:numPr>
          <w:ilvl w:val="12"/>
          <w:numId w:val="0"/>
        </w:numPr>
        <w:ind w:right="-2"/>
        <w:rPr>
          <w:rFonts w:eastAsia="Yu Mincho"/>
          <w:szCs w:val="22"/>
        </w:rPr>
      </w:pPr>
      <w:r w:rsidRPr="00ED753B">
        <w:rPr>
          <w:rFonts w:eastAsia="Yu Mincho"/>
          <w:szCs w:val="22"/>
        </w:rPr>
        <w:lastRenderedPageBreak/>
        <w:t>Paesi Bassi</w:t>
      </w:r>
    </w:p>
    <w:p w14:paraId="5EC4044F" w14:textId="77777777" w:rsidR="009C0666" w:rsidRPr="006A2BF9" w:rsidRDefault="009C0666" w:rsidP="009C0666">
      <w:pPr>
        <w:numPr>
          <w:ilvl w:val="12"/>
          <w:numId w:val="0"/>
        </w:numPr>
        <w:ind w:right="-2"/>
        <w:outlineLvl w:val="0"/>
        <w:rPr>
          <w:lang w:val="it-IT"/>
        </w:rPr>
      </w:pPr>
    </w:p>
    <w:p w14:paraId="20E62FB4" w14:textId="77777777" w:rsidR="009C0666" w:rsidRPr="006A2BF9" w:rsidRDefault="009C0666" w:rsidP="00197876">
      <w:pPr>
        <w:numPr>
          <w:ilvl w:val="12"/>
          <w:numId w:val="0"/>
        </w:numPr>
        <w:ind w:right="-2"/>
        <w:rPr>
          <w:lang w:val="it-IT"/>
        </w:rPr>
      </w:pPr>
      <w:r w:rsidRPr="006A2BF9">
        <w:rPr>
          <w:lang w:val="it-IT"/>
        </w:rPr>
        <w:t xml:space="preserve">Per ulteriori informazioni su </w:t>
      </w:r>
      <w:r w:rsidR="00131C19" w:rsidRPr="006A2BF9">
        <w:rPr>
          <w:lang w:val="it-IT"/>
        </w:rPr>
        <w:t>questo medicinale</w:t>
      </w:r>
      <w:r w:rsidRPr="006A2BF9">
        <w:rPr>
          <w:lang w:val="it-IT"/>
        </w:rPr>
        <w:t>, contatti il rappresentante locale del titolare dell'autorizzazione all'immissione in commercio:</w:t>
      </w:r>
    </w:p>
    <w:p w14:paraId="39C0E089" w14:textId="77777777" w:rsidR="00316B25" w:rsidRPr="006A2BF9" w:rsidRDefault="00316B25" w:rsidP="00197876">
      <w:pPr>
        <w:numPr>
          <w:ilvl w:val="12"/>
          <w:numId w:val="0"/>
        </w:numPr>
        <w:ind w:right="-2"/>
        <w:rPr>
          <w:lang w:val="it-IT"/>
        </w:rPr>
      </w:pPr>
    </w:p>
    <w:tbl>
      <w:tblPr>
        <w:tblW w:w="0" w:type="auto"/>
        <w:tblLayout w:type="fixed"/>
        <w:tblLook w:val="0000" w:firstRow="0" w:lastRow="0" w:firstColumn="0" w:lastColumn="0" w:noHBand="0" w:noVBand="0"/>
      </w:tblPr>
      <w:tblGrid>
        <w:gridCol w:w="4590"/>
        <w:gridCol w:w="4590"/>
      </w:tblGrid>
      <w:tr w:rsidR="003D07BE" w:rsidRPr="006A2BF9" w14:paraId="46C19306" w14:textId="77777777" w:rsidTr="003D07BE">
        <w:trPr>
          <w:cantSplit/>
        </w:trPr>
        <w:tc>
          <w:tcPr>
            <w:tcW w:w="4590" w:type="dxa"/>
          </w:tcPr>
          <w:p w14:paraId="3772C0EF" w14:textId="77777777" w:rsidR="003D07BE" w:rsidRPr="00ED70C3" w:rsidRDefault="003D07BE" w:rsidP="003D07BE">
            <w:pPr>
              <w:numPr>
                <w:ilvl w:val="12"/>
                <w:numId w:val="0"/>
              </w:numPr>
              <w:ind w:right="-2"/>
              <w:rPr>
                <w:b/>
                <w:lang w:val="de-DE" w:eastAsia="en-US"/>
              </w:rPr>
            </w:pPr>
            <w:r w:rsidRPr="00ED70C3">
              <w:rPr>
                <w:b/>
                <w:lang w:val="de-DE" w:eastAsia="en-US"/>
              </w:rPr>
              <w:t>België/Belgique/Belgien</w:t>
            </w:r>
          </w:p>
          <w:p w14:paraId="48607082" w14:textId="77777777" w:rsidR="003D07BE" w:rsidRPr="00ED70C3" w:rsidRDefault="003D07BE" w:rsidP="003D07BE">
            <w:pPr>
              <w:numPr>
                <w:ilvl w:val="12"/>
                <w:numId w:val="0"/>
              </w:numPr>
              <w:ind w:right="-2"/>
              <w:rPr>
                <w:bCs/>
                <w:lang w:val="de-DE" w:eastAsia="en-US"/>
              </w:rPr>
            </w:pPr>
            <w:r w:rsidRPr="00ED70C3">
              <w:rPr>
                <w:bCs/>
                <w:lang w:val="de-DE" w:eastAsia="en-US"/>
              </w:rPr>
              <w:t>Samsung Bioepis NL B.V.</w:t>
            </w:r>
          </w:p>
          <w:p w14:paraId="36C90358" w14:textId="77777777" w:rsidR="003D07BE" w:rsidRPr="000F0246" w:rsidRDefault="003D07BE" w:rsidP="00D33DB6">
            <w:pPr>
              <w:numPr>
                <w:ilvl w:val="12"/>
                <w:numId w:val="0"/>
              </w:numPr>
              <w:ind w:right="-2"/>
              <w:rPr>
                <w:bCs/>
                <w:lang w:eastAsia="en-US"/>
              </w:rPr>
            </w:pPr>
            <w:r w:rsidRPr="000F0246">
              <w:rPr>
                <w:bCs/>
                <w:lang w:eastAsia="en-US"/>
              </w:rPr>
              <w:t>Olof Palmestraat 10, 2616 LR Delft</w:t>
            </w:r>
          </w:p>
          <w:p w14:paraId="589211D2" w14:textId="77777777" w:rsidR="0076757D" w:rsidRDefault="003D07BE" w:rsidP="003D07BE">
            <w:pPr>
              <w:numPr>
                <w:ilvl w:val="12"/>
                <w:numId w:val="0"/>
              </w:numPr>
              <w:ind w:right="-2"/>
              <w:rPr>
                <w:bCs/>
                <w:lang w:eastAsia="en-US"/>
              </w:rPr>
            </w:pPr>
            <w:r w:rsidRPr="000F0246">
              <w:rPr>
                <w:bCs/>
                <w:lang w:eastAsia="en-US"/>
              </w:rPr>
              <w:t>Nederland/Pays-Bas/Niederlande</w:t>
            </w:r>
          </w:p>
          <w:p w14:paraId="76C290BC" w14:textId="77777777" w:rsidR="0076757D" w:rsidRDefault="000B1DED" w:rsidP="003D07BE">
            <w:pPr>
              <w:numPr>
                <w:ilvl w:val="12"/>
                <w:numId w:val="0"/>
              </w:numPr>
              <w:ind w:right="-2"/>
            </w:pPr>
            <w:hyperlink r:id="rId16" w:history="1">
              <w:r w:rsidR="0076757D" w:rsidRPr="00186939">
                <w:rPr>
                  <w:rStyle w:val="Hyperlink"/>
                </w:rPr>
                <w:t>bioepis.mi@medinformation.co.uk</w:t>
              </w:r>
            </w:hyperlink>
          </w:p>
          <w:p w14:paraId="21376845" w14:textId="77777777" w:rsidR="003D07BE" w:rsidRPr="000F0246" w:rsidRDefault="003D07BE" w:rsidP="003D07BE">
            <w:pPr>
              <w:numPr>
                <w:ilvl w:val="12"/>
                <w:numId w:val="0"/>
              </w:numPr>
              <w:ind w:right="-2"/>
              <w:rPr>
                <w:b/>
                <w:lang w:eastAsia="en-US"/>
              </w:rPr>
            </w:pPr>
            <w:r w:rsidRPr="000F0246" w:rsidDel="00605AED">
              <w:rPr>
                <w:b/>
                <w:lang w:eastAsia="en-US"/>
              </w:rPr>
              <w:t xml:space="preserve"> </w:t>
            </w:r>
          </w:p>
        </w:tc>
        <w:tc>
          <w:tcPr>
            <w:tcW w:w="4590" w:type="dxa"/>
          </w:tcPr>
          <w:p w14:paraId="65A7EF2A" w14:textId="77777777" w:rsidR="003D07BE" w:rsidRPr="000F0246" w:rsidRDefault="003D07BE" w:rsidP="003D07BE">
            <w:pPr>
              <w:numPr>
                <w:ilvl w:val="12"/>
                <w:numId w:val="0"/>
              </w:numPr>
              <w:ind w:right="-2"/>
              <w:rPr>
                <w:b/>
              </w:rPr>
            </w:pPr>
            <w:r w:rsidRPr="000F0246">
              <w:rPr>
                <w:b/>
              </w:rPr>
              <w:t>Lietuva</w:t>
            </w:r>
          </w:p>
          <w:p w14:paraId="768EFEC3" w14:textId="77777777" w:rsidR="003D07BE" w:rsidRPr="000F0246" w:rsidRDefault="003D07BE" w:rsidP="003D07BE">
            <w:pPr>
              <w:numPr>
                <w:ilvl w:val="12"/>
                <w:numId w:val="0"/>
              </w:numPr>
              <w:ind w:right="-2"/>
              <w:rPr>
                <w:bCs/>
              </w:rPr>
            </w:pPr>
            <w:r w:rsidRPr="000F0246">
              <w:rPr>
                <w:bCs/>
              </w:rPr>
              <w:t>Samsung Bioepis NL B.V.</w:t>
            </w:r>
          </w:p>
          <w:p w14:paraId="66D07D3E" w14:textId="77777777" w:rsidR="003D07BE" w:rsidRPr="00330A40" w:rsidRDefault="003D07BE" w:rsidP="00D33DB6">
            <w:pPr>
              <w:numPr>
                <w:ilvl w:val="12"/>
                <w:numId w:val="0"/>
              </w:numPr>
              <w:ind w:right="-2"/>
              <w:rPr>
                <w:bCs/>
                <w:lang w:val="it-IT"/>
              </w:rPr>
            </w:pPr>
            <w:r w:rsidRPr="00330A40">
              <w:rPr>
                <w:bCs/>
                <w:lang w:val="it-IT"/>
              </w:rPr>
              <w:t>Olof Palmestraat 10, 2616 LR Delft</w:t>
            </w:r>
          </w:p>
          <w:p w14:paraId="67619DD8" w14:textId="77777777" w:rsidR="003D07BE" w:rsidRPr="00330A40" w:rsidRDefault="003D07BE" w:rsidP="00D33DB6">
            <w:pPr>
              <w:numPr>
                <w:ilvl w:val="12"/>
                <w:numId w:val="0"/>
              </w:numPr>
              <w:ind w:right="-2"/>
              <w:rPr>
                <w:b/>
                <w:lang w:val="it-IT"/>
              </w:rPr>
            </w:pPr>
            <w:r w:rsidRPr="00330A40">
              <w:rPr>
                <w:bCs/>
                <w:lang w:val="it-IT"/>
              </w:rPr>
              <w:t>Nyderlandai</w:t>
            </w:r>
          </w:p>
          <w:p w14:paraId="26F15E02" w14:textId="77777777" w:rsidR="003D07BE" w:rsidRDefault="000B1DED" w:rsidP="003D07BE">
            <w:pPr>
              <w:numPr>
                <w:ilvl w:val="12"/>
                <w:numId w:val="0"/>
              </w:numPr>
              <w:ind w:right="-2"/>
            </w:pPr>
            <w:hyperlink r:id="rId17" w:history="1">
              <w:r w:rsidR="0076757D" w:rsidRPr="00186939">
                <w:rPr>
                  <w:rStyle w:val="Hyperlink"/>
                </w:rPr>
                <w:t>bioepis.mi@medinformation.co.uk</w:t>
              </w:r>
            </w:hyperlink>
          </w:p>
          <w:p w14:paraId="14B033D8" w14:textId="77777777" w:rsidR="0076757D" w:rsidRPr="00121152" w:rsidRDefault="0076757D" w:rsidP="003D07BE">
            <w:pPr>
              <w:numPr>
                <w:ilvl w:val="12"/>
                <w:numId w:val="0"/>
              </w:numPr>
              <w:ind w:right="-2"/>
              <w:rPr>
                <w:rFonts w:eastAsia="Yu Mincho"/>
                <w:b/>
                <w:lang w:val="it-IT"/>
              </w:rPr>
            </w:pPr>
          </w:p>
        </w:tc>
      </w:tr>
      <w:tr w:rsidR="003D07BE" w:rsidRPr="001A04C2" w14:paraId="37672003" w14:textId="77777777" w:rsidTr="003D07BE">
        <w:trPr>
          <w:cantSplit/>
        </w:trPr>
        <w:tc>
          <w:tcPr>
            <w:tcW w:w="4590" w:type="dxa"/>
          </w:tcPr>
          <w:p w14:paraId="0B3237CE" w14:textId="77777777" w:rsidR="003D07BE" w:rsidRPr="00682C88" w:rsidRDefault="003D07BE" w:rsidP="003D07BE">
            <w:pPr>
              <w:numPr>
                <w:ilvl w:val="12"/>
                <w:numId w:val="0"/>
              </w:numPr>
              <w:ind w:right="-2"/>
              <w:rPr>
                <w:b/>
                <w:lang w:val="it-IT" w:eastAsia="en-US"/>
              </w:rPr>
            </w:pPr>
            <w:r w:rsidRPr="006A2BF9">
              <w:rPr>
                <w:b/>
                <w:lang w:val="it-IT" w:eastAsia="en-US"/>
              </w:rPr>
              <w:t>България</w:t>
            </w:r>
          </w:p>
          <w:p w14:paraId="20939F86" w14:textId="77777777" w:rsidR="003D07BE" w:rsidRPr="00682C88" w:rsidRDefault="003D07BE" w:rsidP="003D07BE">
            <w:pPr>
              <w:numPr>
                <w:ilvl w:val="12"/>
                <w:numId w:val="0"/>
              </w:numPr>
              <w:ind w:right="-2"/>
              <w:rPr>
                <w:bCs/>
                <w:lang w:val="it-IT" w:eastAsia="en-US"/>
              </w:rPr>
            </w:pPr>
            <w:r w:rsidRPr="00682C88">
              <w:rPr>
                <w:bCs/>
                <w:lang w:val="it-IT" w:eastAsia="en-US"/>
              </w:rPr>
              <w:t>Samsung Bioepis NL B.V.</w:t>
            </w:r>
          </w:p>
          <w:p w14:paraId="5A5B884F" w14:textId="77777777" w:rsidR="003D07BE" w:rsidRPr="00682C88" w:rsidRDefault="003D07BE" w:rsidP="00D33DB6">
            <w:pPr>
              <w:numPr>
                <w:ilvl w:val="12"/>
                <w:numId w:val="0"/>
              </w:numPr>
              <w:ind w:right="-2"/>
              <w:rPr>
                <w:bCs/>
                <w:lang w:val="it-IT" w:eastAsia="en-US"/>
              </w:rPr>
            </w:pPr>
            <w:r w:rsidRPr="00682C88">
              <w:rPr>
                <w:bCs/>
                <w:lang w:val="it-IT" w:eastAsia="en-US"/>
              </w:rPr>
              <w:t>Olof Palmestraat 10, 2616 LR Delft</w:t>
            </w:r>
          </w:p>
          <w:p w14:paraId="0489141F" w14:textId="77777777" w:rsidR="003D07BE" w:rsidRDefault="00DC4C6E" w:rsidP="003D07BE">
            <w:pPr>
              <w:numPr>
                <w:ilvl w:val="12"/>
                <w:numId w:val="0"/>
              </w:numPr>
              <w:ind w:right="-2"/>
              <w:rPr>
                <w:lang w:val="it-IT"/>
              </w:rPr>
            </w:pPr>
            <w:r w:rsidRPr="000F0246">
              <w:rPr>
                <w:lang w:val="it-IT"/>
              </w:rPr>
              <w:t>Нидерландия</w:t>
            </w:r>
          </w:p>
          <w:p w14:paraId="19D59F70" w14:textId="77777777" w:rsidR="0076757D" w:rsidRDefault="000B1DED" w:rsidP="003D07BE">
            <w:pPr>
              <w:numPr>
                <w:ilvl w:val="12"/>
                <w:numId w:val="0"/>
              </w:numPr>
              <w:ind w:right="-2"/>
              <w:rPr>
                <w:lang w:val="it-IT"/>
              </w:rPr>
            </w:pPr>
            <w:hyperlink r:id="rId18" w:history="1">
              <w:r w:rsidR="0076757D" w:rsidRPr="00121152">
                <w:rPr>
                  <w:rStyle w:val="Hyperlink"/>
                  <w:lang w:val="it-IT"/>
                </w:rPr>
                <w:t>bioepis.mi@medinformation.co.uk</w:t>
              </w:r>
            </w:hyperlink>
          </w:p>
          <w:p w14:paraId="33524BAD" w14:textId="77777777" w:rsidR="0076757D" w:rsidRPr="001226DD" w:rsidRDefault="0076757D" w:rsidP="003D07BE">
            <w:pPr>
              <w:numPr>
                <w:ilvl w:val="12"/>
                <w:numId w:val="0"/>
              </w:numPr>
              <w:ind w:right="-2"/>
              <w:rPr>
                <w:b/>
                <w:lang w:val="it-IT" w:eastAsia="en-US"/>
              </w:rPr>
            </w:pPr>
          </w:p>
        </w:tc>
        <w:tc>
          <w:tcPr>
            <w:tcW w:w="4590" w:type="dxa"/>
          </w:tcPr>
          <w:p w14:paraId="772E0A54" w14:textId="77777777" w:rsidR="003D07BE" w:rsidRPr="00682C88" w:rsidRDefault="003D07BE" w:rsidP="003D07BE">
            <w:pPr>
              <w:numPr>
                <w:ilvl w:val="12"/>
                <w:numId w:val="0"/>
              </w:numPr>
              <w:ind w:right="-2"/>
              <w:rPr>
                <w:b/>
                <w:lang w:val="de-DE"/>
              </w:rPr>
            </w:pPr>
            <w:r w:rsidRPr="00682C88">
              <w:rPr>
                <w:b/>
                <w:lang w:val="de-DE"/>
              </w:rPr>
              <w:t>Luxembourg/Luxemburg</w:t>
            </w:r>
          </w:p>
          <w:p w14:paraId="3C4F3A97" w14:textId="77777777" w:rsidR="003D07BE" w:rsidRPr="00682C88" w:rsidRDefault="003D07BE" w:rsidP="003D07BE">
            <w:pPr>
              <w:numPr>
                <w:ilvl w:val="12"/>
                <w:numId w:val="0"/>
              </w:numPr>
              <w:ind w:right="-2"/>
              <w:rPr>
                <w:bCs/>
                <w:lang w:val="de-DE"/>
              </w:rPr>
            </w:pPr>
            <w:r w:rsidRPr="00682C88">
              <w:rPr>
                <w:bCs/>
                <w:lang w:val="de-DE"/>
              </w:rPr>
              <w:t>Samsung Bioepis NL B.V.</w:t>
            </w:r>
          </w:p>
          <w:p w14:paraId="46879948" w14:textId="77777777" w:rsidR="003D07BE" w:rsidRPr="00330A40" w:rsidRDefault="003D07BE" w:rsidP="00D33DB6">
            <w:pPr>
              <w:numPr>
                <w:ilvl w:val="12"/>
                <w:numId w:val="0"/>
              </w:numPr>
              <w:ind w:right="-2"/>
              <w:rPr>
                <w:bCs/>
                <w:lang w:val="it-IT"/>
              </w:rPr>
            </w:pPr>
            <w:r w:rsidRPr="00330A40">
              <w:rPr>
                <w:bCs/>
                <w:lang w:val="it-IT"/>
              </w:rPr>
              <w:t>Olof Palmestraat 10, 2616 LR Delft</w:t>
            </w:r>
          </w:p>
          <w:p w14:paraId="5B10449C" w14:textId="77777777" w:rsidR="003D07BE" w:rsidRPr="00330A40" w:rsidRDefault="003D07BE" w:rsidP="003D07BE">
            <w:pPr>
              <w:numPr>
                <w:ilvl w:val="12"/>
                <w:numId w:val="0"/>
              </w:numPr>
              <w:ind w:right="-2"/>
              <w:rPr>
                <w:bCs/>
                <w:lang w:val="it-IT"/>
              </w:rPr>
            </w:pPr>
            <w:r w:rsidRPr="00330A40">
              <w:rPr>
                <w:bCs/>
                <w:lang w:val="it-IT"/>
              </w:rPr>
              <w:t>Holland/Niederlande</w:t>
            </w:r>
          </w:p>
          <w:p w14:paraId="1A24EC44" w14:textId="77777777" w:rsidR="003D07BE" w:rsidRDefault="000B1DED" w:rsidP="003D07BE">
            <w:pPr>
              <w:numPr>
                <w:ilvl w:val="12"/>
                <w:numId w:val="0"/>
              </w:numPr>
              <w:ind w:right="-2"/>
              <w:rPr>
                <w:lang w:val="it-IT"/>
              </w:rPr>
            </w:pPr>
            <w:r>
              <w:fldChar w:fldCharType="begin"/>
            </w:r>
            <w:r w:rsidRPr="001A04C2">
              <w:rPr>
                <w:lang w:val="it-IT"/>
                <w:rPrChange w:id="14" w:author="Author">
                  <w:rPr/>
                </w:rPrChange>
              </w:rPr>
              <w:instrText xml:space="preserve"> HYPERLINK "mailto:bioepis.mi@medinformation.co.uk" </w:instrText>
            </w:r>
            <w:r>
              <w:fldChar w:fldCharType="separate"/>
            </w:r>
            <w:r w:rsidR="0076757D" w:rsidRPr="00121152">
              <w:rPr>
                <w:rStyle w:val="Hyperlink"/>
                <w:lang w:val="it-IT"/>
              </w:rPr>
              <w:t>bioepis.mi@medinformation.co.uk</w:t>
            </w:r>
            <w:r>
              <w:rPr>
                <w:rStyle w:val="Hyperlink"/>
                <w:lang w:val="it-IT"/>
              </w:rPr>
              <w:fldChar w:fldCharType="end"/>
            </w:r>
          </w:p>
          <w:p w14:paraId="1588AD25" w14:textId="77777777" w:rsidR="0076757D" w:rsidRPr="00121152" w:rsidRDefault="0076757D" w:rsidP="003D07BE">
            <w:pPr>
              <w:numPr>
                <w:ilvl w:val="12"/>
                <w:numId w:val="0"/>
              </w:numPr>
              <w:ind w:right="-2"/>
              <w:rPr>
                <w:rFonts w:eastAsia="Yu Mincho"/>
                <w:b/>
                <w:lang w:val="it-IT"/>
              </w:rPr>
            </w:pPr>
          </w:p>
        </w:tc>
      </w:tr>
      <w:tr w:rsidR="003D07BE" w:rsidRPr="006A2BF9" w14:paraId="4F509500" w14:textId="77777777" w:rsidTr="003D07BE">
        <w:trPr>
          <w:cantSplit/>
        </w:trPr>
        <w:tc>
          <w:tcPr>
            <w:tcW w:w="4590" w:type="dxa"/>
          </w:tcPr>
          <w:p w14:paraId="0A43D614" w14:textId="77777777" w:rsidR="003D07BE" w:rsidRPr="00682C88" w:rsidRDefault="003D07BE" w:rsidP="003D07BE">
            <w:pPr>
              <w:numPr>
                <w:ilvl w:val="12"/>
                <w:numId w:val="0"/>
              </w:numPr>
              <w:ind w:right="-2"/>
              <w:rPr>
                <w:b/>
                <w:lang w:val="it-IT" w:eastAsia="en-US"/>
              </w:rPr>
            </w:pPr>
            <w:r w:rsidRPr="00682C88">
              <w:rPr>
                <w:b/>
                <w:lang w:val="it-IT" w:eastAsia="en-US"/>
              </w:rPr>
              <w:t>Česká republika</w:t>
            </w:r>
          </w:p>
          <w:p w14:paraId="67787F93" w14:textId="77777777" w:rsidR="003D07BE" w:rsidRPr="00682C88" w:rsidRDefault="003D07BE" w:rsidP="003D07BE">
            <w:pPr>
              <w:numPr>
                <w:ilvl w:val="12"/>
                <w:numId w:val="0"/>
              </w:numPr>
              <w:ind w:right="-2"/>
              <w:rPr>
                <w:bCs/>
                <w:lang w:val="it-IT" w:eastAsia="en-US"/>
              </w:rPr>
            </w:pPr>
            <w:r w:rsidRPr="00682C88">
              <w:rPr>
                <w:bCs/>
                <w:lang w:val="it-IT" w:eastAsia="en-US"/>
              </w:rPr>
              <w:t>Samsung Bioepis NL B.V.</w:t>
            </w:r>
          </w:p>
          <w:p w14:paraId="14C32117" w14:textId="77777777" w:rsidR="003D07BE" w:rsidRPr="00682C88" w:rsidRDefault="003D07BE" w:rsidP="00D33DB6">
            <w:pPr>
              <w:numPr>
                <w:ilvl w:val="12"/>
                <w:numId w:val="0"/>
              </w:numPr>
              <w:ind w:right="-2"/>
              <w:rPr>
                <w:bCs/>
                <w:lang w:val="it-IT" w:eastAsia="en-US"/>
              </w:rPr>
            </w:pPr>
            <w:r w:rsidRPr="00682C88">
              <w:rPr>
                <w:bCs/>
                <w:lang w:val="it-IT" w:eastAsia="en-US"/>
              </w:rPr>
              <w:t>Olof Palmestraat 10, 2616 LR Delft</w:t>
            </w:r>
          </w:p>
          <w:p w14:paraId="1CD93E68" w14:textId="77777777" w:rsidR="003D07BE" w:rsidRDefault="003D07BE" w:rsidP="003D07BE">
            <w:pPr>
              <w:numPr>
                <w:ilvl w:val="12"/>
                <w:numId w:val="0"/>
              </w:numPr>
              <w:ind w:right="-2"/>
              <w:rPr>
                <w:bCs/>
                <w:lang w:val="it-IT" w:eastAsia="en-US"/>
              </w:rPr>
            </w:pPr>
            <w:r w:rsidRPr="00682C88">
              <w:rPr>
                <w:bCs/>
                <w:lang w:val="it-IT" w:eastAsia="en-US"/>
              </w:rPr>
              <w:t>Nizozemsko</w:t>
            </w:r>
          </w:p>
          <w:p w14:paraId="553BE775" w14:textId="77777777" w:rsidR="0076757D" w:rsidRDefault="000B1DED" w:rsidP="003D07BE">
            <w:pPr>
              <w:numPr>
                <w:ilvl w:val="12"/>
                <w:numId w:val="0"/>
              </w:numPr>
              <w:ind w:right="-2"/>
              <w:rPr>
                <w:lang w:val="it-IT"/>
              </w:rPr>
            </w:pPr>
            <w:hyperlink r:id="rId19" w:history="1">
              <w:r w:rsidR="0076757D" w:rsidRPr="00121152">
                <w:rPr>
                  <w:rStyle w:val="Hyperlink"/>
                  <w:lang w:val="it-IT"/>
                </w:rPr>
                <w:t>bioepis.mi@medinformation.co.uk</w:t>
              </w:r>
            </w:hyperlink>
          </w:p>
          <w:p w14:paraId="762B5EE0" w14:textId="77777777" w:rsidR="0076757D" w:rsidRPr="001226DD" w:rsidRDefault="0076757D" w:rsidP="003D07BE">
            <w:pPr>
              <w:numPr>
                <w:ilvl w:val="12"/>
                <w:numId w:val="0"/>
              </w:numPr>
              <w:ind w:right="-2"/>
              <w:rPr>
                <w:b/>
                <w:lang w:val="it-IT" w:eastAsia="en-US"/>
              </w:rPr>
            </w:pPr>
          </w:p>
        </w:tc>
        <w:tc>
          <w:tcPr>
            <w:tcW w:w="4590" w:type="dxa"/>
          </w:tcPr>
          <w:p w14:paraId="78E39C60" w14:textId="77777777" w:rsidR="003D07BE" w:rsidRPr="00682C88" w:rsidRDefault="003D07BE" w:rsidP="003D07BE">
            <w:pPr>
              <w:numPr>
                <w:ilvl w:val="12"/>
                <w:numId w:val="0"/>
              </w:numPr>
              <w:ind w:right="-2"/>
              <w:rPr>
                <w:b/>
                <w:lang w:val="it-IT"/>
              </w:rPr>
            </w:pPr>
            <w:r w:rsidRPr="00682C88">
              <w:rPr>
                <w:b/>
                <w:lang w:val="it-IT"/>
              </w:rPr>
              <w:t>Magyarország</w:t>
            </w:r>
          </w:p>
          <w:p w14:paraId="4EF30962" w14:textId="77777777" w:rsidR="003D07BE" w:rsidRPr="00682C88" w:rsidRDefault="003D07BE" w:rsidP="003D07BE">
            <w:pPr>
              <w:numPr>
                <w:ilvl w:val="12"/>
                <w:numId w:val="0"/>
              </w:numPr>
              <w:ind w:right="-2"/>
              <w:rPr>
                <w:bCs/>
                <w:lang w:val="it-IT"/>
              </w:rPr>
            </w:pPr>
            <w:r w:rsidRPr="00682C88">
              <w:rPr>
                <w:bCs/>
                <w:lang w:val="it-IT"/>
              </w:rPr>
              <w:t>Samsung Bioepis NL B.V.</w:t>
            </w:r>
          </w:p>
          <w:p w14:paraId="5CBBCDD7" w14:textId="77777777" w:rsidR="003D07BE" w:rsidRPr="00330A40" w:rsidRDefault="003D07BE" w:rsidP="00D33DB6">
            <w:pPr>
              <w:numPr>
                <w:ilvl w:val="12"/>
                <w:numId w:val="0"/>
              </w:numPr>
              <w:ind w:right="-2"/>
              <w:rPr>
                <w:bCs/>
                <w:lang w:val="it-IT"/>
              </w:rPr>
            </w:pPr>
            <w:r w:rsidRPr="00330A40">
              <w:rPr>
                <w:bCs/>
                <w:lang w:val="it-IT"/>
              </w:rPr>
              <w:t>Olof Palmestraat 10, 2616 LR Delft</w:t>
            </w:r>
          </w:p>
          <w:p w14:paraId="2BD497C2" w14:textId="77777777" w:rsidR="003D07BE" w:rsidRPr="00330A40" w:rsidRDefault="003D07BE" w:rsidP="003D07BE">
            <w:pPr>
              <w:numPr>
                <w:ilvl w:val="12"/>
                <w:numId w:val="0"/>
              </w:numPr>
              <w:ind w:right="-2"/>
              <w:rPr>
                <w:b/>
                <w:lang w:val="it-IT"/>
              </w:rPr>
            </w:pPr>
            <w:r w:rsidRPr="00330A40">
              <w:rPr>
                <w:bCs/>
                <w:lang w:val="it-IT"/>
              </w:rPr>
              <w:t>Hollandia</w:t>
            </w:r>
          </w:p>
          <w:p w14:paraId="15CEC179" w14:textId="77777777" w:rsidR="003D07BE" w:rsidRDefault="000B1DED" w:rsidP="003D07BE">
            <w:pPr>
              <w:numPr>
                <w:ilvl w:val="12"/>
                <w:numId w:val="0"/>
              </w:numPr>
              <w:ind w:right="-2"/>
              <w:rPr>
                <w:lang w:val="it-IT"/>
              </w:rPr>
            </w:pPr>
            <w:hyperlink r:id="rId20" w:history="1">
              <w:r w:rsidR="0076757D" w:rsidRPr="00121152">
                <w:rPr>
                  <w:rStyle w:val="Hyperlink"/>
                  <w:lang w:val="it-IT"/>
                </w:rPr>
                <w:t>bioepis.mi@medinformation.co.uk</w:t>
              </w:r>
            </w:hyperlink>
          </w:p>
          <w:p w14:paraId="37E10A30" w14:textId="77777777" w:rsidR="0076757D" w:rsidRPr="00121152" w:rsidRDefault="0076757D" w:rsidP="003D07BE">
            <w:pPr>
              <w:numPr>
                <w:ilvl w:val="12"/>
                <w:numId w:val="0"/>
              </w:numPr>
              <w:ind w:right="-2"/>
              <w:rPr>
                <w:rFonts w:eastAsia="Yu Mincho"/>
                <w:b/>
                <w:lang w:val="it-IT"/>
              </w:rPr>
            </w:pPr>
          </w:p>
        </w:tc>
      </w:tr>
      <w:tr w:rsidR="003D07BE" w:rsidRPr="006A2BF9" w14:paraId="6328C649" w14:textId="77777777" w:rsidTr="003D07BE">
        <w:trPr>
          <w:cantSplit/>
        </w:trPr>
        <w:tc>
          <w:tcPr>
            <w:tcW w:w="4590" w:type="dxa"/>
          </w:tcPr>
          <w:p w14:paraId="6170F85D" w14:textId="77777777" w:rsidR="003D07BE" w:rsidRPr="00682C88" w:rsidRDefault="003D07BE" w:rsidP="003D07BE">
            <w:pPr>
              <w:numPr>
                <w:ilvl w:val="12"/>
                <w:numId w:val="0"/>
              </w:numPr>
              <w:ind w:right="-2"/>
              <w:rPr>
                <w:b/>
                <w:lang w:val="da-DK" w:eastAsia="en-US"/>
              </w:rPr>
            </w:pPr>
            <w:r w:rsidRPr="00682C88">
              <w:rPr>
                <w:b/>
                <w:lang w:val="da-DK" w:eastAsia="en-US"/>
              </w:rPr>
              <w:t>Danmark</w:t>
            </w:r>
          </w:p>
          <w:p w14:paraId="45F5000C" w14:textId="77777777" w:rsidR="003D07BE" w:rsidRPr="00682C88" w:rsidRDefault="003D07BE" w:rsidP="003D07BE">
            <w:pPr>
              <w:numPr>
                <w:ilvl w:val="12"/>
                <w:numId w:val="0"/>
              </w:numPr>
              <w:ind w:right="-2"/>
              <w:rPr>
                <w:bCs/>
                <w:lang w:val="da-DK" w:eastAsia="en-US"/>
              </w:rPr>
            </w:pPr>
            <w:r w:rsidRPr="00682C88">
              <w:rPr>
                <w:bCs/>
                <w:lang w:val="da-DK" w:eastAsia="en-US"/>
              </w:rPr>
              <w:t>Samsung Bioepis NL B.V.</w:t>
            </w:r>
          </w:p>
          <w:p w14:paraId="630F944A" w14:textId="77777777" w:rsidR="003D07BE" w:rsidRPr="00121152" w:rsidRDefault="003D07BE" w:rsidP="00D33DB6">
            <w:pPr>
              <w:numPr>
                <w:ilvl w:val="12"/>
                <w:numId w:val="0"/>
              </w:numPr>
              <w:ind w:right="-2"/>
              <w:rPr>
                <w:bCs/>
                <w:lang w:val="da-DK" w:eastAsia="en-US"/>
              </w:rPr>
            </w:pPr>
            <w:r w:rsidRPr="00121152">
              <w:rPr>
                <w:bCs/>
                <w:lang w:val="da-DK" w:eastAsia="en-US"/>
              </w:rPr>
              <w:t>Olof Palmestraat 10, 2616 LR Delft</w:t>
            </w:r>
          </w:p>
          <w:p w14:paraId="67B8C31B" w14:textId="77777777" w:rsidR="003D07BE" w:rsidRPr="00121152" w:rsidRDefault="003D07BE" w:rsidP="00D33DB6">
            <w:pPr>
              <w:numPr>
                <w:ilvl w:val="12"/>
                <w:numId w:val="0"/>
              </w:numPr>
              <w:ind w:right="-2"/>
              <w:rPr>
                <w:bCs/>
                <w:lang w:val="da-DK" w:eastAsia="en-US"/>
              </w:rPr>
            </w:pPr>
            <w:r w:rsidRPr="00121152">
              <w:rPr>
                <w:bCs/>
                <w:lang w:val="da-DK" w:eastAsia="en-US"/>
              </w:rPr>
              <w:t>Holland</w:t>
            </w:r>
          </w:p>
          <w:p w14:paraId="3621D60D" w14:textId="77777777" w:rsidR="0076757D" w:rsidRPr="00121152" w:rsidRDefault="000B1DED" w:rsidP="003D07BE">
            <w:pPr>
              <w:numPr>
                <w:ilvl w:val="12"/>
                <w:numId w:val="0"/>
              </w:numPr>
              <w:ind w:right="-2"/>
              <w:rPr>
                <w:lang w:val="da-DK"/>
              </w:rPr>
            </w:pPr>
            <w:hyperlink r:id="rId21" w:history="1">
              <w:r w:rsidR="0076757D" w:rsidRPr="00121152">
                <w:rPr>
                  <w:rStyle w:val="Hyperlink"/>
                  <w:lang w:val="da-DK"/>
                </w:rPr>
                <w:t>bioepis.mi@medinformation.co.uk</w:t>
              </w:r>
            </w:hyperlink>
          </w:p>
          <w:p w14:paraId="4B1D7222" w14:textId="77777777" w:rsidR="003D07BE" w:rsidRPr="00121152" w:rsidRDefault="0076757D" w:rsidP="003D07BE">
            <w:pPr>
              <w:numPr>
                <w:ilvl w:val="12"/>
                <w:numId w:val="0"/>
              </w:numPr>
              <w:ind w:right="-2"/>
              <w:rPr>
                <w:b/>
                <w:lang w:val="da-DK" w:eastAsia="en-US"/>
              </w:rPr>
            </w:pPr>
            <w:r w:rsidRPr="00121152">
              <w:rPr>
                <w:lang w:val="da-DK"/>
              </w:rPr>
              <w:t xml:space="preserve"> </w:t>
            </w:r>
          </w:p>
        </w:tc>
        <w:tc>
          <w:tcPr>
            <w:tcW w:w="4590" w:type="dxa"/>
          </w:tcPr>
          <w:p w14:paraId="43B07225" w14:textId="77777777" w:rsidR="003D07BE" w:rsidRPr="00682C88" w:rsidRDefault="003D07BE" w:rsidP="003D07BE">
            <w:pPr>
              <w:numPr>
                <w:ilvl w:val="12"/>
                <w:numId w:val="0"/>
              </w:numPr>
              <w:ind w:right="-2"/>
              <w:rPr>
                <w:b/>
                <w:lang w:val="nn-NO"/>
              </w:rPr>
            </w:pPr>
            <w:r w:rsidRPr="00682C88">
              <w:rPr>
                <w:b/>
                <w:lang w:val="nn-NO"/>
              </w:rPr>
              <w:t>Malta</w:t>
            </w:r>
          </w:p>
          <w:p w14:paraId="6317CF94" w14:textId="77777777" w:rsidR="003D07BE" w:rsidRPr="00682C88" w:rsidRDefault="003D07BE" w:rsidP="003D07BE">
            <w:pPr>
              <w:numPr>
                <w:ilvl w:val="12"/>
                <w:numId w:val="0"/>
              </w:numPr>
              <w:ind w:right="-2"/>
              <w:rPr>
                <w:bCs/>
                <w:lang w:val="nn-NO"/>
              </w:rPr>
            </w:pPr>
            <w:r w:rsidRPr="00682C88">
              <w:rPr>
                <w:bCs/>
                <w:lang w:val="nn-NO"/>
              </w:rPr>
              <w:t>Samsung Bioepis NL B.V.</w:t>
            </w:r>
          </w:p>
          <w:p w14:paraId="23834E50" w14:textId="77777777" w:rsidR="003D07BE" w:rsidRPr="00330A40" w:rsidRDefault="003D07BE" w:rsidP="00D33DB6">
            <w:pPr>
              <w:numPr>
                <w:ilvl w:val="12"/>
                <w:numId w:val="0"/>
              </w:numPr>
              <w:ind w:right="-2"/>
              <w:rPr>
                <w:bCs/>
                <w:lang w:val="it-IT"/>
              </w:rPr>
            </w:pPr>
            <w:r w:rsidRPr="00330A40">
              <w:rPr>
                <w:bCs/>
                <w:lang w:val="it-IT"/>
              </w:rPr>
              <w:t>Olof Palmestraat 10, 2616 LR Delft</w:t>
            </w:r>
          </w:p>
          <w:p w14:paraId="7F601BF7" w14:textId="77777777" w:rsidR="003D07BE" w:rsidRDefault="003D07BE" w:rsidP="003D07BE">
            <w:pPr>
              <w:numPr>
                <w:ilvl w:val="12"/>
                <w:numId w:val="0"/>
              </w:numPr>
              <w:ind w:right="-2"/>
              <w:rPr>
                <w:bCs/>
                <w:lang w:val="it-IT"/>
              </w:rPr>
            </w:pPr>
            <w:r w:rsidRPr="00330A40">
              <w:rPr>
                <w:bCs/>
                <w:lang w:val="it-IT"/>
              </w:rPr>
              <w:t>Olanda</w:t>
            </w:r>
          </w:p>
          <w:p w14:paraId="251DC8D2" w14:textId="77777777" w:rsidR="0076757D" w:rsidRDefault="000B1DED" w:rsidP="003D07BE">
            <w:pPr>
              <w:numPr>
                <w:ilvl w:val="12"/>
                <w:numId w:val="0"/>
              </w:numPr>
              <w:ind w:right="-2"/>
              <w:rPr>
                <w:lang w:val="it-IT"/>
              </w:rPr>
            </w:pPr>
            <w:hyperlink r:id="rId22" w:history="1">
              <w:r w:rsidR="0076757D" w:rsidRPr="00121152">
                <w:rPr>
                  <w:rStyle w:val="Hyperlink"/>
                  <w:lang w:val="it-IT"/>
                </w:rPr>
                <w:t>bioepis.mi@medinformation.co.uk</w:t>
              </w:r>
            </w:hyperlink>
          </w:p>
          <w:p w14:paraId="02ADDDF6" w14:textId="77777777" w:rsidR="0076757D" w:rsidRPr="00121152" w:rsidRDefault="0076757D" w:rsidP="003D07BE">
            <w:pPr>
              <w:numPr>
                <w:ilvl w:val="12"/>
                <w:numId w:val="0"/>
              </w:numPr>
              <w:ind w:right="-2"/>
              <w:rPr>
                <w:rFonts w:eastAsia="Yu Mincho"/>
                <w:b/>
                <w:lang w:val="it-IT"/>
              </w:rPr>
            </w:pPr>
          </w:p>
        </w:tc>
      </w:tr>
      <w:tr w:rsidR="003D07BE" w:rsidRPr="006A2BF9" w14:paraId="4E096915" w14:textId="77777777" w:rsidTr="003D07BE">
        <w:trPr>
          <w:cantSplit/>
        </w:trPr>
        <w:tc>
          <w:tcPr>
            <w:tcW w:w="4590" w:type="dxa"/>
          </w:tcPr>
          <w:p w14:paraId="2E4BC6E6" w14:textId="77777777" w:rsidR="003D07BE" w:rsidRPr="00682C88" w:rsidRDefault="003D07BE" w:rsidP="003D07BE">
            <w:pPr>
              <w:numPr>
                <w:ilvl w:val="12"/>
                <w:numId w:val="0"/>
              </w:numPr>
              <w:ind w:right="-2"/>
              <w:rPr>
                <w:b/>
                <w:lang w:val="de-DE" w:eastAsia="en-US"/>
              </w:rPr>
            </w:pPr>
            <w:r w:rsidRPr="00682C88">
              <w:rPr>
                <w:b/>
                <w:lang w:val="de-DE" w:eastAsia="en-US"/>
              </w:rPr>
              <w:t>Deutschland</w:t>
            </w:r>
          </w:p>
          <w:p w14:paraId="2C1A3102" w14:textId="77777777" w:rsidR="001D4777" w:rsidRPr="001001F0" w:rsidRDefault="001D4777" w:rsidP="001D4777">
            <w:pPr>
              <w:widowControl w:val="0"/>
              <w:autoSpaceDE w:val="0"/>
              <w:autoSpaceDN w:val="0"/>
              <w:adjustRightInd w:val="0"/>
              <w:rPr>
                <w:noProof/>
                <w:szCs w:val="22"/>
                <w:lang w:val="de-DE"/>
              </w:rPr>
            </w:pPr>
            <w:r w:rsidRPr="001001F0">
              <w:rPr>
                <w:noProof/>
                <w:szCs w:val="22"/>
                <w:lang w:val="de-DE"/>
              </w:rPr>
              <w:t>Organon Healthcare GmbH</w:t>
            </w:r>
          </w:p>
          <w:p w14:paraId="03D6F033" w14:textId="77777777" w:rsidR="001D4777" w:rsidRPr="001001F0" w:rsidRDefault="001D4777" w:rsidP="001D4777">
            <w:pPr>
              <w:widowControl w:val="0"/>
              <w:autoSpaceDE w:val="0"/>
              <w:autoSpaceDN w:val="0"/>
              <w:adjustRightInd w:val="0"/>
              <w:rPr>
                <w:noProof/>
                <w:szCs w:val="22"/>
                <w:lang w:val="de-DE"/>
              </w:rPr>
            </w:pPr>
            <w:r w:rsidRPr="001001F0">
              <w:rPr>
                <w:noProof/>
                <w:szCs w:val="22"/>
                <w:lang w:val="de-DE"/>
              </w:rPr>
              <w:t>Tel: 0800 3384 726 (+49 (0) 89 2040022 10)</w:t>
            </w:r>
          </w:p>
          <w:p w14:paraId="67C9792A" w14:textId="77777777" w:rsidR="008C738C" w:rsidRPr="00330A40" w:rsidRDefault="000B1DED" w:rsidP="008C738C">
            <w:pPr>
              <w:numPr>
                <w:ilvl w:val="12"/>
                <w:numId w:val="0"/>
              </w:numPr>
              <w:ind w:right="-2"/>
              <w:rPr>
                <w:b/>
                <w:lang w:val="it-IT" w:eastAsia="en-US"/>
              </w:rPr>
            </w:pPr>
            <w:r>
              <w:fldChar w:fldCharType="begin"/>
            </w:r>
            <w:r w:rsidRPr="001A04C2">
              <w:rPr>
                <w:lang w:val="de-DE"/>
                <w:rPrChange w:id="15" w:author="Author">
                  <w:rPr/>
                </w:rPrChange>
              </w:rPr>
              <w:instrText xml:space="preserve"> HYPERLINK "mailto:dpoc.germany@organon.com" </w:instrText>
            </w:r>
            <w:r>
              <w:fldChar w:fldCharType="separate"/>
            </w:r>
            <w:r w:rsidR="008C738C" w:rsidRPr="008C738C">
              <w:rPr>
                <w:rStyle w:val="Hyperlink"/>
                <w:noProof/>
                <w:szCs w:val="22"/>
                <w:lang w:val="de-DE"/>
              </w:rPr>
              <w:t>dpoc.germany@organon.com</w:t>
            </w:r>
            <w:r>
              <w:rPr>
                <w:rStyle w:val="Hyperlink"/>
                <w:noProof/>
                <w:szCs w:val="22"/>
                <w:lang w:val="de-DE"/>
              </w:rPr>
              <w:fldChar w:fldCharType="end"/>
            </w:r>
          </w:p>
          <w:p w14:paraId="373A39A4" w14:textId="77777777" w:rsidR="003D07BE" w:rsidRPr="00330A40" w:rsidRDefault="003D07BE" w:rsidP="008C738C">
            <w:pPr>
              <w:numPr>
                <w:ilvl w:val="12"/>
                <w:numId w:val="0"/>
              </w:numPr>
              <w:ind w:right="-2"/>
              <w:rPr>
                <w:b/>
                <w:lang w:val="it-IT" w:eastAsia="en-US"/>
              </w:rPr>
            </w:pPr>
          </w:p>
        </w:tc>
        <w:tc>
          <w:tcPr>
            <w:tcW w:w="4590" w:type="dxa"/>
          </w:tcPr>
          <w:p w14:paraId="4FC22C4F" w14:textId="77777777" w:rsidR="003D07BE" w:rsidRPr="00682C88" w:rsidRDefault="003D07BE" w:rsidP="003D07BE">
            <w:pPr>
              <w:numPr>
                <w:ilvl w:val="12"/>
                <w:numId w:val="0"/>
              </w:numPr>
              <w:ind w:right="-2"/>
              <w:rPr>
                <w:b/>
                <w:lang w:val="da-DK"/>
              </w:rPr>
            </w:pPr>
            <w:r w:rsidRPr="00682C88">
              <w:rPr>
                <w:b/>
                <w:lang w:val="da-DK"/>
              </w:rPr>
              <w:t>Nederland</w:t>
            </w:r>
          </w:p>
          <w:p w14:paraId="672AA378" w14:textId="77777777" w:rsidR="003D07BE" w:rsidRPr="00682C88" w:rsidRDefault="003D07BE" w:rsidP="003D07BE">
            <w:pPr>
              <w:numPr>
                <w:ilvl w:val="12"/>
                <w:numId w:val="0"/>
              </w:numPr>
              <w:ind w:right="-2"/>
              <w:rPr>
                <w:bCs/>
                <w:lang w:val="da-DK"/>
              </w:rPr>
            </w:pPr>
            <w:r w:rsidRPr="00682C88">
              <w:rPr>
                <w:bCs/>
                <w:lang w:val="da-DK"/>
              </w:rPr>
              <w:t>Samsung Bioepis NL B.V.</w:t>
            </w:r>
          </w:p>
          <w:p w14:paraId="69CE2B73" w14:textId="77777777" w:rsidR="003D07BE" w:rsidRPr="00330A40" w:rsidRDefault="003D07BE" w:rsidP="00D33DB6">
            <w:pPr>
              <w:numPr>
                <w:ilvl w:val="12"/>
                <w:numId w:val="0"/>
              </w:numPr>
              <w:ind w:right="-2"/>
              <w:rPr>
                <w:bCs/>
                <w:lang w:val="it-IT"/>
              </w:rPr>
            </w:pPr>
            <w:r w:rsidRPr="00330A40">
              <w:rPr>
                <w:bCs/>
                <w:lang w:val="it-IT"/>
              </w:rPr>
              <w:t>Olof Palmestraat 10, 2616 LR Delft</w:t>
            </w:r>
          </w:p>
          <w:p w14:paraId="2565DA75" w14:textId="77777777" w:rsidR="003D07BE" w:rsidRDefault="003D07BE" w:rsidP="003D07BE">
            <w:pPr>
              <w:numPr>
                <w:ilvl w:val="12"/>
                <w:numId w:val="0"/>
              </w:numPr>
              <w:ind w:right="-2"/>
              <w:rPr>
                <w:bCs/>
                <w:lang w:val="it-IT"/>
              </w:rPr>
            </w:pPr>
            <w:r w:rsidRPr="00330A40">
              <w:rPr>
                <w:bCs/>
                <w:lang w:val="it-IT"/>
              </w:rPr>
              <w:t>Nederland</w:t>
            </w:r>
          </w:p>
          <w:p w14:paraId="4F7A81C3" w14:textId="77777777" w:rsidR="0076757D" w:rsidRDefault="000B1DED" w:rsidP="003D07BE">
            <w:pPr>
              <w:numPr>
                <w:ilvl w:val="12"/>
                <w:numId w:val="0"/>
              </w:numPr>
              <w:ind w:right="-2"/>
              <w:rPr>
                <w:lang w:val="it-IT"/>
              </w:rPr>
            </w:pPr>
            <w:hyperlink r:id="rId23" w:history="1">
              <w:r w:rsidR="0076757D" w:rsidRPr="00121152">
                <w:rPr>
                  <w:rStyle w:val="Hyperlink"/>
                  <w:lang w:val="it-IT"/>
                </w:rPr>
                <w:t>bioepis.mi@medinformation.co.uk</w:t>
              </w:r>
            </w:hyperlink>
          </w:p>
          <w:p w14:paraId="29D0E5B7" w14:textId="77777777" w:rsidR="0076757D" w:rsidRPr="00121152" w:rsidRDefault="0076757D" w:rsidP="003D07BE">
            <w:pPr>
              <w:numPr>
                <w:ilvl w:val="12"/>
                <w:numId w:val="0"/>
              </w:numPr>
              <w:ind w:right="-2"/>
              <w:rPr>
                <w:rFonts w:eastAsia="Yu Mincho"/>
                <w:b/>
                <w:lang w:val="it-IT"/>
              </w:rPr>
            </w:pPr>
          </w:p>
        </w:tc>
      </w:tr>
      <w:tr w:rsidR="003D07BE" w:rsidRPr="00682C88" w14:paraId="4CC70666" w14:textId="77777777" w:rsidTr="003D07BE">
        <w:trPr>
          <w:cantSplit/>
        </w:trPr>
        <w:tc>
          <w:tcPr>
            <w:tcW w:w="4590" w:type="dxa"/>
          </w:tcPr>
          <w:p w14:paraId="5A112F08" w14:textId="77777777" w:rsidR="003D07BE" w:rsidRPr="00682C88" w:rsidRDefault="003D07BE" w:rsidP="003D07BE">
            <w:pPr>
              <w:numPr>
                <w:ilvl w:val="12"/>
                <w:numId w:val="0"/>
              </w:numPr>
              <w:ind w:right="-2"/>
              <w:rPr>
                <w:b/>
                <w:lang w:val="da-DK" w:eastAsia="en-US"/>
              </w:rPr>
            </w:pPr>
            <w:r w:rsidRPr="00682C88">
              <w:rPr>
                <w:b/>
                <w:lang w:val="da-DK" w:eastAsia="en-US"/>
              </w:rPr>
              <w:t>Eesti</w:t>
            </w:r>
          </w:p>
          <w:p w14:paraId="60462F07" w14:textId="77777777" w:rsidR="003D07BE" w:rsidRPr="00682C88" w:rsidRDefault="003D07BE" w:rsidP="003D07BE">
            <w:pPr>
              <w:numPr>
                <w:ilvl w:val="12"/>
                <w:numId w:val="0"/>
              </w:numPr>
              <w:ind w:right="-2"/>
              <w:rPr>
                <w:bCs/>
                <w:lang w:val="da-DK" w:eastAsia="en-US"/>
              </w:rPr>
            </w:pPr>
            <w:r w:rsidRPr="00682C88">
              <w:rPr>
                <w:bCs/>
                <w:lang w:val="da-DK" w:eastAsia="en-US"/>
              </w:rPr>
              <w:t>Samsung Bioepis NL B.V.</w:t>
            </w:r>
          </w:p>
          <w:p w14:paraId="7F8719AC" w14:textId="77777777" w:rsidR="003D07BE" w:rsidRPr="000F0246" w:rsidRDefault="003D07BE" w:rsidP="00D33DB6">
            <w:pPr>
              <w:numPr>
                <w:ilvl w:val="12"/>
                <w:numId w:val="0"/>
              </w:numPr>
              <w:ind w:right="-2"/>
              <w:rPr>
                <w:bCs/>
                <w:lang w:eastAsia="en-US"/>
              </w:rPr>
            </w:pPr>
            <w:r w:rsidRPr="000F0246">
              <w:rPr>
                <w:bCs/>
                <w:lang w:eastAsia="en-US"/>
              </w:rPr>
              <w:t>Olof Palmestraat 10, 2616 LR Delft</w:t>
            </w:r>
          </w:p>
          <w:p w14:paraId="7CF0DE88" w14:textId="77777777" w:rsidR="003D07BE" w:rsidRDefault="003D07BE" w:rsidP="003D07BE">
            <w:pPr>
              <w:numPr>
                <w:ilvl w:val="12"/>
                <w:numId w:val="0"/>
              </w:numPr>
              <w:ind w:right="-2"/>
              <w:rPr>
                <w:bCs/>
                <w:lang w:eastAsia="en-US"/>
              </w:rPr>
            </w:pPr>
            <w:r w:rsidRPr="000F0246">
              <w:rPr>
                <w:bCs/>
                <w:lang w:eastAsia="en-US"/>
              </w:rPr>
              <w:t>Holland</w:t>
            </w:r>
          </w:p>
          <w:p w14:paraId="3F95FBC5" w14:textId="77777777" w:rsidR="0076757D" w:rsidRDefault="000B1DED" w:rsidP="003D07BE">
            <w:pPr>
              <w:numPr>
                <w:ilvl w:val="12"/>
                <w:numId w:val="0"/>
              </w:numPr>
              <w:ind w:right="-2"/>
            </w:pPr>
            <w:hyperlink r:id="rId24" w:history="1">
              <w:r w:rsidR="0076757D" w:rsidRPr="00186939">
                <w:rPr>
                  <w:rStyle w:val="Hyperlink"/>
                </w:rPr>
                <w:t>bioepis.mi@medinformation.co.uk</w:t>
              </w:r>
            </w:hyperlink>
          </w:p>
          <w:p w14:paraId="77E891D9" w14:textId="77777777" w:rsidR="0076757D" w:rsidRPr="000F0246" w:rsidRDefault="0076757D" w:rsidP="003D07BE">
            <w:pPr>
              <w:numPr>
                <w:ilvl w:val="12"/>
                <w:numId w:val="0"/>
              </w:numPr>
              <w:ind w:right="-2"/>
              <w:rPr>
                <w:b/>
                <w:lang w:eastAsia="en-US"/>
              </w:rPr>
            </w:pPr>
          </w:p>
        </w:tc>
        <w:tc>
          <w:tcPr>
            <w:tcW w:w="4590" w:type="dxa"/>
          </w:tcPr>
          <w:p w14:paraId="30303781" w14:textId="77777777" w:rsidR="003D07BE" w:rsidRPr="00682C88" w:rsidRDefault="003D07BE" w:rsidP="003D07BE">
            <w:pPr>
              <w:numPr>
                <w:ilvl w:val="12"/>
                <w:numId w:val="0"/>
              </w:numPr>
              <w:ind w:right="-2"/>
              <w:rPr>
                <w:b/>
                <w:lang w:val="nn-NO"/>
              </w:rPr>
            </w:pPr>
            <w:r w:rsidRPr="00682C88">
              <w:rPr>
                <w:b/>
                <w:lang w:val="nn-NO"/>
              </w:rPr>
              <w:t>Norge</w:t>
            </w:r>
          </w:p>
          <w:p w14:paraId="44CE2B80" w14:textId="77777777" w:rsidR="003D07BE" w:rsidRPr="00682C88" w:rsidRDefault="003D07BE" w:rsidP="003D07BE">
            <w:pPr>
              <w:numPr>
                <w:ilvl w:val="12"/>
                <w:numId w:val="0"/>
              </w:numPr>
              <w:ind w:right="-2"/>
              <w:rPr>
                <w:bCs/>
                <w:lang w:val="nn-NO"/>
              </w:rPr>
            </w:pPr>
            <w:r w:rsidRPr="00682C88">
              <w:rPr>
                <w:bCs/>
                <w:lang w:val="nn-NO"/>
              </w:rPr>
              <w:t>Samsung Bioepis NL B.V.</w:t>
            </w:r>
          </w:p>
          <w:p w14:paraId="3467ACF6" w14:textId="77777777" w:rsidR="003D07BE" w:rsidRPr="00682C88" w:rsidRDefault="003D07BE" w:rsidP="00D33DB6">
            <w:pPr>
              <w:numPr>
                <w:ilvl w:val="12"/>
                <w:numId w:val="0"/>
              </w:numPr>
              <w:ind w:right="-2"/>
              <w:rPr>
                <w:bCs/>
                <w:lang w:val="da-DK"/>
              </w:rPr>
            </w:pPr>
            <w:r w:rsidRPr="00682C88">
              <w:rPr>
                <w:bCs/>
                <w:lang w:val="da-DK"/>
              </w:rPr>
              <w:t>Olof Palmestraat 10, 2616 LR Delft</w:t>
            </w:r>
          </w:p>
          <w:p w14:paraId="08631C95" w14:textId="77777777" w:rsidR="003D07BE" w:rsidRPr="00682C88" w:rsidRDefault="003D07BE" w:rsidP="00D33DB6">
            <w:pPr>
              <w:numPr>
                <w:ilvl w:val="12"/>
                <w:numId w:val="0"/>
              </w:numPr>
              <w:ind w:right="-2"/>
              <w:rPr>
                <w:bCs/>
                <w:lang w:val="da-DK"/>
              </w:rPr>
            </w:pPr>
            <w:r w:rsidRPr="00682C88">
              <w:rPr>
                <w:bCs/>
                <w:lang w:val="da-DK"/>
              </w:rPr>
              <w:t>Nederland</w:t>
            </w:r>
          </w:p>
          <w:p w14:paraId="5D4C30FB" w14:textId="77777777" w:rsidR="003D07BE" w:rsidRDefault="000B1DED" w:rsidP="003D07BE">
            <w:pPr>
              <w:numPr>
                <w:ilvl w:val="12"/>
                <w:numId w:val="0"/>
              </w:numPr>
              <w:ind w:right="-2"/>
              <w:rPr>
                <w:lang w:val="da-DK"/>
              </w:rPr>
            </w:pPr>
            <w:hyperlink r:id="rId25" w:history="1">
              <w:r w:rsidR="0076757D" w:rsidRPr="00121152">
                <w:rPr>
                  <w:rStyle w:val="Hyperlink"/>
                  <w:lang w:val="da-DK"/>
                </w:rPr>
                <w:t>bioepis.mi@medinformation.co.uk</w:t>
              </w:r>
            </w:hyperlink>
          </w:p>
          <w:p w14:paraId="4EFFF782" w14:textId="77777777" w:rsidR="003D07BE" w:rsidRPr="001226DD" w:rsidRDefault="003D07BE" w:rsidP="003D07BE">
            <w:pPr>
              <w:numPr>
                <w:ilvl w:val="12"/>
                <w:numId w:val="0"/>
              </w:numPr>
              <w:ind w:right="-2"/>
              <w:rPr>
                <w:b/>
                <w:lang w:val="da-DK"/>
              </w:rPr>
            </w:pPr>
          </w:p>
        </w:tc>
      </w:tr>
      <w:tr w:rsidR="003D07BE" w:rsidRPr="006A2BF9" w14:paraId="6ACB02E8" w14:textId="77777777" w:rsidTr="003D07BE">
        <w:trPr>
          <w:cantSplit/>
        </w:trPr>
        <w:tc>
          <w:tcPr>
            <w:tcW w:w="4590" w:type="dxa"/>
          </w:tcPr>
          <w:p w14:paraId="0A4D5E89" w14:textId="77777777" w:rsidR="003D07BE" w:rsidRPr="00682C88" w:rsidRDefault="003D07BE" w:rsidP="003D07BE">
            <w:pPr>
              <w:numPr>
                <w:ilvl w:val="12"/>
                <w:numId w:val="0"/>
              </w:numPr>
              <w:ind w:right="-2"/>
              <w:rPr>
                <w:b/>
                <w:lang w:val="da-DK" w:eastAsia="en-US"/>
              </w:rPr>
            </w:pPr>
            <w:r w:rsidRPr="00330A40">
              <w:rPr>
                <w:b/>
                <w:lang w:val="it-IT" w:eastAsia="en-US"/>
              </w:rPr>
              <w:t>Ελλάδα</w:t>
            </w:r>
          </w:p>
          <w:p w14:paraId="55305B53" w14:textId="77777777" w:rsidR="003D07BE" w:rsidRPr="00682C88" w:rsidRDefault="003D07BE" w:rsidP="003D07BE">
            <w:pPr>
              <w:numPr>
                <w:ilvl w:val="12"/>
                <w:numId w:val="0"/>
              </w:numPr>
              <w:ind w:right="-2"/>
              <w:rPr>
                <w:bCs/>
                <w:lang w:val="da-DK" w:eastAsia="en-US"/>
              </w:rPr>
            </w:pPr>
            <w:r w:rsidRPr="00682C88">
              <w:rPr>
                <w:bCs/>
                <w:lang w:val="da-DK" w:eastAsia="en-US"/>
              </w:rPr>
              <w:t>Samsung Bioepis NL B.V.</w:t>
            </w:r>
          </w:p>
          <w:p w14:paraId="3B2C69C7" w14:textId="77777777" w:rsidR="003D07BE" w:rsidRPr="000F0246" w:rsidRDefault="003D07BE" w:rsidP="00D33DB6">
            <w:pPr>
              <w:numPr>
                <w:ilvl w:val="12"/>
                <w:numId w:val="0"/>
              </w:numPr>
              <w:ind w:right="-2"/>
              <w:rPr>
                <w:bCs/>
                <w:lang w:val="it-IT" w:eastAsia="en-US"/>
              </w:rPr>
            </w:pPr>
            <w:r w:rsidRPr="000F0246">
              <w:rPr>
                <w:bCs/>
                <w:lang w:val="it-IT" w:eastAsia="en-US"/>
              </w:rPr>
              <w:t>Olof Palmestraat 10, 2616 LR Delft</w:t>
            </w:r>
          </w:p>
          <w:p w14:paraId="31E2BCFA" w14:textId="77777777" w:rsidR="003D07BE" w:rsidRDefault="00DC4C6E" w:rsidP="003D07BE">
            <w:pPr>
              <w:numPr>
                <w:ilvl w:val="12"/>
                <w:numId w:val="0"/>
              </w:numPr>
              <w:ind w:right="-2"/>
              <w:rPr>
                <w:lang w:val="it-IT"/>
              </w:rPr>
            </w:pPr>
            <w:r w:rsidRPr="000F0246">
              <w:rPr>
                <w:lang w:val="it-IT"/>
              </w:rPr>
              <w:t>Ολλανδία</w:t>
            </w:r>
          </w:p>
          <w:p w14:paraId="627899CF" w14:textId="77777777" w:rsidR="0076757D" w:rsidRDefault="000B1DED" w:rsidP="003D07BE">
            <w:pPr>
              <w:numPr>
                <w:ilvl w:val="12"/>
                <w:numId w:val="0"/>
              </w:numPr>
              <w:ind w:right="-2"/>
              <w:rPr>
                <w:lang w:val="it-IT"/>
              </w:rPr>
            </w:pPr>
            <w:hyperlink r:id="rId26" w:history="1">
              <w:r w:rsidR="0076757D" w:rsidRPr="00121152">
                <w:rPr>
                  <w:rStyle w:val="Hyperlink"/>
                  <w:lang w:val="it-IT"/>
                </w:rPr>
                <w:t>bioepis.mi@medinformation.co.uk</w:t>
              </w:r>
            </w:hyperlink>
          </w:p>
          <w:p w14:paraId="47B195FB" w14:textId="77777777" w:rsidR="003D07BE" w:rsidRPr="000F0246" w:rsidRDefault="003D07BE" w:rsidP="003D07BE">
            <w:pPr>
              <w:numPr>
                <w:ilvl w:val="12"/>
                <w:numId w:val="0"/>
              </w:numPr>
              <w:ind w:right="-2"/>
              <w:rPr>
                <w:b/>
                <w:lang w:val="it-IT" w:eastAsia="en-US"/>
              </w:rPr>
            </w:pPr>
          </w:p>
        </w:tc>
        <w:tc>
          <w:tcPr>
            <w:tcW w:w="4590" w:type="dxa"/>
          </w:tcPr>
          <w:p w14:paraId="02D39AB9" w14:textId="77777777" w:rsidR="003D07BE" w:rsidRPr="00682C88" w:rsidRDefault="003D07BE" w:rsidP="003D07BE">
            <w:pPr>
              <w:numPr>
                <w:ilvl w:val="12"/>
                <w:numId w:val="0"/>
              </w:numPr>
              <w:ind w:right="-2"/>
              <w:rPr>
                <w:b/>
                <w:lang w:val="de-DE"/>
              </w:rPr>
            </w:pPr>
            <w:r w:rsidRPr="00682C88">
              <w:rPr>
                <w:b/>
                <w:lang w:val="de-DE"/>
              </w:rPr>
              <w:t>Österreich</w:t>
            </w:r>
          </w:p>
          <w:p w14:paraId="0AE36B33" w14:textId="77777777" w:rsidR="003D07BE" w:rsidRPr="00682C88" w:rsidRDefault="003D07BE" w:rsidP="003D07BE">
            <w:pPr>
              <w:numPr>
                <w:ilvl w:val="12"/>
                <w:numId w:val="0"/>
              </w:numPr>
              <w:ind w:right="-2"/>
              <w:rPr>
                <w:bCs/>
                <w:lang w:val="de-DE"/>
              </w:rPr>
            </w:pPr>
            <w:r w:rsidRPr="00682C88">
              <w:rPr>
                <w:bCs/>
                <w:lang w:val="de-DE"/>
              </w:rPr>
              <w:t>Samsung Bioepis NL B.V.</w:t>
            </w:r>
          </w:p>
          <w:p w14:paraId="51943BA6" w14:textId="77777777" w:rsidR="003D07BE" w:rsidRPr="00330A40" w:rsidRDefault="003D07BE" w:rsidP="00D33DB6">
            <w:pPr>
              <w:numPr>
                <w:ilvl w:val="12"/>
                <w:numId w:val="0"/>
              </w:numPr>
              <w:ind w:right="-2"/>
              <w:rPr>
                <w:bCs/>
                <w:lang w:val="it-IT"/>
              </w:rPr>
            </w:pPr>
            <w:r w:rsidRPr="00330A40">
              <w:rPr>
                <w:bCs/>
                <w:lang w:val="it-IT"/>
              </w:rPr>
              <w:t>Olof Palmestraat 10, 2616 LR Delft</w:t>
            </w:r>
          </w:p>
          <w:p w14:paraId="3EC14203" w14:textId="77777777" w:rsidR="003D07BE" w:rsidRDefault="003D07BE" w:rsidP="003D07BE">
            <w:pPr>
              <w:numPr>
                <w:ilvl w:val="12"/>
                <w:numId w:val="0"/>
              </w:numPr>
              <w:ind w:right="-2"/>
              <w:rPr>
                <w:bCs/>
                <w:lang w:val="it-IT"/>
              </w:rPr>
            </w:pPr>
            <w:r w:rsidRPr="00330A40">
              <w:rPr>
                <w:bCs/>
                <w:lang w:val="it-IT"/>
              </w:rPr>
              <w:t>Niederlande</w:t>
            </w:r>
          </w:p>
          <w:p w14:paraId="170E3B2B" w14:textId="77777777" w:rsidR="0076757D" w:rsidRDefault="000B1DED" w:rsidP="003D07BE">
            <w:pPr>
              <w:numPr>
                <w:ilvl w:val="12"/>
                <w:numId w:val="0"/>
              </w:numPr>
              <w:ind w:right="-2"/>
              <w:rPr>
                <w:lang w:val="it-IT"/>
              </w:rPr>
            </w:pPr>
            <w:hyperlink r:id="rId27" w:history="1">
              <w:r w:rsidR="0076757D" w:rsidRPr="00121152">
                <w:rPr>
                  <w:rStyle w:val="Hyperlink"/>
                  <w:lang w:val="it-IT"/>
                </w:rPr>
                <w:t>bioepis.mi@medinformation.co.uk</w:t>
              </w:r>
            </w:hyperlink>
          </w:p>
          <w:p w14:paraId="18009E71" w14:textId="77777777" w:rsidR="0076757D" w:rsidRPr="00121152" w:rsidRDefault="0076757D" w:rsidP="003D07BE">
            <w:pPr>
              <w:numPr>
                <w:ilvl w:val="12"/>
                <w:numId w:val="0"/>
              </w:numPr>
              <w:ind w:right="-2"/>
              <w:rPr>
                <w:rFonts w:eastAsia="Yu Mincho"/>
                <w:b/>
                <w:lang w:val="it-IT"/>
              </w:rPr>
            </w:pPr>
          </w:p>
        </w:tc>
      </w:tr>
      <w:tr w:rsidR="003D07BE" w:rsidRPr="006A2BF9" w14:paraId="5F82DBD2" w14:textId="77777777" w:rsidTr="003D07BE">
        <w:trPr>
          <w:cantSplit/>
        </w:trPr>
        <w:tc>
          <w:tcPr>
            <w:tcW w:w="4590" w:type="dxa"/>
          </w:tcPr>
          <w:p w14:paraId="093B5E6B" w14:textId="77777777" w:rsidR="003D07BE" w:rsidRPr="006A2BF9" w:rsidRDefault="003D07BE" w:rsidP="003D07BE">
            <w:pPr>
              <w:numPr>
                <w:ilvl w:val="12"/>
                <w:numId w:val="0"/>
              </w:numPr>
              <w:ind w:right="-2"/>
              <w:rPr>
                <w:b/>
                <w:lang w:val="it-IT" w:eastAsia="en-US"/>
              </w:rPr>
            </w:pPr>
            <w:r w:rsidRPr="006A2BF9">
              <w:rPr>
                <w:b/>
                <w:lang w:val="it-IT" w:eastAsia="en-US"/>
              </w:rPr>
              <w:t>España</w:t>
            </w:r>
          </w:p>
          <w:p w14:paraId="45A1E425" w14:textId="77777777" w:rsidR="003D07BE" w:rsidRPr="00121152" w:rsidRDefault="00F92DAF" w:rsidP="003D07BE">
            <w:pPr>
              <w:numPr>
                <w:ilvl w:val="12"/>
                <w:numId w:val="0"/>
              </w:numPr>
              <w:ind w:right="-2"/>
              <w:rPr>
                <w:bCs/>
                <w:lang w:val="es-ES" w:eastAsia="en-US"/>
              </w:rPr>
            </w:pPr>
            <w:r>
              <w:rPr>
                <w:noProof/>
                <w:szCs w:val="22"/>
                <w:lang w:val="es-ES_tradnl" w:eastAsia="ko-KR"/>
              </w:rPr>
              <w:t>Organon Salud, S.L.</w:t>
            </w:r>
          </w:p>
          <w:p w14:paraId="6EBA3EE6" w14:textId="77777777" w:rsidR="003D07BE" w:rsidRPr="00121152" w:rsidRDefault="003D07BE" w:rsidP="001226DD">
            <w:pPr>
              <w:numPr>
                <w:ilvl w:val="12"/>
                <w:numId w:val="0"/>
              </w:numPr>
              <w:ind w:right="-2"/>
              <w:rPr>
                <w:b/>
                <w:lang w:val="de-DE" w:eastAsia="en-US"/>
              </w:rPr>
            </w:pPr>
            <w:r w:rsidRPr="00121152">
              <w:rPr>
                <w:bCs/>
                <w:lang w:val="de-DE" w:eastAsia="en-US"/>
              </w:rPr>
              <w:t>Tel: +34 91</w:t>
            </w:r>
            <w:r w:rsidR="00F92DAF" w:rsidRPr="00121152">
              <w:rPr>
                <w:noProof/>
                <w:szCs w:val="22"/>
                <w:lang w:val="de-DE" w:eastAsia="ko-KR"/>
              </w:rPr>
              <w:t xml:space="preserve"> </w:t>
            </w:r>
            <w:r w:rsidR="00960FE2" w:rsidRPr="00DE5B30">
              <w:rPr>
                <w:noProof/>
                <w:szCs w:val="22"/>
                <w:lang w:eastAsia="ko-KR"/>
              </w:rPr>
              <w:t>591</w:t>
            </w:r>
            <w:r w:rsidR="00960FE2">
              <w:rPr>
                <w:noProof/>
                <w:szCs w:val="22"/>
                <w:lang w:val="de-DE" w:eastAsia="ko-KR"/>
              </w:rPr>
              <w:t xml:space="preserve"> 12 79</w:t>
            </w:r>
          </w:p>
        </w:tc>
        <w:tc>
          <w:tcPr>
            <w:tcW w:w="4590" w:type="dxa"/>
          </w:tcPr>
          <w:p w14:paraId="7A0BE720" w14:textId="77777777" w:rsidR="003D07BE" w:rsidRPr="00682C88" w:rsidRDefault="003D07BE" w:rsidP="003D07BE">
            <w:pPr>
              <w:numPr>
                <w:ilvl w:val="12"/>
                <w:numId w:val="0"/>
              </w:numPr>
              <w:ind w:right="-2"/>
              <w:rPr>
                <w:b/>
                <w:lang w:val="it-IT"/>
              </w:rPr>
            </w:pPr>
            <w:r w:rsidRPr="00682C88">
              <w:rPr>
                <w:b/>
                <w:lang w:val="it-IT"/>
              </w:rPr>
              <w:t>Polska</w:t>
            </w:r>
          </w:p>
          <w:p w14:paraId="35AEB448" w14:textId="77777777" w:rsidR="003D07BE" w:rsidRPr="00682C88" w:rsidRDefault="003D07BE" w:rsidP="003D07BE">
            <w:pPr>
              <w:numPr>
                <w:ilvl w:val="12"/>
                <w:numId w:val="0"/>
              </w:numPr>
              <w:ind w:right="-2"/>
              <w:rPr>
                <w:bCs/>
                <w:lang w:val="it-IT"/>
              </w:rPr>
            </w:pPr>
            <w:r w:rsidRPr="00682C88">
              <w:rPr>
                <w:bCs/>
                <w:lang w:val="it-IT"/>
              </w:rPr>
              <w:t>Samsung Bioepis NL B.V.</w:t>
            </w:r>
          </w:p>
          <w:p w14:paraId="0A46F92A" w14:textId="77777777" w:rsidR="003D07BE" w:rsidRPr="00330A40" w:rsidRDefault="003D07BE" w:rsidP="00D33DB6">
            <w:pPr>
              <w:numPr>
                <w:ilvl w:val="12"/>
                <w:numId w:val="0"/>
              </w:numPr>
              <w:ind w:right="-2"/>
              <w:rPr>
                <w:bCs/>
                <w:lang w:val="it-IT"/>
              </w:rPr>
            </w:pPr>
            <w:r w:rsidRPr="00330A40">
              <w:rPr>
                <w:bCs/>
                <w:lang w:val="it-IT"/>
              </w:rPr>
              <w:t>Olof Palmestraat 10, 2616 LR Delft</w:t>
            </w:r>
          </w:p>
          <w:p w14:paraId="5FD16CEA" w14:textId="77777777" w:rsidR="003D07BE" w:rsidRDefault="003D07BE" w:rsidP="003D07BE">
            <w:pPr>
              <w:numPr>
                <w:ilvl w:val="12"/>
                <w:numId w:val="0"/>
              </w:numPr>
              <w:ind w:right="-2"/>
              <w:rPr>
                <w:bCs/>
                <w:lang w:val="it-IT"/>
              </w:rPr>
            </w:pPr>
            <w:r w:rsidRPr="00330A40">
              <w:rPr>
                <w:bCs/>
                <w:lang w:val="it-IT"/>
              </w:rPr>
              <w:t>Holandia</w:t>
            </w:r>
          </w:p>
          <w:p w14:paraId="004C30BE" w14:textId="77777777" w:rsidR="0076757D" w:rsidRDefault="000B1DED" w:rsidP="0076757D">
            <w:pPr>
              <w:numPr>
                <w:ilvl w:val="12"/>
                <w:numId w:val="0"/>
              </w:numPr>
              <w:ind w:right="-2"/>
              <w:rPr>
                <w:lang w:val="it-IT"/>
              </w:rPr>
            </w:pPr>
            <w:hyperlink r:id="rId28" w:history="1">
              <w:r w:rsidR="0076757D" w:rsidRPr="00D8131C">
                <w:rPr>
                  <w:rStyle w:val="Hyperlink"/>
                  <w:lang w:val="it-IT"/>
                </w:rPr>
                <w:t>bioepis.mi@medinformation.co.uk</w:t>
              </w:r>
            </w:hyperlink>
          </w:p>
          <w:p w14:paraId="05F69370" w14:textId="77777777" w:rsidR="003D07BE" w:rsidRPr="00330A40" w:rsidRDefault="003D07BE" w:rsidP="003D07BE">
            <w:pPr>
              <w:numPr>
                <w:ilvl w:val="12"/>
                <w:numId w:val="0"/>
              </w:numPr>
              <w:ind w:right="-2"/>
              <w:rPr>
                <w:b/>
                <w:lang w:val="it-IT"/>
              </w:rPr>
            </w:pPr>
          </w:p>
        </w:tc>
      </w:tr>
      <w:tr w:rsidR="003D07BE" w:rsidRPr="000F0246" w14:paraId="73CEFD86" w14:textId="77777777" w:rsidTr="003D07BE">
        <w:trPr>
          <w:cantSplit/>
        </w:trPr>
        <w:tc>
          <w:tcPr>
            <w:tcW w:w="4590" w:type="dxa"/>
          </w:tcPr>
          <w:p w14:paraId="3A37EEFA" w14:textId="77777777" w:rsidR="003D07BE" w:rsidRPr="006A2BF9" w:rsidRDefault="003D07BE" w:rsidP="003D07BE">
            <w:pPr>
              <w:numPr>
                <w:ilvl w:val="12"/>
                <w:numId w:val="0"/>
              </w:numPr>
              <w:ind w:right="-2"/>
              <w:rPr>
                <w:b/>
                <w:lang w:val="it-IT" w:eastAsia="en-US"/>
              </w:rPr>
            </w:pPr>
            <w:r w:rsidRPr="006A2BF9">
              <w:rPr>
                <w:b/>
                <w:lang w:val="it-IT" w:eastAsia="en-US"/>
              </w:rPr>
              <w:lastRenderedPageBreak/>
              <w:t>France</w:t>
            </w:r>
          </w:p>
          <w:p w14:paraId="0ED7BECC" w14:textId="77777777" w:rsidR="003D07BE" w:rsidRPr="006A2BF9" w:rsidRDefault="00610882" w:rsidP="003D07BE">
            <w:pPr>
              <w:numPr>
                <w:ilvl w:val="12"/>
                <w:numId w:val="0"/>
              </w:numPr>
              <w:ind w:right="-2"/>
              <w:rPr>
                <w:bCs/>
                <w:lang w:val="it-IT" w:eastAsia="en-US"/>
              </w:rPr>
            </w:pPr>
            <w:r w:rsidRPr="00610882">
              <w:rPr>
                <w:bCs/>
                <w:lang w:val="it-IT" w:eastAsia="en-US"/>
              </w:rPr>
              <w:t>Organon</w:t>
            </w:r>
            <w:r w:rsidRPr="00610882" w:rsidDel="00610882">
              <w:rPr>
                <w:bCs/>
                <w:lang w:val="it-IT" w:eastAsia="en-US"/>
              </w:rPr>
              <w:t xml:space="preserve"> </w:t>
            </w:r>
            <w:r w:rsidR="003D07BE" w:rsidRPr="006A2BF9">
              <w:rPr>
                <w:bCs/>
                <w:lang w:val="it-IT" w:eastAsia="en-US"/>
              </w:rPr>
              <w:t>France</w:t>
            </w:r>
          </w:p>
          <w:p w14:paraId="05BF40A6" w14:textId="77777777" w:rsidR="003D07BE" w:rsidRPr="006A2BF9" w:rsidRDefault="003D07BE" w:rsidP="003D07BE">
            <w:pPr>
              <w:numPr>
                <w:ilvl w:val="12"/>
                <w:numId w:val="0"/>
              </w:numPr>
              <w:ind w:right="-2"/>
              <w:rPr>
                <w:bCs/>
                <w:lang w:val="it-IT" w:eastAsia="en-US"/>
              </w:rPr>
            </w:pPr>
            <w:r w:rsidRPr="006A2BF9">
              <w:rPr>
                <w:bCs/>
                <w:lang w:val="it-IT" w:eastAsia="en-US"/>
              </w:rPr>
              <w:t xml:space="preserve">Tél: + 33 (0) 1 </w:t>
            </w:r>
            <w:r w:rsidR="00610882" w:rsidRPr="00610882">
              <w:rPr>
                <w:bCs/>
                <w:lang w:val="it-IT" w:eastAsia="en-US"/>
              </w:rPr>
              <w:t>57 77 32 00</w:t>
            </w:r>
          </w:p>
          <w:p w14:paraId="151FDE0C" w14:textId="77777777" w:rsidR="003D07BE" w:rsidRPr="006A2BF9" w:rsidRDefault="003D07BE" w:rsidP="003D07BE">
            <w:pPr>
              <w:numPr>
                <w:ilvl w:val="12"/>
                <w:numId w:val="0"/>
              </w:numPr>
              <w:ind w:right="-2"/>
              <w:rPr>
                <w:b/>
                <w:lang w:val="it-IT" w:eastAsia="en-US"/>
              </w:rPr>
            </w:pPr>
          </w:p>
        </w:tc>
        <w:tc>
          <w:tcPr>
            <w:tcW w:w="4590" w:type="dxa"/>
          </w:tcPr>
          <w:p w14:paraId="02963F9D" w14:textId="77777777" w:rsidR="003D07BE" w:rsidRPr="00682C88" w:rsidRDefault="003D07BE" w:rsidP="003D07BE">
            <w:pPr>
              <w:numPr>
                <w:ilvl w:val="12"/>
                <w:numId w:val="0"/>
              </w:numPr>
              <w:ind w:right="-2"/>
              <w:rPr>
                <w:b/>
                <w:lang w:val="da-DK"/>
              </w:rPr>
            </w:pPr>
            <w:r w:rsidRPr="00682C88">
              <w:rPr>
                <w:b/>
                <w:lang w:val="da-DK"/>
              </w:rPr>
              <w:t>Portugal</w:t>
            </w:r>
          </w:p>
          <w:p w14:paraId="591327ED" w14:textId="77777777" w:rsidR="003D07BE" w:rsidRPr="00682C88" w:rsidRDefault="003D07BE" w:rsidP="003D07BE">
            <w:pPr>
              <w:numPr>
                <w:ilvl w:val="12"/>
                <w:numId w:val="0"/>
              </w:numPr>
              <w:ind w:right="-2"/>
              <w:rPr>
                <w:bCs/>
                <w:lang w:val="da-DK"/>
              </w:rPr>
            </w:pPr>
            <w:r w:rsidRPr="00682C88">
              <w:rPr>
                <w:bCs/>
                <w:lang w:val="da-DK"/>
              </w:rPr>
              <w:t>Samsung Bioepis NL B.V.</w:t>
            </w:r>
          </w:p>
          <w:p w14:paraId="4EEF8A4A" w14:textId="77777777" w:rsidR="003D07BE" w:rsidRPr="00682C88" w:rsidRDefault="003D07BE" w:rsidP="00D33DB6">
            <w:pPr>
              <w:numPr>
                <w:ilvl w:val="12"/>
                <w:numId w:val="0"/>
              </w:numPr>
              <w:ind w:right="-2"/>
              <w:rPr>
                <w:bCs/>
                <w:lang w:val="da-DK"/>
              </w:rPr>
            </w:pPr>
            <w:r w:rsidRPr="00682C88">
              <w:rPr>
                <w:bCs/>
                <w:lang w:val="da-DK"/>
              </w:rPr>
              <w:t>Olof Palmestraat 10, 2616 LR Delft</w:t>
            </w:r>
          </w:p>
          <w:p w14:paraId="56990589" w14:textId="77777777" w:rsidR="003D07BE" w:rsidRDefault="003D07BE" w:rsidP="003D07BE">
            <w:pPr>
              <w:numPr>
                <w:ilvl w:val="12"/>
                <w:numId w:val="0"/>
              </w:numPr>
              <w:ind w:right="-2"/>
              <w:rPr>
                <w:bCs/>
              </w:rPr>
            </w:pPr>
            <w:r w:rsidRPr="000F0246">
              <w:rPr>
                <w:bCs/>
              </w:rPr>
              <w:t>Países Baixos</w:t>
            </w:r>
          </w:p>
          <w:p w14:paraId="47762BA4" w14:textId="77777777" w:rsidR="0076757D" w:rsidRPr="00121152" w:rsidRDefault="000B1DED" w:rsidP="0076757D">
            <w:pPr>
              <w:numPr>
                <w:ilvl w:val="12"/>
                <w:numId w:val="0"/>
              </w:numPr>
              <w:ind w:right="-2"/>
            </w:pPr>
            <w:hyperlink r:id="rId29" w:history="1">
              <w:r w:rsidR="0076757D" w:rsidRPr="00121152">
                <w:rPr>
                  <w:rStyle w:val="Hyperlink"/>
                </w:rPr>
                <w:t>bioepis.mi@medinformation.co.uk</w:t>
              </w:r>
            </w:hyperlink>
          </w:p>
          <w:p w14:paraId="1B750860" w14:textId="77777777" w:rsidR="003D07BE" w:rsidRPr="000F0246" w:rsidRDefault="003D07BE" w:rsidP="003D07BE">
            <w:pPr>
              <w:numPr>
                <w:ilvl w:val="12"/>
                <w:numId w:val="0"/>
              </w:numPr>
              <w:ind w:right="-2"/>
              <w:rPr>
                <w:b/>
              </w:rPr>
            </w:pPr>
          </w:p>
        </w:tc>
      </w:tr>
      <w:tr w:rsidR="003D07BE" w:rsidRPr="006A2BF9" w14:paraId="780EEE26" w14:textId="77777777" w:rsidTr="003D07BE">
        <w:trPr>
          <w:cantSplit/>
        </w:trPr>
        <w:tc>
          <w:tcPr>
            <w:tcW w:w="4590" w:type="dxa"/>
          </w:tcPr>
          <w:p w14:paraId="66E0F5CA" w14:textId="77777777" w:rsidR="003D07BE" w:rsidRPr="00682C88" w:rsidRDefault="003D07BE" w:rsidP="003D07BE">
            <w:pPr>
              <w:numPr>
                <w:ilvl w:val="12"/>
                <w:numId w:val="0"/>
              </w:numPr>
              <w:ind w:right="-2"/>
              <w:rPr>
                <w:b/>
                <w:lang w:val="nn-NO" w:eastAsia="en-US"/>
              </w:rPr>
            </w:pPr>
            <w:r w:rsidRPr="00121152">
              <w:rPr>
                <w:b/>
                <w:lang w:eastAsia="en-US"/>
              </w:rPr>
              <w:br w:type="page"/>
            </w:r>
            <w:r w:rsidRPr="00682C88">
              <w:rPr>
                <w:b/>
                <w:lang w:val="nn-NO" w:eastAsia="en-US"/>
              </w:rPr>
              <w:t>Hrvatska</w:t>
            </w:r>
          </w:p>
          <w:p w14:paraId="5F4226D0" w14:textId="77777777" w:rsidR="003D07BE" w:rsidRPr="00682C88" w:rsidRDefault="003D07BE" w:rsidP="003D07BE">
            <w:pPr>
              <w:numPr>
                <w:ilvl w:val="12"/>
                <w:numId w:val="0"/>
              </w:numPr>
              <w:ind w:right="-2"/>
              <w:rPr>
                <w:bCs/>
                <w:lang w:val="nn-NO" w:eastAsia="en-US"/>
              </w:rPr>
            </w:pPr>
            <w:r w:rsidRPr="00682C88">
              <w:rPr>
                <w:bCs/>
                <w:lang w:val="nn-NO" w:eastAsia="en-US"/>
              </w:rPr>
              <w:t>Samsung Bioepis NL B.V.</w:t>
            </w:r>
          </w:p>
          <w:p w14:paraId="07D7F100" w14:textId="77777777" w:rsidR="003D07BE" w:rsidRPr="00682C88" w:rsidRDefault="003D07BE" w:rsidP="00D33DB6">
            <w:pPr>
              <w:numPr>
                <w:ilvl w:val="12"/>
                <w:numId w:val="0"/>
              </w:numPr>
              <w:ind w:right="-2"/>
              <w:rPr>
                <w:bCs/>
                <w:lang w:val="nn-NO" w:eastAsia="en-US"/>
              </w:rPr>
            </w:pPr>
            <w:r w:rsidRPr="00682C88">
              <w:rPr>
                <w:bCs/>
                <w:lang w:val="nn-NO" w:eastAsia="en-US"/>
              </w:rPr>
              <w:t>Olof Palmestraat 10, 2616 LR Delft</w:t>
            </w:r>
          </w:p>
          <w:p w14:paraId="02455503" w14:textId="77777777" w:rsidR="003D07BE" w:rsidRDefault="00CE02CB" w:rsidP="003D07BE">
            <w:pPr>
              <w:numPr>
                <w:ilvl w:val="12"/>
                <w:numId w:val="0"/>
              </w:numPr>
              <w:ind w:right="-2"/>
              <w:rPr>
                <w:bCs/>
                <w:lang w:val="nn-NO" w:eastAsia="en-US"/>
              </w:rPr>
            </w:pPr>
            <w:r w:rsidRPr="00682C88">
              <w:rPr>
                <w:bCs/>
                <w:lang w:val="nn-NO" w:eastAsia="en-US"/>
              </w:rPr>
              <w:t>Nizozemska</w:t>
            </w:r>
          </w:p>
          <w:p w14:paraId="38DAF68F" w14:textId="77777777" w:rsidR="0076757D" w:rsidRPr="00121152" w:rsidRDefault="000B1DED" w:rsidP="0076757D">
            <w:pPr>
              <w:numPr>
                <w:ilvl w:val="12"/>
                <w:numId w:val="0"/>
              </w:numPr>
              <w:ind w:right="-2"/>
              <w:rPr>
                <w:lang w:val="nn-NO"/>
              </w:rPr>
            </w:pPr>
            <w:hyperlink r:id="rId30" w:history="1">
              <w:r w:rsidR="0076757D" w:rsidRPr="00121152">
                <w:rPr>
                  <w:rStyle w:val="Hyperlink"/>
                  <w:lang w:val="nn-NO"/>
                </w:rPr>
                <w:t>bioepis.mi@medinformation.co.uk</w:t>
              </w:r>
            </w:hyperlink>
          </w:p>
          <w:p w14:paraId="433194B5" w14:textId="77777777" w:rsidR="003D07BE" w:rsidRPr="00682C88" w:rsidRDefault="003D07BE" w:rsidP="003D07BE">
            <w:pPr>
              <w:numPr>
                <w:ilvl w:val="12"/>
                <w:numId w:val="0"/>
              </w:numPr>
              <w:ind w:right="-2"/>
              <w:rPr>
                <w:b/>
                <w:lang w:val="nn-NO" w:eastAsia="en-US"/>
              </w:rPr>
            </w:pPr>
          </w:p>
          <w:p w14:paraId="6022BC8B" w14:textId="77777777" w:rsidR="003D07BE" w:rsidRPr="00682C88" w:rsidRDefault="003D07BE" w:rsidP="003D07BE">
            <w:pPr>
              <w:numPr>
                <w:ilvl w:val="12"/>
                <w:numId w:val="0"/>
              </w:numPr>
              <w:ind w:right="-2"/>
              <w:rPr>
                <w:b/>
                <w:lang w:val="nn-NO" w:eastAsia="en-US"/>
              </w:rPr>
            </w:pPr>
            <w:r w:rsidRPr="00682C88">
              <w:rPr>
                <w:b/>
                <w:lang w:val="nn-NO" w:eastAsia="en-US"/>
              </w:rPr>
              <w:t>Ireland</w:t>
            </w:r>
          </w:p>
          <w:p w14:paraId="2FA803B4" w14:textId="77777777" w:rsidR="003D07BE" w:rsidRPr="00682C88" w:rsidRDefault="003D07BE" w:rsidP="003D07BE">
            <w:pPr>
              <w:numPr>
                <w:ilvl w:val="12"/>
                <w:numId w:val="0"/>
              </w:numPr>
              <w:ind w:right="-2"/>
              <w:rPr>
                <w:bCs/>
                <w:lang w:val="nn-NO" w:eastAsia="en-US"/>
              </w:rPr>
            </w:pPr>
            <w:r w:rsidRPr="00682C88">
              <w:rPr>
                <w:bCs/>
                <w:lang w:val="nn-NO" w:eastAsia="en-US"/>
              </w:rPr>
              <w:t>Samsung Bioepis NL B.V.</w:t>
            </w:r>
          </w:p>
          <w:p w14:paraId="5BA2D6BF" w14:textId="77777777" w:rsidR="003D07BE" w:rsidRPr="00330A40" w:rsidRDefault="003D07BE" w:rsidP="00D33DB6">
            <w:pPr>
              <w:numPr>
                <w:ilvl w:val="12"/>
                <w:numId w:val="0"/>
              </w:numPr>
              <w:ind w:right="-2"/>
              <w:rPr>
                <w:bCs/>
                <w:lang w:val="it-IT" w:eastAsia="en-US"/>
              </w:rPr>
            </w:pPr>
            <w:r w:rsidRPr="00330A40">
              <w:rPr>
                <w:bCs/>
                <w:lang w:val="it-IT" w:eastAsia="en-US"/>
              </w:rPr>
              <w:t>Olof Palmestraat 10, 2616 LR Delft</w:t>
            </w:r>
          </w:p>
          <w:p w14:paraId="11154CBC" w14:textId="77777777" w:rsidR="003D07BE" w:rsidRPr="00330A40" w:rsidRDefault="003D07BE" w:rsidP="003D07BE">
            <w:pPr>
              <w:numPr>
                <w:ilvl w:val="12"/>
                <w:numId w:val="0"/>
              </w:numPr>
              <w:ind w:right="-2"/>
              <w:rPr>
                <w:bCs/>
                <w:lang w:val="it-IT" w:eastAsia="en-US"/>
              </w:rPr>
            </w:pPr>
            <w:r w:rsidRPr="00330A40">
              <w:rPr>
                <w:bCs/>
                <w:lang w:val="it-IT" w:eastAsia="en-US"/>
              </w:rPr>
              <w:t>Netherlands</w:t>
            </w:r>
          </w:p>
          <w:p w14:paraId="792D789F" w14:textId="77777777" w:rsidR="0076757D" w:rsidRDefault="000B1DED" w:rsidP="0076757D">
            <w:pPr>
              <w:numPr>
                <w:ilvl w:val="12"/>
                <w:numId w:val="0"/>
              </w:numPr>
              <w:ind w:right="-2"/>
              <w:rPr>
                <w:lang w:val="it-IT"/>
              </w:rPr>
            </w:pPr>
            <w:hyperlink r:id="rId31" w:history="1">
              <w:r w:rsidR="0076757D" w:rsidRPr="00D8131C">
                <w:rPr>
                  <w:rStyle w:val="Hyperlink"/>
                  <w:lang w:val="it-IT"/>
                </w:rPr>
                <w:t>bioepis.mi@medinformation.co.uk</w:t>
              </w:r>
            </w:hyperlink>
          </w:p>
          <w:p w14:paraId="60797208" w14:textId="77777777" w:rsidR="003D07BE" w:rsidRPr="001226DD" w:rsidRDefault="003D07BE" w:rsidP="003D07BE">
            <w:pPr>
              <w:numPr>
                <w:ilvl w:val="12"/>
                <w:numId w:val="0"/>
              </w:numPr>
              <w:ind w:right="-2"/>
              <w:rPr>
                <w:b/>
                <w:lang w:val="it-IT" w:eastAsia="en-US"/>
              </w:rPr>
            </w:pPr>
          </w:p>
        </w:tc>
        <w:tc>
          <w:tcPr>
            <w:tcW w:w="4590" w:type="dxa"/>
          </w:tcPr>
          <w:p w14:paraId="2E1889EE" w14:textId="77777777" w:rsidR="003D07BE" w:rsidRPr="00682C88" w:rsidRDefault="003D07BE" w:rsidP="003D07BE">
            <w:pPr>
              <w:numPr>
                <w:ilvl w:val="12"/>
                <w:numId w:val="0"/>
              </w:numPr>
              <w:ind w:right="-2"/>
              <w:rPr>
                <w:b/>
                <w:lang w:val="it-IT"/>
              </w:rPr>
            </w:pPr>
            <w:r w:rsidRPr="00682C88">
              <w:rPr>
                <w:b/>
                <w:lang w:val="it-IT"/>
              </w:rPr>
              <w:t>România</w:t>
            </w:r>
          </w:p>
          <w:p w14:paraId="7E702DF3" w14:textId="77777777" w:rsidR="003D07BE" w:rsidRPr="00682C88" w:rsidRDefault="003D07BE" w:rsidP="003D07BE">
            <w:pPr>
              <w:numPr>
                <w:ilvl w:val="12"/>
                <w:numId w:val="0"/>
              </w:numPr>
              <w:ind w:right="-2"/>
              <w:rPr>
                <w:bCs/>
                <w:lang w:val="it-IT"/>
              </w:rPr>
            </w:pPr>
            <w:r w:rsidRPr="00682C88">
              <w:rPr>
                <w:bCs/>
                <w:lang w:val="it-IT"/>
              </w:rPr>
              <w:t>Samsung Bioepis NL B.V.</w:t>
            </w:r>
          </w:p>
          <w:p w14:paraId="309FAFDA" w14:textId="77777777" w:rsidR="003D07BE" w:rsidRPr="00330A40" w:rsidRDefault="003D07BE" w:rsidP="00D33DB6">
            <w:pPr>
              <w:numPr>
                <w:ilvl w:val="12"/>
                <w:numId w:val="0"/>
              </w:numPr>
              <w:ind w:right="-2"/>
              <w:rPr>
                <w:bCs/>
                <w:lang w:val="it-IT"/>
              </w:rPr>
            </w:pPr>
            <w:r w:rsidRPr="00330A40">
              <w:rPr>
                <w:bCs/>
                <w:lang w:val="it-IT"/>
              </w:rPr>
              <w:t>Olof Palmestraat 10, 2616 LR Delft</w:t>
            </w:r>
          </w:p>
          <w:p w14:paraId="7929F950" w14:textId="77777777" w:rsidR="003D07BE" w:rsidRDefault="003D07BE" w:rsidP="003D07BE">
            <w:pPr>
              <w:numPr>
                <w:ilvl w:val="12"/>
                <w:numId w:val="0"/>
              </w:numPr>
              <w:ind w:right="-2"/>
              <w:rPr>
                <w:bCs/>
                <w:lang w:val="it-IT"/>
              </w:rPr>
            </w:pPr>
            <w:r w:rsidRPr="00330A40">
              <w:rPr>
                <w:bCs/>
                <w:lang w:val="it-IT"/>
              </w:rPr>
              <w:t>Olanda</w:t>
            </w:r>
          </w:p>
          <w:p w14:paraId="5A4E57F7" w14:textId="77777777" w:rsidR="0076757D" w:rsidRDefault="000B1DED" w:rsidP="0076757D">
            <w:pPr>
              <w:numPr>
                <w:ilvl w:val="12"/>
                <w:numId w:val="0"/>
              </w:numPr>
              <w:ind w:right="-2"/>
              <w:rPr>
                <w:lang w:val="it-IT"/>
              </w:rPr>
            </w:pPr>
            <w:hyperlink r:id="rId32" w:history="1">
              <w:r w:rsidR="0076757D" w:rsidRPr="00D8131C">
                <w:rPr>
                  <w:rStyle w:val="Hyperlink"/>
                  <w:lang w:val="it-IT"/>
                </w:rPr>
                <w:t>bioepis.mi@medinformation.co.uk</w:t>
              </w:r>
            </w:hyperlink>
          </w:p>
          <w:p w14:paraId="0A9179C6" w14:textId="77777777" w:rsidR="003D07BE" w:rsidRPr="00330A40" w:rsidRDefault="003D07BE" w:rsidP="003D07BE">
            <w:pPr>
              <w:numPr>
                <w:ilvl w:val="12"/>
                <w:numId w:val="0"/>
              </w:numPr>
              <w:ind w:right="-2"/>
              <w:rPr>
                <w:b/>
                <w:lang w:val="it-IT"/>
              </w:rPr>
            </w:pPr>
          </w:p>
          <w:p w14:paraId="09F948A5" w14:textId="77777777" w:rsidR="003D07BE" w:rsidRPr="00330A40" w:rsidRDefault="003D07BE" w:rsidP="003D07BE">
            <w:pPr>
              <w:numPr>
                <w:ilvl w:val="12"/>
                <w:numId w:val="0"/>
              </w:numPr>
              <w:ind w:right="-2"/>
              <w:rPr>
                <w:b/>
                <w:lang w:val="it-IT"/>
              </w:rPr>
            </w:pPr>
            <w:r w:rsidRPr="00330A40">
              <w:rPr>
                <w:b/>
                <w:lang w:val="it-IT"/>
              </w:rPr>
              <w:t>Slovenija</w:t>
            </w:r>
          </w:p>
          <w:p w14:paraId="3B649FC2" w14:textId="77777777" w:rsidR="003D07BE" w:rsidRPr="00682C88" w:rsidRDefault="003D07BE" w:rsidP="003D07BE">
            <w:pPr>
              <w:numPr>
                <w:ilvl w:val="12"/>
                <w:numId w:val="0"/>
              </w:numPr>
              <w:ind w:right="-2"/>
              <w:rPr>
                <w:bCs/>
                <w:lang w:val="nn-NO"/>
              </w:rPr>
            </w:pPr>
            <w:r w:rsidRPr="00682C88">
              <w:rPr>
                <w:bCs/>
                <w:lang w:val="nn-NO"/>
              </w:rPr>
              <w:t>Samsung Bioepis NL B.V.</w:t>
            </w:r>
          </w:p>
          <w:p w14:paraId="1E51A9B3" w14:textId="77777777" w:rsidR="003D07BE" w:rsidRPr="00330A40" w:rsidRDefault="003D07BE" w:rsidP="00D33DB6">
            <w:pPr>
              <w:numPr>
                <w:ilvl w:val="12"/>
                <w:numId w:val="0"/>
              </w:numPr>
              <w:ind w:right="-2"/>
              <w:rPr>
                <w:bCs/>
                <w:lang w:val="it-IT"/>
              </w:rPr>
            </w:pPr>
            <w:r w:rsidRPr="00330A40">
              <w:rPr>
                <w:bCs/>
                <w:lang w:val="it-IT"/>
              </w:rPr>
              <w:t>Olof Palmestraat 10, 2616 LR Delft</w:t>
            </w:r>
          </w:p>
          <w:p w14:paraId="3DE7F1CC" w14:textId="77777777" w:rsidR="003D07BE" w:rsidRDefault="003D07BE" w:rsidP="003D07BE">
            <w:pPr>
              <w:numPr>
                <w:ilvl w:val="12"/>
                <w:numId w:val="0"/>
              </w:numPr>
              <w:ind w:right="-2"/>
              <w:rPr>
                <w:bCs/>
                <w:lang w:val="it-IT"/>
              </w:rPr>
            </w:pPr>
            <w:r w:rsidRPr="00330A40">
              <w:rPr>
                <w:bCs/>
                <w:lang w:val="it-IT"/>
              </w:rPr>
              <w:t>Nizozemska</w:t>
            </w:r>
          </w:p>
          <w:p w14:paraId="0633FAAD" w14:textId="77777777" w:rsidR="0076757D" w:rsidRDefault="000B1DED" w:rsidP="0076757D">
            <w:pPr>
              <w:numPr>
                <w:ilvl w:val="12"/>
                <w:numId w:val="0"/>
              </w:numPr>
              <w:ind w:right="-2"/>
              <w:rPr>
                <w:lang w:val="it-IT"/>
              </w:rPr>
            </w:pPr>
            <w:hyperlink r:id="rId33" w:history="1">
              <w:r w:rsidR="0076757D" w:rsidRPr="00D8131C">
                <w:rPr>
                  <w:rStyle w:val="Hyperlink"/>
                  <w:lang w:val="it-IT"/>
                </w:rPr>
                <w:t>bioepis.mi@medinformation.co.uk</w:t>
              </w:r>
            </w:hyperlink>
          </w:p>
          <w:p w14:paraId="132470FA" w14:textId="77777777" w:rsidR="003D07BE" w:rsidRPr="00330A40" w:rsidRDefault="003D07BE" w:rsidP="003D07BE">
            <w:pPr>
              <w:numPr>
                <w:ilvl w:val="12"/>
                <w:numId w:val="0"/>
              </w:numPr>
              <w:ind w:right="-2"/>
              <w:rPr>
                <w:b/>
                <w:lang w:val="it-IT"/>
              </w:rPr>
            </w:pPr>
          </w:p>
        </w:tc>
      </w:tr>
      <w:tr w:rsidR="003D07BE" w:rsidRPr="006A2BF9" w14:paraId="21230F84" w14:textId="77777777" w:rsidTr="003D07BE">
        <w:trPr>
          <w:cantSplit/>
        </w:trPr>
        <w:tc>
          <w:tcPr>
            <w:tcW w:w="4590" w:type="dxa"/>
          </w:tcPr>
          <w:p w14:paraId="6FD32502" w14:textId="77777777" w:rsidR="003D07BE" w:rsidRPr="00682C88" w:rsidRDefault="003D07BE" w:rsidP="003D07BE">
            <w:pPr>
              <w:numPr>
                <w:ilvl w:val="12"/>
                <w:numId w:val="0"/>
              </w:numPr>
              <w:ind w:right="-2"/>
              <w:rPr>
                <w:b/>
                <w:lang w:val="it-IT" w:eastAsia="en-US"/>
              </w:rPr>
            </w:pPr>
            <w:r w:rsidRPr="00682C88">
              <w:rPr>
                <w:b/>
                <w:lang w:val="it-IT" w:eastAsia="en-US"/>
              </w:rPr>
              <w:t>Ísland</w:t>
            </w:r>
          </w:p>
          <w:p w14:paraId="123FABA6" w14:textId="77777777" w:rsidR="003D07BE" w:rsidRPr="00682C88" w:rsidRDefault="003D07BE" w:rsidP="003D07BE">
            <w:pPr>
              <w:numPr>
                <w:ilvl w:val="12"/>
                <w:numId w:val="0"/>
              </w:numPr>
              <w:ind w:right="-2"/>
              <w:rPr>
                <w:bCs/>
                <w:lang w:val="it-IT" w:eastAsia="en-US"/>
              </w:rPr>
            </w:pPr>
            <w:r w:rsidRPr="00682C88">
              <w:rPr>
                <w:bCs/>
                <w:lang w:val="it-IT" w:eastAsia="en-US"/>
              </w:rPr>
              <w:t>Samsung Bioepis NL B.V.</w:t>
            </w:r>
          </w:p>
          <w:p w14:paraId="2FA8C4C4" w14:textId="77777777" w:rsidR="003D07BE" w:rsidRPr="00682C88" w:rsidRDefault="003D07BE" w:rsidP="00D33DB6">
            <w:pPr>
              <w:numPr>
                <w:ilvl w:val="12"/>
                <w:numId w:val="0"/>
              </w:numPr>
              <w:ind w:right="-2"/>
              <w:rPr>
                <w:bCs/>
                <w:lang w:val="it-IT" w:eastAsia="en-US"/>
              </w:rPr>
            </w:pPr>
            <w:r w:rsidRPr="00682C88">
              <w:rPr>
                <w:bCs/>
                <w:lang w:val="it-IT" w:eastAsia="en-US"/>
              </w:rPr>
              <w:t>Olof Palmestraat 10, 2616 LR Delft</w:t>
            </w:r>
          </w:p>
          <w:p w14:paraId="78915549" w14:textId="77777777" w:rsidR="003D07BE" w:rsidRDefault="003D07BE" w:rsidP="003D07BE">
            <w:pPr>
              <w:numPr>
                <w:ilvl w:val="12"/>
                <w:numId w:val="0"/>
              </w:numPr>
              <w:ind w:right="-2"/>
              <w:rPr>
                <w:bCs/>
                <w:lang w:eastAsia="en-US"/>
              </w:rPr>
            </w:pPr>
            <w:r w:rsidRPr="000F0246">
              <w:rPr>
                <w:bCs/>
                <w:lang w:eastAsia="en-US"/>
              </w:rPr>
              <w:t>Holland</w:t>
            </w:r>
          </w:p>
          <w:p w14:paraId="7A81D9A9" w14:textId="77777777" w:rsidR="0076757D" w:rsidRPr="00121152" w:rsidRDefault="000B1DED" w:rsidP="0076757D">
            <w:pPr>
              <w:numPr>
                <w:ilvl w:val="12"/>
                <w:numId w:val="0"/>
              </w:numPr>
              <w:ind w:right="-2"/>
            </w:pPr>
            <w:hyperlink r:id="rId34" w:history="1">
              <w:r w:rsidR="0076757D" w:rsidRPr="00121152">
                <w:rPr>
                  <w:rStyle w:val="Hyperlink"/>
                </w:rPr>
                <w:t>bioepis.mi@medinformation.co.uk</w:t>
              </w:r>
            </w:hyperlink>
          </w:p>
          <w:p w14:paraId="62882A3E" w14:textId="77777777" w:rsidR="0076757D" w:rsidRPr="000F0246" w:rsidRDefault="0076757D" w:rsidP="003D07BE">
            <w:pPr>
              <w:numPr>
                <w:ilvl w:val="12"/>
                <w:numId w:val="0"/>
              </w:numPr>
              <w:ind w:right="-2"/>
              <w:rPr>
                <w:b/>
                <w:lang w:eastAsia="en-US"/>
              </w:rPr>
            </w:pPr>
          </w:p>
        </w:tc>
        <w:tc>
          <w:tcPr>
            <w:tcW w:w="4590" w:type="dxa"/>
          </w:tcPr>
          <w:p w14:paraId="1CC9847C" w14:textId="77777777" w:rsidR="003D07BE" w:rsidRPr="000F0246" w:rsidRDefault="003D07BE" w:rsidP="003D07BE">
            <w:pPr>
              <w:numPr>
                <w:ilvl w:val="12"/>
                <w:numId w:val="0"/>
              </w:numPr>
              <w:ind w:right="-2"/>
              <w:rPr>
                <w:b/>
              </w:rPr>
            </w:pPr>
            <w:r w:rsidRPr="000F0246">
              <w:rPr>
                <w:b/>
              </w:rPr>
              <w:t>Slovenská republika</w:t>
            </w:r>
          </w:p>
          <w:p w14:paraId="79EC5B77" w14:textId="77777777" w:rsidR="003D07BE" w:rsidRPr="000F0246" w:rsidRDefault="003D07BE" w:rsidP="003D07BE">
            <w:pPr>
              <w:numPr>
                <w:ilvl w:val="12"/>
                <w:numId w:val="0"/>
              </w:numPr>
              <w:ind w:right="-2"/>
              <w:rPr>
                <w:bCs/>
              </w:rPr>
            </w:pPr>
            <w:r w:rsidRPr="000F0246">
              <w:rPr>
                <w:bCs/>
              </w:rPr>
              <w:t>Samsung Bioepis NL B.V.</w:t>
            </w:r>
          </w:p>
          <w:p w14:paraId="7B7DDCF0" w14:textId="77777777" w:rsidR="003D07BE" w:rsidRPr="00330A40" w:rsidRDefault="003D07BE" w:rsidP="00D33DB6">
            <w:pPr>
              <w:numPr>
                <w:ilvl w:val="12"/>
                <w:numId w:val="0"/>
              </w:numPr>
              <w:ind w:right="-2"/>
              <w:rPr>
                <w:bCs/>
                <w:lang w:val="it-IT"/>
              </w:rPr>
            </w:pPr>
            <w:r w:rsidRPr="00330A40">
              <w:rPr>
                <w:bCs/>
                <w:lang w:val="it-IT"/>
              </w:rPr>
              <w:t>Olof Palmestraat 10, 2616 LR Delft</w:t>
            </w:r>
          </w:p>
          <w:p w14:paraId="2691D501" w14:textId="77777777" w:rsidR="003D07BE" w:rsidRPr="00330A40" w:rsidRDefault="003D07BE" w:rsidP="003D07BE">
            <w:pPr>
              <w:numPr>
                <w:ilvl w:val="12"/>
                <w:numId w:val="0"/>
              </w:numPr>
              <w:ind w:right="-2"/>
              <w:rPr>
                <w:b/>
                <w:lang w:val="it-IT"/>
              </w:rPr>
            </w:pPr>
            <w:r w:rsidRPr="00330A40">
              <w:rPr>
                <w:bCs/>
                <w:lang w:val="it-IT"/>
              </w:rPr>
              <w:t>Holandsko</w:t>
            </w:r>
          </w:p>
          <w:p w14:paraId="43A55DE8" w14:textId="77777777" w:rsidR="0076757D" w:rsidRDefault="000B1DED" w:rsidP="0076757D">
            <w:pPr>
              <w:numPr>
                <w:ilvl w:val="12"/>
                <w:numId w:val="0"/>
              </w:numPr>
              <w:ind w:right="-2"/>
              <w:rPr>
                <w:lang w:val="it-IT"/>
              </w:rPr>
            </w:pPr>
            <w:hyperlink r:id="rId35" w:history="1">
              <w:r w:rsidR="0076757D" w:rsidRPr="00D8131C">
                <w:rPr>
                  <w:rStyle w:val="Hyperlink"/>
                  <w:lang w:val="it-IT"/>
                </w:rPr>
                <w:t>bioepis.mi@medinformation.co.uk</w:t>
              </w:r>
            </w:hyperlink>
          </w:p>
          <w:p w14:paraId="3A105F41" w14:textId="77777777" w:rsidR="003D07BE" w:rsidRPr="00330A40" w:rsidRDefault="003D07BE" w:rsidP="003D07BE">
            <w:pPr>
              <w:numPr>
                <w:ilvl w:val="12"/>
                <w:numId w:val="0"/>
              </w:numPr>
              <w:ind w:right="-2"/>
              <w:rPr>
                <w:b/>
                <w:lang w:val="it-IT"/>
              </w:rPr>
            </w:pPr>
          </w:p>
        </w:tc>
      </w:tr>
      <w:tr w:rsidR="003D07BE" w:rsidRPr="000F0246" w14:paraId="5FC8F92A" w14:textId="77777777" w:rsidTr="003D07BE">
        <w:trPr>
          <w:cantSplit/>
        </w:trPr>
        <w:tc>
          <w:tcPr>
            <w:tcW w:w="4590" w:type="dxa"/>
          </w:tcPr>
          <w:p w14:paraId="5916F8B1" w14:textId="77777777" w:rsidR="003D07BE" w:rsidRPr="006A2BF9" w:rsidRDefault="003D07BE" w:rsidP="003D07BE">
            <w:pPr>
              <w:numPr>
                <w:ilvl w:val="12"/>
                <w:numId w:val="0"/>
              </w:numPr>
              <w:ind w:right="-2"/>
              <w:rPr>
                <w:b/>
                <w:lang w:val="it-IT" w:eastAsia="en-US"/>
              </w:rPr>
            </w:pPr>
            <w:r w:rsidRPr="006A2BF9">
              <w:rPr>
                <w:b/>
                <w:lang w:val="it-IT" w:eastAsia="en-US"/>
              </w:rPr>
              <w:t>Italia</w:t>
            </w:r>
          </w:p>
          <w:p w14:paraId="614F91EA" w14:textId="77777777" w:rsidR="003D07BE" w:rsidRPr="006A2BF9" w:rsidRDefault="00610882" w:rsidP="003D07BE">
            <w:pPr>
              <w:numPr>
                <w:ilvl w:val="12"/>
                <w:numId w:val="0"/>
              </w:numPr>
              <w:ind w:right="-2"/>
              <w:rPr>
                <w:bCs/>
                <w:lang w:val="it-IT" w:eastAsia="en-US"/>
              </w:rPr>
            </w:pPr>
            <w:r w:rsidRPr="00610882">
              <w:rPr>
                <w:bCs/>
                <w:lang w:val="it-IT" w:eastAsia="en-US"/>
              </w:rPr>
              <w:t>Organon</w:t>
            </w:r>
            <w:r w:rsidR="003D07BE" w:rsidRPr="006A2BF9">
              <w:rPr>
                <w:bCs/>
                <w:lang w:val="it-IT" w:eastAsia="en-US"/>
              </w:rPr>
              <w:t xml:space="preserve"> Italia S.r.l.</w:t>
            </w:r>
          </w:p>
          <w:p w14:paraId="449DA243" w14:textId="77777777" w:rsidR="003D07BE" w:rsidRPr="006A2BF9" w:rsidRDefault="003D07BE" w:rsidP="003D07BE">
            <w:pPr>
              <w:numPr>
                <w:ilvl w:val="12"/>
                <w:numId w:val="0"/>
              </w:numPr>
              <w:ind w:right="-2"/>
              <w:rPr>
                <w:bCs/>
                <w:lang w:val="it-IT" w:eastAsia="en-US"/>
              </w:rPr>
            </w:pPr>
            <w:r w:rsidRPr="006A2BF9">
              <w:rPr>
                <w:bCs/>
                <w:lang w:val="it-IT" w:eastAsia="en-US"/>
              </w:rPr>
              <w:t xml:space="preserve">Tel: +39 06 </w:t>
            </w:r>
            <w:r w:rsidR="008C738C">
              <w:rPr>
                <w:bCs/>
                <w:lang w:val="it-IT" w:eastAsia="en-US"/>
              </w:rPr>
              <w:t>90259059</w:t>
            </w:r>
          </w:p>
          <w:p w14:paraId="6E66BF86" w14:textId="77777777" w:rsidR="003D07BE" w:rsidRPr="00330A40" w:rsidRDefault="003D07BE" w:rsidP="00A04ED2">
            <w:pPr>
              <w:numPr>
                <w:ilvl w:val="12"/>
                <w:numId w:val="0"/>
              </w:numPr>
              <w:ind w:right="-2"/>
              <w:rPr>
                <w:b/>
                <w:lang w:val="it-IT" w:eastAsia="en-US"/>
              </w:rPr>
            </w:pPr>
          </w:p>
        </w:tc>
        <w:tc>
          <w:tcPr>
            <w:tcW w:w="4590" w:type="dxa"/>
          </w:tcPr>
          <w:p w14:paraId="76CE7A0D" w14:textId="77777777" w:rsidR="003D07BE" w:rsidRPr="00682C88" w:rsidRDefault="003D07BE" w:rsidP="003D07BE">
            <w:pPr>
              <w:numPr>
                <w:ilvl w:val="12"/>
                <w:numId w:val="0"/>
              </w:numPr>
              <w:ind w:right="-2"/>
              <w:rPr>
                <w:b/>
                <w:lang w:val="it-IT"/>
              </w:rPr>
            </w:pPr>
            <w:r w:rsidRPr="00682C88">
              <w:rPr>
                <w:b/>
                <w:lang w:val="it-IT"/>
              </w:rPr>
              <w:t>Suomi/Finland</w:t>
            </w:r>
          </w:p>
          <w:p w14:paraId="6A2D4705" w14:textId="77777777" w:rsidR="003D07BE" w:rsidRPr="00682C88" w:rsidRDefault="003D07BE" w:rsidP="003D07BE">
            <w:pPr>
              <w:numPr>
                <w:ilvl w:val="12"/>
                <w:numId w:val="0"/>
              </w:numPr>
              <w:ind w:right="-2"/>
              <w:rPr>
                <w:bCs/>
                <w:lang w:val="it-IT"/>
              </w:rPr>
            </w:pPr>
            <w:r w:rsidRPr="00682C88">
              <w:rPr>
                <w:bCs/>
                <w:lang w:val="it-IT"/>
              </w:rPr>
              <w:t>Samsung Bioepis NL B.V.</w:t>
            </w:r>
          </w:p>
          <w:p w14:paraId="660A8639" w14:textId="77777777" w:rsidR="003D07BE" w:rsidRPr="00682C88" w:rsidRDefault="003D07BE" w:rsidP="00D33DB6">
            <w:pPr>
              <w:numPr>
                <w:ilvl w:val="12"/>
                <w:numId w:val="0"/>
              </w:numPr>
              <w:ind w:right="-2"/>
              <w:rPr>
                <w:bCs/>
                <w:lang w:val="it-IT"/>
              </w:rPr>
            </w:pPr>
            <w:r w:rsidRPr="00682C88">
              <w:rPr>
                <w:bCs/>
                <w:lang w:val="it-IT"/>
              </w:rPr>
              <w:t>Olof Palmestraat 10, 2616 LR Delft</w:t>
            </w:r>
          </w:p>
          <w:p w14:paraId="3CCC18C4" w14:textId="77777777" w:rsidR="003D07BE" w:rsidRDefault="00DC4C6E" w:rsidP="003D07BE">
            <w:pPr>
              <w:numPr>
                <w:ilvl w:val="12"/>
                <w:numId w:val="0"/>
              </w:numPr>
              <w:ind w:right="-2"/>
              <w:rPr>
                <w:bCs/>
              </w:rPr>
            </w:pPr>
            <w:r w:rsidRPr="000F0246">
              <w:rPr>
                <w:bCs/>
              </w:rPr>
              <w:t>Alankomaat</w:t>
            </w:r>
            <w:r w:rsidR="003D07BE" w:rsidRPr="000F0246">
              <w:rPr>
                <w:bCs/>
              </w:rPr>
              <w:t>/Nederländerna</w:t>
            </w:r>
          </w:p>
          <w:p w14:paraId="7CDEEBCB" w14:textId="77777777" w:rsidR="0076757D" w:rsidRPr="00121152" w:rsidRDefault="000B1DED" w:rsidP="0076757D">
            <w:pPr>
              <w:numPr>
                <w:ilvl w:val="12"/>
                <w:numId w:val="0"/>
              </w:numPr>
              <w:ind w:right="-2"/>
            </w:pPr>
            <w:hyperlink r:id="rId36" w:history="1">
              <w:r w:rsidR="0076757D" w:rsidRPr="00121152">
                <w:rPr>
                  <w:rStyle w:val="Hyperlink"/>
                </w:rPr>
                <w:t>bioepis.mi@medinformation.co.uk</w:t>
              </w:r>
            </w:hyperlink>
          </w:p>
          <w:p w14:paraId="0F08CDB9" w14:textId="77777777" w:rsidR="0076757D" w:rsidRPr="00121152" w:rsidRDefault="0076757D" w:rsidP="003D07BE">
            <w:pPr>
              <w:numPr>
                <w:ilvl w:val="12"/>
                <w:numId w:val="0"/>
              </w:numPr>
              <w:ind w:right="-2"/>
              <w:rPr>
                <w:rFonts w:eastAsia="Yu Mincho"/>
                <w:b/>
              </w:rPr>
            </w:pPr>
          </w:p>
        </w:tc>
      </w:tr>
      <w:tr w:rsidR="003D07BE" w:rsidRPr="006A2BF9" w14:paraId="20075A9C" w14:textId="77777777" w:rsidTr="003D07BE">
        <w:trPr>
          <w:cantSplit/>
        </w:trPr>
        <w:tc>
          <w:tcPr>
            <w:tcW w:w="4590" w:type="dxa"/>
          </w:tcPr>
          <w:p w14:paraId="3C0B9A9F" w14:textId="77777777" w:rsidR="003D07BE" w:rsidRPr="000F0246" w:rsidRDefault="003D07BE" w:rsidP="003D07BE">
            <w:pPr>
              <w:numPr>
                <w:ilvl w:val="12"/>
                <w:numId w:val="0"/>
              </w:numPr>
              <w:ind w:right="-2"/>
              <w:rPr>
                <w:b/>
                <w:lang w:eastAsia="en-US"/>
              </w:rPr>
            </w:pPr>
            <w:r w:rsidRPr="00330A40">
              <w:rPr>
                <w:b/>
                <w:lang w:val="it-IT" w:eastAsia="en-US"/>
              </w:rPr>
              <w:t>Κύπρος</w:t>
            </w:r>
          </w:p>
          <w:p w14:paraId="2437A1DA" w14:textId="77777777" w:rsidR="003D07BE" w:rsidRPr="000F0246" w:rsidRDefault="003D07BE" w:rsidP="003D07BE">
            <w:pPr>
              <w:numPr>
                <w:ilvl w:val="12"/>
                <w:numId w:val="0"/>
              </w:numPr>
              <w:ind w:right="-2"/>
              <w:rPr>
                <w:bCs/>
                <w:lang w:eastAsia="en-US"/>
              </w:rPr>
            </w:pPr>
            <w:r w:rsidRPr="000F0246">
              <w:rPr>
                <w:bCs/>
                <w:lang w:eastAsia="en-US"/>
              </w:rPr>
              <w:t>Samsung Bioepis NL B.V.</w:t>
            </w:r>
          </w:p>
          <w:p w14:paraId="0548E4BE" w14:textId="77777777" w:rsidR="003D07BE" w:rsidRPr="000F0246" w:rsidRDefault="003D07BE" w:rsidP="00D33DB6">
            <w:pPr>
              <w:numPr>
                <w:ilvl w:val="12"/>
                <w:numId w:val="0"/>
              </w:numPr>
              <w:ind w:right="-2"/>
              <w:rPr>
                <w:bCs/>
                <w:lang w:val="it-IT" w:eastAsia="en-US"/>
              </w:rPr>
            </w:pPr>
            <w:r w:rsidRPr="000F0246">
              <w:rPr>
                <w:bCs/>
                <w:lang w:val="it-IT" w:eastAsia="en-US"/>
              </w:rPr>
              <w:t>Olof Palmestraat 10, 2616 LR Delft</w:t>
            </w:r>
          </w:p>
          <w:p w14:paraId="587BF782" w14:textId="77777777" w:rsidR="003D07BE" w:rsidRPr="000F0246" w:rsidRDefault="00DC4C6E" w:rsidP="003D07BE">
            <w:pPr>
              <w:numPr>
                <w:ilvl w:val="12"/>
                <w:numId w:val="0"/>
              </w:numPr>
              <w:ind w:right="-2"/>
              <w:rPr>
                <w:bCs/>
                <w:lang w:val="it-IT" w:eastAsia="en-US"/>
              </w:rPr>
            </w:pPr>
            <w:r w:rsidRPr="000F0246">
              <w:rPr>
                <w:lang w:val="it-IT"/>
              </w:rPr>
              <w:t>Ολλανδία</w:t>
            </w:r>
          </w:p>
          <w:p w14:paraId="26D30FB1" w14:textId="77777777" w:rsidR="0076757D" w:rsidRDefault="000B1DED" w:rsidP="0076757D">
            <w:pPr>
              <w:numPr>
                <w:ilvl w:val="12"/>
                <w:numId w:val="0"/>
              </w:numPr>
              <w:ind w:right="-2"/>
              <w:rPr>
                <w:lang w:val="it-IT"/>
              </w:rPr>
            </w:pPr>
            <w:hyperlink r:id="rId37" w:history="1">
              <w:r w:rsidR="0076757D" w:rsidRPr="00D8131C">
                <w:rPr>
                  <w:rStyle w:val="Hyperlink"/>
                  <w:lang w:val="it-IT"/>
                </w:rPr>
                <w:t>bioepis.mi@medinformation.co.uk</w:t>
              </w:r>
            </w:hyperlink>
          </w:p>
          <w:p w14:paraId="0A0DCE7F" w14:textId="77777777" w:rsidR="003D07BE" w:rsidRPr="001226DD" w:rsidRDefault="003D07BE" w:rsidP="003D07BE">
            <w:pPr>
              <w:numPr>
                <w:ilvl w:val="12"/>
                <w:numId w:val="0"/>
              </w:numPr>
              <w:ind w:right="-2"/>
              <w:rPr>
                <w:b/>
                <w:lang w:val="it-IT" w:eastAsia="en-US"/>
              </w:rPr>
            </w:pPr>
          </w:p>
        </w:tc>
        <w:tc>
          <w:tcPr>
            <w:tcW w:w="4590" w:type="dxa"/>
          </w:tcPr>
          <w:p w14:paraId="4EB7A5C5" w14:textId="77777777" w:rsidR="003D07BE" w:rsidRPr="00682C88" w:rsidRDefault="003D07BE" w:rsidP="003D07BE">
            <w:pPr>
              <w:numPr>
                <w:ilvl w:val="12"/>
                <w:numId w:val="0"/>
              </w:numPr>
              <w:ind w:right="-2"/>
              <w:rPr>
                <w:b/>
                <w:lang w:val="da-DK"/>
              </w:rPr>
            </w:pPr>
            <w:r w:rsidRPr="00682C88">
              <w:rPr>
                <w:b/>
                <w:lang w:val="da-DK"/>
              </w:rPr>
              <w:t>Sverige</w:t>
            </w:r>
          </w:p>
          <w:p w14:paraId="765F42EA" w14:textId="77777777" w:rsidR="003D07BE" w:rsidRPr="00682C88" w:rsidRDefault="003D07BE" w:rsidP="003D07BE">
            <w:pPr>
              <w:numPr>
                <w:ilvl w:val="12"/>
                <w:numId w:val="0"/>
              </w:numPr>
              <w:ind w:right="-2"/>
              <w:rPr>
                <w:bCs/>
                <w:lang w:val="da-DK"/>
              </w:rPr>
            </w:pPr>
            <w:r w:rsidRPr="00682C88">
              <w:rPr>
                <w:bCs/>
                <w:lang w:val="da-DK"/>
              </w:rPr>
              <w:t>Samsung Bioepis NL B.V.</w:t>
            </w:r>
          </w:p>
          <w:p w14:paraId="3F970EBB" w14:textId="77777777" w:rsidR="003D07BE" w:rsidRPr="00330A40" w:rsidRDefault="003D07BE" w:rsidP="00D33DB6">
            <w:pPr>
              <w:numPr>
                <w:ilvl w:val="12"/>
                <w:numId w:val="0"/>
              </w:numPr>
              <w:ind w:right="-2"/>
              <w:rPr>
                <w:bCs/>
                <w:lang w:val="it-IT"/>
              </w:rPr>
            </w:pPr>
            <w:r w:rsidRPr="00330A40">
              <w:rPr>
                <w:bCs/>
                <w:lang w:val="it-IT"/>
              </w:rPr>
              <w:t>Olof Palmestraat 10, 2616 LR Delft</w:t>
            </w:r>
          </w:p>
          <w:p w14:paraId="211D025D" w14:textId="77777777" w:rsidR="003D07BE" w:rsidRDefault="003D07BE" w:rsidP="00D33DB6">
            <w:pPr>
              <w:numPr>
                <w:ilvl w:val="12"/>
                <w:numId w:val="0"/>
              </w:numPr>
              <w:ind w:right="-2"/>
              <w:rPr>
                <w:bCs/>
                <w:lang w:val="it-IT"/>
              </w:rPr>
            </w:pPr>
            <w:r w:rsidRPr="00330A40">
              <w:rPr>
                <w:bCs/>
                <w:lang w:val="it-IT"/>
              </w:rPr>
              <w:t>Nederländerna</w:t>
            </w:r>
          </w:p>
          <w:p w14:paraId="70F068DF" w14:textId="77777777" w:rsidR="0076757D" w:rsidRDefault="000B1DED" w:rsidP="0076757D">
            <w:pPr>
              <w:numPr>
                <w:ilvl w:val="12"/>
                <w:numId w:val="0"/>
              </w:numPr>
              <w:ind w:right="-2"/>
              <w:rPr>
                <w:lang w:val="it-IT"/>
              </w:rPr>
            </w:pPr>
            <w:hyperlink r:id="rId38" w:history="1">
              <w:r w:rsidR="0076757D" w:rsidRPr="00D8131C">
                <w:rPr>
                  <w:rStyle w:val="Hyperlink"/>
                  <w:lang w:val="it-IT"/>
                </w:rPr>
                <w:t>bioepis.mi@medinformation.co.uk</w:t>
              </w:r>
            </w:hyperlink>
          </w:p>
          <w:p w14:paraId="51F430F7" w14:textId="77777777" w:rsidR="003D07BE" w:rsidRPr="00330A40" w:rsidRDefault="003D07BE" w:rsidP="003D07BE">
            <w:pPr>
              <w:numPr>
                <w:ilvl w:val="12"/>
                <w:numId w:val="0"/>
              </w:numPr>
              <w:ind w:right="-2"/>
              <w:rPr>
                <w:b/>
                <w:lang w:val="it-IT"/>
              </w:rPr>
            </w:pPr>
          </w:p>
        </w:tc>
      </w:tr>
      <w:tr w:rsidR="003D07BE" w:rsidRPr="006A2BF9" w14:paraId="6B212100" w14:textId="77777777" w:rsidTr="003D07BE">
        <w:trPr>
          <w:cantSplit/>
        </w:trPr>
        <w:tc>
          <w:tcPr>
            <w:tcW w:w="4590" w:type="dxa"/>
          </w:tcPr>
          <w:p w14:paraId="552BD535" w14:textId="77777777" w:rsidR="003D07BE" w:rsidRPr="00682C88" w:rsidRDefault="003D07BE" w:rsidP="003D07BE">
            <w:pPr>
              <w:numPr>
                <w:ilvl w:val="12"/>
                <w:numId w:val="0"/>
              </w:numPr>
              <w:ind w:right="-2"/>
              <w:rPr>
                <w:b/>
                <w:lang w:val="it-IT" w:eastAsia="en-US"/>
              </w:rPr>
            </w:pPr>
            <w:r w:rsidRPr="00682C88">
              <w:rPr>
                <w:b/>
                <w:lang w:val="it-IT" w:eastAsia="en-US"/>
              </w:rPr>
              <w:t>Latvija</w:t>
            </w:r>
          </w:p>
          <w:p w14:paraId="0D9F377C" w14:textId="77777777" w:rsidR="003D07BE" w:rsidRPr="00682C88" w:rsidRDefault="003D07BE" w:rsidP="003D07BE">
            <w:pPr>
              <w:numPr>
                <w:ilvl w:val="12"/>
                <w:numId w:val="0"/>
              </w:numPr>
              <w:ind w:right="-2"/>
              <w:rPr>
                <w:bCs/>
                <w:lang w:val="it-IT" w:eastAsia="en-US"/>
              </w:rPr>
            </w:pPr>
            <w:r w:rsidRPr="00682C88">
              <w:rPr>
                <w:bCs/>
                <w:lang w:val="it-IT" w:eastAsia="en-US"/>
              </w:rPr>
              <w:t>Samsung Bioepis NL B.V.</w:t>
            </w:r>
          </w:p>
          <w:p w14:paraId="302052BC" w14:textId="77777777" w:rsidR="003D07BE" w:rsidRPr="00330A40" w:rsidRDefault="003D07BE" w:rsidP="00D33DB6">
            <w:pPr>
              <w:numPr>
                <w:ilvl w:val="12"/>
                <w:numId w:val="0"/>
              </w:numPr>
              <w:ind w:right="-2"/>
              <w:rPr>
                <w:bCs/>
                <w:lang w:val="it-IT" w:eastAsia="en-US"/>
              </w:rPr>
            </w:pPr>
            <w:r w:rsidRPr="00330A40">
              <w:rPr>
                <w:bCs/>
                <w:lang w:val="it-IT" w:eastAsia="en-US"/>
              </w:rPr>
              <w:t>Olof Palmestraat 10, 2616 LR Delft</w:t>
            </w:r>
          </w:p>
          <w:p w14:paraId="6312C319" w14:textId="77777777" w:rsidR="003D07BE" w:rsidRDefault="003D07BE" w:rsidP="003D07BE">
            <w:pPr>
              <w:numPr>
                <w:ilvl w:val="12"/>
                <w:numId w:val="0"/>
              </w:numPr>
              <w:ind w:right="-2"/>
              <w:rPr>
                <w:bCs/>
                <w:lang w:val="it-IT" w:eastAsia="en-US"/>
              </w:rPr>
            </w:pPr>
            <w:r w:rsidRPr="00330A40">
              <w:rPr>
                <w:bCs/>
                <w:lang w:val="it-IT" w:eastAsia="en-US"/>
              </w:rPr>
              <w:t>Nīderlande</w:t>
            </w:r>
          </w:p>
          <w:p w14:paraId="61D376E3" w14:textId="77777777" w:rsidR="0076757D" w:rsidRPr="00121152" w:rsidRDefault="000B1DED" w:rsidP="003D07BE">
            <w:pPr>
              <w:numPr>
                <w:ilvl w:val="12"/>
                <w:numId w:val="0"/>
              </w:numPr>
              <w:ind w:right="-2"/>
              <w:rPr>
                <w:rFonts w:eastAsia="Yu Mincho"/>
                <w:lang w:val="it-IT"/>
              </w:rPr>
            </w:pPr>
            <w:hyperlink r:id="rId39" w:history="1">
              <w:r w:rsidR="0076757D" w:rsidRPr="00D8131C">
                <w:rPr>
                  <w:rStyle w:val="Hyperlink"/>
                  <w:lang w:val="it-IT"/>
                </w:rPr>
                <w:t>bioepis.mi@medinformation.co.uk</w:t>
              </w:r>
            </w:hyperlink>
          </w:p>
        </w:tc>
        <w:tc>
          <w:tcPr>
            <w:tcW w:w="4590" w:type="dxa"/>
          </w:tcPr>
          <w:p w14:paraId="0884D662" w14:textId="77777777" w:rsidR="003D07BE" w:rsidRPr="00671A63" w:rsidRDefault="003D07BE" w:rsidP="00626783">
            <w:pPr>
              <w:numPr>
                <w:ilvl w:val="12"/>
                <w:numId w:val="0"/>
              </w:numPr>
              <w:ind w:right="-2"/>
              <w:rPr>
                <w:rFonts w:eastAsia="Yu Mincho"/>
                <w:b/>
                <w:lang w:val="it-IT"/>
              </w:rPr>
            </w:pPr>
          </w:p>
        </w:tc>
      </w:tr>
      <w:tr w:rsidR="003D07BE" w:rsidRPr="006A2BF9" w14:paraId="7FDD10BB" w14:textId="77777777" w:rsidTr="003D07BE">
        <w:trPr>
          <w:cantSplit/>
        </w:trPr>
        <w:tc>
          <w:tcPr>
            <w:tcW w:w="4590" w:type="dxa"/>
          </w:tcPr>
          <w:p w14:paraId="70FBEE10" w14:textId="77777777" w:rsidR="003D07BE" w:rsidRPr="006A2BF9" w:rsidRDefault="003D07BE" w:rsidP="003D07BE">
            <w:pPr>
              <w:numPr>
                <w:ilvl w:val="12"/>
                <w:numId w:val="0"/>
              </w:numPr>
              <w:ind w:right="-2"/>
              <w:rPr>
                <w:b/>
                <w:lang w:val="it-IT" w:eastAsia="en-US"/>
              </w:rPr>
            </w:pPr>
          </w:p>
        </w:tc>
        <w:tc>
          <w:tcPr>
            <w:tcW w:w="4590" w:type="dxa"/>
          </w:tcPr>
          <w:p w14:paraId="0BE8DFC4" w14:textId="77777777" w:rsidR="003D07BE" w:rsidRPr="006A2BF9" w:rsidRDefault="003D07BE" w:rsidP="003D07BE">
            <w:pPr>
              <w:numPr>
                <w:ilvl w:val="12"/>
                <w:numId w:val="0"/>
              </w:numPr>
              <w:ind w:right="-2"/>
              <w:rPr>
                <w:b/>
                <w:lang w:val="it-IT"/>
              </w:rPr>
            </w:pPr>
          </w:p>
        </w:tc>
      </w:tr>
    </w:tbl>
    <w:p w14:paraId="5ED7CE6B" w14:textId="77777777" w:rsidR="009C0666" w:rsidRPr="006A2BF9" w:rsidRDefault="009C0666" w:rsidP="009C0666">
      <w:pPr>
        <w:numPr>
          <w:ilvl w:val="12"/>
          <w:numId w:val="0"/>
        </w:numPr>
        <w:ind w:right="-2"/>
        <w:rPr>
          <w:lang w:val="it-IT"/>
        </w:rPr>
      </w:pPr>
    </w:p>
    <w:p w14:paraId="1816BBB6" w14:textId="77777777" w:rsidR="00D9330D" w:rsidRPr="006A2BF9" w:rsidRDefault="009C0666" w:rsidP="00197876">
      <w:pPr>
        <w:keepNext/>
        <w:keepLines/>
        <w:ind w:right="-2"/>
        <w:rPr>
          <w:lang w:val="it-IT"/>
        </w:rPr>
      </w:pPr>
      <w:r w:rsidRPr="006A2BF9">
        <w:rPr>
          <w:b/>
          <w:bCs/>
          <w:lang w:val="it-IT"/>
        </w:rPr>
        <w:t xml:space="preserve">Questo foglio illustrativo è stato </w:t>
      </w:r>
      <w:r w:rsidR="00CB4D64" w:rsidRPr="006A2BF9">
        <w:rPr>
          <w:b/>
          <w:bCs/>
          <w:lang w:val="it-IT"/>
        </w:rPr>
        <w:t xml:space="preserve">aggiornato </w:t>
      </w:r>
      <w:r w:rsidR="003D07BE" w:rsidRPr="006A2BF9">
        <w:rPr>
          <w:b/>
          <w:bCs/>
          <w:lang w:val="it-IT"/>
        </w:rPr>
        <w:t>il</w:t>
      </w:r>
    </w:p>
    <w:p w14:paraId="3B2BEA9E" w14:textId="77777777" w:rsidR="00D9330D" w:rsidRPr="006A2BF9" w:rsidRDefault="00D9330D" w:rsidP="00197876">
      <w:pPr>
        <w:keepNext/>
        <w:keepLines/>
        <w:ind w:right="-449"/>
        <w:rPr>
          <w:lang w:val="it-IT"/>
        </w:rPr>
      </w:pPr>
    </w:p>
    <w:p w14:paraId="1ED47D67" w14:textId="77777777" w:rsidR="003D07BE" w:rsidRPr="006A2BF9" w:rsidRDefault="003D07BE" w:rsidP="00197876">
      <w:pPr>
        <w:keepNext/>
        <w:keepLines/>
        <w:ind w:right="-449"/>
        <w:rPr>
          <w:lang w:val="it-IT"/>
        </w:rPr>
      </w:pPr>
    </w:p>
    <w:p w14:paraId="58DB8F44" w14:textId="77777777" w:rsidR="00BD661B" w:rsidRPr="006A2BF9" w:rsidRDefault="00080F71" w:rsidP="00197876">
      <w:pPr>
        <w:keepNext/>
        <w:keepLines/>
        <w:ind w:right="-449"/>
        <w:rPr>
          <w:b/>
          <w:lang w:val="it-IT"/>
        </w:rPr>
      </w:pPr>
      <w:r w:rsidRPr="006A2BF9">
        <w:rPr>
          <w:b/>
          <w:lang w:val="it-IT"/>
        </w:rPr>
        <w:t>Altre fonti d</w:t>
      </w:r>
      <w:r w:rsidR="003D07BE" w:rsidRPr="006A2BF9">
        <w:rPr>
          <w:b/>
          <w:lang w:val="it-IT"/>
        </w:rPr>
        <w:t>’</w:t>
      </w:r>
      <w:r w:rsidRPr="006A2BF9">
        <w:rPr>
          <w:b/>
          <w:lang w:val="it-IT"/>
        </w:rPr>
        <w:t>informazion</w:t>
      </w:r>
      <w:r w:rsidR="00CE2E50" w:rsidRPr="006A2BF9">
        <w:rPr>
          <w:b/>
          <w:lang w:val="it-IT"/>
        </w:rPr>
        <w:t>i</w:t>
      </w:r>
    </w:p>
    <w:p w14:paraId="7A13FC0A" w14:textId="77777777" w:rsidR="00080F71" w:rsidRPr="006A2BF9" w:rsidRDefault="00080F71" w:rsidP="00197876">
      <w:pPr>
        <w:keepNext/>
        <w:keepLines/>
        <w:ind w:right="-449"/>
        <w:rPr>
          <w:lang w:val="it-IT"/>
        </w:rPr>
      </w:pPr>
    </w:p>
    <w:p w14:paraId="6BB911C1" w14:textId="77777777" w:rsidR="00C92CC4" w:rsidRPr="00330A40" w:rsidRDefault="00C92CC4" w:rsidP="00197876">
      <w:pPr>
        <w:keepNext/>
        <w:keepLines/>
        <w:ind w:right="-449"/>
        <w:rPr>
          <w:lang w:val="it-IT"/>
        </w:rPr>
      </w:pPr>
      <w:r w:rsidRPr="006A2BF9">
        <w:rPr>
          <w:lang w:val="it-IT"/>
        </w:rPr>
        <w:t>Informazioni più dettagliate su questo medicinale sono disponibili sul sito web dell</w:t>
      </w:r>
      <w:r w:rsidR="003D07BE" w:rsidRPr="006A2BF9">
        <w:rPr>
          <w:lang w:val="it-IT"/>
        </w:rPr>
        <w:t>’</w:t>
      </w:r>
      <w:r w:rsidRPr="006A2BF9">
        <w:rPr>
          <w:lang w:val="it-IT"/>
        </w:rPr>
        <w:t xml:space="preserve">Agenzia </w:t>
      </w:r>
      <w:r w:rsidR="003D07BE" w:rsidRPr="006A2BF9">
        <w:rPr>
          <w:lang w:val="it-IT"/>
        </w:rPr>
        <w:t>e</w:t>
      </w:r>
      <w:r w:rsidRPr="006A2BF9">
        <w:rPr>
          <w:lang w:val="it-IT"/>
        </w:rPr>
        <w:t xml:space="preserve">uropea dei </w:t>
      </w:r>
      <w:r w:rsidR="003D07BE" w:rsidRPr="006A2BF9">
        <w:rPr>
          <w:lang w:val="it-IT"/>
        </w:rPr>
        <w:t>m</w:t>
      </w:r>
      <w:r w:rsidRPr="006A2BF9">
        <w:rPr>
          <w:lang w:val="it-IT"/>
        </w:rPr>
        <w:t>edicinali</w:t>
      </w:r>
      <w:r w:rsidR="003D07BE" w:rsidRPr="006A2BF9">
        <w:rPr>
          <w:lang w:val="it-IT"/>
        </w:rPr>
        <w:t>,</w:t>
      </w:r>
      <w:r w:rsidRPr="006A2BF9">
        <w:rPr>
          <w:lang w:val="it-IT"/>
        </w:rPr>
        <w:t xml:space="preserve"> </w:t>
      </w:r>
      <w:hyperlink r:id="rId40" w:history="1">
        <w:r w:rsidR="008B37A9" w:rsidRPr="00330A40">
          <w:rPr>
            <w:rStyle w:val="Hyperlink"/>
            <w:lang w:val="it-IT"/>
          </w:rPr>
          <w:t>http://www.ema.europa.eu</w:t>
        </w:r>
      </w:hyperlink>
      <w:r w:rsidR="00CE2E50" w:rsidRPr="00330A40">
        <w:rPr>
          <w:lang w:val="it-IT"/>
        </w:rPr>
        <w:t>.</w:t>
      </w:r>
    </w:p>
    <w:p w14:paraId="35EAF859" w14:textId="77777777" w:rsidR="00AB76C7" w:rsidRPr="00330A40" w:rsidRDefault="00AB76C7" w:rsidP="00197876">
      <w:pPr>
        <w:keepNext/>
        <w:keepLines/>
        <w:ind w:right="-449"/>
        <w:rPr>
          <w:lang w:val="it-IT"/>
        </w:rPr>
      </w:pPr>
    </w:p>
    <w:p w14:paraId="12464314" w14:textId="77777777" w:rsidR="00080F71" w:rsidRDefault="003D07BE" w:rsidP="00197876">
      <w:pPr>
        <w:keepNext/>
        <w:keepLines/>
        <w:ind w:right="-449"/>
        <w:rPr>
          <w:lang w:val="it-IT"/>
        </w:rPr>
      </w:pPr>
      <w:r w:rsidRPr="00330A40">
        <w:rPr>
          <w:lang w:val="it-IT"/>
        </w:rPr>
        <w:t>Questo foglio è disponibile in tutte le lingue dell’Unione europea/dello Spazio economico europeo sul sito web dell’Agenzia europea dei medicinali.</w:t>
      </w:r>
    </w:p>
    <w:p w14:paraId="2C881A74" w14:textId="77777777" w:rsidR="00E95C16" w:rsidRDefault="00E95C16" w:rsidP="00197876">
      <w:pPr>
        <w:keepNext/>
        <w:keepLines/>
        <w:ind w:right="-449"/>
        <w:rPr>
          <w:rFonts w:eastAsia="Yu Mincho"/>
          <w:lang w:val="it-IT"/>
        </w:rPr>
      </w:pPr>
    </w:p>
    <w:p w14:paraId="7C6B92DA" w14:textId="5784A295" w:rsidR="00E95C16" w:rsidRPr="00B74D84" w:rsidRDefault="00E95C16" w:rsidP="00E95C16">
      <w:pPr>
        <w:pStyle w:val="BodytextAgency"/>
        <w:spacing w:after="0" w:line="240" w:lineRule="auto"/>
        <w:rPr>
          <w:rFonts w:eastAsia="Yu Mincho"/>
          <w:lang w:val="it-IT"/>
        </w:rPr>
      </w:pPr>
    </w:p>
    <w:sectPr w:rsidR="00E95C16" w:rsidRPr="00B74D84" w:rsidSect="00B74D84">
      <w:footerReference w:type="default" r:id="rId41"/>
      <w:footerReference w:type="first" r:id="rId42"/>
      <w:endnotePr>
        <w:numFmt w:val="decimal"/>
      </w:endnotePr>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B15AF" w14:textId="77777777" w:rsidR="000B1DED" w:rsidRDefault="000B1DED">
      <w:r>
        <w:separator/>
      </w:r>
    </w:p>
  </w:endnote>
  <w:endnote w:type="continuationSeparator" w:id="0">
    <w:p w14:paraId="61FE851D" w14:textId="77777777" w:rsidR="000B1DED" w:rsidRDefault="000B1DED">
      <w:r>
        <w:continuationSeparator/>
      </w:r>
    </w:p>
  </w:endnote>
  <w:endnote w:type="continuationNotice" w:id="1">
    <w:p w14:paraId="135D5993" w14:textId="77777777" w:rsidR="000B1DED" w:rsidRDefault="000B1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5EA1E" w14:textId="77777777" w:rsidR="007933D2" w:rsidRDefault="007933D2" w:rsidP="0025152A">
    <w:pPr>
      <w:pStyle w:val="Footer"/>
      <w:jc w:val="center"/>
      <w:rPr>
        <w:lang w:val="fr-FR"/>
      </w:rPr>
    </w:pPr>
    <w:r>
      <w:rPr>
        <w:lang w:val="fr-FR"/>
      </w:rPr>
      <w:fldChar w:fldCharType="begin"/>
    </w:r>
    <w:r>
      <w:rPr>
        <w:lang w:val="fr-FR"/>
      </w:rPr>
      <w:instrText xml:space="preserve">PAGE  </w:instrText>
    </w:r>
    <w:r>
      <w:rPr>
        <w:lang w:val="fr-FR"/>
      </w:rPr>
      <w:fldChar w:fldCharType="separate"/>
    </w:r>
    <w:r w:rsidR="00B74D84">
      <w:rPr>
        <w:noProof/>
        <w:lang w:val="fr-FR"/>
      </w:rPr>
      <w:t>81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C792A" w14:textId="77777777" w:rsidR="007933D2" w:rsidRDefault="007933D2">
    <w:pPr>
      <w:pStyle w:val="Footer"/>
      <w:jc w:val="center"/>
      <w:rPr>
        <w:lang w:val="fr-FR"/>
      </w:rPr>
    </w:pPr>
    <w:r>
      <w:fldChar w:fldCharType="begin"/>
    </w:r>
    <w:r>
      <w:instrText xml:space="preserve"> EQ </w:instrText>
    </w:r>
    <w:r>
      <w:fldChar w:fldCharType="end"/>
    </w:r>
    <w:r>
      <w:rPr>
        <w:lang w:val="fr-FR"/>
      </w:rPr>
      <w:fldChar w:fldCharType="begin"/>
    </w:r>
    <w:r>
      <w:rPr>
        <w:lang w:val="fr-FR"/>
      </w:rPr>
      <w:instrText xml:space="preserve">PAGE  </w:instrText>
    </w:r>
    <w:r>
      <w:rPr>
        <w:lang w:val="fr-FR"/>
      </w:rPr>
      <w:fldChar w:fldCharType="separate"/>
    </w:r>
    <w:r>
      <w:rPr>
        <w:noProof/>
        <w:lang w:val="fr-FR"/>
      </w:rPr>
      <w:t>81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9CDF7" w14:textId="77777777" w:rsidR="000B1DED" w:rsidRDefault="000B1DED">
      <w:r>
        <w:separator/>
      </w:r>
    </w:p>
  </w:footnote>
  <w:footnote w:type="continuationSeparator" w:id="0">
    <w:p w14:paraId="3C0E7A8A" w14:textId="77777777" w:rsidR="000B1DED" w:rsidRDefault="000B1DED">
      <w:r>
        <w:continuationSeparator/>
      </w:r>
    </w:p>
  </w:footnote>
  <w:footnote w:type="continuationNotice" w:id="1">
    <w:p w14:paraId="4EBFECC8" w14:textId="77777777" w:rsidR="000B1DED" w:rsidRDefault="000B1D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BT_1000x858px" style="width:15.65pt;height:13.15pt;visibility:visible;mso-wrap-style:square" o:bullet="t">
        <v:imagedata r:id="rId1" o:title="BT_1000x858px"/>
      </v:shape>
    </w:pict>
  </w:numPicBullet>
  <w:abstractNum w:abstractNumId="0" w15:restartNumberingAfterBreak="0">
    <w:nsid w:val="FFFFFF7C"/>
    <w:multiLevelType w:val="singleLevel"/>
    <w:tmpl w:val="BBD0B6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ECC3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11CF2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8ADA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D4C85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688C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D2B5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729D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E21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384E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D1A49"/>
    <w:multiLevelType w:val="hybridMultilevel"/>
    <w:tmpl w:val="C856FE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75D3271"/>
    <w:multiLevelType w:val="hybridMultilevel"/>
    <w:tmpl w:val="19D0B94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7F50589"/>
    <w:multiLevelType w:val="hybridMultilevel"/>
    <w:tmpl w:val="05D62112"/>
    <w:lvl w:ilvl="0" w:tplc="33827F6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1F4FA9"/>
    <w:multiLevelType w:val="hybridMultilevel"/>
    <w:tmpl w:val="C3F045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FE53DF"/>
    <w:multiLevelType w:val="hybridMultilevel"/>
    <w:tmpl w:val="BE2C3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C4D25E7"/>
    <w:multiLevelType w:val="hybridMultilevel"/>
    <w:tmpl w:val="AE68380A"/>
    <w:lvl w:ilvl="0" w:tplc="1F42692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FAE31D2"/>
    <w:multiLevelType w:val="hybridMultilevel"/>
    <w:tmpl w:val="1D9EB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038661F"/>
    <w:multiLevelType w:val="hybridMultilevel"/>
    <w:tmpl w:val="CE1EE520"/>
    <w:lvl w:ilvl="0" w:tplc="9C62054E">
      <w:numFmt w:val="bullet"/>
      <w:lvlText w:val=""/>
      <w:lvlJc w:val="left"/>
      <w:pPr>
        <w:ind w:left="924" w:hanging="564"/>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35F5D53"/>
    <w:multiLevelType w:val="hybridMultilevel"/>
    <w:tmpl w:val="DBBC554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435966"/>
    <w:multiLevelType w:val="hybridMultilevel"/>
    <w:tmpl w:val="762E2116"/>
    <w:lvl w:ilvl="0" w:tplc="9BACA110">
      <w:start w:val="7"/>
      <w:numFmt w:val="bullet"/>
      <w:lvlText w:val="-"/>
      <w:lvlJc w:val="left"/>
      <w:pPr>
        <w:tabs>
          <w:tab w:val="num" w:pos="1198"/>
        </w:tabs>
        <w:ind w:left="1198" w:hanging="630"/>
      </w:pPr>
      <w:rPr>
        <w:rFonts w:ascii="Times New Roman" w:eastAsia="MS Mincho" w:hAnsi="Times New Roman" w:hint="default"/>
      </w:rPr>
    </w:lvl>
    <w:lvl w:ilvl="1" w:tplc="04090003">
      <w:start w:val="1"/>
      <w:numFmt w:val="bullet"/>
      <w:lvlText w:val="o"/>
      <w:lvlJc w:val="left"/>
      <w:pPr>
        <w:tabs>
          <w:tab w:val="num" w:pos="1648"/>
        </w:tabs>
        <w:ind w:left="1648" w:hanging="360"/>
      </w:pPr>
      <w:rPr>
        <w:rFonts w:ascii="Courier New" w:hAnsi="Courier New" w:cs="Courier New" w:hint="default"/>
      </w:rPr>
    </w:lvl>
    <w:lvl w:ilvl="2" w:tplc="04090005">
      <w:start w:val="1"/>
      <w:numFmt w:val="bullet"/>
      <w:lvlText w:val=""/>
      <w:lvlJc w:val="left"/>
      <w:pPr>
        <w:tabs>
          <w:tab w:val="num" w:pos="2368"/>
        </w:tabs>
        <w:ind w:left="2368" w:hanging="360"/>
      </w:pPr>
      <w:rPr>
        <w:rFonts w:ascii="Times New Roman" w:hAnsi="Times New Roman" w:cs="Times New Roman" w:hint="default"/>
      </w:rPr>
    </w:lvl>
    <w:lvl w:ilvl="3" w:tplc="04090001">
      <w:start w:val="1"/>
      <w:numFmt w:val="bullet"/>
      <w:lvlText w:val=""/>
      <w:lvlJc w:val="left"/>
      <w:pPr>
        <w:tabs>
          <w:tab w:val="num" w:pos="3088"/>
        </w:tabs>
        <w:ind w:left="3088" w:hanging="360"/>
      </w:pPr>
      <w:rPr>
        <w:rFonts w:ascii="Symbol" w:hAnsi="Symbol" w:cs="Symbol" w:hint="default"/>
      </w:rPr>
    </w:lvl>
    <w:lvl w:ilvl="4" w:tplc="04090003">
      <w:start w:val="1"/>
      <w:numFmt w:val="bullet"/>
      <w:lvlText w:val="o"/>
      <w:lvlJc w:val="left"/>
      <w:pPr>
        <w:tabs>
          <w:tab w:val="num" w:pos="3808"/>
        </w:tabs>
        <w:ind w:left="3808" w:hanging="360"/>
      </w:pPr>
      <w:rPr>
        <w:rFonts w:ascii="Courier New" w:hAnsi="Courier New" w:cs="Courier New" w:hint="default"/>
      </w:rPr>
    </w:lvl>
    <w:lvl w:ilvl="5" w:tplc="04090005">
      <w:start w:val="1"/>
      <w:numFmt w:val="bullet"/>
      <w:lvlText w:val=""/>
      <w:lvlJc w:val="left"/>
      <w:pPr>
        <w:tabs>
          <w:tab w:val="num" w:pos="4528"/>
        </w:tabs>
        <w:ind w:left="4528" w:hanging="360"/>
      </w:pPr>
      <w:rPr>
        <w:rFonts w:ascii="Times New Roman" w:hAnsi="Times New Roman" w:cs="Times New Roman" w:hint="default"/>
      </w:rPr>
    </w:lvl>
    <w:lvl w:ilvl="6" w:tplc="04090001">
      <w:start w:val="1"/>
      <w:numFmt w:val="bullet"/>
      <w:lvlText w:val=""/>
      <w:lvlJc w:val="left"/>
      <w:pPr>
        <w:tabs>
          <w:tab w:val="num" w:pos="5248"/>
        </w:tabs>
        <w:ind w:left="5248" w:hanging="360"/>
      </w:pPr>
      <w:rPr>
        <w:rFonts w:ascii="Symbol" w:hAnsi="Symbol" w:cs="Symbol" w:hint="default"/>
      </w:rPr>
    </w:lvl>
    <w:lvl w:ilvl="7" w:tplc="04090003">
      <w:start w:val="1"/>
      <w:numFmt w:val="bullet"/>
      <w:lvlText w:val="o"/>
      <w:lvlJc w:val="left"/>
      <w:pPr>
        <w:tabs>
          <w:tab w:val="num" w:pos="5968"/>
        </w:tabs>
        <w:ind w:left="5968" w:hanging="360"/>
      </w:pPr>
      <w:rPr>
        <w:rFonts w:ascii="Courier New" w:hAnsi="Courier New" w:cs="Courier New" w:hint="default"/>
      </w:rPr>
    </w:lvl>
    <w:lvl w:ilvl="8" w:tplc="04090005">
      <w:start w:val="1"/>
      <w:numFmt w:val="bullet"/>
      <w:lvlText w:val=""/>
      <w:lvlJc w:val="left"/>
      <w:pPr>
        <w:tabs>
          <w:tab w:val="num" w:pos="6688"/>
        </w:tabs>
        <w:ind w:left="6688" w:hanging="360"/>
      </w:pPr>
      <w:rPr>
        <w:rFonts w:ascii="Times New Roman" w:hAnsi="Times New Roman" w:cs="Times New Roman" w:hint="default"/>
      </w:rPr>
    </w:lvl>
  </w:abstractNum>
  <w:abstractNum w:abstractNumId="22" w15:restartNumberingAfterBreak="0">
    <w:nsid w:val="1A0F6177"/>
    <w:multiLevelType w:val="hybridMultilevel"/>
    <w:tmpl w:val="D654DA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1B1D5171"/>
    <w:multiLevelType w:val="hybridMultilevel"/>
    <w:tmpl w:val="2AFA34C6"/>
    <w:lvl w:ilvl="0" w:tplc="1F42692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BD90F2B"/>
    <w:multiLevelType w:val="hybridMultilevel"/>
    <w:tmpl w:val="4A006B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20046380"/>
    <w:multiLevelType w:val="hybridMultilevel"/>
    <w:tmpl w:val="010EDD28"/>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0157941"/>
    <w:multiLevelType w:val="hybridMultilevel"/>
    <w:tmpl w:val="FAFA1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1434F89"/>
    <w:multiLevelType w:val="hybridMultilevel"/>
    <w:tmpl w:val="2446152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20D1558"/>
    <w:multiLevelType w:val="hybridMultilevel"/>
    <w:tmpl w:val="0298C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2BC4233"/>
    <w:multiLevelType w:val="singleLevel"/>
    <w:tmpl w:val="A0CC3BDE"/>
    <w:lvl w:ilvl="0">
      <w:start w:val="4"/>
      <w:numFmt w:val="bullet"/>
      <w:lvlText w:val="-"/>
      <w:lvlJc w:val="left"/>
      <w:pPr>
        <w:tabs>
          <w:tab w:val="num" w:pos="570"/>
        </w:tabs>
        <w:ind w:left="570" w:hanging="570"/>
      </w:pPr>
      <w:rPr>
        <w:rFonts w:hint="default"/>
      </w:rPr>
    </w:lvl>
  </w:abstractNum>
  <w:abstractNum w:abstractNumId="30" w15:restartNumberingAfterBreak="0">
    <w:nsid w:val="251C698A"/>
    <w:multiLevelType w:val="hybridMultilevel"/>
    <w:tmpl w:val="1C507D7C"/>
    <w:lvl w:ilvl="0" w:tplc="F08E17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01082B"/>
    <w:multiLevelType w:val="hybridMultilevel"/>
    <w:tmpl w:val="6B5ADD1A"/>
    <w:lvl w:ilvl="0" w:tplc="83D05946">
      <w:start w:val="39"/>
      <w:numFmt w:val="bullet"/>
      <w:lvlText w:val="-"/>
      <w:lvlJc w:val="left"/>
      <w:pPr>
        <w:tabs>
          <w:tab w:val="num" w:pos="570"/>
        </w:tabs>
        <w:ind w:left="570" w:hanging="57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Times New Roman" w:hAnsi="Times New Roman" w:cs="Times New Roman"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Times New Roman" w:hAnsi="Times New Roman" w:cs="Times New Roman"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Times New Roman" w:hAnsi="Times New Roman" w:cs="Times New Roman" w:hint="default"/>
      </w:rPr>
    </w:lvl>
  </w:abstractNum>
  <w:abstractNum w:abstractNumId="32" w15:restartNumberingAfterBreak="0">
    <w:nsid w:val="27A7691D"/>
    <w:multiLevelType w:val="hybridMultilevel"/>
    <w:tmpl w:val="B928C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9027366"/>
    <w:multiLevelType w:val="hybridMultilevel"/>
    <w:tmpl w:val="BC6E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B95796"/>
    <w:multiLevelType w:val="singleLevel"/>
    <w:tmpl w:val="FFFFFFFF"/>
    <w:lvl w:ilvl="0">
      <w:numFmt w:val="decimal"/>
      <w:pStyle w:val="Heading8"/>
      <w:lvlText w:val="%1"/>
      <w:legacy w:legacy="1" w:legacySpace="0" w:legacyIndent="0"/>
      <w:lvlJc w:val="left"/>
    </w:lvl>
  </w:abstractNum>
  <w:abstractNum w:abstractNumId="35" w15:restartNumberingAfterBreak="0">
    <w:nsid w:val="2A6A543A"/>
    <w:multiLevelType w:val="hybridMultilevel"/>
    <w:tmpl w:val="9F8C311C"/>
    <w:lvl w:ilvl="0" w:tplc="F1F61AE2">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8" w15:restartNumberingAfterBreak="0">
    <w:nsid w:val="2F1324C6"/>
    <w:multiLevelType w:val="hybridMultilevel"/>
    <w:tmpl w:val="C3DEC9D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06673D9"/>
    <w:multiLevelType w:val="hybridMultilevel"/>
    <w:tmpl w:val="0BAAC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08E6D59"/>
    <w:multiLevelType w:val="hybridMultilevel"/>
    <w:tmpl w:val="9602552C"/>
    <w:lvl w:ilvl="0" w:tplc="1F42692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265045C"/>
    <w:multiLevelType w:val="hybridMultilevel"/>
    <w:tmpl w:val="E6421C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2"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C07A9B"/>
    <w:multiLevelType w:val="hybridMultilevel"/>
    <w:tmpl w:val="A7AC1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6505A83"/>
    <w:multiLevelType w:val="hybridMultilevel"/>
    <w:tmpl w:val="9B8A67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6B219EB"/>
    <w:multiLevelType w:val="hybridMultilevel"/>
    <w:tmpl w:val="FD16D4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8C0588E"/>
    <w:multiLevelType w:val="hybridMultilevel"/>
    <w:tmpl w:val="2676E8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ADD0337"/>
    <w:multiLevelType w:val="hybridMultilevel"/>
    <w:tmpl w:val="036C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8A2E8D"/>
    <w:multiLevelType w:val="hybridMultilevel"/>
    <w:tmpl w:val="927AB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CCD3E5C"/>
    <w:multiLevelType w:val="hybridMultilevel"/>
    <w:tmpl w:val="3F04E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40732BBF"/>
    <w:multiLevelType w:val="hybridMultilevel"/>
    <w:tmpl w:val="0576F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0956639"/>
    <w:multiLevelType w:val="hybridMultilevel"/>
    <w:tmpl w:val="D6340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2D812ED"/>
    <w:multiLevelType w:val="hybridMultilevel"/>
    <w:tmpl w:val="89D8AE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3A67711"/>
    <w:multiLevelType w:val="multilevel"/>
    <w:tmpl w:val="393C3B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441E7027"/>
    <w:multiLevelType w:val="hybridMultilevel"/>
    <w:tmpl w:val="B5EEE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9267A4C"/>
    <w:multiLevelType w:val="hybridMultilevel"/>
    <w:tmpl w:val="F51251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9FB6A20"/>
    <w:multiLevelType w:val="hybridMultilevel"/>
    <w:tmpl w:val="1A7449E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7" w15:restartNumberingAfterBreak="0">
    <w:nsid w:val="4AF6719B"/>
    <w:multiLevelType w:val="hybridMultilevel"/>
    <w:tmpl w:val="14205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4B217B1E"/>
    <w:multiLevelType w:val="hybridMultilevel"/>
    <w:tmpl w:val="BB22B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BE67356"/>
    <w:multiLevelType w:val="singleLevel"/>
    <w:tmpl w:val="E6A4C6B6"/>
    <w:lvl w:ilvl="0">
      <w:start w:val="1"/>
      <w:numFmt w:val="decimal"/>
      <w:lvlText w:val="%1."/>
      <w:legacy w:legacy="1" w:legacySpace="0" w:legacyIndent="567"/>
      <w:lvlJc w:val="left"/>
      <w:pPr>
        <w:ind w:left="567" w:hanging="567"/>
      </w:pPr>
    </w:lvl>
  </w:abstractNum>
  <w:abstractNum w:abstractNumId="60" w15:restartNumberingAfterBreak="0">
    <w:nsid w:val="52501349"/>
    <w:multiLevelType w:val="hybridMultilevel"/>
    <w:tmpl w:val="333003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54DD6670"/>
    <w:multiLevelType w:val="multilevel"/>
    <w:tmpl w:val="010EDD2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8A464A4"/>
    <w:multiLevelType w:val="hybridMultilevel"/>
    <w:tmpl w:val="FEFE0E66"/>
    <w:lvl w:ilvl="0" w:tplc="A5D2F2B0">
      <w:start w:val="3"/>
      <w:numFmt w:val="decimal"/>
      <w:lvlText w:val="%1."/>
      <w:lvlJc w:val="left"/>
      <w:pPr>
        <w:tabs>
          <w:tab w:val="num" w:pos="570"/>
        </w:tabs>
        <w:ind w:left="570" w:hanging="57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3" w15:restartNumberingAfterBreak="0">
    <w:nsid w:val="5AA233C6"/>
    <w:multiLevelType w:val="hybridMultilevel"/>
    <w:tmpl w:val="FDEAB764"/>
    <w:lvl w:ilvl="0" w:tplc="04090005">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4" w15:restartNumberingAfterBreak="0">
    <w:nsid w:val="60514180"/>
    <w:multiLevelType w:val="hybridMultilevel"/>
    <w:tmpl w:val="3558F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52F0301"/>
    <w:multiLevelType w:val="hybridMultilevel"/>
    <w:tmpl w:val="6ACECBE2"/>
    <w:lvl w:ilvl="0" w:tplc="A5566274">
      <w:start w:val="2"/>
      <w:numFmt w:val="lowerRoman"/>
      <w:lvlText w:val="%1)"/>
      <w:lvlJc w:val="left"/>
      <w:pPr>
        <w:tabs>
          <w:tab w:val="num" w:pos="600"/>
        </w:tabs>
        <w:ind w:left="600" w:hanging="72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66" w15:restartNumberingAfterBreak="0">
    <w:nsid w:val="66772311"/>
    <w:multiLevelType w:val="hybridMultilevel"/>
    <w:tmpl w:val="07C0B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91100D7"/>
    <w:multiLevelType w:val="multilevel"/>
    <w:tmpl w:val="FDEAB76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8" w15:restartNumberingAfterBreak="0">
    <w:nsid w:val="69E4204E"/>
    <w:multiLevelType w:val="hybridMultilevel"/>
    <w:tmpl w:val="EB9EBB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5B17C1"/>
    <w:multiLevelType w:val="hybridMultilevel"/>
    <w:tmpl w:val="34029D52"/>
    <w:lvl w:ilvl="0" w:tplc="E7EAA4FE">
      <w:numFmt w:val="bullet"/>
      <w:lvlText w:val="•"/>
      <w:lvlJc w:val="left"/>
      <w:pPr>
        <w:ind w:left="564" w:hanging="504"/>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0" w15:restartNumberingAfterBreak="0">
    <w:nsid w:val="6D8557B9"/>
    <w:multiLevelType w:val="hybridMultilevel"/>
    <w:tmpl w:val="3E0E1E40"/>
    <w:lvl w:ilvl="0" w:tplc="0F2AFE24">
      <w:numFmt w:val="bullet"/>
      <w:lvlText w:val=""/>
      <w:lvlJc w:val="left"/>
      <w:pPr>
        <w:ind w:left="924" w:hanging="564"/>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6E07514C"/>
    <w:multiLevelType w:val="hybridMultilevel"/>
    <w:tmpl w:val="0A548A5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2"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2CA050B"/>
    <w:multiLevelType w:val="hybridMultilevel"/>
    <w:tmpl w:val="4BCA1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757A11E9"/>
    <w:multiLevelType w:val="hybridMultilevel"/>
    <w:tmpl w:val="F5DCBC3E"/>
    <w:lvl w:ilvl="0" w:tplc="4ED23782">
      <w:start w:val="1"/>
      <w:numFmt w:val="low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7BFA7F52"/>
    <w:multiLevelType w:val="hybridMultilevel"/>
    <w:tmpl w:val="583437E0"/>
    <w:lvl w:ilvl="0" w:tplc="155CB9C6">
      <w:numFmt w:val="bullet"/>
      <w:lvlText w:val=""/>
      <w:lvlJc w:val="left"/>
      <w:pPr>
        <w:ind w:left="924" w:hanging="564"/>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7CCC03DB"/>
    <w:multiLevelType w:val="hybridMultilevel"/>
    <w:tmpl w:val="947CF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7D0D2DFC"/>
    <w:multiLevelType w:val="hybridMultilevel"/>
    <w:tmpl w:val="78FE36F2"/>
    <w:lvl w:ilvl="0" w:tplc="14182374">
      <w:start w:val="1"/>
      <w:numFmt w:val="bullet"/>
      <w:lvlText w:val="-"/>
      <w:lvlJc w:val="left"/>
      <w:pPr>
        <w:tabs>
          <w:tab w:val="num" w:pos="930"/>
        </w:tabs>
        <w:ind w:left="930" w:hanging="57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F402092"/>
    <w:multiLevelType w:val="hybridMultilevel"/>
    <w:tmpl w:val="87AEB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4"/>
  </w:num>
  <w:num w:numId="2">
    <w:abstractNumId w:val="59"/>
  </w:num>
  <w:num w:numId="3">
    <w:abstractNumId w:val="10"/>
    <w:lvlOverride w:ilvl="0">
      <w:lvl w:ilvl="0">
        <w:start w:val="1"/>
        <w:numFmt w:val="bullet"/>
        <w:lvlText w:val="-"/>
        <w:legacy w:legacy="1" w:legacySpace="0" w:legacyIndent="360"/>
        <w:lvlJc w:val="left"/>
        <w:pPr>
          <w:ind w:left="360" w:hanging="360"/>
        </w:pPr>
      </w:lvl>
    </w:lvlOverride>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
  </w:num>
  <w:num w:numId="6">
    <w:abstractNumId w:val="37"/>
  </w:num>
  <w:num w:numId="7">
    <w:abstractNumId w:val="72"/>
  </w:num>
  <w:num w:numId="8">
    <w:abstractNumId w:val="63"/>
  </w:num>
  <w:num w:numId="9">
    <w:abstractNumId w:val="67"/>
  </w:num>
  <w:num w:numId="10">
    <w:abstractNumId w:val="71"/>
  </w:num>
  <w:num w:numId="11">
    <w:abstractNumId w:val="24"/>
  </w:num>
  <w:num w:numId="12">
    <w:abstractNumId w:val="62"/>
  </w:num>
  <w:num w:numId="13">
    <w:abstractNumId w:val="21"/>
  </w:num>
  <w:num w:numId="14">
    <w:abstractNumId w:val="31"/>
  </w:num>
  <w:num w:numId="15">
    <w:abstractNumId w:val="41"/>
  </w:num>
  <w:num w:numId="16">
    <w:abstractNumId w:val="22"/>
  </w:num>
  <w:num w:numId="17">
    <w:abstractNumId w:val="29"/>
  </w:num>
  <w:num w:numId="18">
    <w:abstractNumId w:val="35"/>
  </w:num>
  <w:num w:numId="19">
    <w:abstractNumId w:val="25"/>
  </w:num>
  <w:num w:numId="20">
    <w:abstractNumId w:val="61"/>
  </w:num>
  <w:num w:numId="21">
    <w:abstractNumId w:val="27"/>
  </w:num>
  <w:num w:numId="22">
    <w:abstractNumId w:val="77"/>
  </w:num>
  <w:num w:numId="23">
    <w:abstractNumId w:val="68"/>
  </w:num>
  <w:num w:numId="24">
    <w:abstractNumId w:val="55"/>
  </w:num>
  <w:num w:numId="25">
    <w:abstractNumId w:val="15"/>
  </w:num>
  <w:num w:numId="26">
    <w:abstractNumId w:val="14"/>
  </w:num>
  <w:num w:numId="27">
    <w:abstractNumId w:val="74"/>
  </w:num>
  <w:num w:numId="28">
    <w:abstractNumId w:val="64"/>
  </w:num>
  <w:num w:numId="29">
    <w:abstractNumId w:val="13"/>
  </w:num>
  <w:num w:numId="30">
    <w:abstractNumId w:val="65"/>
  </w:num>
  <w:num w:numId="31">
    <w:abstractNumId w:val="43"/>
  </w:num>
  <w:num w:numId="3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0"/>
  </w:num>
  <w:num w:numId="42">
    <w:abstractNumId w:val="66"/>
  </w:num>
  <w:num w:numId="43">
    <w:abstractNumId w:val="28"/>
  </w:num>
  <w:num w:numId="44">
    <w:abstractNumId w:val="52"/>
  </w:num>
  <w:num w:numId="45">
    <w:abstractNumId w:val="20"/>
  </w:num>
  <w:num w:numId="46">
    <w:abstractNumId w:val="46"/>
  </w:num>
  <w:num w:numId="47">
    <w:abstractNumId w:val="50"/>
  </w:num>
  <w:num w:numId="48">
    <w:abstractNumId w:val="78"/>
  </w:num>
  <w:num w:numId="49">
    <w:abstractNumId w:val="39"/>
  </w:num>
  <w:num w:numId="50">
    <w:abstractNumId w:val="44"/>
  </w:num>
  <w:num w:numId="51">
    <w:abstractNumId w:val="58"/>
  </w:num>
  <w:num w:numId="52">
    <w:abstractNumId w:val="60"/>
  </w:num>
  <w:num w:numId="53">
    <w:abstractNumId w:val="45"/>
  </w:num>
  <w:num w:numId="54">
    <w:abstractNumId w:val="76"/>
  </w:num>
  <w:num w:numId="55">
    <w:abstractNumId w:val="48"/>
  </w:num>
  <w:num w:numId="56">
    <w:abstractNumId w:val="51"/>
  </w:num>
  <w:num w:numId="57">
    <w:abstractNumId w:val="16"/>
  </w:num>
  <w:num w:numId="58">
    <w:abstractNumId w:val="57"/>
  </w:num>
  <w:num w:numId="59">
    <w:abstractNumId w:val="42"/>
  </w:num>
  <w:num w:numId="60">
    <w:abstractNumId w:val="47"/>
  </w:num>
  <w:num w:numId="61">
    <w:abstractNumId w:val="30"/>
  </w:num>
  <w:num w:numId="62">
    <w:abstractNumId w:val="33"/>
  </w:num>
  <w:num w:numId="63">
    <w:abstractNumId w:val="36"/>
  </w:num>
  <w:num w:numId="64">
    <w:abstractNumId w:val="32"/>
  </w:num>
  <w:num w:numId="65">
    <w:abstractNumId w:val="49"/>
  </w:num>
  <w:num w:numId="66">
    <w:abstractNumId w:val="54"/>
  </w:num>
  <w:num w:numId="67">
    <w:abstractNumId w:val="26"/>
  </w:num>
  <w:num w:numId="68">
    <w:abstractNumId w:val="69"/>
  </w:num>
  <w:num w:numId="69">
    <w:abstractNumId w:val="18"/>
  </w:num>
  <w:num w:numId="70">
    <w:abstractNumId w:val="38"/>
  </w:num>
  <w:num w:numId="71">
    <w:abstractNumId w:val="73"/>
  </w:num>
  <w:num w:numId="72">
    <w:abstractNumId w:val="12"/>
  </w:num>
  <w:num w:numId="73">
    <w:abstractNumId w:val="56"/>
  </w:num>
  <w:num w:numId="74">
    <w:abstractNumId w:val="40"/>
  </w:num>
  <w:num w:numId="75">
    <w:abstractNumId w:val="75"/>
  </w:num>
  <w:num w:numId="76">
    <w:abstractNumId w:val="23"/>
  </w:num>
  <w:num w:numId="77">
    <w:abstractNumId w:val="70"/>
  </w:num>
  <w:num w:numId="78">
    <w:abstractNumId w:val="17"/>
  </w:num>
  <w:num w:numId="79">
    <w:abstractNumId w:val="19"/>
  </w:num>
  <w:num w:numId="80">
    <w:abstractNumId w:val="1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hideSpellingErrors/>
  <w:hideGrammaticalErrors/>
  <w:activeWritingStyle w:appName="MSWord" w:lang="it-IT" w:vendorID="64" w:dllVersion="6" w:nlCheck="1" w:checkStyle="0"/>
  <w:activeWritingStyle w:appName="MSWord" w:lang="en-US" w:vendorID="64" w:dllVersion="6" w:nlCheck="1" w:checkStyle="1"/>
  <w:activeWritingStyle w:appName="MSWord" w:lang="fr-CH" w:vendorID="64" w:dllVersion="6" w:nlCheck="1" w:checkStyle="1"/>
  <w:activeWritingStyle w:appName="MSWord" w:lang="fr-FR" w:vendorID="64" w:dllVersion="6" w:nlCheck="1" w:checkStyle="0"/>
  <w:activeWritingStyle w:appName="MSWord" w:lang="en-GB" w:vendorID="64" w:dllVersion="6" w:nlCheck="1" w:checkStyle="0"/>
  <w:activeWritingStyle w:appName="MSWord" w:lang="de-CH" w:vendorID="64" w:dllVersion="6" w:nlCheck="1" w:checkStyle="0"/>
  <w:activeWritingStyle w:appName="MSWord" w:lang="it-IT"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6" w:nlCheck="1" w:checkStyle="1"/>
  <w:activeWritingStyle w:appName="MSWord" w:lang="es-ES" w:vendorID="64" w:dllVersion="0" w:nlCheck="1" w:checkStyle="0"/>
  <w:activeWritingStyle w:appName="MSWord" w:lang="de-DE" w:vendorID="64" w:dllVersion="0" w:nlCheck="1" w:checkStyle="0"/>
  <w:activeWritingStyle w:appName="MSWord" w:lang="es-E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ES_tradnl" w:vendorID="64" w:dllVersion="0" w:nlCheck="1" w:checkStyle="0"/>
  <w:activeWritingStyle w:appName="MSWord" w:lang="it-IT" w:vendorID="64" w:dllVersion="4096" w:nlCheck="1" w:checkStyle="0"/>
  <w:activeWritingStyle w:appName="MSWord" w:lang="de-DE" w:vendorID="64" w:dllVersion="4096" w:nlCheck="1" w:checkStyle="0"/>
  <w:activeWritingStyle w:appName="MSWord" w:lang="en-GB" w:vendorID="8" w:dllVersion="513"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en-US" w:vendorID="8" w:dllVersion="513" w:checkStyle="1"/>
  <w:activeWritingStyle w:appName="MSWord" w:lang="it-IT" w:vendorID="3" w:dllVersion="517" w:checkStyle="1"/>
  <w:activeWritingStyle w:appName="MSWord" w:lang="es-ES_tradnl" w:vendorID="9" w:dllVersion="512" w:checkStyle="1"/>
  <w:activeWritingStyle w:appName="MSWord" w:lang="sv-SE" w:vendorID="0" w:dllVersion="512" w:checkStyle="1"/>
  <w:activeWritingStyle w:appName="MSWord" w:lang="pl-PL" w:vendorID="12" w:dllVersion="512" w:checkStyle="1"/>
  <w:activeWritingStyle w:appName="MSWord" w:lang="hu-HU" w:vendorID="7" w:dllVersion="513" w:checkStyle="1"/>
  <w:activeWritingStyle w:appName="MSWord" w:lang="pt-BR" w:vendorID="1"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979F1"/>
    <w:rsid w:val="00000451"/>
    <w:rsid w:val="00001158"/>
    <w:rsid w:val="0000197F"/>
    <w:rsid w:val="00002CA8"/>
    <w:rsid w:val="0000331C"/>
    <w:rsid w:val="00003B6B"/>
    <w:rsid w:val="00005746"/>
    <w:rsid w:val="00006083"/>
    <w:rsid w:val="00006179"/>
    <w:rsid w:val="00006CBD"/>
    <w:rsid w:val="00007438"/>
    <w:rsid w:val="000103D7"/>
    <w:rsid w:val="00012345"/>
    <w:rsid w:val="00012BDF"/>
    <w:rsid w:val="00013109"/>
    <w:rsid w:val="00013161"/>
    <w:rsid w:val="00013C72"/>
    <w:rsid w:val="00014F6B"/>
    <w:rsid w:val="0001560F"/>
    <w:rsid w:val="00015A92"/>
    <w:rsid w:val="000162A7"/>
    <w:rsid w:val="00017269"/>
    <w:rsid w:val="0001751C"/>
    <w:rsid w:val="00020D2D"/>
    <w:rsid w:val="0002120B"/>
    <w:rsid w:val="00021848"/>
    <w:rsid w:val="00021B36"/>
    <w:rsid w:val="0002350F"/>
    <w:rsid w:val="000247B7"/>
    <w:rsid w:val="000254BF"/>
    <w:rsid w:val="00025C92"/>
    <w:rsid w:val="00027117"/>
    <w:rsid w:val="0002733A"/>
    <w:rsid w:val="00033441"/>
    <w:rsid w:val="00033739"/>
    <w:rsid w:val="000358F6"/>
    <w:rsid w:val="000364BE"/>
    <w:rsid w:val="000377A1"/>
    <w:rsid w:val="00037CCD"/>
    <w:rsid w:val="000414A8"/>
    <w:rsid w:val="00041688"/>
    <w:rsid w:val="00041A8C"/>
    <w:rsid w:val="000424E3"/>
    <w:rsid w:val="00042A22"/>
    <w:rsid w:val="000438CB"/>
    <w:rsid w:val="000448D3"/>
    <w:rsid w:val="0004528A"/>
    <w:rsid w:val="0004541D"/>
    <w:rsid w:val="0004711B"/>
    <w:rsid w:val="00047446"/>
    <w:rsid w:val="00047807"/>
    <w:rsid w:val="00050D84"/>
    <w:rsid w:val="00051995"/>
    <w:rsid w:val="000519DB"/>
    <w:rsid w:val="00053210"/>
    <w:rsid w:val="00054038"/>
    <w:rsid w:val="000541BA"/>
    <w:rsid w:val="00054860"/>
    <w:rsid w:val="000559EA"/>
    <w:rsid w:val="00056058"/>
    <w:rsid w:val="00056B41"/>
    <w:rsid w:val="000571C8"/>
    <w:rsid w:val="00057C8D"/>
    <w:rsid w:val="00062D61"/>
    <w:rsid w:val="000635A1"/>
    <w:rsid w:val="00063DE0"/>
    <w:rsid w:val="000656B1"/>
    <w:rsid w:val="00065729"/>
    <w:rsid w:val="00065890"/>
    <w:rsid w:val="00066295"/>
    <w:rsid w:val="00066ED4"/>
    <w:rsid w:val="000678F0"/>
    <w:rsid w:val="00067FEE"/>
    <w:rsid w:val="00070038"/>
    <w:rsid w:val="00070C67"/>
    <w:rsid w:val="0007307F"/>
    <w:rsid w:val="00074E1B"/>
    <w:rsid w:val="00075A04"/>
    <w:rsid w:val="00075EAD"/>
    <w:rsid w:val="00080F71"/>
    <w:rsid w:val="00082BA0"/>
    <w:rsid w:val="0008325A"/>
    <w:rsid w:val="00084CB9"/>
    <w:rsid w:val="000879B8"/>
    <w:rsid w:val="000918E5"/>
    <w:rsid w:val="00091BFE"/>
    <w:rsid w:val="000924C5"/>
    <w:rsid w:val="0009418C"/>
    <w:rsid w:val="00095358"/>
    <w:rsid w:val="00095BF5"/>
    <w:rsid w:val="00097192"/>
    <w:rsid w:val="000972CC"/>
    <w:rsid w:val="000A1535"/>
    <w:rsid w:val="000A2319"/>
    <w:rsid w:val="000A2B82"/>
    <w:rsid w:val="000A37CE"/>
    <w:rsid w:val="000A41E2"/>
    <w:rsid w:val="000A4F30"/>
    <w:rsid w:val="000A6884"/>
    <w:rsid w:val="000A6F32"/>
    <w:rsid w:val="000A74C4"/>
    <w:rsid w:val="000A793E"/>
    <w:rsid w:val="000A7AA0"/>
    <w:rsid w:val="000B1DED"/>
    <w:rsid w:val="000B2E25"/>
    <w:rsid w:val="000B429B"/>
    <w:rsid w:val="000B5E70"/>
    <w:rsid w:val="000B76C2"/>
    <w:rsid w:val="000C07C8"/>
    <w:rsid w:val="000C0AF0"/>
    <w:rsid w:val="000C12F1"/>
    <w:rsid w:val="000C14C9"/>
    <w:rsid w:val="000C1753"/>
    <w:rsid w:val="000C1D19"/>
    <w:rsid w:val="000C1E34"/>
    <w:rsid w:val="000C247B"/>
    <w:rsid w:val="000C27C7"/>
    <w:rsid w:val="000C507E"/>
    <w:rsid w:val="000C5F09"/>
    <w:rsid w:val="000C5F73"/>
    <w:rsid w:val="000C6503"/>
    <w:rsid w:val="000C7D1E"/>
    <w:rsid w:val="000C7E46"/>
    <w:rsid w:val="000D0FCB"/>
    <w:rsid w:val="000D1FEB"/>
    <w:rsid w:val="000D2B9B"/>
    <w:rsid w:val="000D33FB"/>
    <w:rsid w:val="000D3BE5"/>
    <w:rsid w:val="000D4AE9"/>
    <w:rsid w:val="000D5962"/>
    <w:rsid w:val="000D5AB3"/>
    <w:rsid w:val="000D5AB7"/>
    <w:rsid w:val="000D7E7E"/>
    <w:rsid w:val="000E0B34"/>
    <w:rsid w:val="000E1092"/>
    <w:rsid w:val="000E13A9"/>
    <w:rsid w:val="000E1D68"/>
    <w:rsid w:val="000E24C2"/>
    <w:rsid w:val="000E2818"/>
    <w:rsid w:val="000E2D63"/>
    <w:rsid w:val="000E3046"/>
    <w:rsid w:val="000E49AF"/>
    <w:rsid w:val="000E5CAC"/>
    <w:rsid w:val="000E6EBF"/>
    <w:rsid w:val="000F0246"/>
    <w:rsid w:val="000F0B29"/>
    <w:rsid w:val="000F0DD1"/>
    <w:rsid w:val="000F24F3"/>
    <w:rsid w:val="000F3856"/>
    <w:rsid w:val="000F4950"/>
    <w:rsid w:val="000F5714"/>
    <w:rsid w:val="000F62AF"/>
    <w:rsid w:val="000F6F71"/>
    <w:rsid w:val="001010BD"/>
    <w:rsid w:val="00101BD9"/>
    <w:rsid w:val="0010250A"/>
    <w:rsid w:val="00102526"/>
    <w:rsid w:val="0010268E"/>
    <w:rsid w:val="00103739"/>
    <w:rsid w:val="00104027"/>
    <w:rsid w:val="00104E6A"/>
    <w:rsid w:val="00105602"/>
    <w:rsid w:val="001056EF"/>
    <w:rsid w:val="001062F3"/>
    <w:rsid w:val="00106968"/>
    <w:rsid w:val="00106E01"/>
    <w:rsid w:val="001076D9"/>
    <w:rsid w:val="0011036F"/>
    <w:rsid w:val="001124D0"/>
    <w:rsid w:val="00112E2C"/>
    <w:rsid w:val="00112F59"/>
    <w:rsid w:val="00113F82"/>
    <w:rsid w:val="00114E46"/>
    <w:rsid w:val="00115015"/>
    <w:rsid w:val="00116B11"/>
    <w:rsid w:val="001173A8"/>
    <w:rsid w:val="001178BE"/>
    <w:rsid w:val="0012108D"/>
    <w:rsid w:val="00121152"/>
    <w:rsid w:val="00121A3B"/>
    <w:rsid w:val="001226A3"/>
    <w:rsid w:val="001226DD"/>
    <w:rsid w:val="001231D1"/>
    <w:rsid w:val="0012374C"/>
    <w:rsid w:val="00123E87"/>
    <w:rsid w:val="00126FE2"/>
    <w:rsid w:val="00126FED"/>
    <w:rsid w:val="0012711F"/>
    <w:rsid w:val="00127894"/>
    <w:rsid w:val="00130672"/>
    <w:rsid w:val="00130E4B"/>
    <w:rsid w:val="001318E4"/>
    <w:rsid w:val="00131C19"/>
    <w:rsid w:val="00131C41"/>
    <w:rsid w:val="00132121"/>
    <w:rsid w:val="001325A6"/>
    <w:rsid w:val="00132D1E"/>
    <w:rsid w:val="0013302D"/>
    <w:rsid w:val="0013386B"/>
    <w:rsid w:val="00134679"/>
    <w:rsid w:val="001349C9"/>
    <w:rsid w:val="00135500"/>
    <w:rsid w:val="001358C6"/>
    <w:rsid w:val="0013595F"/>
    <w:rsid w:val="0013795B"/>
    <w:rsid w:val="001407ED"/>
    <w:rsid w:val="00144E9C"/>
    <w:rsid w:val="00146AB6"/>
    <w:rsid w:val="001472CA"/>
    <w:rsid w:val="00150252"/>
    <w:rsid w:val="00150431"/>
    <w:rsid w:val="0015277F"/>
    <w:rsid w:val="00153BE2"/>
    <w:rsid w:val="001544CA"/>
    <w:rsid w:val="00154871"/>
    <w:rsid w:val="00154F54"/>
    <w:rsid w:val="00155500"/>
    <w:rsid w:val="0015576C"/>
    <w:rsid w:val="00160167"/>
    <w:rsid w:val="00160639"/>
    <w:rsid w:val="0016082E"/>
    <w:rsid w:val="00160925"/>
    <w:rsid w:val="001610BE"/>
    <w:rsid w:val="0016264D"/>
    <w:rsid w:val="00162E89"/>
    <w:rsid w:val="00163336"/>
    <w:rsid w:val="00165D86"/>
    <w:rsid w:val="0016729C"/>
    <w:rsid w:val="0017023E"/>
    <w:rsid w:val="0017104B"/>
    <w:rsid w:val="00174301"/>
    <w:rsid w:val="001752F9"/>
    <w:rsid w:val="00175F25"/>
    <w:rsid w:val="001765FD"/>
    <w:rsid w:val="00177EED"/>
    <w:rsid w:val="001810A3"/>
    <w:rsid w:val="001811E1"/>
    <w:rsid w:val="0018124B"/>
    <w:rsid w:val="001836F8"/>
    <w:rsid w:val="00183711"/>
    <w:rsid w:val="00185082"/>
    <w:rsid w:val="00185751"/>
    <w:rsid w:val="00185883"/>
    <w:rsid w:val="00187437"/>
    <w:rsid w:val="00187741"/>
    <w:rsid w:val="00192791"/>
    <w:rsid w:val="0019394A"/>
    <w:rsid w:val="00194F5C"/>
    <w:rsid w:val="0019540E"/>
    <w:rsid w:val="001955DF"/>
    <w:rsid w:val="00196358"/>
    <w:rsid w:val="001972EA"/>
    <w:rsid w:val="00197876"/>
    <w:rsid w:val="001A04C2"/>
    <w:rsid w:val="001A1149"/>
    <w:rsid w:val="001A12ED"/>
    <w:rsid w:val="001A1652"/>
    <w:rsid w:val="001A1AAC"/>
    <w:rsid w:val="001A214C"/>
    <w:rsid w:val="001A2863"/>
    <w:rsid w:val="001A2C26"/>
    <w:rsid w:val="001A38EB"/>
    <w:rsid w:val="001A4784"/>
    <w:rsid w:val="001A47EA"/>
    <w:rsid w:val="001A5029"/>
    <w:rsid w:val="001A506B"/>
    <w:rsid w:val="001A586B"/>
    <w:rsid w:val="001A7062"/>
    <w:rsid w:val="001A718D"/>
    <w:rsid w:val="001A78BF"/>
    <w:rsid w:val="001A7AAF"/>
    <w:rsid w:val="001B2054"/>
    <w:rsid w:val="001B2D24"/>
    <w:rsid w:val="001B2D83"/>
    <w:rsid w:val="001B3578"/>
    <w:rsid w:val="001B3791"/>
    <w:rsid w:val="001B3F05"/>
    <w:rsid w:val="001B5FB1"/>
    <w:rsid w:val="001B7312"/>
    <w:rsid w:val="001C0611"/>
    <w:rsid w:val="001C1533"/>
    <w:rsid w:val="001C1A6E"/>
    <w:rsid w:val="001C3762"/>
    <w:rsid w:val="001C3F81"/>
    <w:rsid w:val="001C56A4"/>
    <w:rsid w:val="001C5AC5"/>
    <w:rsid w:val="001C6AF3"/>
    <w:rsid w:val="001C6FB6"/>
    <w:rsid w:val="001C747B"/>
    <w:rsid w:val="001C7AAC"/>
    <w:rsid w:val="001D0C4F"/>
    <w:rsid w:val="001D128B"/>
    <w:rsid w:val="001D1D46"/>
    <w:rsid w:val="001D2724"/>
    <w:rsid w:val="001D3D9E"/>
    <w:rsid w:val="001D4777"/>
    <w:rsid w:val="001D5667"/>
    <w:rsid w:val="001D5A14"/>
    <w:rsid w:val="001D771C"/>
    <w:rsid w:val="001E0650"/>
    <w:rsid w:val="001E0E24"/>
    <w:rsid w:val="001E256E"/>
    <w:rsid w:val="001E2935"/>
    <w:rsid w:val="001E29AD"/>
    <w:rsid w:val="001E35D4"/>
    <w:rsid w:val="001E3683"/>
    <w:rsid w:val="001E586E"/>
    <w:rsid w:val="001E5BF5"/>
    <w:rsid w:val="001E66A5"/>
    <w:rsid w:val="001F029B"/>
    <w:rsid w:val="001F0424"/>
    <w:rsid w:val="001F0CC3"/>
    <w:rsid w:val="001F17BB"/>
    <w:rsid w:val="001F1A69"/>
    <w:rsid w:val="001F3D64"/>
    <w:rsid w:val="001F498F"/>
    <w:rsid w:val="001F5941"/>
    <w:rsid w:val="001F5963"/>
    <w:rsid w:val="001F597E"/>
    <w:rsid w:val="001F5BB2"/>
    <w:rsid w:val="00200189"/>
    <w:rsid w:val="002002CD"/>
    <w:rsid w:val="00201117"/>
    <w:rsid w:val="00201954"/>
    <w:rsid w:val="00202EBC"/>
    <w:rsid w:val="00203264"/>
    <w:rsid w:val="00204473"/>
    <w:rsid w:val="00205188"/>
    <w:rsid w:val="002053A9"/>
    <w:rsid w:val="002061C5"/>
    <w:rsid w:val="002069FC"/>
    <w:rsid w:val="002100EE"/>
    <w:rsid w:val="00211179"/>
    <w:rsid w:val="0021138A"/>
    <w:rsid w:val="00212A2C"/>
    <w:rsid w:val="00213423"/>
    <w:rsid w:val="00214783"/>
    <w:rsid w:val="00214958"/>
    <w:rsid w:val="00214FBA"/>
    <w:rsid w:val="00215021"/>
    <w:rsid w:val="002150BE"/>
    <w:rsid w:val="0021567E"/>
    <w:rsid w:val="00217E82"/>
    <w:rsid w:val="002204B6"/>
    <w:rsid w:val="0022101F"/>
    <w:rsid w:val="002216B5"/>
    <w:rsid w:val="0022171D"/>
    <w:rsid w:val="0022298C"/>
    <w:rsid w:val="002231F9"/>
    <w:rsid w:val="002236D2"/>
    <w:rsid w:val="00223A5A"/>
    <w:rsid w:val="00225379"/>
    <w:rsid w:val="0022568E"/>
    <w:rsid w:val="0022673B"/>
    <w:rsid w:val="00226862"/>
    <w:rsid w:val="00227CDF"/>
    <w:rsid w:val="00231F71"/>
    <w:rsid w:val="00232A4C"/>
    <w:rsid w:val="00233608"/>
    <w:rsid w:val="00233FFA"/>
    <w:rsid w:val="00234C76"/>
    <w:rsid w:val="0023619E"/>
    <w:rsid w:val="00236A17"/>
    <w:rsid w:val="00237CD7"/>
    <w:rsid w:val="00241A6B"/>
    <w:rsid w:val="00241C09"/>
    <w:rsid w:val="00241D0D"/>
    <w:rsid w:val="0024201E"/>
    <w:rsid w:val="002429CE"/>
    <w:rsid w:val="00242C84"/>
    <w:rsid w:val="00243287"/>
    <w:rsid w:val="0024340C"/>
    <w:rsid w:val="00243CEE"/>
    <w:rsid w:val="00244905"/>
    <w:rsid w:val="002458A4"/>
    <w:rsid w:val="00245A6D"/>
    <w:rsid w:val="00250C7E"/>
    <w:rsid w:val="0025152A"/>
    <w:rsid w:val="0025370C"/>
    <w:rsid w:val="0025458E"/>
    <w:rsid w:val="00255AD4"/>
    <w:rsid w:val="00256C5E"/>
    <w:rsid w:val="0025736A"/>
    <w:rsid w:val="002576C0"/>
    <w:rsid w:val="002604A1"/>
    <w:rsid w:val="002605E1"/>
    <w:rsid w:val="00261D4A"/>
    <w:rsid w:val="00262019"/>
    <w:rsid w:val="00262E1A"/>
    <w:rsid w:val="0026497A"/>
    <w:rsid w:val="00270BFB"/>
    <w:rsid w:val="002710A1"/>
    <w:rsid w:val="002726EB"/>
    <w:rsid w:val="00273033"/>
    <w:rsid w:val="002744A0"/>
    <w:rsid w:val="002744C2"/>
    <w:rsid w:val="00275705"/>
    <w:rsid w:val="002766E6"/>
    <w:rsid w:val="00276E4C"/>
    <w:rsid w:val="00277238"/>
    <w:rsid w:val="002808DB"/>
    <w:rsid w:val="00280CD8"/>
    <w:rsid w:val="00281B92"/>
    <w:rsid w:val="00281E54"/>
    <w:rsid w:val="00283C44"/>
    <w:rsid w:val="00283FD8"/>
    <w:rsid w:val="00284479"/>
    <w:rsid w:val="00284BC2"/>
    <w:rsid w:val="00286783"/>
    <w:rsid w:val="0028755D"/>
    <w:rsid w:val="002900F1"/>
    <w:rsid w:val="00291178"/>
    <w:rsid w:val="002934BA"/>
    <w:rsid w:val="00293641"/>
    <w:rsid w:val="002944F1"/>
    <w:rsid w:val="0029506B"/>
    <w:rsid w:val="00296009"/>
    <w:rsid w:val="00296FED"/>
    <w:rsid w:val="0029722B"/>
    <w:rsid w:val="00297A32"/>
    <w:rsid w:val="00297A50"/>
    <w:rsid w:val="00297F5C"/>
    <w:rsid w:val="002A0D93"/>
    <w:rsid w:val="002A191B"/>
    <w:rsid w:val="002A4259"/>
    <w:rsid w:val="002A435C"/>
    <w:rsid w:val="002A5ABD"/>
    <w:rsid w:val="002A7150"/>
    <w:rsid w:val="002A747D"/>
    <w:rsid w:val="002A7E6E"/>
    <w:rsid w:val="002A7EAF"/>
    <w:rsid w:val="002B10AF"/>
    <w:rsid w:val="002B1A36"/>
    <w:rsid w:val="002B21B7"/>
    <w:rsid w:val="002B23F0"/>
    <w:rsid w:val="002B3493"/>
    <w:rsid w:val="002B3B72"/>
    <w:rsid w:val="002B49B3"/>
    <w:rsid w:val="002B5797"/>
    <w:rsid w:val="002B58C8"/>
    <w:rsid w:val="002B5A62"/>
    <w:rsid w:val="002B63A6"/>
    <w:rsid w:val="002B6859"/>
    <w:rsid w:val="002B72F9"/>
    <w:rsid w:val="002C08B8"/>
    <w:rsid w:val="002C22E4"/>
    <w:rsid w:val="002C2B00"/>
    <w:rsid w:val="002C2BE5"/>
    <w:rsid w:val="002C2C3A"/>
    <w:rsid w:val="002C43BD"/>
    <w:rsid w:val="002C490C"/>
    <w:rsid w:val="002C4F86"/>
    <w:rsid w:val="002C6C61"/>
    <w:rsid w:val="002C6D36"/>
    <w:rsid w:val="002C6D86"/>
    <w:rsid w:val="002C6FB8"/>
    <w:rsid w:val="002C7DCE"/>
    <w:rsid w:val="002D18D8"/>
    <w:rsid w:val="002D19A6"/>
    <w:rsid w:val="002D2878"/>
    <w:rsid w:val="002D318B"/>
    <w:rsid w:val="002D384A"/>
    <w:rsid w:val="002D3905"/>
    <w:rsid w:val="002D48C6"/>
    <w:rsid w:val="002D4C34"/>
    <w:rsid w:val="002D52B1"/>
    <w:rsid w:val="002E1227"/>
    <w:rsid w:val="002E22EC"/>
    <w:rsid w:val="002E2542"/>
    <w:rsid w:val="002E332A"/>
    <w:rsid w:val="002E3352"/>
    <w:rsid w:val="002E56DA"/>
    <w:rsid w:val="002E56FD"/>
    <w:rsid w:val="002E5721"/>
    <w:rsid w:val="002E5D3A"/>
    <w:rsid w:val="002E6302"/>
    <w:rsid w:val="002E68C0"/>
    <w:rsid w:val="002E6E20"/>
    <w:rsid w:val="002E7A16"/>
    <w:rsid w:val="002E7E4A"/>
    <w:rsid w:val="002F0074"/>
    <w:rsid w:val="002F077D"/>
    <w:rsid w:val="002F0A1C"/>
    <w:rsid w:val="002F0F31"/>
    <w:rsid w:val="002F1BB2"/>
    <w:rsid w:val="002F2255"/>
    <w:rsid w:val="002F35FF"/>
    <w:rsid w:val="002F3EFD"/>
    <w:rsid w:val="002F3FBA"/>
    <w:rsid w:val="002F4006"/>
    <w:rsid w:val="002F4F28"/>
    <w:rsid w:val="002F5290"/>
    <w:rsid w:val="002F5A64"/>
    <w:rsid w:val="002F7FE0"/>
    <w:rsid w:val="00300372"/>
    <w:rsid w:val="00300D8A"/>
    <w:rsid w:val="0030186D"/>
    <w:rsid w:val="00301BBB"/>
    <w:rsid w:val="0030298B"/>
    <w:rsid w:val="00303533"/>
    <w:rsid w:val="00304F50"/>
    <w:rsid w:val="00306836"/>
    <w:rsid w:val="003068DF"/>
    <w:rsid w:val="003069E4"/>
    <w:rsid w:val="00306F5A"/>
    <w:rsid w:val="00307DE7"/>
    <w:rsid w:val="00310437"/>
    <w:rsid w:val="00311055"/>
    <w:rsid w:val="00311727"/>
    <w:rsid w:val="00311784"/>
    <w:rsid w:val="0031243D"/>
    <w:rsid w:val="0031467E"/>
    <w:rsid w:val="00315207"/>
    <w:rsid w:val="003153C7"/>
    <w:rsid w:val="00316168"/>
    <w:rsid w:val="00316B25"/>
    <w:rsid w:val="00316DB2"/>
    <w:rsid w:val="00321ACD"/>
    <w:rsid w:val="00322B38"/>
    <w:rsid w:val="00322BC8"/>
    <w:rsid w:val="00323494"/>
    <w:rsid w:val="00323D67"/>
    <w:rsid w:val="00326E81"/>
    <w:rsid w:val="003303B2"/>
    <w:rsid w:val="00330A40"/>
    <w:rsid w:val="00331177"/>
    <w:rsid w:val="00332C25"/>
    <w:rsid w:val="00332EB7"/>
    <w:rsid w:val="003361DE"/>
    <w:rsid w:val="00336A77"/>
    <w:rsid w:val="00337B1A"/>
    <w:rsid w:val="00340492"/>
    <w:rsid w:val="00340523"/>
    <w:rsid w:val="0034388F"/>
    <w:rsid w:val="0034432B"/>
    <w:rsid w:val="00344D22"/>
    <w:rsid w:val="003463C1"/>
    <w:rsid w:val="00347029"/>
    <w:rsid w:val="003478C9"/>
    <w:rsid w:val="00351361"/>
    <w:rsid w:val="0035148B"/>
    <w:rsid w:val="0035203B"/>
    <w:rsid w:val="003520A9"/>
    <w:rsid w:val="00352EF0"/>
    <w:rsid w:val="003533B9"/>
    <w:rsid w:val="003534A9"/>
    <w:rsid w:val="00353639"/>
    <w:rsid w:val="00354C1E"/>
    <w:rsid w:val="00355746"/>
    <w:rsid w:val="00355C22"/>
    <w:rsid w:val="003600D1"/>
    <w:rsid w:val="00364D35"/>
    <w:rsid w:val="00365467"/>
    <w:rsid w:val="00371323"/>
    <w:rsid w:val="00372CD9"/>
    <w:rsid w:val="00373E32"/>
    <w:rsid w:val="00374E2C"/>
    <w:rsid w:val="003758ED"/>
    <w:rsid w:val="0037632A"/>
    <w:rsid w:val="0037663F"/>
    <w:rsid w:val="003773A3"/>
    <w:rsid w:val="00377460"/>
    <w:rsid w:val="00380484"/>
    <w:rsid w:val="00380756"/>
    <w:rsid w:val="003815BC"/>
    <w:rsid w:val="0038188F"/>
    <w:rsid w:val="00382763"/>
    <w:rsid w:val="00382BE0"/>
    <w:rsid w:val="003831C7"/>
    <w:rsid w:val="003853D8"/>
    <w:rsid w:val="00387CD5"/>
    <w:rsid w:val="00390824"/>
    <w:rsid w:val="00390F05"/>
    <w:rsid w:val="00391014"/>
    <w:rsid w:val="003938B0"/>
    <w:rsid w:val="00393E97"/>
    <w:rsid w:val="003952DD"/>
    <w:rsid w:val="00395512"/>
    <w:rsid w:val="00395E8F"/>
    <w:rsid w:val="00395F06"/>
    <w:rsid w:val="003A10F9"/>
    <w:rsid w:val="003A1908"/>
    <w:rsid w:val="003A2203"/>
    <w:rsid w:val="003A226F"/>
    <w:rsid w:val="003A243B"/>
    <w:rsid w:val="003A2831"/>
    <w:rsid w:val="003A32A4"/>
    <w:rsid w:val="003A374B"/>
    <w:rsid w:val="003A37D2"/>
    <w:rsid w:val="003A65AF"/>
    <w:rsid w:val="003A72AD"/>
    <w:rsid w:val="003B0923"/>
    <w:rsid w:val="003B1922"/>
    <w:rsid w:val="003B2948"/>
    <w:rsid w:val="003B36C5"/>
    <w:rsid w:val="003B52C4"/>
    <w:rsid w:val="003B645E"/>
    <w:rsid w:val="003B6B52"/>
    <w:rsid w:val="003B6E1C"/>
    <w:rsid w:val="003C0E58"/>
    <w:rsid w:val="003C1717"/>
    <w:rsid w:val="003C1DB4"/>
    <w:rsid w:val="003C2354"/>
    <w:rsid w:val="003C28DD"/>
    <w:rsid w:val="003C2E7B"/>
    <w:rsid w:val="003C467E"/>
    <w:rsid w:val="003C49E7"/>
    <w:rsid w:val="003C72E1"/>
    <w:rsid w:val="003D017A"/>
    <w:rsid w:val="003D07BE"/>
    <w:rsid w:val="003D1364"/>
    <w:rsid w:val="003D15E6"/>
    <w:rsid w:val="003D1FA8"/>
    <w:rsid w:val="003D2119"/>
    <w:rsid w:val="003D2FF9"/>
    <w:rsid w:val="003D32F9"/>
    <w:rsid w:val="003D3DCA"/>
    <w:rsid w:val="003D411A"/>
    <w:rsid w:val="003D4517"/>
    <w:rsid w:val="003D4A0E"/>
    <w:rsid w:val="003D4A5B"/>
    <w:rsid w:val="003D55F2"/>
    <w:rsid w:val="003D6104"/>
    <w:rsid w:val="003D61C0"/>
    <w:rsid w:val="003D7835"/>
    <w:rsid w:val="003E2D81"/>
    <w:rsid w:val="003E3777"/>
    <w:rsid w:val="003E3815"/>
    <w:rsid w:val="003E3D90"/>
    <w:rsid w:val="003E4249"/>
    <w:rsid w:val="003E4D1B"/>
    <w:rsid w:val="003E7062"/>
    <w:rsid w:val="003F381E"/>
    <w:rsid w:val="003F522E"/>
    <w:rsid w:val="00400E41"/>
    <w:rsid w:val="004011BA"/>
    <w:rsid w:val="00403825"/>
    <w:rsid w:val="004038FB"/>
    <w:rsid w:val="00403E48"/>
    <w:rsid w:val="00404EA5"/>
    <w:rsid w:val="004056D0"/>
    <w:rsid w:val="0040589D"/>
    <w:rsid w:val="00405B90"/>
    <w:rsid w:val="0041139A"/>
    <w:rsid w:val="00412469"/>
    <w:rsid w:val="00413316"/>
    <w:rsid w:val="00414181"/>
    <w:rsid w:val="0041448A"/>
    <w:rsid w:val="004157C7"/>
    <w:rsid w:val="004168FE"/>
    <w:rsid w:val="00416B7C"/>
    <w:rsid w:val="00416C93"/>
    <w:rsid w:val="00417121"/>
    <w:rsid w:val="0042003D"/>
    <w:rsid w:val="004203E7"/>
    <w:rsid w:val="00420494"/>
    <w:rsid w:val="0042050C"/>
    <w:rsid w:val="004222F4"/>
    <w:rsid w:val="004225BC"/>
    <w:rsid w:val="00423D1D"/>
    <w:rsid w:val="00424E86"/>
    <w:rsid w:val="00424F36"/>
    <w:rsid w:val="0042600A"/>
    <w:rsid w:val="00427BA5"/>
    <w:rsid w:val="00427E40"/>
    <w:rsid w:val="0043091C"/>
    <w:rsid w:val="00431D8B"/>
    <w:rsid w:val="0043303D"/>
    <w:rsid w:val="004331DD"/>
    <w:rsid w:val="00433382"/>
    <w:rsid w:val="00433A4C"/>
    <w:rsid w:val="00433D1D"/>
    <w:rsid w:val="004341E9"/>
    <w:rsid w:val="00434D24"/>
    <w:rsid w:val="00435235"/>
    <w:rsid w:val="00435A80"/>
    <w:rsid w:val="00435BA4"/>
    <w:rsid w:val="00436C24"/>
    <w:rsid w:val="0043712E"/>
    <w:rsid w:val="00440706"/>
    <w:rsid w:val="00440C68"/>
    <w:rsid w:val="00442678"/>
    <w:rsid w:val="00443EFD"/>
    <w:rsid w:val="00444028"/>
    <w:rsid w:val="00445E7B"/>
    <w:rsid w:val="0044625A"/>
    <w:rsid w:val="0044665B"/>
    <w:rsid w:val="00446D4A"/>
    <w:rsid w:val="004475F7"/>
    <w:rsid w:val="004475FD"/>
    <w:rsid w:val="0044762B"/>
    <w:rsid w:val="004501E4"/>
    <w:rsid w:val="00450407"/>
    <w:rsid w:val="00450DEE"/>
    <w:rsid w:val="00450F47"/>
    <w:rsid w:val="00450F66"/>
    <w:rsid w:val="004515E1"/>
    <w:rsid w:val="00454563"/>
    <w:rsid w:val="00454639"/>
    <w:rsid w:val="00456D4F"/>
    <w:rsid w:val="00460DC2"/>
    <w:rsid w:val="0046196A"/>
    <w:rsid w:val="004619BC"/>
    <w:rsid w:val="00461BFC"/>
    <w:rsid w:val="00461E48"/>
    <w:rsid w:val="004623A1"/>
    <w:rsid w:val="0046370F"/>
    <w:rsid w:val="0046409E"/>
    <w:rsid w:val="004644D0"/>
    <w:rsid w:val="00465522"/>
    <w:rsid w:val="00465925"/>
    <w:rsid w:val="00466A43"/>
    <w:rsid w:val="00466BD6"/>
    <w:rsid w:val="00467280"/>
    <w:rsid w:val="0046794A"/>
    <w:rsid w:val="0047136B"/>
    <w:rsid w:val="0047183B"/>
    <w:rsid w:val="00471D7C"/>
    <w:rsid w:val="00472CD8"/>
    <w:rsid w:val="00474FBA"/>
    <w:rsid w:val="004765DD"/>
    <w:rsid w:val="00480AB2"/>
    <w:rsid w:val="004827D0"/>
    <w:rsid w:val="00482C89"/>
    <w:rsid w:val="0048458D"/>
    <w:rsid w:val="0048541A"/>
    <w:rsid w:val="00485E22"/>
    <w:rsid w:val="00485E75"/>
    <w:rsid w:val="00486353"/>
    <w:rsid w:val="0048766B"/>
    <w:rsid w:val="00491DDA"/>
    <w:rsid w:val="00492DCC"/>
    <w:rsid w:val="00492E82"/>
    <w:rsid w:val="00493115"/>
    <w:rsid w:val="004938D9"/>
    <w:rsid w:val="00496F3E"/>
    <w:rsid w:val="0049773C"/>
    <w:rsid w:val="004979F1"/>
    <w:rsid w:val="004A0352"/>
    <w:rsid w:val="004A057D"/>
    <w:rsid w:val="004A0B60"/>
    <w:rsid w:val="004A25D4"/>
    <w:rsid w:val="004A2F3C"/>
    <w:rsid w:val="004A32E5"/>
    <w:rsid w:val="004A3E3B"/>
    <w:rsid w:val="004A3FDA"/>
    <w:rsid w:val="004A4E3E"/>
    <w:rsid w:val="004A5353"/>
    <w:rsid w:val="004A570C"/>
    <w:rsid w:val="004A5C48"/>
    <w:rsid w:val="004A629B"/>
    <w:rsid w:val="004A7B4B"/>
    <w:rsid w:val="004B0EDC"/>
    <w:rsid w:val="004B115F"/>
    <w:rsid w:val="004B154C"/>
    <w:rsid w:val="004B1BF4"/>
    <w:rsid w:val="004B1C2D"/>
    <w:rsid w:val="004B41BE"/>
    <w:rsid w:val="004B455F"/>
    <w:rsid w:val="004B4B77"/>
    <w:rsid w:val="004B5C59"/>
    <w:rsid w:val="004B5F66"/>
    <w:rsid w:val="004B705A"/>
    <w:rsid w:val="004B7FB0"/>
    <w:rsid w:val="004C0BCB"/>
    <w:rsid w:val="004C2248"/>
    <w:rsid w:val="004C39FB"/>
    <w:rsid w:val="004C3C77"/>
    <w:rsid w:val="004C3EE9"/>
    <w:rsid w:val="004C44BA"/>
    <w:rsid w:val="004C45F5"/>
    <w:rsid w:val="004C59CE"/>
    <w:rsid w:val="004C6922"/>
    <w:rsid w:val="004C6B21"/>
    <w:rsid w:val="004C76D2"/>
    <w:rsid w:val="004D00BB"/>
    <w:rsid w:val="004D1238"/>
    <w:rsid w:val="004D124E"/>
    <w:rsid w:val="004D12E0"/>
    <w:rsid w:val="004D17DE"/>
    <w:rsid w:val="004D1F2E"/>
    <w:rsid w:val="004D3007"/>
    <w:rsid w:val="004D3812"/>
    <w:rsid w:val="004D4340"/>
    <w:rsid w:val="004D53EF"/>
    <w:rsid w:val="004D69FB"/>
    <w:rsid w:val="004D6D88"/>
    <w:rsid w:val="004D7408"/>
    <w:rsid w:val="004D7B46"/>
    <w:rsid w:val="004E05E0"/>
    <w:rsid w:val="004E0AEB"/>
    <w:rsid w:val="004E0CD0"/>
    <w:rsid w:val="004E0F68"/>
    <w:rsid w:val="004E10AB"/>
    <w:rsid w:val="004E147C"/>
    <w:rsid w:val="004E2DCA"/>
    <w:rsid w:val="004E3D81"/>
    <w:rsid w:val="004E42B7"/>
    <w:rsid w:val="004E4C51"/>
    <w:rsid w:val="004E5879"/>
    <w:rsid w:val="004E5889"/>
    <w:rsid w:val="004E5C14"/>
    <w:rsid w:val="004E72D4"/>
    <w:rsid w:val="004E789E"/>
    <w:rsid w:val="004F2F67"/>
    <w:rsid w:val="004F40EE"/>
    <w:rsid w:val="004F4F4A"/>
    <w:rsid w:val="004F55D7"/>
    <w:rsid w:val="004F62B7"/>
    <w:rsid w:val="004F6651"/>
    <w:rsid w:val="004F6951"/>
    <w:rsid w:val="004F73F9"/>
    <w:rsid w:val="005015CA"/>
    <w:rsid w:val="005016CD"/>
    <w:rsid w:val="00502E80"/>
    <w:rsid w:val="0050337F"/>
    <w:rsid w:val="00503F4C"/>
    <w:rsid w:val="00504FE2"/>
    <w:rsid w:val="00506543"/>
    <w:rsid w:val="00506A49"/>
    <w:rsid w:val="00507BBD"/>
    <w:rsid w:val="005138F5"/>
    <w:rsid w:val="005142BA"/>
    <w:rsid w:val="005146E8"/>
    <w:rsid w:val="0051474F"/>
    <w:rsid w:val="00515205"/>
    <w:rsid w:val="005165E8"/>
    <w:rsid w:val="00516E8C"/>
    <w:rsid w:val="005215CE"/>
    <w:rsid w:val="00521734"/>
    <w:rsid w:val="00522349"/>
    <w:rsid w:val="00522BB6"/>
    <w:rsid w:val="00523F9A"/>
    <w:rsid w:val="00524BB7"/>
    <w:rsid w:val="00524DE0"/>
    <w:rsid w:val="0052531C"/>
    <w:rsid w:val="005259E2"/>
    <w:rsid w:val="00526A12"/>
    <w:rsid w:val="005273D4"/>
    <w:rsid w:val="00527A30"/>
    <w:rsid w:val="00527A79"/>
    <w:rsid w:val="00531445"/>
    <w:rsid w:val="005317F7"/>
    <w:rsid w:val="00531E89"/>
    <w:rsid w:val="0053272F"/>
    <w:rsid w:val="00532DF5"/>
    <w:rsid w:val="00532FB0"/>
    <w:rsid w:val="00533114"/>
    <w:rsid w:val="00535FC9"/>
    <w:rsid w:val="00536664"/>
    <w:rsid w:val="00540B05"/>
    <w:rsid w:val="00541042"/>
    <w:rsid w:val="00541769"/>
    <w:rsid w:val="00543DA5"/>
    <w:rsid w:val="0054502B"/>
    <w:rsid w:val="005477DC"/>
    <w:rsid w:val="00547A6F"/>
    <w:rsid w:val="00547F4B"/>
    <w:rsid w:val="00550971"/>
    <w:rsid w:val="00554772"/>
    <w:rsid w:val="00554B1F"/>
    <w:rsid w:val="00554E48"/>
    <w:rsid w:val="005557CF"/>
    <w:rsid w:val="005563FE"/>
    <w:rsid w:val="00560A5F"/>
    <w:rsid w:val="00561232"/>
    <w:rsid w:val="005619FC"/>
    <w:rsid w:val="00562077"/>
    <w:rsid w:val="00562366"/>
    <w:rsid w:val="00563795"/>
    <w:rsid w:val="005639BE"/>
    <w:rsid w:val="00565AFB"/>
    <w:rsid w:val="00565ED2"/>
    <w:rsid w:val="00565F26"/>
    <w:rsid w:val="0056650A"/>
    <w:rsid w:val="0056711F"/>
    <w:rsid w:val="0057003D"/>
    <w:rsid w:val="00570440"/>
    <w:rsid w:val="00570911"/>
    <w:rsid w:val="00570B43"/>
    <w:rsid w:val="00570D9F"/>
    <w:rsid w:val="0057176F"/>
    <w:rsid w:val="00571906"/>
    <w:rsid w:val="0057380E"/>
    <w:rsid w:val="005751F0"/>
    <w:rsid w:val="005752BE"/>
    <w:rsid w:val="005778CA"/>
    <w:rsid w:val="00577A03"/>
    <w:rsid w:val="005830A9"/>
    <w:rsid w:val="005842B2"/>
    <w:rsid w:val="00584529"/>
    <w:rsid w:val="005848B4"/>
    <w:rsid w:val="005849C3"/>
    <w:rsid w:val="0058513A"/>
    <w:rsid w:val="00586C32"/>
    <w:rsid w:val="0058733F"/>
    <w:rsid w:val="00592108"/>
    <w:rsid w:val="005930E6"/>
    <w:rsid w:val="00593C11"/>
    <w:rsid w:val="005941E3"/>
    <w:rsid w:val="00594321"/>
    <w:rsid w:val="00594D6C"/>
    <w:rsid w:val="0059507F"/>
    <w:rsid w:val="00595686"/>
    <w:rsid w:val="005964D2"/>
    <w:rsid w:val="00596956"/>
    <w:rsid w:val="00596C21"/>
    <w:rsid w:val="00597008"/>
    <w:rsid w:val="005A2D07"/>
    <w:rsid w:val="005A36BE"/>
    <w:rsid w:val="005A3F8E"/>
    <w:rsid w:val="005A518A"/>
    <w:rsid w:val="005A53ED"/>
    <w:rsid w:val="005A5445"/>
    <w:rsid w:val="005A6871"/>
    <w:rsid w:val="005A78E7"/>
    <w:rsid w:val="005B0876"/>
    <w:rsid w:val="005B099E"/>
    <w:rsid w:val="005B10EE"/>
    <w:rsid w:val="005B1FC6"/>
    <w:rsid w:val="005B3BFF"/>
    <w:rsid w:val="005B406D"/>
    <w:rsid w:val="005B60E3"/>
    <w:rsid w:val="005B74F0"/>
    <w:rsid w:val="005B78E8"/>
    <w:rsid w:val="005B7B3C"/>
    <w:rsid w:val="005B7D40"/>
    <w:rsid w:val="005B7F07"/>
    <w:rsid w:val="005C1A78"/>
    <w:rsid w:val="005C2721"/>
    <w:rsid w:val="005C3766"/>
    <w:rsid w:val="005C47FD"/>
    <w:rsid w:val="005C523A"/>
    <w:rsid w:val="005C53C1"/>
    <w:rsid w:val="005C5729"/>
    <w:rsid w:val="005C5A83"/>
    <w:rsid w:val="005C77B7"/>
    <w:rsid w:val="005C7C53"/>
    <w:rsid w:val="005C7FB8"/>
    <w:rsid w:val="005D014E"/>
    <w:rsid w:val="005D1348"/>
    <w:rsid w:val="005D3761"/>
    <w:rsid w:val="005D5633"/>
    <w:rsid w:val="005D62B0"/>
    <w:rsid w:val="005D651F"/>
    <w:rsid w:val="005D67E2"/>
    <w:rsid w:val="005D6C1B"/>
    <w:rsid w:val="005D7100"/>
    <w:rsid w:val="005D7DB3"/>
    <w:rsid w:val="005E056E"/>
    <w:rsid w:val="005E2B8E"/>
    <w:rsid w:val="005E3681"/>
    <w:rsid w:val="005E3E83"/>
    <w:rsid w:val="005E4E9A"/>
    <w:rsid w:val="005E7697"/>
    <w:rsid w:val="005F0952"/>
    <w:rsid w:val="005F1DC4"/>
    <w:rsid w:val="005F2907"/>
    <w:rsid w:val="005F2C7F"/>
    <w:rsid w:val="005F3A26"/>
    <w:rsid w:val="005F3AC5"/>
    <w:rsid w:val="005F47AB"/>
    <w:rsid w:val="005F4C72"/>
    <w:rsid w:val="005F51B7"/>
    <w:rsid w:val="005F6B0F"/>
    <w:rsid w:val="005F7285"/>
    <w:rsid w:val="005F7815"/>
    <w:rsid w:val="00600725"/>
    <w:rsid w:val="00600AF3"/>
    <w:rsid w:val="006021CB"/>
    <w:rsid w:val="00603C3F"/>
    <w:rsid w:val="006055AC"/>
    <w:rsid w:val="00606E09"/>
    <w:rsid w:val="00606EF6"/>
    <w:rsid w:val="00610882"/>
    <w:rsid w:val="00611084"/>
    <w:rsid w:val="00611135"/>
    <w:rsid w:val="006117A5"/>
    <w:rsid w:val="0061282F"/>
    <w:rsid w:val="00612CE0"/>
    <w:rsid w:val="00613321"/>
    <w:rsid w:val="006144AC"/>
    <w:rsid w:val="00617702"/>
    <w:rsid w:val="0062424D"/>
    <w:rsid w:val="00625289"/>
    <w:rsid w:val="006256F2"/>
    <w:rsid w:val="00625EB6"/>
    <w:rsid w:val="006265C6"/>
    <w:rsid w:val="00626783"/>
    <w:rsid w:val="0063019C"/>
    <w:rsid w:val="00630C21"/>
    <w:rsid w:val="006318DF"/>
    <w:rsid w:val="00631F89"/>
    <w:rsid w:val="00632FF4"/>
    <w:rsid w:val="00633039"/>
    <w:rsid w:val="006336C0"/>
    <w:rsid w:val="00634090"/>
    <w:rsid w:val="00636314"/>
    <w:rsid w:val="00637B5E"/>
    <w:rsid w:val="00640069"/>
    <w:rsid w:val="00640622"/>
    <w:rsid w:val="00641EA1"/>
    <w:rsid w:val="006448DC"/>
    <w:rsid w:val="006457C9"/>
    <w:rsid w:val="00645F60"/>
    <w:rsid w:val="00645FA3"/>
    <w:rsid w:val="00646C3C"/>
    <w:rsid w:val="00646CE6"/>
    <w:rsid w:val="00650DD9"/>
    <w:rsid w:val="0065245B"/>
    <w:rsid w:val="00652A94"/>
    <w:rsid w:val="00652DBF"/>
    <w:rsid w:val="00657040"/>
    <w:rsid w:val="00657EA9"/>
    <w:rsid w:val="00660B74"/>
    <w:rsid w:val="006614D4"/>
    <w:rsid w:val="00661824"/>
    <w:rsid w:val="00661A78"/>
    <w:rsid w:val="00661AF5"/>
    <w:rsid w:val="006620E1"/>
    <w:rsid w:val="00662838"/>
    <w:rsid w:val="00662944"/>
    <w:rsid w:val="00662DA5"/>
    <w:rsid w:val="00663AE3"/>
    <w:rsid w:val="006640D6"/>
    <w:rsid w:val="006643C7"/>
    <w:rsid w:val="00664524"/>
    <w:rsid w:val="00664F30"/>
    <w:rsid w:val="0066521F"/>
    <w:rsid w:val="00665D4B"/>
    <w:rsid w:val="006665AD"/>
    <w:rsid w:val="00667359"/>
    <w:rsid w:val="00671573"/>
    <w:rsid w:val="00671A63"/>
    <w:rsid w:val="00672A1F"/>
    <w:rsid w:val="00672F17"/>
    <w:rsid w:val="00674568"/>
    <w:rsid w:val="00674844"/>
    <w:rsid w:val="00674B79"/>
    <w:rsid w:val="00674D08"/>
    <w:rsid w:val="00676E5B"/>
    <w:rsid w:val="00677ACA"/>
    <w:rsid w:val="0068042D"/>
    <w:rsid w:val="00681FFC"/>
    <w:rsid w:val="006828F9"/>
    <w:rsid w:val="00682C88"/>
    <w:rsid w:val="00683E59"/>
    <w:rsid w:val="00684A98"/>
    <w:rsid w:val="006850F0"/>
    <w:rsid w:val="00685491"/>
    <w:rsid w:val="0069063C"/>
    <w:rsid w:val="00691883"/>
    <w:rsid w:val="00692542"/>
    <w:rsid w:val="006929A0"/>
    <w:rsid w:val="00692BA8"/>
    <w:rsid w:val="006935A3"/>
    <w:rsid w:val="0069596B"/>
    <w:rsid w:val="00695E2B"/>
    <w:rsid w:val="00697069"/>
    <w:rsid w:val="006970D8"/>
    <w:rsid w:val="006979B7"/>
    <w:rsid w:val="006A00CE"/>
    <w:rsid w:val="006A0DFC"/>
    <w:rsid w:val="006A0EBD"/>
    <w:rsid w:val="006A1150"/>
    <w:rsid w:val="006A181D"/>
    <w:rsid w:val="006A2BF9"/>
    <w:rsid w:val="006A5412"/>
    <w:rsid w:val="006A57BE"/>
    <w:rsid w:val="006A7EB7"/>
    <w:rsid w:val="006B0092"/>
    <w:rsid w:val="006B0600"/>
    <w:rsid w:val="006B0B23"/>
    <w:rsid w:val="006B25EF"/>
    <w:rsid w:val="006B2B76"/>
    <w:rsid w:val="006B3453"/>
    <w:rsid w:val="006B3769"/>
    <w:rsid w:val="006B4263"/>
    <w:rsid w:val="006B4517"/>
    <w:rsid w:val="006B4579"/>
    <w:rsid w:val="006B4ED7"/>
    <w:rsid w:val="006B5DC7"/>
    <w:rsid w:val="006B6535"/>
    <w:rsid w:val="006B6D3D"/>
    <w:rsid w:val="006B7F8F"/>
    <w:rsid w:val="006C0949"/>
    <w:rsid w:val="006C0B2B"/>
    <w:rsid w:val="006C1065"/>
    <w:rsid w:val="006C1921"/>
    <w:rsid w:val="006C1C65"/>
    <w:rsid w:val="006C24AB"/>
    <w:rsid w:val="006C26A0"/>
    <w:rsid w:val="006C473D"/>
    <w:rsid w:val="006C4C53"/>
    <w:rsid w:val="006C4EA1"/>
    <w:rsid w:val="006C5A5B"/>
    <w:rsid w:val="006C5CA0"/>
    <w:rsid w:val="006C684E"/>
    <w:rsid w:val="006C6CF8"/>
    <w:rsid w:val="006C7D9A"/>
    <w:rsid w:val="006C7DD0"/>
    <w:rsid w:val="006D059E"/>
    <w:rsid w:val="006D1478"/>
    <w:rsid w:val="006D1BC4"/>
    <w:rsid w:val="006D1BFC"/>
    <w:rsid w:val="006D1E3C"/>
    <w:rsid w:val="006D2C7A"/>
    <w:rsid w:val="006D4DCD"/>
    <w:rsid w:val="006D4E17"/>
    <w:rsid w:val="006D5130"/>
    <w:rsid w:val="006D575B"/>
    <w:rsid w:val="006D5CA6"/>
    <w:rsid w:val="006E0938"/>
    <w:rsid w:val="006E1EEE"/>
    <w:rsid w:val="006E2B43"/>
    <w:rsid w:val="006E3F64"/>
    <w:rsid w:val="006E46C0"/>
    <w:rsid w:val="006E4C6F"/>
    <w:rsid w:val="006E4CFE"/>
    <w:rsid w:val="006E4D20"/>
    <w:rsid w:val="006E4F94"/>
    <w:rsid w:val="006E6354"/>
    <w:rsid w:val="006E65E8"/>
    <w:rsid w:val="006E6A98"/>
    <w:rsid w:val="006E717C"/>
    <w:rsid w:val="006E7580"/>
    <w:rsid w:val="006E7957"/>
    <w:rsid w:val="006F17A6"/>
    <w:rsid w:val="006F1D6E"/>
    <w:rsid w:val="006F2890"/>
    <w:rsid w:val="006F2C5D"/>
    <w:rsid w:val="006F3211"/>
    <w:rsid w:val="006F3865"/>
    <w:rsid w:val="006F4E61"/>
    <w:rsid w:val="006F5041"/>
    <w:rsid w:val="006F7C98"/>
    <w:rsid w:val="007007E5"/>
    <w:rsid w:val="0070182D"/>
    <w:rsid w:val="00702026"/>
    <w:rsid w:val="007022EC"/>
    <w:rsid w:val="00702A24"/>
    <w:rsid w:val="00704761"/>
    <w:rsid w:val="007049D6"/>
    <w:rsid w:val="0070566F"/>
    <w:rsid w:val="007059B8"/>
    <w:rsid w:val="00705BB7"/>
    <w:rsid w:val="00706367"/>
    <w:rsid w:val="00706EBD"/>
    <w:rsid w:val="007105B8"/>
    <w:rsid w:val="00710CE0"/>
    <w:rsid w:val="00712746"/>
    <w:rsid w:val="007129F1"/>
    <w:rsid w:val="007134A4"/>
    <w:rsid w:val="0071395D"/>
    <w:rsid w:val="00713F71"/>
    <w:rsid w:val="0071418B"/>
    <w:rsid w:val="007168B2"/>
    <w:rsid w:val="0072024F"/>
    <w:rsid w:val="00724285"/>
    <w:rsid w:val="00724649"/>
    <w:rsid w:val="007251D0"/>
    <w:rsid w:val="00727D0D"/>
    <w:rsid w:val="00730B72"/>
    <w:rsid w:val="007312EF"/>
    <w:rsid w:val="0073322B"/>
    <w:rsid w:val="007333CE"/>
    <w:rsid w:val="00734224"/>
    <w:rsid w:val="00734494"/>
    <w:rsid w:val="00734E1B"/>
    <w:rsid w:val="00736050"/>
    <w:rsid w:val="00736D6C"/>
    <w:rsid w:val="007378AA"/>
    <w:rsid w:val="007378C6"/>
    <w:rsid w:val="007405D4"/>
    <w:rsid w:val="00741E6C"/>
    <w:rsid w:val="00742463"/>
    <w:rsid w:val="00742EAE"/>
    <w:rsid w:val="007431F6"/>
    <w:rsid w:val="00743303"/>
    <w:rsid w:val="007435CF"/>
    <w:rsid w:val="00744731"/>
    <w:rsid w:val="00744C92"/>
    <w:rsid w:val="00746906"/>
    <w:rsid w:val="00746AC6"/>
    <w:rsid w:val="007470FB"/>
    <w:rsid w:val="0075041E"/>
    <w:rsid w:val="00750E87"/>
    <w:rsid w:val="007527A1"/>
    <w:rsid w:val="00752C22"/>
    <w:rsid w:val="00760761"/>
    <w:rsid w:val="00760828"/>
    <w:rsid w:val="00761658"/>
    <w:rsid w:val="00761D32"/>
    <w:rsid w:val="0076331A"/>
    <w:rsid w:val="00763B11"/>
    <w:rsid w:val="007642AF"/>
    <w:rsid w:val="0076464A"/>
    <w:rsid w:val="00764C05"/>
    <w:rsid w:val="00764DF7"/>
    <w:rsid w:val="00765095"/>
    <w:rsid w:val="00766B81"/>
    <w:rsid w:val="0076757D"/>
    <w:rsid w:val="00767AE4"/>
    <w:rsid w:val="00767DFB"/>
    <w:rsid w:val="00770E04"/>
    <w:rsid w:val="00770E5E"/>
    <w:rsid w:val="0077102E"/>
    <w:rsid w:val="00771260"/>
    <w:rsid w:val="007723A8"/>
    <w:rsid w:val="00772EC7"/>
    <w:rsid w:val="00772EE7"/>
    <w:rsid w:val="007732E9"/>
    <w:rsid w:val="0077501F"/>
    <w:rsid w:val="007854F8"/>
    <w:rsid w:val="00785AA7"/>
    <w:rsid w:val="0078648D"/>
    <w:rsid w:val="00787249"/>
    <w:rsid w:val="007873B4"/>
    <w:rsid w:val="00790771"/>
    <w:rsid w:val="00791FD4"/>
    <w:rsid w:val="007927FA"/>
    <w:rsid w:val="007933D2"/>
    <w:rsid w:val="00793CDA"/>
    <w:rsid w:val="0079425C"/>
    <w:rsid w:val="00795199"/>
    <w:rsid w:val="007A0553"/>
    <w:rsid w:val="007A31D3"/>
    <w:rsid w:val="007A73D6"/>
    <w:rsid w:val="007A7590"/>
    <w:rsid w:val="007B1A80"/>
    <w:rsid w:val="007B2C9F"/>
    <w:rsid w:val="007B331A"/>
    <w:rsid w:val="007B3796"/>
    <w:rsid w:val="007B3DB3"/>
    <w:rsid w:val="007B594A"/>
    <w:rsid w:val="007B5D3E"/>
    <w:rsid w:val="007B5F3E"/>
    <w:rsid w:val="007B69C5"/>
    <w:rsid w:val="007B6D4A"/>
    <w:rsid w:val="007C176A"/>
    <w:rsid w:val="007C1AA5"/>
    <w:rsid w:val="007C2249"/>
    <w:rsid w:val="007C2AF3"/>
    <w:rsid w:val="007C2D1B"/>
    <w:rsid w:val="007C6674"/>
    <w:rsid w:val="007C668A"/>
    <w:rsid w:val="007C6FF2"/>
    <w:rsid w:val="007D0889"/>
    <w:rsid w:val="007D2190"/>
    <w:rsid w:val="007D3081"/>
    <w:rsid w:val="007D32F2"/>
    <w:rsid w:val="007D4C67"/>
    <w:rsid w:val="007D5EB7"/>
    <w:rsid w:val="007D713C"/>
    <w:rsid w:val="007D7289"/>
    <w:rsid w:val="007D7659"/>
    <w:rsid w:val="007D7A0F"/>
    <w:rsid w:val="007E1F95"/>
    <w:rsid w:val="007E2770"/>
    <w:rsid w:val="007E30D8"/>
    <w:rsid w:val="007E4CB3"/>
    <w:rsid w:val="007E5CCD"/>
    <w:rsid w:val="007E6037"/>
    <w:rsid w:val="007E63A7"/>
    <w:rsid w:val="007E6E1E"/>
    <w:rsid w:val="007E6EFD"/>
    <w:rsid w:val="007E7A6B"/>
    <w:rsid w:val="007E7B1F"/>
    <w:rsid w:val="007F0A09"/>
    <w:rsid w:val="007F1160"/>
    <w:rsid w:val="007F19B4"/>
    <w:rsid w:val="007F31FD"/>
    <w:rsid w:val="00800E5A"/>
    <w:rsid w:val="008014D6"/>
    <w:rsid w:val="008016C2"/>
    <w:rsid w:val="00802436"/>
    <w:rsid w:val="00802639"/>
    <w:rsid w:val="00803BFF"/>
    <w:rsid w:val="00803DA8"/>
    <w:rsid w:val="00804486"/>
    <w:rsid w:val="008059AB"/>
    <w:rsid w:val="0080607D"/>
    <w:rsid w:val="0080675B"/>
    <w:rsid w:val="00806E4B"/>
    <w:rsid w:val="00807168"/>
    <w:rsid w:val="0081178F"/>
    <w:rsid w:val="008122C2"/>
    <w:rsid w:val="008133A9"/>
    <w:rsid w:val="00814900"/>
    <w:rsid w:val="00815E69"/>
    <w:rsid w:val="008175F3"/>
    <w:rsid w:val="00817B0C"/>
    <w:rsid w:val="0082035C"/>
    <w:rsid w:val="00821793"/>
    <w:rsid w:val="00822631"/>
    <w:rsid w:val="0082449E"/>
    <w:rsid w:val="008253CE"/>
    <w:rsid w:val="008268BB"/>
    <w:rsid w:val="00826D3E"/>
    <w:rsid w:val="0082705A"/>
    <w:rsid w:val="00827D0E"/>
    <w:rsid w:val="00830B94"/>
    <w:rsid w:val="00830FC5"/>
    <w:rsid w:val="00831616"/>
    <w:rsid w:val="00831F5D"/>
    <w:rsid w:val="00831FDE"/>
    <w:rsid w:val="00835F7B"/>
    <w:rsid w:val="00836161"/>
    <w:rsid w:val="008410F0"/>
    <w:rsid w:val="0084168B"/>
    <w:rsid w:val="00842110"/>
    <w:rsid w:val="0084264A"/>
    <w:rsid w:val="00844F24"/>
    <w:rsid w:val="008451AD"/>
    <w:rsid w:val="008457A4"/>
    <w:rsid w:val="0084606C"/>
    <w:rsid w:val="0084713A"/>
    <w:rsid w:val="0084730D"/>
    <w:rsid w:val="00850051"/>
    <w:rsid w:val="00850C9F"/>
    <w:rsid w:val="008518B3"/>
    <w:rsid w:val="008538A9"/>
    <w:rsid w:val="00854680"/>
    <w:rsid w:val="00854BC1"/>
    <w:rsid w:val="00854CA4"/>
    <w:rsid w:val="00856378"/>
    <w:rsid w:val="0085675A"/>
    <w:rsid w:val="008572EE"/>
    <w:rsid w:val="0086036A"/>
    <w:rsid w:val="0086135E"/>
    <w:rsid w:val="008620FC"/>
    <w:rsid w:val="00862E7F"/>
    <w:rsid w:val="00864D38"/>
    <w:rsid w:val="00867ADE"/>
    <w:rsid w:val="00872DE8"/>
    <w:rsid w:val="008736AD"/>
    <w:rsid w:val="00876ED3"/>
    <w:rsid w:val="0087729E"/>
    <w:rsid w:val="00881E2E"/>
    <w:rsid w:val="008821B5"/>
    <w:rsid w:val="008826BE"/>
    <w:rsid w:val="008828F1"/>
    <w:rsid w:val="00883348"/>
    <w:rsid w:val="008856B1"/>
    <w:rsid w:val="00891357"/>
    <w:rsid w:val="00891FE4"/>
    <w:rsid w:val="00893883"/>
    <w:rsid w:val="00895A61"/>
    <w:rsid w:val="0089682C"/>
    <w:rsid w:val="00897040"/>
    <w:rsid w:val="008A420C"/>
    <w:rsid w:val="008A48B8"/>
    <w:rsid w:val="008A52A5"/>
    <w:rsid w:val="008A5599"/>
    <w:rsid w:val="008A5A33"/>
    <w:rsid w:val="008A64DF"/>
    <w:rsid w:val="008A6E28"/>
    <w:rsid w:val="008A7B44"/>
    <w:rsid w:val="008B0460"/>
    <w:rsid w:val="008B1266"/>
    <w:rsid w:val="008B19F0"/>
    <w:rsid w:val="008B2A2E"/>
    <w:rsid w:val="008B2D68"/>
    <w:rsid w:val="008B37A9"/>
    <w:rsid w:val="008B3BC8"/>
    <w:rsid w:val="008B40DB"/>
    <w:rsid w:val="008B4653"/>
    <w:rsid w:val="008B46D7"/>
    <w:rsid w:val="008B4BC3"/>
    <w:rsid w:val="008B521B"/>
    <w:rsid w:val="008B5864"/>
    <w:rsid w:val="008B5EA8"/>
    <w:rsid w:val="008B6436"/>
    <w:rsid w:val="008B71A5"/>
    <w:rsid w:val="008C0976"/>
    <w:rsid w:val="008C2C65"/>
    <w:rsid w:val="008C331B"/>
    <w:rsid w:val="008C43DE"/>
    <w:rsid w:val="008C4E0F"/>
    <w:rsid w:val="008C5153"/>
    <w:rsid w:val="008C5912"/>
    <w:rsid w:val="008C738C"/>
    <w:rsid w:val="008C7A70"/>
    <w:rsid w:val="008D00BC"/>
    <w:rsid w:val="008D03C5"/>
    <w:rsid w:val="008D1728"/>
    <w:rsid w:val="008D1B9E"/>
    <w:rsid w:val="008D29AF"/>
    <w:rsid w:val="008D2EE5"/>
    <w:rsid w:val="008D34CF"/>
    <w:rsid w:val="008D3F3D"/>
    <w:rsid w:val="008D555B"/>
    <w:rsid w:val="008D5C47"/>
    <w:rsid w:val="008D75FA"/>
    <w:rsid w:val="008D7C25"/>
    <w:rsid w:val="008E1042"/>
    <w:rsid w:val="008E1A58"/>
    <w:rsid w:val="008E281B"/>
    <w:rsid w:val="008E2B26"/>
    <w:rsid w:val="008E3703"/>
    <w:rsid w:val="008E7313"/>
    <w:rsid w:val="008E73A8"/>
    <w:rsid w:val="008E751D"/>
    <w:rsid w:val="008E78CF"/>
    <w:rsid w:val="008E79E6"/>
    <w:rsid w:val="008E7C7B"/>
    <w:rsid w:val="008F1157"/>
    <w:rsid w:val="008F2BAA"/>
    <w:rsid w:val="008F437E"/>
    <w:rsid w:val="008F5FFA"/>
    <w:rsid w:val="009002E5"/>
    <w:rsid w:val="00900B13"/>
    <w:rsid w:val="00900C89"/>
    <w:rsid w:val="00900FB8"/>
    <w:rsid w:val="00902D4F"/>
    <w:rsid w:val="00903316"/>
    <w:rsid w:val="009038C4"/>
    <w:rsid w:val="009039D7"/>
    <w:rsid w:val="00904DFD"/>
    <w:rsid w:val="00904F0A"/>
    <w:rsid w:val="00905B74"/>
    <w:rsid w:val="009064B9"/>
    <w:rsid w:val="00906D9D"/>
    <w:rsid w:val="00907400"/>
    <w:rsid w:val="00907F59"/>
    <w:rsid w:val="00914927"/>
    <w:rsid w:val="00915325"/>
    <w:rsid w:val="00916147"/>
    <w:rsid w:val="00922121"/>
    <w:rsid w:val="00922A10"/>
    <w:rsid w:val="00922ADE"/>
    <w:rsid w:val="00922C8C"/>
    <w:rsid w:val="00922FAB"/>
    <w:rsid w:val="00923744"/>
    <w:rsid w:val="00923D60"/>
    <w:rsid w:val="00924858"/>
    <w:rsid w:val="0092517A"/>
    <w:rsid w:val="009255A2"/>
    <w:rsid w:val="00925B80"/>
    <w:rsid w:val="00927D42"/>
    <w:rsid w:val="009309D4"/>
    <w:rsid w:val="009309FC"/>
    <w:rsid w:val="009315B1"/>
    <w:rsid w:val="0093184F"/>
    <w:rsid w:val="00931C23"/>
    <w:rsid w:val="009322F4"/>
    <w:rsid w:val="00932CD1"/>
    <w:rsid w:val="0093392A"/>
    <w:rsid w:val="00934D9C"/>
    <w:rsid w:val="009353FA"/>
    <w:rsid w:val="00935CC9"/>
    <w:rsid w:val="00936A9E"/>
    <w:rsid w:val="00936FD8"/>
    <w:rsid w:val="009404C8"/>
    <w:rsid w:val="00941650"/>
    <w:rsid w:val="009430D1"/>
    <w:rsid w:val="00944294"/>
    <w:rsid w:val="0094448F"/>
    <w:rsid w:val="009444B8"/>
    <w:rsid w:val="00945CB0"/>
    <w:rsid w:val="0094657E"/>
    <w:rsid w:val="009467AD"/>
    <w:rsid w:val="0094706C"/>
    <w:rsid w:val="0094781D"/>
    <w:rsid w:val="00950763"/>
    <w:rsid w:val="0095091D"/>
    <w:rsid w:val="00950E9C"/>
    <w:rsid w:val="009516D9"/>
    <w:rsid w:val="00952597"/>
    <w:rsid w:val="009541AD"/>
    <w:rsid w:val="00954D35"/>
    <w:rsid w:val="00955A51"/>
    <w:rsid w:val="00955E6D"/>
    <w:rsid w:val="00956BD1"/>
    <w:rsid w:val="00957313"/>
    <w:rsid w:val="00960144"/>
    <w:rsid w:val="0096076B"/>
    <w:rsid w:val="00960B8D"/>
    <w:rsid w:val="00960F1E"/>
    <w:rsid w:val="00960FE2"/>
    <w:rsid w:val="00961679"/>
    <w:rsid w:val="00961680"/>
    <w:rsid w:val="00961C4C"/>
    <w:rsid w:val="00961F70"/>
    <w:rsid w:val="009625E5"/>
    <w:rsid w:val="00962666"/>
    <w:rsid w:val="00962BA9"/>
    <w:rsid w:val="009649C0"/>
    <w:rsid w:val="00965503"/>
    <w:rsid w:val="00967C68"/>
    <w:rsid w:val="00971129"/>
    <w:rsid w:val="0097225B"/>
    <w:rsid w:val="00972612"/>
    <w:rsid w:val="009730F3"/>
    <w:rsid w:val="00973407"/>
    <w:rsid w:val="009734E3"/>
    <w:rsid w:val="00973875"/>
    <w:rsid w:val="0097414A"/>
    <w:rsid w:val="00974B85"/>
    <w:rsid w:val="00975733"/>
    <w:rsid w:val="0097604D"/>
    <w:rsid w:val="0097621C"/>
    <w:rsid w:val="00976EF5"/>
    <w:rsid w:val="00977F13"/>
    <w:rsid w:val="00977FE5"/>
    <w:rsid w:val="0098002B"/>
    <w:rsid w:val="009816B5"/>
    <w:rsid w:val="0098190E"/>
    <w:rsid w:val="0098235A"/>
    <w:rsid w:val="009825D7"/>
    <w:rsid w:val="009827F3"/>
    <w:rsid w:val="00982D4D"/>
    <w:rsid w:val="00982DC5"/>
    <w:rsid w:val="009832F5"/>
    <w:rsid w:val="00983E40"/>
    <w:rsid w:val="009847F8"/>
    <w:rsid w:val="00984E9C"/>
    <w:rsid w:val="00984F2D"/>
    <w:rsid w:val="00985868"/>
    <w:rsid w:val="00987E39"/>
    <w:rsid w:val="00990F75"/>
    <w:rsid w:val="00992BCB"/>
    <w:rsid w:val="009935EE"/>
    <w:rsid w:val="00993C47"/>
    <w:rsid w:val="00993D6F"/>
    <w:rsid w:val="00994AEE"/>
    <w:rsid w:val="00996C58"/>
    <w:rsid w:val="009A0817"/>
    <w:rsid w:val="009A0931"/>
    <w:rsid w:val="009A0BB1"/>
    <w:rsid w:val="009A1D3A"/>
    <w:rsid w:val="009A24C9"/>
    <w:rsid w:val="009A41A3"/>
    <w:rsid w:val="009A48F8"/>
    <w:rsid w:val="009A4C17"/>
    <w:rsid w:val="009B0FFC"/>
    <w:rsid w:val="009B1F33"/>
    <w:rsid w:val="009B25BB"/>
    <w:rsid w:val="009B4241"/>
    <w:rsid w:val="009B4D3B"/>
    <w:rsid w:val="009B6174"/>
    <w:rsid w:val="009B6C20"/>
    <w:rsid w:val="009C0666"/>
    <w:rsid w:val="009C15D6"/>
    <w:rsid w:val="009C186A"/>
    <w:rsid w:val="009C2FFB"/>
    <w:rsid w:val="009C342C"/>
    <w:rsid w:val="009C5B4A"/>
    <w:rsid w:val="009C625E"/>
    <w:rsid w:val="009C67FE"/>
    <w:rsid w:val="009C683B"/>
    <w:rsid w:val="009C7015"/>
    <w:rsid w:val="009C7261"/>
    <w:rsid w:val="009C7D2D"/>
    <w:rsid w:val="009D04A7"/>
    <w:rsid w:val="009D102E"/>
    <w:rsid w:val="009D24AB"/>
    <w:rsid w:val="009D29C7"/>
    <w:rsid w:val="009D2ED2"/>
    <w:rsid w:val="009D392C"/>
    <w:rsid w:val="009D4640"/>
    <w:rsid w:val="009D58D3"/>
    <w:rsid w:val="009D5E6D"/>
    <w:rsid w:val="009D6D54"/>
    <w:rsid w:val="009D7620"/>
    <w:rsid w:val="009D76FC"/>
    <w:rsid w:val="009D7F9F"/>
    <w:rsid w:val="009E0073"/>
    <w:rsid w:val="009E2C4B"/>
    <w:rsid w:val="009E2FFC"/>
    <w:rsid w:val="009E41DC"/>
    <w:rsid w:val="009E43B9"/>
    <w:rsid w:val="009E4827"/>
    <w:rsid w:val="009E5CA7"/>
    <w:rsid w:val="009E6AFA"/>
    <w:rsid w:val="009F0ED0"/>
    <w:rsid w:val="009F3D67"/>
    <w:rsid w:val="009F4381"/>
    <w:rsid w:val="009F44A8"/>
    <w:rsid w:val="009F481B"/>
    <w:rsid w:val="009F4F19"/>
    <w:rsid w:val="009F4FA6"/>
    <w:rsid w:val="009F5A76"/>
    <w:rsid w:val="009F68AF"/>
    <w:rsid w:val="009F74FA"/>
    <w:rsid w:val="009F75C5"/>
    <w:rsid w:val="00A00D53"/>
    <w:rsid w:val="00A01B02"/>
    <w:rsid w:val="00A03A2B"/>
    <w:rsid w:val="00A04668"/>
    <w:rsid w:val="00A04ED2"/>
    <w:rsid w:val="00A05598"/>
    <w:rsid w:val="00A0565F"/>
    <w:rsid w:val="00A05FFE"/>
    <w:rsid w:val="00A06204"/>
    <w:rsid w:val="00A07075"/>
    <w:rsid w:val="00A11B87"/>
    <w:rsid w:val="00A1201C"/>
    <w:rsid w:val="00A1282B"/>
    <w:rsid w:val="00A129C3"/>
    <w:rsid w:val="00A13AC7"/>
    <w:rsid w:val="00A14FE6"/>
    <w:rsid w:val="00A15288"/>
    <w:rsid w:val="00A152A8"/>
    <w:rsid w:val="00A15DD4"/>
    <w:rsid w:val="00A16E6C"/>
    <w:rsid w:val="00A1759C"/>
    <w:rsid w:val="00A17D03"/>
    <w:rsid w:val="00A21246"/>
    <w:rsid w:val="00A22281"/>
    <w:rsid w:val="00A22570"/>
    <w:rsid w:val="00A23449"/>
    <w:rsid w:val="00A24455"/>
    <w:rsid w:val="00A2586B"/>
    <w:rsid w:val="00A26CFB"/>
    <w:rsid w:val="00A272F9"/>
    <w:rsid w:val="00A301FC"/>
    <w:rsid w:val="00A3039A"/>
    <w:rsid w:val="00A32391"/>
    <w:rsid w:val="00A32BAB"/>
    <w:rsid w:val="00A33758"/>
    <w:rsid w:val="00A339FF"/>
    <w:rsid w:val="00A33CAA"/>
    <w:rsid w:val="00A33F1A"/>
    <w:rsid w:val="00A34128"/>
    <w:rsid w:val="00A34295"/>
    <w:rsid w:val="00A343D3"/>
    <w:rsid w:val="00A3518E"/>
    <w:rsid w:val="00A356DF"/>
    <w:rsid w:val="00A37C6A"/>
    <w:rsid w:val="00A4093C"/>
    <w:rsid w:val="00A41E27"/>
    <w:rsid w:val="00A43201"/>
    <w:rsid w:val="00A43C45"/>
    <w:rsid w:val="00A4412F"/>
    <w:rsid w:val="00A443DF"/>
    <w:rsid w:val="00A4452F"/>
    <w:rsid w:val="00A448DE"/>
    <w:rsid w:val="00A4597B"/>
    <w:rsid w:val="00A45B5A"/>
    <w:rsid w:val="00A463BC"/>
    <w:rsid w:val="00A46BFD"/>
    <w:rsid w:val="00A4711E"/>
    <w:rsid w:val="00A47CFD"/>
    <w:rsid w:val="00A509BB"/>
    <w:rsid w:val="00A51113"/>
    <w:rsid w:val="00A525E7"/>
    <w:rsid w:val="00A538E6"/>
    <w:rsid w:val="00A54F1C"/>
    <w:rsid w:val="00A55C68"/>
    <w:rsid w:val="00A5607A"/>
    <w:rsid w:val="00A560AB"/>
    <w:rsid w:val="00A56E42"/>
    <w:rsid w:val="00A573C0"/>
    <w:rsid w:val="00A57C59"/>
    <w:rsid w:val="00A60B82"/>
    <w:rsid w:val="00A60F1C"/>
    <w:rsid w:val="00A61249"/>
    <w:rsid w:val="00A62EE4"/>
    <w:rsid w:val="00A641B1"/>
    <w:rsid w:val="00A64579"/>
    <w:rsid w:val="00A651CE"/>
    <w:rsid w:val="00A65DF8"/>
    <w:rsid w:val="00A66094"/>
    <w:rsid w:val="00A66A53"/>
    <w:rsid w:val="00A70FC8"/>
    <w:rsid w:val="00A72A43"/>
    <w:rsid w:val="00A73515"/>
    <w:rsid w:val="00A74019"/>
    <w:rsid w:val="00A7631A"/>
    <w:rsid w:val="00A76958"/>
    <w:rsid w:val="00A7730F"/>
    <w:rsid w:val="00A77829"/>
    <w:rsid w:val="00A80CC0"/>
    <w:rsid w:val="00A80F5A"/>
    <w:rsid w:val="00A8109B"/>
    <w:rsid w:val="00A819BA"/>
    <w:rsid w:val="00A81E98"/>
    <w:rsid w:val="00A83345"/>
    <w:rsid w:val="00A837A5"/>
    <w:rsid w:val="00A839B0"/>
    <w:rsid w:val="00A83E39"/>
    <w:rsid w:val="00A83F2B"/>
    <w:rsid w:val="00A841B9"/>
    <w:rsid w:val="00A84203"/>
    <w:rsid w:val="00A8450D"/>
    <w:rsid w:val="00A85B75"/>
    <w:rsid w:val="00A87220"/>
    <w:rsid w:val="00A905BF"/>
    <w:rsid w:val="00A93223"/>
    <w:rsid w:val="00A9347D"/>
    <w:rsid w:val="00A93A38"/>
    <w:rsid w:val="00A93FDD"/>
    <w:rsid w:val="00A9410F"/>
    <w:rsid w:val="00A948AC"/>
    <w:rsid w:val="00A94B2E"/>
    <w:rsid w:val="00A95CCC"/>
    <w:rsid w:val="00A97A17"/>
    <w:rsid w:val="00AA072C"/>
    <w:rsid w:val="00AA096E"/>
    <w:rsid w:val="00AA0C0B"/>
    <w:rsid w:val="00AA18B8"/>
    <w:rsid w:val="00AA1F90"/>
    <w:rsid w:val="00AA2682"/>
    <w:rsid w:val="00AA291B"/>
    <w:rsid w:val="00AA3FB6"/>
    <w:rsid w:val="00AA5AAE"/>
    <w:rsid w:val="00AA687E"/>
    <w:rsid w:val="00AA6952"/>
    <w:rsid w:val="00AA6B14"/>
    <w:rsid w:val="00AA7983"/>
    <w:rsid w:val="00AB0139"/>
    <w:rsid w:val="00AB0449"/>
    <w:rsid w:val="00AB060C"/>
    <w:rsid w:val="00AB062B"/>
    <w:rsid w:val="00AB07AE"/>
    <w:rsid w:val="00AB2940"/>
    <w:rsid w:val="00AB2C62"/>
    <w:rsid w:val="00AB2DDA"/>
    <w:rsid w:val="00AB2E71"/>
    <w:rsid w:val="00AB30A6"/>
    <w:rsid w:val="00AB333C"/>
    <w:rsid w:val="00AB485B"/>
    <w:rsid w:val="00AB48AC"/>
    <w:rsid w:val="00AB4FBF"/>
    <w:rsid w:val="00AB61E9"/>
    <w:rsid w:val="00AB67E5"/>
    <w:rsid w:val="00AB76C7"/>
    <w:rsid w:val="00AC0016"/>
    <w:rsid w:val="00AC081C"/>
    <w:rsid w:val="00AC1020"/>
    <w:rsid w:val="00AC1C19"/>
    <w:rsid w:val="00AC24CE"/>
    <w:rsid w:val="00AC2E82"/>
    <w:rsid w:val="00AC3CDE"/>
    <w:rsid w:val="00AC3D88"/>
    <w:rsid w:val="00AC4F92"/>
    <w:rsid w:val="00AC50B0"/>
    <w:rsid w:val="00AC540E"/>
    <w:rsid w:val="00AC780F"/>
    <w:rsid w:val="00AC78BC"/>
    <w:rsid w:val="00AD0B18"/>
    <w:rsid w:val="00AD13EE"/>
    <w:rsid w:val="00AD1EC0"/>
    <w:rsid w:val="00AD2176"/>
    <w:rsid w:val="00AD2665"/>
    <w:rsid w:val="00AD358E"/>
    <w:rsid w:val="00AD3D86"/>
    <w:rsid w:val="00AD3F8B"/>
    <w:rsid w:val="00AD4104"/>
    <w:rsid w:val="00AD5FB1"/>
    <w:rsid w:val="00AD624B"/>
    <w:rsid w:val="00AD6A02"/>
    <w:rsid w:val="00AD7447"/>
    <w:rsid w:val="00AD75F6"/>
    <w:rsid w:val="00AD79CA"/>
    <w:rsid w:val="00AD7FBE"/>
    <w:rsid w:val="00AE049C"/>
    <w:rsid w:val="00AE0934"/>
    <w:rsid w:val="00AE15DA"/>
    <w:rsid w:val="00AE1C62"/>
    <w:rsid w:val="00AE4627"/>
    <w:rsid w:val="00AE52C4"/>
    <w:rsid w:val="00AE6505"/>
    <w:rsid w:val="00AF03D9"/>
    <w:rsid w:val="00AF0859"/>
    <w:rsid w:val="00AF0A5D"/>
    <w:rsid w:val="00AF0FF7"/>
    <w:rsid w:val="00AF1D6C"/>
    <w:rsid w:val="00AF37A7"/>
    <w:rsid w:val="00AF4BCF"/>
    <w:rsid w:val="00B021ED"/>
    <w:rsid w:val="00B029DE"/>
    <w:rsid w:val="00B037C7"/>
    <w:rsid w:val="00B03B5E"/>
    <w:rsid w:val="00B03BF7"/>
    <w:rsid w:val="00B03ED4"/>
    <w:rsid w:val="00B0455F"/>
    <w:rsid w:val="00B04582"/>
    <w:rsid w:val="00B0507A"/>
    <w:rsid w:val="00B05FA0"/>
    <w:rsid w:val="00B0625F"/>
    <w:rsid w:val="00B06272"/>
    <w:rsid w:val="00B0647E"/>
    <w:rsid w:val="00B0670B"/>
    <w:rsid w:val="00B06A17"/>
    <w:rsid w:val="00B11091"/>
    <w:rsid w:val="00B12396"/>
    <w:rsid w:val="00B129E2"/>
    <w:rsid w:val="00B13BC0"/>
    <w:rsid w:val="00B147EA"/>
    <w:rsid w:val="00B14F05"/>
    <w:rsid w:val="00B15B3B"/>
    <w:rsid w:val="00B17751"/>
    <w:rsid w:val="00B17B6A"/>
    <w:rsid w:val="00B2165D"/>
    <w:rsid w:val="00B2396A"/>
    <w:rsid w:val="00B23D25"/>
    <w:rsid w:val="00B23E1E"/>
    <w:rsid w:val="00B24955"/>
    <w:rsid w:val="00B24A8B"/>
    <w:rsid w:val="00B25434"/>
    <w:rsid w:val="00B257F6"/>
    <w:rsid w:val="00B264EE"/>
    <w:rsid w:val="00B26F69"/>
    <w:rsid w:val="00B2769B"/>
    <w:rsid w:val="00B304DF"/>
    <w:rsid w:val="00B30520"/>
    <w:rsid w:val="00B31C45"/>
    <w:rsid w:val="00B332BE"/>
    <w:rsid w:val="00B332D8"/>
    <w:rsid w:val="00B3494A"/>
    <w:rsid w:val="00B41912"/>
    <w:rsid w:val="00B41A47"/>
    <w:rsid w:val="00B43056"/>
    <w:rsid w:val="00B4371B"/>
    <w:rsid w:val="00B43A81"/>
    <w:rsid w:val="00B43F57"/>
    <w:rsid w:val="00B456F4"/>
    <w:rsid w:val="00B46EC2"/>
    <w:rsid w:val="00B47AC4"/>
    <w:rsid w:val="00B47F35"/>
    <w:rsid w:val="00B51AB5"/>
    <w:rsid w:val="00B51EBE"/>
    <w:rsid w:val="00B51FB4"/>
    <w:rsid w:val="00B524ED"/>
    <w:rsid w:val="00B52844"/>
    <w:rsid w:val="00B53846"/>
    <w:rsid w:val="00B54E5F"/>
    <w:rsid w:val="00B56C13"/>
    <w:rsid w:val="00B5717A"/>
    <w:rsid w:val="00B57967"/>
    <w:rsid w:val="00B57ECC"/>
    <w:rsid w:val="00B60879"/>
    <w:rsid w:val="00B60E0D"/>
    <w:rsid w:val="00B6145D"/>
    <w:rsid w:val="00B6263C"/>
    <w:rsid w:val="00B626C3"/>
    <w:rsid w:val="00B6270F"/>
    <w:rsid w:val="00B62C52"/>
    <w:rsid w:val="00B64026"/>
    <w:rsid w:val="00B6544D"/>
    <w:rsid w:val="00B656CC"/>
    <w:rsid w:val="00B65752"/>
    <w:rsid w:val="00B66771"/>
    <w:rsid w:val="00B66DC7"/>
    <w:rsid w:val="00B724E2"/>
    <w:rsid w:val="00B7402A"/>
    <w:rsid w:val="00B741E2"/>
    <w:rsid w:val="00B74D84"/>
    <w:rsid w:val="00B7558A"/>
    <w:rsid w:val="00B75F09"/>
    <w:rsid w:val="00B762CA"/>
    <w:rsid w:val="00B768F0"/>
    <w:rsid w:val="00B77F5C"/>
    <w:rsid w:val="00B82281"/>
    <w:rsid w:val="00B82E33"/>
    <w:rsid w:val="00B82E35"/>
    <w:rsid w:val="00B830A7"/>
    <w:rsid w:val="00B83B4B"/>
    <w:rsid w:val="00B8505C"/>
    <w:rsid w:val="00B8681F"/>
    <w:rsid w:val="00B9012B"/>
    <w:rsid w:val="00B9095E"/>
    <w:rsid w:val="00B91792"/>
    <w:rsid w:val="00B91C03"/>
    <w:rsid w:val="00B92631"/>
    <w:rsid w:val="00B92F44"/>
    <w:rsid w:val="00B9318C"/>
    <w:rsid w:val="00B94CA8"/>
    <w:rsid w:val="00B95169"/>
    <w:rsid w:val="00B9590D"/>
    <w:rsid w:val="00BA006B"/>
    <w:rsid w:val="00BA104C"/>
    <w:rsid w:val="00BA306C"/>
    <w:rsid w:val="00BA3B65"/>
    <w:rsid w:val="00BA53BC"/>
    <w:rsid w:val="00BA5FFD"/>
    <w:rsid w:val="00BA629B"/>
    <w:rsid w:val="00BA69D5"/>
    <w:rsid w:val="00BB011D"/>
    <w:rsid w:val="00BB150C"/>
    <w:rsid w:val="00BB1809"/>
    <w:rsid w:val="00BB195D"/>
    <w:rsid w:val="00BB2AD4"/>
    <w:rsid w:val="00BB3B60"/>
    <w:rsid w:val="00BC0177"/>
    <w:rsid w:val="00BC41BC"/>
    <w:rsid w:val="00BC483C"/>
    <w:rsid w:val="00BC76BB"/>
    <w:rsid w:val="00BD0270"/>
    <w:rsid w:val="00BD0689"/>
    <w:rsid w:val="00BD1A10"/>
    <w:rsid w:val="00BD2745"/>
    <w:rsid w:val="00BD4013"/>
    <w:rsid w:val="00BD497F"/>
    <w:rsid w:val="00BD5861"/>
    <w:rsid w:val="00BD598C"/>
    <w:rsid w:val="00BD661B"/>
    <w:rsid w:val="00BD6E60"/>
    <w:rsid w:val="00BD6EC8"/>
    <w:rsid w:val="00BD78EA"/>
    <w:rsid w:val="00BE0B6D"/>
    <w:rsid w:val="00BE1E44"/>
    <w:rsid w:val="00BE1EB9"/>
    <w:rsid w:val="00BE2B20"/>
    <w:rsid w:val="00BE2B59"/>
    <w:rsid w:val="00BE2BA6"/>
    <w:rsid w:val="00BE35F3"/>
    <w:rsid w:val="00BE3A19"/>
    <w:rsid w:val="00BE440E"/>
    <w:rsid w:val="00BE48B0"/>
    <w:rsid w:val="00BE4C32"/>
    <w:rsid w:val="00BE5E51"/>
    <w:rsid w:val="00BE6727"/>
    <w:rsid w:val="00BE6D38"/>
    <w:rsid w:val="00BE7E3C"/>
    <w:rsid w:val="00BE7EF6"/>
    <w:rsid w:val="00BE7F37"/>
    <w:rsid w:val="00BE7F9C"/>
    <w:rsid w:val="00BF1729"/>
    <w:rsid w:val="00BF1C02"/>
    <w:rsid w:val="00BF21E5"/>
    <w:rsid w:val="00BF2478"/>
    <w:rsid w:val="00BF2AEF"/>
    <w:rsid w:val="00BF364A"/>
    <w:rsid w:val="00BF455C"/>
    <w:rsid w:val="00BF5B12"/>
    <w:rsid w:val="00BF62E6"/>
    <w:rsid w:val="00BF643C"/>
    <w:rsid w:val="00BF6483"/>
    <w:rsid w:val="00BF7EEF"/>
    <w:rsid w:val="00C001D9"/>
    <w:rsid w:val="00C01A35"/>
    <w:rsid w:val="00C01B1C"/>
    <w:rsid w:val="00C021CC"/>
    <w:rsid w:val="00C0224D"/>
    <w:rsid w:val="00C02601"/>
    <w:rsid w:val="00C03263"/>
    <w:rsid w:val="00C0436C"/>
    <w:rsid w:val="00C04796"/>
    <w:rsid w:val="00C04D75"/>
    <w:rsid w:val="00C04E00"/>
    <w:rsid w:val="00C05192"/>
    <w:rsid w:val="00C053CA"/>
    <w:rsid w:val="00C05B1E"/>
    <w:rsid w:val="00C10AC5"/>
    <w:rsid w:val="00C112DC"/>
    <w:rsid w:val="00C115B5"/>
    <w:rsid w:val="00C117F0"/>
    <w:rsid w:val="00C11934"/>
    <w:rsid w:val="00C11B4B"/>
    <w:rsid w:val="00C12264"/>
    <w:rsid w:val="00C148BE"/>
    <w:rsid w:val="00C14F6B"/>
    <w:rsid w:val="00C1500B"/>
    <w:rsid w:val="00C15B99"/>
    <w:rsid w:val="00C15C6B"/>
    <w:rsid w:val="00C16921"/>
    <w:rsid w:val="00C20F1F"/>
    <w:rsid w:val="00C2162E"/>
    <w:rsid w:val="00C21C19"/>
    <w:rsid w:val="00C24474"/>
    <w:rsid w:val="00C25654"/>
    <w:rsid w:val="00C31172"/>
    <w:rsid w:val="00C349D8"/>
    <w:rsid w:val="00C350D2"/>
    <w:rsid w:val="00C35913"/>
    <w:rsid w:val="00C37650"/>
    <w:rsid w:val="00C37C05"/>
    <w:rsid w:val="00C37DB3"/>
    <w:rsid w:val="00C41012"/>
    <w:rsid w:val="00C4160C"/>
    <w:rsid w:val="00C43667"/>
    <w:rsid w:val="00C441C3"/>
    <w:rsid w:val="00C446F1"/>
    <w:rsid w:val="00C44DBE"/>
    <w:rsid w:val="00C463CD"/>
    <w:rsid w:val="00C474D0"/>
    <w:rsid w:val="00C47BF3"/>
    <w:rsid w:val="00C50442"/>
    <w:rsid w:val="00C5048C"/>
    <w:rsid w:val="00C50843"/>
    <w:rsid w:val="00C512B3"/>
    <w:rsid w:val="00C567F3"/>
    <w:rsid w:val="00C608ED"/>
    <w:rsid w:val="00C61AB4"/>
    <w:rsid w:val="00C61AFE"/>
    <w:rsid w:val="00C61FAF"/>
    <w:rsid w:val="00C622C9"/>
    <w:rsid w:val="00C62A20"/>
    <w:rsid w:val="00C62CDA"/>
    <w:rsid w:val="00C62DCB"/>
    <w:rsid w:val="00C63991"/>
    <w:rsid w:val="00C642BD"/>
    <w:rsid w:val="00C653DA"/>
    <w:rsid w:val="00C658A4"/>
    <w:rsid w:val="00C65E97"/>
    <w:rsid w:val="00C70977"/>
    <w:rsid w:val="00C70CB0"/>
    <w:rsid w:val="00C713C9"/>
    <w:rsid w:val="00C71FFD"/>
    <w:rsid w:val="00C75BEF"/>
    <w:rsid w:val="00C778FB"/>
    <w:rsid w:val="00C77F92"/>
    <w:rsid w:val="00C80537"/>
    <w:rsid w:val="00C81217"/>
    <w:rsid w:val="00C8326E"/>
    <w:rsid w:val="00C84A80"/>
    <w:rsid w:val="00C84D19"/>
    <w:rsid w:val="00C85679"/>
    <w:rsid w:val="00C863D9"/>
    <w:rsid w:val="00C86A20"/>
    <w:rsid w:val="00C90B5B"/>
    <w:rsid w:val="00C91E39"/>
    <w:rsid w:val="00C924D2"/>
    <w:rsid w:val="00C92CC4"/>
    <w:rsid w:val="00C932DA"/>
    <w:rsid w:val="00C93AAD"/>
    <w:rsid w:val="00C94318"/>
    <w:rsid w:val="00C94779"/>
    <w:rsid w:val="00C959DA"/>
    <w:rsid w:val="00C95D20"/>
    <w:rsid w:val="00C96ED8"/>
    <w:rsid w:val="00C97051"/>
    <w:rsid w:val="00CA113E"/>
    <w:rsid w:val="00CA2087"/>
    <w:rsid w:val="00CA20BF"/>
    <w:rsid w:val="00CA2B90"/>
    <w:rsid w:val="00CA348D"/>
    <w:rsid w:val="00CA37D4"/>
    <w:rsid w:val="00CA3FA8"/>
    <w:rsid w:val="00CA5AFA"/>
    <w:rsid w:val="00CA5E8A"/>
    <w:rsid w:val="00CA630B"/>
    <w:rsid w:val="00CA7163"/>
    <w:rsid w:val="00CA74C4"/>
    <w:rsid w:val="00CB05AE"/>
    <w:rsid w:val="00CB0D05"/>
    <w:rsid w:val="00CB1566"/>
    <w:rsid w:val="00CB1EF1"/>
    <w:rsid w:val="00CB24CA"/>
    <w:rsid w:val="00CB3094"/>
    <w:rsid w:val="00CB3C24"/>
    <w:rsid w:val="00CB4D64"/>
    <w:rsid w:val="00CC1205"/>
    <w:rsid w:val="00CC12DE"/>
    <w:rsid w:val="00CC1631"/>
    <w:rsid w:val="00CC1687"/>
    <w:rsid w:val="00CC2609"/>
    <w:rsid w:val="00CC3602"/>
    <w:rsid w:val="00CC36A6"/>
    <w:rsid w:val="00CC3FE5"/>
    <w:rsid w:val="00CC4384"/>
    <w:rsid w:val="00CC44FC"/>
    <w:rsid w:val="00CC4CC8"/>
    <w:rsid w:val="00CD107D"/>
    <w:rsid w:val="00CD1206"/>
    <w:rsid w:val="00CD1F5A"/>
    <w:rsid w:val="00CD2CEC"/>
    <w:rsid w:val="00CD4631"/>
    <w:rsid w:val="00CD48B6"/>
    <w:rsid w:val="00CD4F24"/>
    <w:rsid w:val="00CD509A"/>
    <w:rsid w:val="00CD68F9"/>
    <w:rsid w:val="00CD78D8"/>
    <w:rsid w:val="00CE02CB"/>
    <w:rsid w:val="00CE08B8"/>
    <w:rsid w:val="00CE09DE"/>
    <w:rsid w:val="00CE2E50"/>
    <w:rsid w:val="00CE378B"/>
    <w:rsid w:val="00CE3E10"/>
    <w:rsid w:val="00CE4B93"/>
    <w:rsid w:val="00CE55B8"/>
    <w:rsid w:val="00CE6F10"/>
    <w:rsid w:val="00CE6FC0"/>
    <w:rsid w:val="00CE702F"/>
    <w:rsid w:val="00CF03A2"/>
    <w:rsid w:val="00CF0615"/>
    <w:rsid w:val="00CF0780"/>
    <w:rsid w:val="00CF115F"/>
    <w:rsid w:val="00CF13D5"/>
    <w:rsid w:val="00CF19A4"/>
    <w:rsid w:val="00CF255C"/>
    <w:rsid w:val="00CF262D"/>
    <w:rsid w:val="00CF2F05"/>
    <w:rsid w:val="00CF308C"/>
    <w:rsid w:val="00CF3415"/>
    <w:rsid w:val="00CF39D2"/>
    <w:rsid w:val="00CF3E46"/>
    <w:rsid w:val="00CF4142"/>
    <w:rsid w:val="00CF544B"/>
    <w:rsid w:val="00CF5914"/>
    <w:rsid w:val="00CF659F"/>
    <w:rsid w:val="00D00568"/>
    <w:rsid w:val="00D02768"/>
    <w:rsid w:val="00D037E4"/>
    <w:rsid w:val="00D0498C"/>
    <w:rsid w:val="00D0529D"/>
    <w:rsid w:val="00D056A9"/>
    <w:rsid w:val="00D05DAD"/>
    <w:rsid w:val="00D077B8"/>
    <w:rsid w:val="00D13A53"/>
    <w:rsid w:val="00D153EF"/>
    <w:rsid w:val="00D15D42"/>
    <w:rsid w:val="00D164F9"/>
    <w:rsid w:val="00D1752A"/>
    <w:rsid w:val="00D17BDE"/>
    <w:rsid w:val="00D20360"/>
    <w:rsid w:val="00D21791"/>
    <w:rsid w:val="00D2320A"/>
    <w:rsid w:val="00D24B6D"/>
    <w:rsid w:val="00D25668"/>
    <w:rsid w:val="00D303F8"/>
    <w:rsid w:val="00D31988"/>
    <w:rsid w:val="00D33524"/>
    <w:rsid w:val="00D33A78"/>
    <w:rsid w:val="00D33CDD"/>
    <w:rsid w:val="00D33DB6"/>
    <w:rsid w:val="00D33F5E"/>
    <w:rsid w:val="00D34571"/>
    <w:rsid w:val="00D34B37"/>
    <w:rsid w:val="00D351F5"/>
    <w:rsid w:val="00D37987"/>
    <w:rsid w:val="00D37A63"/>
    <w:rsid w:val="00D400F3"/>
    <w:rsid w:val="00D41733"/>
    <w:rsid w:val="00D41850"/>
    <w:rsid w:val="00D422D3"/>
    <w:rsid w:val="00D42366"/>
    <w:rsid w:val="00D42C71"/>
    <w:rsid w:val="00D42D2D"/>
    <w:rsid w:val="00D42F7E"/>
    <w:rsid w:val="00D4333D"/>
    <w:rsid w:val="00D46D5C"/>
    <w:rsid w:val="00D472D7"/>
    <w:rsid w:val="00D47562"/>
    <w:rsid w:val="00D51B03"/>
    <w:rsid w:val="00D52AD5"/>
    <w:rsid w:val="00D52B5D"/>
    <w:rsid w:val="00D5510A"/>
    <w:rsid w:val="00D56504"/>
    <w:rsid w:val="00D57ABF"/>
    <w:rsid w:val="00D57E2B"/>
    <w:rsid w:val="00D600C7"/>
    <w:rsid w:val="00D610BC"/>
    <w:rsid w:val="00D616E7"/>
    <w:rsid w:val="00D61BFE"/>
    <w:rsid w:val="00D63F4D"/>
    <w:rsid w:val="00D63FA1"/>
    <w:rsid w:val="00D6403E"/>
    <w:rsid w:val="00D64212"/>
    <w:rsid w:val="00D664D4"/>
    <w:rsid w:val="00D6690D"/>
    <w:rsid w:val="00D67ACD"/>
    <w:rsid w:val="00D7022D"/>
    <w:rsid w:val="00D71134"/>
    <w:rsid w:val="00D7287A"/>
    <w:rsid w:val="00D74B9B"/>
    <w:rsid w:val="00D74EDB"/>
    <w:rsid w:val="00D74FEA"/>
    <w:rsid w:val="00D76044"/>
    <w:rsid w:val="00D7634E"/>
    <w:rsid w:val="00D764D0"/>
    <w:rsid w:val="00D76537"/>
    <w:rsid w:val="00D772C0"/>
    <w:rsid w:val="00D77B44"/>
    <w:rsid w:val="00D80105"/>
    <w:rsid w:val="00D8046E"/>
    <w:rsid w:val="00D821E9"/>
    <w:rsid w:val="00D829A3"/>
    <w:rsid w:val="00D82CF6"/>
    <w:rsid w:val="00D82E84"/>
    <w:rsid w:val="00D830DE"/>
    <w:rsid w:val="00D8460B"/>
    <w:rsid w:val="00D84D7A"/>
    <w:rsid w:val="00D85CDE"/>
    <w:rsid w:val="00D86A70"/>
    <w:rsid w:val="00D86DB0"/>
    <w:rsid w:val="00D90946"/>
    <w:rsid w:val="00D91615"/>
    <w:rsid w:val="00D9162B"/>
    <w:rsid w:val="00D91BC3"/>
    <w:rsid w:val="00D92BBA"/>
    <w:rsid w:val="00D9330D"/>
    <w:rsid w:val="00D936E9"/>
    <w:rsid w:val="00D94A8F"/>
    <w:rsid w:val="00D9509D"/>
    <w:rsid w:val="00D95B32"/>
    <w:rsid w:val="00D96046"/>
    <w:rsid w:val="00D966E3"/>
    <w:rsid w:val="00D96A9D"/>
    <w:rsid w:val="00D96B5D"/>
    <w:rsid w:val="00DA018B"/>
    <w:rsid w:val="00DA1525"/>
    <w:rsid w:val="00DA263F"/>
    <w:rsid w:val="00DA3FC8"/>
    <w:rsid w:val="00DA5622"/>
    <w:rsid w:val="00DA5C4C"/>
    <w:rsid w:val="00DA5EE8"/>
    <w:rsid w:val="00DA6150"/>
    <w:rsid w:val="00DA6D82"/>
    <w:rsid w:val="00DB0A4A"/>
    <w:rsid w:val="00DB12C8"/>
    <w:rsid w:val="00DB1459"/>
    <w:rsid w:val="00DB232A"/>
    <w:rsid w:val="00DB56C5"/>
    <w:rsid w:val="00DB7900"/>
    <w:rsid w:val="00DC01F5"/>
    <w:rsid w:val="00DC1527"/>
    <w:rsid w:val="00DC4210"/>
    <w:rsid w:val="00DC429D"/>
    <w:rsid w:val="00DC42A0"/>
    <w:rsid w:val="00DC43E9"/>
    <w:rsid w:val="00DC4C6E"/>
    <w:rsid w:val="00DC5BF4"/>
    <w:rsid w:val="00DC5C77"/>
    <w:rsid w:val="00DC714A"/>
    <w:rsid w:val="00DD029C"/>
    <w:rsid w:val="00DD3025"/>
    <w:rsid w:val="00DD3684"/>
    <w:rsid w:val="00DD39FF"/>
    <w:rsid w:val="00DD7486"/>
    <w:rsid w:val="00DE13A3"/>
    <w:rsid w:val="00DE3790"/>
    <w:rsid w:val="00DE39C9"/>
    <w:rsid w:val="00DE3D4D"/>
    <w:rsid w:val="00DE4081"/>
    <w:rsid w:val="00DE43CC"/>
    <w:rsid w:val="00DE46BC"/>
    <w:rsid w:val="00DE54D6"/>
    <w:rsid w:val="00DE5F21"/>
    <w:rsid w:val="00DE62FD"/>
    <w:rsid w:val="00DE631C"/>
    <w:rsid w:val="00DE668D"/>
    <w:rsid w:val="00DE6A12"/>
    <w:rsid w:val="00DE6D21"/>
    <w:rsid w:val="00DE6DDC"/>
    <w:rsid w:val="00DE76B5"/>
    <w:rsid w:val="00DE7D97"/>
    <w:rsid w:val="00DF0B39"/>
    <w:rsid w:val="00DF0CF3"/>
    <w:rsid w:val="00DF42ED"/>
    <w:rsid w:val="00DF4567"/>
    <w:rsid w:val="00DF4625"/>
    <w:rsid w:val="00DF5BA4"/>
    <w:rsid w:val="00DF63E9"/>
    <w:rsid w:val="00E0032F"/>
    <w:rsid w:val="00E00E35"/>
    <w:rsid w:val="00E01A5F"/>
    <w:rsid w:val="00E01F45"/>
    <w:rsid w:val="00E02806"/>
    <w:rsid w:val="00E02FBA"/>
    <w:rsid w:val="00E03245"/>
    <w:rsid w:val="00E03C8B"/>
    <w:rsid w:val="00E0407A"/>
    <w:rsid w:val="00E04596"/>
    <w:rsid w:val="00E04C8C"/>
    <w:rsid w:val="00E05864"/>
    <w:rsid w:val="00E05C3E"/>
    <w:rsid w:val="00E07077"/>
    <w:rsid w:val="00E07A46"/>
    <w:rsid w:val="00E10C57"/>
    <w:rsid w:val="00E10F07"/>
    <w:rsid w:val="00E1131B"/>
    <w:rsid w:val="00E11936"/>
    <w:rsid w:val="00E11B0A"/>
    <w:rsid w:val="00E12F7C"/>
    <w:rsid w:val="00E1356F"/>
    <w:rsid w:val="00E14086"/>
    <w:rsid w:val="00E144C3"/>
    <w:rsid w:val="00E146A3"/>
    <w:rsid w:val="00E14791"/>
    <w:rsid w:val="00E14DE5"/>
    <w:rsid w:val="00E151E8"/>
    <w:rsid w:val="00E157A4"/>
    <w:rsid w:val="00E16298"/>
    <w:rsid w:val="00E16B02"/>
    <w:rsid w:val="00E16C24"/>
    <w:rsid w:val="00E23A3B"/>
    <w:rsid w:val="00E24391"/>
    <w:rsid w:val="00E25199"/>
    <w:rsid w:val="00E268F5"/>
    <w:rsid w:val="00E27130"/>
    <w:rsid w:val="00E27928"/>
    <w:rsid w:val="00E27951"/>
    <w:rsid w:val="00E30178"/>
    <w:rsid w:val="00E31ED3"/>
    <w:rsid w:val="00E32D61"/>
    <w:rsid w:val="00E32EC2"/>
    <w:rsid w:val="00E33BCD"/>
    <w:rsid w:val="00E33EA2"/>
    <w:rsid w:val="00E35436"/>
    <w:rsid w:val="00E35A41"/>
    <w:rsid w:val="00E361CB"/>
    <w:rsid w:val="00E3661A"/>
    <w:rsid w:val="00E369B1"/>
    <w:rsid w:val="00E40C6A"/>
    <w:rsid w:val="00E40EB3"/>
    <w:rsid w:val="00E4154F"/>
    <w:rsid w:val="00E41FDB"/>
    <w:rsid w:val="00E42874"/>
    <w:rsid w:val="00E43C3C"/>
    <w:rsid w:val="00E43F39"/>
    <w:rsid w:val="00E45A74"/>
    <w:rsid w:val="00E5019C"/>
    <w:rsid w:val="00E5085D"/>
    <w:rsid w:val="00E51017"/>
    <w:rsid w:val="00E52C82"/>
    <w:rsid w:val="00E52FC1"/>
    <w:rsid w:val="00E533E8"/>
    <w:rsid w:val="00E53A1B"/>
    <w:rsid w:val="00E54B18"/>
    <w:rsid w:val="00E54D92"/>
    <w:rsid w:val="00E5583F"/>
    <w:rsid w:val="00E55E2F"/>
    <w:rsid w:val="00E569A3"/>
    <w:rsid w:val="00E56AD8"/>
    <w:rsid w:val="00E57B3E"/>
    <w:rsid w:val="00E6184E"/>
    <w:rsid w:val="00E61B1A"/>
    <w:rsid w:val="00E61B77"/>
    <w:rsid w:val="00E61C37"/>
    <w:rsid w:val="00E625FB"/>
    <w:rsid w:val="00E64035"/>
    <w:rsid w:val="00E64C87"/>
    <w:rsid w:val="00E65DEA"/>
    <w:rsid w:val="00E66007"/>
    <w:rsid w:val="00E66D44"/>
    <w:rsid w:val="00E675CA"/>
    <w:rsid w:val="00E70F9F"/>
    <w:rsid w:val="00E7195C"/>
    <w:rsid w:val="00E71B97"/>
    <w:rsid w:val="00E7261A"/>
    <w:rsid w:val="00E72710"/>
    <w:rsid w:val="00E72A09"/>
    <w:rsid w:val="00E72D7D"/>
    <w:rsid w:val="00E740F8"/>
    <w:rsid w:val="00E74A2F"/>
    <w:rsid w:val="00E7559C"/>
    <w:rsid w:val="00E76272"/>
    <w:rsid w:val="00E77901"/>
    <w:rsid w:val="00E8016D"/>
    <w:rsid w:val="00E808DC"/>
    <w:rsid w:val="00E82A5D"/>
    <w:rsid w:val="00E82ECD"/>
    <w:rsid w:val="00E83E4F"/>
    <w:rsid w:val="00E83F61"/>
    <w:rsid w:val="00E84AB5"/>
    <w:rsid w:val="00E84EE3"/>
    <w:rsid w:val="00E85698"/>
    <w:rsid w:val="00E856DA"/>
    <w:rsid w:val="00E870B6"/>
    <w:rsid w:val="00E87626"/>
    <w:rsid w:val="00E87F6C"/>
    <w:rsid w:val="00E91B27"/>
    <w:rsid w:val="00E92D83"/>
    <w:rsid w:val="00E93C5F"/>
    <w:rsid w:val="00E93D3C"/>
    <w:rsid w:val="00E94AFF"/>
    <w:rsid w:val="00E95C16"/>
    <w:rsid w:val="00E96617"/>
    <w:rsid w:val="00E96E88"/>
    <w:rsid w:val="00EA1415"/>
    <w:rsid w:val="00EA16E8"/>
    <w:rsid w:val="00EA1C4C"/>
    <w:rsid w:val="00EA1F40"/>
    <w:rsid w:val="00EA21A5"/>
    <w:rsid w:val="00EA27E4"/>
    <w:rsid w:val="00EA2EDA"/>
    <w:rsid w:val="00EA3430"/>
    <w:rsid w:val="00EA3DA5"/>
    <w:rsid w:val="00EA419A"/>
    <w:rsid w:val="00EA41E1"/>
    <w:rsid w:val="00EA59E2"/>
    <w:rsid w:val="00EA5F77"/>
    <w:rsid w:val="00EA6765"/>
    <w:rsid w:val="00EA67CE"/>
    <w:rsid w:val="00EA6DA6"/>
    <w:rsid w:val="00EB09E1"/>
    <w:rsid w:val="00EB145F"/>
    <w:rsid w:val="00EB182B"/>
    <w:rsid w:val="00EB1B21"/>
    <w:rsid w:val="00EB291C"/>
    <w:rsid w:val="00EB351F"/>
    <w:rsid w:val="00EB41BA"/>
    <w:rsid w:val="00EB4AE3"/>
    <w:rsid w:val="00EB5761"/>
    <w:rsid w:val="00EB669A"/>
    <w:rsid w:val="00EB756F"/>
    <w:rsid w:val="00EB7AD4"/>
    <w:rsid w:val="00EB7C8F"/>
    <w:rsid w:val="00EB7E5B"/>
    <w:rsid w:val="00EC06A3"/>
    <w:rsid w:val="00EC1C02"/>
    <w:rsid w:val="00EC1D0C"/>
    <w:rsid w:val="00EC3528"/>
    <w:rsid w:val="00EC46CA"/>
    <w:rsid w:val="00EC6075"/>
    <w:rsid w:val="00EC6323"/>
    <w:rsid w:val="00EC7336"/>
    <w:rsid w:val="00EC7BC2"/>
    <w:rsid w:val="00EC7C5D"/>
    <w:rsid w:val="00EC7EB8"/>
    <w:rsid w:val="00ED09A9"/>
    <w:rsid w:val="00ED1367"/>
    <w:rsid w:val="00ED1740"/>
    <w:rsid w:val="00ED2125"/>
    <w:rsid w:val="00ED3103"/>
    <w:rsid w:val="00ED332A"/>
    <w:rsid w:val="00ED451F"/>
    <w:rsid w:val="00ED452C"/>
    <w:rsid w:val="00ED4EEE"/>
    <w:rsid w:val="00ED4F9E"/>
    <w:rsid w:val="00ED5121"/>
    <w:rsid w:val="00ED53EF"/>
    <w:rsid w:val="00ED58C0"/>
    <w:rsid w:val="00ED5B38"/>
    <w:rsid w:val="00ED637F"/>
    <w:rsid w:val="00ED6AA9"/>
    <w:rsid w:val="00ED70C3"/>
    <w:rsid w:val="00ED753B"/>
    <w:rsid w:val="00ED7778"/>
    <w:rsid w:val="00ED7816"/>
    <w:rsid w:val="00ED7D85"/>
    <w:rsid w:val="00ED7EBB"/>
    <w:rsid w:val="00EE153D"/>
    <w:rsid w:val="00EE1A73"/>
    <w:rsid w:val="00EE2AFB"/>
    <w:rsid w:val="00EE4635"/>
    <w:rsid w:val="00EE490B"/>
    <w:rsid w:val="00EE54C9"/>
    <w:rsid w:val="00EE57BA"/>
    <w:rsid w:val="00EE6E78"/>
    <w:rsid w:val="00EE7E5A"/>
    <w:rsid w:val="00EE7F92"/>
    <w:rsid w:val="00EF1A9D"/>
    <w:rsid w:val="00EF1E34"/>
    <w:rsid w:val="00EF22F2"/>
    <w:rsid w:val="00EF4427"/>
    <w:rsid w:val="00EF45F5"/>
    <w:rsid w:val="00EF464D"/>
    <w:rsid w:val="00EF4712"/>
    <w:rsid w:val="00EF4765"/>
    <w:rsid w:val="00EF524E"/>
    <w:rsid w:val="00EF78CA"/>
    <w:rsid w:val="00EF7D4B"/>
    <w:rsid w:val="00F0121C"/>
    <w:rsid w:val="00F0130F"/>
    <w:rsid w:val="00F014F5"/>
    <w:rsid w:val="00F016A8"/>
    <w:rsid w:val="00F0171F"/>
    <w:rsid w:val="00F021F5"/>
    <w:rsid w:val="00F02542"/>
    <w:rsid w:val="00F030E8"/>
    <w:rsid w:val="00F03DE8"/>
    <w:rsid w:val="00F04C8A"/>
    <w:rsid w:val="00F053A8"/>
    <w:rsid w:val="00F05479"/>
    <w:rsid w:val="00F05C05"/>
    <w:rsid w:val="00F07260"/>
    <w:rsid w:val="00F07D40"/>
    <w:rsid w:val="00F07D73"/>
    <w:rsid w:val="00F10477"/>
    <w:rsid w:val="00F11E22"/>
    <w:rsid w:val="00F1246E"/>
    <w:rsid w:val="00F13517"/>
    <w:rsid w:val="00F13FA2"/>
    <w:rsid w:val="00F14A2A"/>
    <w:rsid w:val="00F15380"/>
    <w:rsid w:val="00F15447"/>
    <w:rsid w:val="00F17B09"/>
    <w:rsid w:val="00F17CD3"/>
    <w:rsid w:val="00F17F75"/>
    <w:rsid w:val="00F2087B"/>
    <w:rsid w:val="00F216A4"/>
    <w:rsid w:val="00F21D49"/>
    <w:rsid w:val="00F21EFE"/>
    <w:rsid w:val="00F22E9D"/>
    <w:rsid w:val="00F239D5"/>
    <w:rsid w:val="00F23B62"/>
    <w:rsid w:val="00F23F35"/>
    <w:rsid w:val="00F24A35"/>
    <w:rsid w:val="00F24FE2"/>
    <w:rsid w:val="00F2541C"/>
    <w:rsid w:val="00F25A8E"/>
    <w:rsid w:val="00F26016"/>
    <w:rsid w:val="00F26BBA"/>
    <w:rsid w:val="00F27D6E"/>
    <w:rsid w:val="00F307ED"/>
    <w:rsid w:val="00F32970"/>
    <w:rsid w:val="00F337C3"/>
    <w:rsid w:val="00F3491E"/>
    <w:rsid w:val="00F352DB"/>
    <w:rsid w:val="00F36248"/>
    <w:rsid w:val="00F37C19"/>
    <w:rsid w:val="00F415AD"/>
    <w:rsid w:val="00F41B3B"/>
    <w:rsid w:val="00F42378"/>
    <w:rsid w:val="00F4321D"/>
    <w:rsid w:val="00F433F4"/>
    <w:rsid w:val="00F43B28"/>
    <w:rsid w:val="00F43BF2"/>
    <w:rsid w:val="00F44295"/>
    <w:rsid w:val="00F44CF1"/>
    <w:rsid w:val="00F451BF"/>
    <w:rsid w:val="00F4646A"/>
    <w:rsid w:val="00F4799F"/>
    <w:rsid w:val="00F50C77"/>
    <w:rsid w:val="00F525CD"/>
    <w:rsid w:val="00F526B9"/>
    <w:rsid w:val="00F54B03"/>
    <w:rsid w:val="00F54C66"/>
    <w:rsid w:val="00F56FC8"/>
    <w:rsid w:val="00F57C4E"/>
    <w:rsid w:val="00F57CD6"/>
    <w:rsid w:val="00F57E5F"/>
    <w:rsid w:val="00F603E2"/>
    <w:rsid w:val="00F6088E"/>
    <w:rsid w:val="00F610D1"/>
    <w:rsid w:val="00F613A4"/>
    <w:rsid w:val="00F61A14"/>
    <w:rsid w:val="00F62D90"/>
    <w:rsid w:val="00F64A7B"/>
    <w:rsid w:val="00F656F1"/>
    <w:rsid w:val="00F65F7F"/>
    <w:rsid w:val="00F6679A"/>
    <w:rsid w:val="00F66A63"/>
    <w:rsid w:val="00F67015"/>
    <w:rsid w:val="00F70FC9"/>
    <w:rsid w:val="00F714F3"/>
    <w:rsid w:val="00F71DD2"/>
    <w:rsid w:val="00F72945"/>
    <w:rsid w:val="00F72A81"/>
    <w:rsid w:val="00F72D48"/>
    <w:rsid w:val="00F72E7A"/>
    <w:rsid w:val="00F743AA"/>
    <w:rsid w:val="00F74F06"/>
    <w:rsid w:val="00F75127"/>
    <w:rsid w:val="00F75652"/>
    <w:rsid w:val="00F757D2"/>
    <w:rsid w:val="00F75DB3"/>
    <w:rsid w:val="00F7643B"/>
    <w:rsid w:val="00F76D5B"/>
    <w:rsid w:val="00F80496"/>
    <w:rsid w:val="00F821CB"/>
    <w:rsid w:val="00F82298"/>
    <w:rsid w:val="00F84982"/>
    <w:rsid w:val="00F84A08"/>
    <w:rsid w:val="00F84C20"/>
    <w:rsid w:val="00F85500"/>
    <w:rsid w:val="00F86972"/>
    <w:rsid w:val="00F919CB"/>
    <w:rsid w:val="00F9286B"/>
    <w:rsid w:val="00F92DAF"/>
    <w:rsid w:val="00F93383"/>
    <w:rsid w:val="00F93BA1"/>
    <w:rsid w:val="00F93D40"/>
    <w:rsid w:val="00F940BC"/>
    <w:rsid w:val="00F9530D"/>
    <w:rsid w:val="00F97DA4"/>
    <w:rsid w:val="00F97DB7"/>
    <w:rsid w:val="00FA18E1"/>
    <w:rsid w:val="00FA2F88"/>
    <w:rsid w:val="00FA363E"/>
    <w:rsid w:val="00FA4A73"/>
    <w:rsid w:val="00FA4AAB"/>
    <w:rsid w:val="00FA75EF"/>
    <w:rsid w:val="00FB050F"/>
    <w:rsid w:val="00FB18E9"/>
    <w:rsid w:val="00FB2824"/>
    <w:rsid w:val="00FB5824"/>
    <w:rsid w:val="00FB7949"/>
    <w:rsid w:val="00FC26EC"/>
    <w:rsid w:val="00FC342B"/>
    <w:rsid w:val="00FC528D"/>
    <w:rsid w:val="00FC56BA"/>
    <w:rsid w:val="00FC6050"/>
    <w:rsid w:val="00FC6D8E"/>
    <w:rsid w:val="00FC71A2"/>
    <w:rsid w:val="00FC7229"/>
    <w:rsid w:val="00FD1C5A"/>
    <w:rsid w:val="00FD2224"/>
    <w:rsid w:val="00FD2D60"/>
    <w:rsid w:val="00FD30F5"/>
    <w:rsid w:val="00FD3ACF"/>
    <w:rsid w:val="00FD4444"/>
    <w:rsid w:val="00FD44EC"/>
    <w:rsid w:val="00FD5488"/>
    <w:rsid w:val="00FD6236"/>
    <w:rsid w:val="00FD66C9"/>
    <w:rsid w:val="00FE05B1"/>
    <w:rsid w:val="00FE09D4"/>
    <w:rsid w:val="00FE10CC"/>
    <w:rsid w:val="00FE10D4"/>
    <w:rsid w:val="00FE1392"/>
    <w:rsid w:val="00FE177B"/>
    <w:rsid w:val="00FE1A6D"/>
    <w:rsid w:val="00FE2313"/>
    <w:rsid w:val="00FE30E0"/>
    <w:rsid w:val="00FE3847"/>
    <w:rsid w:val="00FE75E5"/>
    <w:rsid w:val="00FF0568"/>
    <w:rsid w:val="00FF24B8"/>
    <w:rsid w:val="00FF3041"/>
    <w:rsid w:val="00FF3406"/>
    <w:rsid w:val="00FF39BD"/>
    <w:rsid w:val="00FF3B90"/>
    <w:rsid w:val="00FF3CE2"/>
    <w:rsid w:val="00FF5ACE"/>
    <w:rsid w:val="00FF5C21"/>
    <w:rsid w:val="00FF6D63"/>
    <w:rsid w:val="00FF6FD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CC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493"/>
    <w:rPr>
      <w:sz w:val="22"/>
      <w:lang w:eastAsia="ja-JP"/>
    </w:rPr>
  </w:style>
  <w:style w:type="paragraph" w:styleId="Heading1">
    <w:name w:val="heading 1"/>
    <w:aliases w:val="D70AR,Info rubrik 1,titel 1"/>
    <w:basedOn w:val="Normal"/>
    <w:next w:val="Normal"/>
    <w:qFormat/>
    <w:rsid w:val="003B6B52"/>
    <w:pPr>
      <w:ind w:left="567" w:hanging="567"/>
      <w:outlineLvl w:val="0"/>
    </w:pPr>
    <w:rPr>
      <w:b/>
      <w:caps/>
    </w:rPr>
  </w:style>
  <w:style w:type="paragraph" w:styleId="Heading2">
    <w:name w:val="heading 2"/>
    <w:basedOn w:val="Heading1"/>
    <w:next w:val="Normal"/>
    <w:qFormat/>
    <w:rsid w:val="003B6B52"/>
    <w:pPr>
      <w:outlineLvl w:val="1"/>
    </w:pPr>
    <w:rPr>
      <w:caps w:val="0"/>
    </w:rPr>
  </w:style>
  <w:style w:type="paragraph" w:styleId="Heading3">
    <w:name w:val="heading 3"/>
    <w:basedOn w:val="Normal"/>
    <w:next w:val="Normal"/>
    <w:qFormat/>
    <w:rsid w:val="003B6B52"/>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720"/>
      </w:tabs>
      <w:suppressAutoHyphens/>
      <w:jc w:val="center"/>
      <w:outlineLvl w:val="3"/>
    </w:pPr>
    <w:rPr>
      <w:b/>
      <w:noProof/>
    </w:rPr>
  </w:style>
  <w:style w:type="paragraph" w:styleId="Heading5">
    <w:name w:val="heading 5"/>
    <w:basedOn w:val="Normal"/>
    <w:next w:val="Normal"/>
    <w:qFormat/>
    <w:pPr>
      <w:keepNext/>
      <w:suppressAutoHyphens/>
      <w:outlineLvl w:val="4"/>
    </w:pPr>
    <w:rPr>
      <w:b/>
      <w:lang w:val="it-IT"/>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numPr>
        <w:numId w:val="1"/>
      </w:numPr>
      <w:suppressAutoHyphens/>
      <w:ind w:left="567" w:hanging="567"/>
      <w:outlineLvl w:val="7"/>
    </w:pPr>
    <w:rPr>
      <w:b/>
      <w:lang w:val="it-IT"/>
    </w:rPr>
  </w:style>
  <w:style w:type="paragraph" w:styleId="Heading9">
    <w:name w:val="heading 9"/>
    <w:basedOn w:val="Normal"/>
    <w:next w:val="Normal"/>
    <w:qFormat/>
    <w:pPr>
      <w:keepNext/>
      <w:ind w:right="-2"/>
      <w:outlineLvl w:val="8"/>
    </w:pPr>
    <w:rPr>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rsid w:val="003B6B52"/>
    <w:rPr>
      <w:rFonts w:ascii="Arial" w:hAnsi="Arial"/>
      <w:sz w:val="16"/>
    </w:rPr>
  </w:style>
  <w:style w:type="paragraph" w:styleId="Header">
    <w:name w:val="header"/>
    <w:basedOn w:val="Normal"/>
    <w:rsid w:val="003B6B52"/>
    <w:pPr>
      <w:tabs>
        <w:tab w:val="center" w:pos="4536"/>
        <w:tab w:val="right" w:pos="9072"/>
      </w:tabs>
    </w:pPr>
  </w:style>
  <w:style w:type="paragraph" w:styleId="EndnoteText">
    <w:name w:val="endnote text"/>
    <w:basedOn w:val="Normal"/>
    <w:semiHidden/>
    <w:pPr>
      <w:widowControl w:val="0"/>
      <w:tabs>
        <w:tab w:val="left" w:pos="567"/>
      </w:tabs>
    </w:pPr>
    <w:rPr>
      <w:rFonts w:ascii="Times" w:hAnsi="Times"/>
      <w:lang w:val="it-IT"/>
    </w:rPr>
  </w:style>
  <w:style w:type="paragraph" w:styleId="BodyText">
    <w:name w:val="Body Text"/>
    <w:basedOn w:val="Normal"/>
    <w:pPr>
      <w:tabs>
        <w:tab w:val="left" w:pos="-720"/>
      </w:tabs>
      <w:suppressAutoHyphens/>
      <w:jc w:val="both"/>
    </w:pPr>
    <w:rPr>
      <w:noProof/>
    </w:rPr>
  </w:style>
  <w:style w:type="paragraph" w:styleId="BodyText2">
    <w:name w:val="Body Text 2"/>
    <w:basedOn w:val="Normal"/>
    <w:pPr>
      <w:suppressAutoHyphens/>
      <w:ind w:left="567" w:hanging="567"/>
    </w:pPr>
    <w:rPr>
      <w:lang w:val="it-IT"/>
    </w:rPr>
  </w:style>
  <w:style w:type="character" w:styleId="CommentReference">
    <w:name w:val="annotation reference"/>
    <w:semiHidden/>
    <w:rPr>
      <w:sz w:val="16"/>
    </w:rPr>
  </w:style>
  <w:style w:type="paragraph" w:styleId="CommentText">
    <w:name w:val="annotation text"/>
    <w:basedOn w:val="Normal"/>
    <w:link w:val="CommentTextChar"/>
    <w:semiHidden/>
    <w:rPr>
      <w:lang w:val="x-none"/>
    </w:r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styleId="BodyText3">
    <w:name w:val="Body Text 3"/>
    <w:basedOn w:val="Normal"/>
    <w:pPr>
      <w:suppressAutoHyphens/>
      <w:ind w:right="-170"/>
      <w:jc w:val="center"/>
    </w:pPr>
    <w:rPr>
      <w:b/>
      <w:lang w:val="it-IT"/>
    </w:rPr>
  </w:style>
  <w:style w:type="paragraph" w:styleId="BodyTextIndent2">
    <w:name w:val="Body Text Indent 2"/>
    <w:basedOn w:val="Normal"/>
    <w:pPr>
      <w:suppressAutoHyphens/>
      <w:ind w:left="567" w:hanging="567"/>
    </w:pPr>
    <w:rPr>
      <w:b/>
      <w:lang w:val="it-IT"/>
    </w:rPr>
  </w:style>
  <w:style w:type="paragraph" w:styleId="BodyTextIndent3">
    <w:name w:val="Body Text Indent 3"/>
    <w:basedOn w:val="Normal"/>
    <w:pPr>
      <w:pBdr>
        <w:top w:val="single" w:sz="6" w:space="1" w:color="auto"/>
        <w:left w:val="single" w:sz="6" w:space="1" w:color="auto"/>
        <w:bottom w:val="single" w:sz="6" w:space="1" w:color="auto"/>
        <w:right w:val="single" w:sz="6" w:space="1" w:color="auto"/>
      </w:pBdr>
      <w:suppressAutoHyphens/>
      <w:ind w:left="567" w:hanging="567"/>
    </w:pPr>
    <w:rPr>
      <w:lang w:val="it-IT"/>
    </w:rPr>
  </w:style>
  <w:style w:type="paragraph" w:styleId="BlockText">
    <w:name w:val="Block Text"/>
    <w:basedOn w:val="Normal"/>
    <w:pPr>
      <w:tabs>
        <w:tab w:val="left" w:pos="2657"/>
      </w:tabs>
      <w:spacing w:before="120"/>
      <w:ind w:left="-37" w:right="-28"/>
    </w:pPr>
    <w:rPr>
      <w:lang w:val="en-GB"/>
    </w:rPr>
  </w:style>
  <w:style w:type="paragraph" w:styleId="BodyTextIndent">
    <w:name w:val="Body Text Indent"/>
    <w:basedOn w:val="Normal"/>
    <w:pPr>
      <w:shd w:val="pct25" w:color="000000" w:fill="FFFFFF"/>
      <w:suppressAutoHyphens/>
      <w:ind w:left="567" w:hanging="567"/>
    </w:pPr>
    <w:rPr>
      <w:b/>
      <w:lang w:val="it-IT"/>
    </w:rPr>
  </w:style>
  <w:style w:type="paragraph" w:customStyle="1" w:styleId="Annex">
    <w:name w:val="Annex"/>
    <w:basedOn w:val="Normal"/>
    <w:next w:val="Normal"/>
    <w:rsid w:val="003B6B52"/>
    <w:pPr>
      <w:jc w:val="center"/>
    </w:pPr>
    <w:rPr>
      <w:b/>
    </w:rPr>
  </w:style>
  <w:style w:type="character" w:styleId="PageNumber">
    <w:name w:val="page number"/>
    <w:rsid w:val="003B6B52"/>
    <w:rPr>
      <w:rFonts w:ascii="Arial" w:hAnsi="Arial"/>
      <w:sz w:val="16"/>
    </w:rPr>
  </w:style>
  <w:style w:type="paragraph" w:customStyle="1" w:styleId="Description">
    <w:name w:val="Description"/>
    <w:basedOn w:val="Normal"/>
    <w:next w:val="Normal"/>
    <w:rsid w:val="003B6B52"/>
  </w:style>
  <w:style w:type="paragraph" w:customStyle="1" w:styleId="HangingIndent">
    <w:name w:val="HangingIndent"/>
    <w:basedOn w:val="Normal"/>
    <w:rsid w:val="003B6B52"/>
    <w:pPr>
      <w:ind w:left="567" w:hanging="567"/>
    </w:pPr>
  </w:style>
  <w:style w:type="character" w:styleId="Hyperlink">
    <w:name w:val="Hyperlink"/>
    <w:rsid w:val="008B71A5"/>
    <w:rPr>
      <w:color w:val="0000FF"/>
      <w:u w:val="single"/>
    </w:rPr>
  </w:style>
  <w:style w:type="paragraph" w:customStyle="1" w:styleId="EMEAEnBodyText">
    <w:name w:val="EMEA En Body Text"/>
    <w:basedOn w:val="Normal"/>
    <w:rsid w:val="008B71A5"/>
    <w:pPr>
      <w:spacing w:before="120" w:after="120"/>
      <w:jc w:val="both"/>
    </w:pPr>
    <w:rPr>
      <w:lang w:eastAsia="en-US"/>
    </w:rPr>
  </w:style>
  <w:style w:type="paragraph" w:styleId="BalloonText">
    <w:name w:val="Balloon Text"/>
    <w:basedOn w:val="Normal"/>
    <w:semiHidden/>
    <w:rsid w:val="00BF5B12"/>
    <w:rPr>
      <w:rFonts w:ascii="Tahoma" w:hAnsi="Tahoma" w:cs="Tahoma"/>
      <w:sz w:val="16"/>
      <w:szCs w:val="16"/>
    </w:rPr>
  </w:style>
  <w:style w:type="paragraph" w:customStyle="1" w:styleId="TextTi10">
    <w:name w:val="Text:Ti10"/>
    <w:basedOn w:val="Normal"/>
    <w:rsid w:val="009C0666"/>
    <w:rPr>
      <w:sz w:val="20"/>
    </w:rPr>
  </w:style>
  <w:style w:type="paragraph" w:customStyle="1" w:styleId="TableCellCenter">
    <w:name w:val="Table Cell Center"/>
    <w:basedOn w:val="Normal"/>
    <w:rsid w:val="009C0666"/>
    <w:pPr>
      <w:keepNext/>
      <w:keepLines/>
      <w:spacing w:before="50" w:after="50" w:line="240" w:lineRule="exact"/>
      <w:jc w:val="center"/>
    </w:pPr>
    <w:rPr>
      <w:sz w:val="20"/>
    </w:rPr>
  </w:style>
  <w:style w:type="paragraph" w:customStyle="1" w:styleId="TableCellLeft">
    <w:name w:val="Table Cell Left"/>
    <w:basedOn w:val="Normal"/>
    <w:rsid w:val="009C0666"/>
    <w:pPr>
      <w:keepNext/>
      <w:keepLines/>
      <w:spacing w:before="50" w:after="50" w:line="240" w:lineRule="exact"/>
    </w:pPr>
    <w:rPr>
      <w:sz w:val="20"/>
    </w:rPr>
  </w:style>
  <w:style w:type="paragraph" w:customStyle="1" w:styleId="TableCellHead">
    <w:name w:val="Table Cell Head"/>
    <w:basedOn w:val="Normal"/>
    <w:next w:val="Normal"/>
    <w:rsid w:val="009C0666"/>
    <w:pPr>
      <w:keepNext/>
      <w:keepLines/>
      <w:spacing w:before="100" w:line="240" w:lineRule="exact"/>
    </w:pPr>
    <w:rPr>
      <w:sz w:val="20"/>
      <w:u w:val="single"/>
    </w:rPr>
  </w:style>
  <w:style w:type="paragraph" w:customStyle="1" w:styleId="TableFooter">
    <w:name w:val="Table Footer"/>
    <w:basedOn w:val="Normal"/>
    <w:rsid w:val="009C0666"/>
    <w:pPr>
      <w:keepNext/>
      <w:keepLines/>
      <w:tabs>
        <w:tab w:val="right" w:pos="144"/>
      </w:tabs>
      <w:spacing w:before="60" w:line="240" w:lineRule="exact"/>
      <w:ind w:left="216" w:hanging="216"/>
    </w:pPr>
    <w:rPr>
      <w:sz w:val="20"/>
    </w:rPr>
  </w:style>
  <w:style w:type="paragraph" w:customStyle="1" w:styleId="TableTitle">
    <w:name w:val="Table Title"/>
    <w:basedOn w:val="Normal"/>
    <w:rsid w:val="009C0666"/>
    <w:pPr>
      <w:keepNext/>
      <w:keepLines/>
      <w:spacing w:before="40" w:after="160" w:line="320" w:lineRule="exact"/>
      <w:jc w:val="center"/>
    </w:pPr>
    <w:rPr>
      <w:rFonts w:ascii="Arial" w:hAnsi="Arial" w:cs="Arial"/>
      <w:sz w:val="24"/>
      <w:szCs w:val="24"/>
    </w:rPr>
  </w:style>
  <w:style w:type="paragraph" w:customStyle="1" w:styleId="TableNote">
    <w:name w:val="Table Note"/>
    <w:basedOn w:val="Normal"/>
    <w:rsid w:val="009C0666"/>
    <w:pPr>
      <w:keepNext/>
      <w:keepLines/>
      <w:spacing w:before="40" w:line="240" w:lineRule="exact"/>
      <w:ind w:left="29"/>
    </w:pPr>
    <w:rPr>
      <w:rFonts w:ascii="Arial" w:hAnsi="Arial" w:cs="Arial"/>
      <w:sz w:val="20"/>
    </w:rPr>
  </w:style>
  <w:style w:type="paragraph" w:customStyle="1" w:styleId="TextTi12CharCharChar">
    <w:name w:val="Text:Ti12 Char Char Char"/>
    <w:basedOn w:val="Normal"/>
    <w:rsid w:val="009C0666"/>
    <w:pPr>
      <w:spacing w:after="170" w:line="280" w:lineRule="atLeast"/>
      <w:jc w:val="both"/>
    </w:pPr>
    <w:rPr>
      <w:sz w:val="24"/>
      <w:szCs w:val="24"/>
    </w:rPr>
  </w:style>
  <w:style w:type="character" w:customStyle="1" w:styleId="TextTi12CharCharCharChar">
    <w:name w:val="Text:Ti12 Char Char Char Char"/>
    <w:rsid w:val="009C0666"/>
    <w:rPr>
      <w:sz w:val="24"/>
      <w:szCs w:val="24"/>
      <w:lang w:val="en-US"/>
    </w:rPr>
  </w:style>
  <w:style w:type="paragraph" w:customStyle="1" w:styleId="TextTi12Char">
    <w:name w:val="Text:Ti12 Char"/>
    <w:basedOn w:val="Normal"/>
    <w:rsid w:val="009C0666"/>
    <w:pPr>
      <w:spacing w:after="170" w:line="280" w:lineRule="atLeast"/>
      <w:jc w:val="both"/>
    </w:pPr>
    <w:rPr>
      <w:sz w:val="24"/>
      <w:szCs w:val="24"/>
    </w:rPr>
  </w:style>
  <w:style w:type="paragraph" w:styleId="Date">
    <w:name w:val="Date"/>
    <w:basedOn w:val="Normal"/>
    <w:next w:val="Normal"/>
    <w:rsid w:val="009C0666"/>
  </w:style>
  <w:style w:type="paragraph" w:customStyle="1" w:styleId="Char">
    <w:name w:val="Char"/>
    <w:basedOn w:val="Normal"/>
    <w:rsid w:val="009C0666"/>
    <w:pPr>
      <w:spacing w:after="170" w:line="280" w:lineRule="atLeast"/>
      <w:jc w:val="both"/>
    </w:pPr>
    <w:rPr>
      <w:sz w:val="24"/>
      <w:szCs w:val="24"/>
    </w:rPr>
  </w:style>
  <w:style w:type="character" w:customStyle="1" w:styleId="TextTi12Char1Char">
    <w:name w:val="Text:Ti12 Char1 Char"/>
    <w:rsid w:val="009C0666"/>
    <w:rPr>
      <w:sz w:val="24"/>
      <w:szCs w:val="24"/>
      <w:lang w:val="en-US"/>
    </w:rPr>
  </w:style>
  <w:style w:type="paragraph" w:customStyle="1" w:styleId="FigureCaption">
    <w:name w:val="Figure Caption"/>
    <w:basedOn w:val="Normal"/>
    <w:next w:val="Normal"/>
    <w:rsid w:val="009C0666"/>
    <w:pPr>
      <w:keepNext/>
      <w:keepLines/>
      <w:spacing w:before="20" w:after="80" w:line="240" w:lineRule="exact"/>
    </w:pPr>
    <w:rPr>
      <w:sz w:val="20"/>
    </w:rPr>
  </w:style>
  <w:style w:type="character" w:customStyle="1" w:styleId="tw4winMark">
    <w:name w:val="tw4winMark"/>
    <w:rsid w:val="009C0666"/>
    <w:rPr>
      <w:rFonts w:ascii="Courier New" w:hAnsi="Courier New" w:cs="Courier New"/>
      <w:vanish/>
      <w:color w:val="800080"/>
      <w:sz w:val="24"/>
      <w:szCs w:val="24"/>
      <w:vertAlign w:val="subscript"/>
    </w:rPr>
  </w:style>
  <w:style w:type="character" w:customStyle="1" w:styleId="tw4winError">
    <w:name w:val="tw4winError"/>
    <w:rsid w:val="009C0666"/>
    <w:rPr>
      <w:rFonts w:ascii="Courier New" w:hAnsi="Courier New" w:cs="Courier New"/>
      <w:color w:val="00FF00"/>
      <w:sz w:val="40"/>
      <w:szCs w:val="40"/>
    </w:rPr>
  </w:style>
  <w:style w:type="character" w:customStyle="1" w:styleId="tw4winTerm">
    <w:name w:val="tw4winTerm"/>
    <w:rsid w:val="009C0666"/>
    <w:rPr>
      <w:color w:val="0000FF"/>
    </w:rPr>
  </w:style>
  <w:style w:type="character" w:customStyle="1" w:styleId="tw4winPopup">
    <w:name w:val="tw4winPopup"/>
    <w:rsid w:val="009C0666"/>
    <w:rPr>
      <w:rFonts w:ascii="Courier New" w:hAnsi="Courier New" w:cs="Courier New"/>
      <w:noProof/>
      <w:color w:val="008000"/>
    </w:rPr>
  </w:style>
  <w:style w:type="character" w:customStyle="1" w:styleId="tw4winJump">
    <w:name w:val="tw4winJump"/>
    <w:rsid w:val="009C0666"/>
    <w:rPr>
      <w:rFonts w:ascii="Courier New" w:hAnsi="Courier New" w:cs="Courier New"/>
      <w:noProof/>
      <w:color w:val="008080"/>
    </w:rPr>
  </w:style>
  <w:style w:type="character" w:customStyle="1" w:styleId="tw4winExternal">
    <w:name w:val="tw4winExternal"/>
    <w:rsid w:val="009C0666"/>
    <w:rPr>
      <w:rFonts w:ascii="Courier New" w:hAnsi="Courier New" w:cs="Courier New"/>
      <w:noProof/>
      <w:color w:val="808080"/>
    </w:rPr>
  </w:style>
  <w:style w:type="character" w:customStyle="1" w:styleId="tw4winInternal">
    <w:name w:val="tw4winInternal"/>
    <w:rsid w:val="009C0666"/>
    <w:rPr>
      <w:rFonts w:ascii="Courier New" w:hAnsi="Courier New" w:cs="Courier New"/>
      <w:noProof/>
      <w:color w:val="FF0000"/>
    </w:rPr>
  </w:style>
  <w:style w:type="character" w:customStyle="1" w:styleId="DONOTTRANSLATE">
    <w:name w:val="DO_NOT_TRANSLATE"/>
    <w:rsid w:val="009C0666"/>
    <w:rPr>
      <w:rFonts w:ascii="Courier New" w:hAnsi="Courier New" w:cs="Courier New"/>
      <w:noProof/>
      <w:color w:val="800000"/>
    </w:rPr>
  </w:style>
  <w:style w:type="paragraph" w:customStyle="1" w:styleId="TextTi12CharChar">
    <w:name w:val="Text:Ti12 Char Char"/>
    <w:basedOn w:val="Normal"/>
    <w:rsid w:val="009C0666"/>
    <w:pPr>
      <w:spacing w:after="170" w:line="280" w:lineRule="atLeast"/>
      <w:jc w:val="both"/>
    </w:pPr>
    <w:rPr>
      <w:sz w:val="24"/>
    </w:rPr>
  </w:style>
  <w:style w:type="paragraph" w:customStyle="1" w:styleId="TextTi12Char1">
    <w:name w:val="Text:Ti12 Char1"/>
    <w:basedOn w:val="Normal"/>
    <w:rsid w:val="009C0666"/>
    <w:pPr>
      <w:spacing w:after="170" w:line="280" w:lineRule="atLeast"/>
      <w:jc w:val="both"/>
    </w:pPr>
    <w:rPr>
      <w:sz w:val="24"/>
      <w:szCs w:val="24"/>
    </w:rPr>
  </w:style>
  <w:style w:type="paragraph" w:customStyle="1" w:styleId="TextTi12">
    <w:name w:val="Text:Ti12"/>
    <w:basedOn w:val="Normal"/>
    <w:rsid w:val="009C0666"/>
    <w:pPr>
      <w:spacing w:after="170" w:line="280" w:lineRule="atLeast"/>
      <w:jc w:val="both"/>
    </w:pPr>
    <w:rPr>
      <w:sz w:val="24"/>
    </w:rPr>
  </w:style>
  <w:style w:type="table" w:styleId="TableGrid">
    <w:name w:val="Table Grid"/>
    <w:basedOn w:val="TableNormal"/>
    <w:rsid w:val="009C0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Tab1">
    <w:name w:val="Hd:Tab:1"/>
    <w:basedOn w:val="Caption"/>
    <w:next w:val="TextTi12"/>
    <w:link w:val="HdTab1Char"/>
    <w:rsid w:val="003463C1"/>
    <w:pPr>
      <w:keepNext/>
      <w:spacing w:before="113" w:after="57" w:line="280" w:lineRule="atLeast"/>
      <w:ind w:left="1701" w:hanging="1701"/>
      <w:outlineLvl w:val="4"/>
    </w:pPr>
    <w:rPr>
      <w:rFonts w:ascii="Arial" w:hAnsi="Arial"/>
      <w:bCs w:val="0"/>
      <w:sz w:val="24"/>
      <w:lang w:val="en-GB"/>
    </w:rPr>
  </w:style>
  <w:style w:type="character" w:customStyle="1" w:styleId="HdTab1Char">
    <w:name w:val="Hd:Tab:1 Char"/>
    <w:link w:val="HdTab1"/>
    <w:rsid w:val="003463C1"/>
    <w:rPr>
      <w:rFonts w:ascii="Arial" w:hAnsi="Arial"/>
      <w:b/>
      <w:sz w:val="24"/>
      <w:lang w:val="en-GB" w:eastAsia="ja-JP" w:bidi="ar-SA"/>
    </w:rPr>
  </w:style>
  <w:style w:type="paragraph" w:styleId="Caption">
    <w:name w:val="caption"/>
    <w:basedOn w:val="Normal"/>
    <w:next w:val="Normal"/>
    <w:qFormat/>
    <w:rsid w:val="003463C1"/>
    <w:rPr>
      <w:b/>
      <w:bCs/>
      <w:sz w:val="20"/>
    </w:rPr>
  </w:style>
  <w:style w:type="paragraph" w:customStyle="1" w:styleId="AnnexHeading">
    <w:name w:val="Annex Heading"/>
    <w:basedOn w:val="Normal"/>
    <w:next w:val="Normal"/>
    <w:rsid w:val="003B6B52"/>
    <w:pPr>
      <w:ind w:left="567" w:hanging="567"/>
    </w:pPr>
    <w:rPr>
      <w:b/>
    </w:rPr>
  </w:style>
  <w:style w:type="character" w:styleId="FollowedHyperlink">
    <w:name w:val="FollowedHyperlink"/>
    <w:rsid w:val="00DF4625"/>
    <w:rPr>
      <w:color w:val="000080"/>
      <w:u w:val="single"/>
    </w:rPr>
  </w:style>
  <w:style w:type="paragraph" w:styleId="BodyTextFirstIndent">
    <w:name w:val="Body Text First Indent"/>
    <w:basedOn w:val="BodyText"/>
    <w:rsid w:val="008C4E0F"/>
    <w:pPr>
      <w:tabs>
        <w:tab w:val="clear" w:pos="-720"/>
      </w:tabs>
      <w:suppressAutoHyphens w:val="0"/>
      <w:spacing w:after="120"/>
      <w:ind w:firstLine="210"/>
      <w:jc w:val="left"/>
    </w:pPr>
    <w:rPr>
      <w:noProof w:val="0"/>
    </w:rPr>
  </w:style>
  <w:style w:type="paragraph" w:styleId="BodyTextFirstIndent2">
    <w:name w:val="Body Text First Indent 2"/>
    <w:basedOn w:val="BodyTextIndent"/>
    <w:rsid w:val="008C4E0F"/>
    <w:pPr>
      <w:shd w:val="clear" w:color="auto" w:fill="auto"/>
      <w:suppressAutoHyphens w:val="0"/>
      <w:spacing w:after="120"/>
      <w:ind w:left="283" w:firstLine="210"/>
    </w:pPr>
    <w:rPr>
      <w:b w:val="0"/>
      <w:lang w:val="en-US"/>
    </w:rPr>
  </w:style>
  <w:style w:type="paragraph" w:styleId="Closing">
    <w:name w:val="Closing"/>
    <w:basedOn w:val="Normal"/>
    <w:rsid w:val="008C4E0F"/>
    <w:pPr>
      <w:ind w:left="4252"/>
    </w:pPr>
  </w:style>
  <w:style w:type="paragraph" w:styleId="CommentSubject">
    <w:name w:val="annotation subject"/>
    <w:basedOn w:val="CommentText"/>
    <w:next w:val="CommentText"/>
    <w:semiHidden/>
    <w:rsid w:val="008C4E0F"/>
    <w:rPr>
      <w:b/>
      <w:bCs/>
      <w:sz w:val="20"/>
    </w:rPr>
  </w:style>
  <w:style w:type="paragraph" w:styleId="DocumentMap">
    <w:name w:val="Document Map"/>
    <w:basedOn w:val="Normal"/>
    <w:semiHidden/>
    <w:rsid w:val="008C4E0F"/>
    <w:pPr>
      <w:shd w:val="clear" w:color="auto" w:fill="000080"/>
    </w:pPr>
    <w:rPr>
      <w:rFonts w:ascii="Tahoma" w:hAnsi="Tahoma" w:cs="Tahoma"/>
      <w:sz w:val="20"/>
    </w:rPr>
  </w:style>
  <w:style w:type="paragraph" w:styleId="E-mailSignature">
    <w:name w:val="E-mail Signature"/>
    <w:basedOn w:val="Normal"/>
    <w:rsid w:val="008C4E0F"/>
  </w:style>
  <w:style w:type="paragraph" w:styleId="EnvelopeAddress">
    <w:name w:val="envelope address"/>
    <w:basedOn w:val="Normal"/>
    <w:rsid w:val="008C4E0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C4E0F"/>
    <w:rPr>
      <w:rFonts w:ascii="Arial" w:hAnsi="Arial" w:cs="Arial"/>
      <w:sz w:val="20"/>
    </w:rPr>
  </w:style>
  <w:style w:type="paragraph" w:styleId="FootnoteText">
    <w:name w:val="footnote text"/>
    <w:basedOn w:val="Normal"/>
    <w:semiHidden/>
    <w:rsid w:val="008C4E0F"/>
    <w:rPr>
      <w:sz w:val="20"/>
    </w:rPr>
  </w:style>
  <w:style w:type="paragraph" w:styleId="HTMLAddress">
    <w:name w:val="HTML Address"/>
    <w:basedOn w:val="Normal"/>
    <w:rsid w:val="008C4E0F"/>
    <w:rPr>
      <w:i/>
      <w:iCs/>
    </w:rPr>
  </w:style>
  <w:style w:type="paragraph" w:styleId="HTMLPreformatted">
    <w:name w:val="HTML Preformatted"/>
    <w:basedOn w:val="Normal"/>
    <w:rsid w:val="008C4E0F"/>
    <w:rPr>
      <w:rFonts w:ascii="Courier New" w:hAnsi="Courier New" w:cs="Courier New"/>
      <w:sz w:val="20"/>
    </w:rPr>
  </w:style>
  <w:style w:type="paragraph" w:styleId="Index1">
    <w:name w:val="index 1"/>
    <w:basedOn w:val="Normal"/>
    <w:next w:val="Normal"/>
    <w:autoRedefine/>
    <w:semiHidden/>
    <w:rsid w:val="008C4E0F"/>
    <w:pPr>
      <w:ind w:left="220" w:hanging="220"/>
    </w:pPr>
  </w:style>
  <w:style w:type="paragraph" w:styleId="Index2">
    <w:name w:val="index 2"/>
    <w:basedOn w:val="Normal"/>
    <w:next w:val="Normal"/>
    <w:autoRedefine/>
    <w:semiHidden/>
    <w:rsid w:val="008C4E0F"/>
    <w:pPr>
      <w:ind w:left="440" w:hanging="220"/>
    </w:pPr>
  </w:style>
  <w:style w:type="paragraph" w:styleId="Index3">
    <w:name w:val="index 3"/>
    <w:basedOn w:val="Normal"/>
    <w:next w:val="Normal"/>
    <w:autoRedefine/>
    <w:semiHidden/>
    <w:rsid w:val="008C4E0F"/>
    <w:pPr>
      <w:ind w:left="660" w:hanging="220"/>
    </w:pPr>
  </w:style>
  <w:style w:type="paragraph" w:styleId="Index4">
    <w:name w:val="index 4"/>
    <w:basedOn w:val="Normal"/>
    <w:next w:val="Normal"/>
    <w:autoRedefine/>
    <w:semiHidden/>
    <w:rsid w:val="008C4E0F"/>
    <w:pPr>
      <w:ind w:left="880" w:hanging="220"/>
    </w:pPr>
  </w:style>
  <w:style w:type="paragraph" w:styleId="Index5">
    <w:name w:val="index 5"/>
    <w:basedOn w:val="Normal"/>
    <w:next w:val="Normal"/>
    <w:autoRedefine/>
    <w:semiHidden/>
    <w:rsid w:val="008C4E0F"/>
    <w:pPr>
      <w:ind w:left="1100" w:hanging="220"/>
    </w:pPr>
  </w:style>
  <w:style w:type="paragraph" w:styleId="Index6">
    <w:name w:val="index 6"/>
    <w:basedOn w:val="Normal"/>
    <w:next w:val="Normal"/>
    <w:autoRedefine/>
    <w:semiHidden/>
    <w:rsid w:val="008C4E0F"/>
    <w:pPr>
      <w:ind w:left="1320" w:hanging="220"/>
    </w:pPr>
  </w:style>
  <w:style w:type="paragraph" w:styleId="Index7">
    <w:name w:val="index 7"/>
    <w:basedOn w:val="Normal"/>
    <w:next w:val="Normal"/>
    <w:autoRedefine/>
    <w:semiHidden/>
    <w:rsid w:val="008C4E0F"/>
    <w:pPr>
      <w:ind w:left="1540" w:hanging="220"/>
    </w:pPr>
  </w:style>
  <w:style w:type="paragraph" w:styleId="Index8">
    <w:name w:val="index 8"/>
    <w:basedOn w:val="Normal"/>
    <w:next w:val="Normal"/>
    <w:autoRedefine/>
    <w:semiHidden/>
    <w:rsid w:val="008C4E0F"/>
    <w:pPr>
      <w:ind w:left="1760" w:hanging="220"/>
    </w:pPr>
  </w:style>
  <w:style w:type="paragraph" w:styleId="Index9">
    <w:name w:val="index 9"/>
    <w:basedOn w:val="Normal"/>
    <w:next w:val="Normal"/>
    <w:autoRedefine/>
    <w:semiHidden/>
    <w:rsid w:val="008C4E0F"/>
    <w:pPr>
      <w:ind w:left="1980" w:hanging="220"/>
    </w:pPr>
  </w:style>
  <w:style w:type="paragraph" w:styleId="IndexHeading">
    <w:name w:val="index heading"/>
    <w:basedOn w:val="Normal"/>
    <w:next w:val="Index1"/>
    <w:semiHidden/>
    <w:rsid w:val="008C4E0F"/>
    <w:rPr>
      <w:rFonts w:ascii="Arial" w:hAnsi="Arial" w:cs="Arial"/>
      <w:b/>
      <w:bCs/>
    </w:rPr>
  </w:style>
  <w:style w:type="paragraph" w:styleId="List">
    <w:name w:val="List"/>
    <w:basedOn w:val="Normal"/>
    <w:rsid w:val="008C4E0F"/>
    <w:pPr>
      <w:ind w:left="283" w:hanging="283"/>
    </w:pPr>
  </w:style>
  <w:style w:type="paragraph" w:styleId="List2">
    <w:name w:val="List 2"/>
    <w:basedOn w:val="Normal"/>
    <w:rsid w:val="008C4E0F"/>
    <w:pPr>
      <w:ind w:left="566" w:hanging="283"/>
    </w:pPr>
  </w:style>
  <w:style w:type="paragraph" w:styleId="List3">
    <w:name w:val="List 3"/>
    <w:basedOn w:val="Normal"/>
    <w:rsid w:val="008C4E0F"/>
    <w:pPr>
      <w:ind w:left="849" w:hanging="283"/>
    </w:pPr>
  </w:style>
  <w:style w:type="paragraph" w:styleId="List4">
    <w:name w:val="List 4"/>
    <w:basedOn w:val="Normal"/>
    <w:rsid w:val="008C4E0F"/>
    <w:pPr>
      <w:ind w:left="1132" w:hanging="283"/>
    </w:pPr>
  </w:style>
  <w:style w:type="paragraph" w:styleId="List5">
    <w:name w:val="List 5"/>
    <w:basedOn w:val="Normal"/>
    <w:rsid w:val="008C4E0F"/>
    <w:pPr>
      <w:ind w:left="1415" w:hanging="283"/>
    </w:pPr>
  </w:style>
  <w:style w:type="paragraph" w:styleId="ListBullet">
    <w:name w:val="List Bullet"/>
    <w:basedOn w:val="Normal"/>
    <w:link w:val="ListBulletChar"/>
    <w:rsid w:val="008C4E0F"/>
    <w:pPr>
      <w:numPr>
        <w:numId w:val="33"/>
      </w:numPr>
    </w:pPr>
    <w:rPr>
      <w:lang w:val="x-none"/>
    </w:rPr>
  </w:style>
  <w:style w:type="paragraph" w:styleId="ListBullet2">
    <w:name w:val="List Bullet 2"/>
    <w:basedOn w:val="Normal"/>
    <w:rsid w:val="008C4E0F"/>
    <w:pPr>
      <w:numPr>
        <w:numId w:val="34"/>
      </w:numPr>
    </w:pPr>
  </w:style>
  <w:style w:type="paragraph" w:styleId="ListBullet3">
    <w:name w:val="List Bullet 3"/>
    <w:basedOn w:val="Normal"/>
    <w:rsid w:val="008C4E0F"/>
    <w:pPr>
      <w:numPr>
        <w:numId w:val="35"/>
      </w:numPr>
    </w:pPr>
  </w:style>
  <w:style w:type="paragraph" w:styleId="ListBullet4">
    <w:name w:val="List Bullet 4"/>
    <w:basedOn w:val="Normal"/>
    <w:rsid w:val="008C4E0F"/>
    <w:pPr>
      <w:numPr>
        <w:numId w:val="36"/>
      </w:numPr>
    </w:pPr>
  </w:style>
  <w:style w:type="paragraph" w:styleId="ListBullet5">
    <w:name w:val="List Bullet 5"/>
    <w:basedOn w:val="Normal"/>
    <w:rsid w:val="008C4E0F"/>
    <w:pPr>
      <w:numPr>
        <w:numId w:val="37"/>
      </w:numPr>
    </w:pPr>
  </w:style>
  <w:style w:type="paragraph" w:styleId="ListContinue">
    <w:name w:val="List Continue"/>
    <w:basedOn w:val="Normal"/>
    <w:rsid w:val="008C4E0F"/>
    <w:pPr>
      <w:spacing w:after="120"/>
      <w:ind w:left="283"/>
    </w:pPr>
  </w:style>
  <w:style w:type="paragraph" w:styleId="ListContinue2">
    <w:name w:val="List Continue 2"/>
    <w:basedOn w:val="Normal"/>
    <w:rsid w:val="008C4E0F"/>
    <w:pPr>
      <w:spacing w:after="120"/>
      <w:ind w:left="566"/>
    </w:pPr>
  </w:style>
  <w:style w:type="paragraph" w:styleId="ListContinue3">
    <w:name w:val="List Continue 3"/>
    <w:basedOn w:val="Normal"/>
    <w:rsid w:val="008C4E0F"/>
    <w:pPr>
      <w:spacing w:after="120"/>
      <w:ind w:left="849"/>
    </w:pPr>
  </w:style>
  <w:style w:type="paragraph" w:styleId="ListContinue4">
    <w:name w:val="List Continue 4"/>
    <w:basedOn w:val="Normal"/>
    <w:rsid w:val="008C4E0F"/>
    <w:pPr>
      <w:spacing w:after="120"/>
      <w:ind w:left="1132"/>
    </w:pPr>
  </w:style>
  <w:style w:type="paragraph" w:styleId="ListContinue5">
    <w:name w:val="List Continue 5"/>
    <w:basedOn w:val="Normal"/>
    <w:rsid w:val="008C4E0F"/>
    <w:pPr>
      <w:spacing w:after="120"/>
      <w:ind w:left="1415"/>
    </w:pPr>
  </w:style>
  <w:style w:type="paragraph" w:styleId="ListNumber">
    <w:name w:val="List Number"/>
    <w:basedOn w:val="Normal"/>
    <w:rsid w:val="008C4E0F"/>
    <w:pPr>
      <w:numPr>
        <w:numId w:val="38"/>
      </w:numPr>
    </w:pPr>
  </w:style>
  <w:style w:type="paragraph" w:styleId="ListNumber2">
    <w:name w:val="List Number 2"/>
    <w:basedOn w:val="Normal"/>
    <w:rsid w:val="008C4E0F"/>
    <w:pPr>
      <w:numPr>
        <w:numId w:val="39"/>
      </w:numPr>
    </w:pPr>
  </w:style>
  <w:style w:type="paragraph" w:styleId="ListNumber3">
    <w:name w:val="List Number 3"/>
    <w:basedOn w:val="Normal"/>
    <w:rsid w:val="008C4E0F"/>
    <w:pPr>
      <w:numPr>
        <w:numId w:val="40"/>
      </w:numPr>
    </w:pPr>
  </w:style>
  <w:style w:type="paragraph" w:styleId="ListNumber4">
    <w:name w:val="List Number 4"/>
    <w:basedOn w:val="Normal"/>
    <w:rsid w:val="008C4E0F"/>
    <w:pPr>
      <w:numPr>
        <w:numId w:val="5"/>
      </w:numPr>
    </w:pPr>
  </w:style>
  <w:style w:type="paragraph" w:styleId="ListNumber5">
    <w:name w:val="List Number 5"/>
    <w:basedOn w:val="Normal"/>
    <w:rsid w:val="008C4E0F"/>
    <w:pPr>
      <w:numPr>
        <w:numId w:val="41"/>
      </w:numPr>
    </w:pPr>
  </w:style>
  <w:style w:type="paragraph" w:styleId="MacroText">
    <w:name w:val="macro"/>
    <w:semiHidden/>
    <w:rsid w:val="008C4E0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8C4E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8C4E0F"/>
    <w:rPr>
      <w:sz w:val="24"/>
      <w:szCs w:val="24"/>
    </w:rPr>
  </w:style>
  <w:style w:type="paragraph" w:styleId="NormalIndent">
    <w:name w:val="Normal Indent"/>
    <w:basedOn w:val="Normal"/>
    <w:rsid w:val="008C4E0F"/>
    <w:pPr>
      <w:ind w:left="720"/>
    </w:pPr>
  </w:style>
  <w:style w:type="paragraph" w:styleId="NoteHeading">
    <w:name w:val="Note Heading"/>
    <w:basedOn w:val="Normal"/>
    <w:next w:val="Normal"/>
    <w:rsid w:val="008C4E0F"/>
  </w:style>
  <w:style w:type="paragraph" w:styleId="PlainText">
    <w:name w:val="Plain Text"/>
    <w:basedOn w:val="Normal"/>
    <w:rsid w:val="008C4E0F"/>
    <w:rPr>
      <w:rFonts w:ascii="Courier New" w:hAnsi="Courier New" w:cs="Courier New"/>
      <w:sz w:val="20"/>
    </w:rPr>
  </w:style>
  <w:style w:type="paragraph" w:styleId="Salutation">
    <w:name w:val="Salutation"/>
    <w:basedOn w:val="Normal"/>
    <w:next w:val="Normal"/>
    <w:rsid w:val="008C4E0F"/>
  </w:style>
  <w:style w:type="paragraph" w:styleId="Signature">
    <w:name w:val="Signature"/>
    <w:basedOn w:val="Normal"/>
    <w:rsid w:val="008C4E0F"/>
    <w:pPr>
      <w:ind w:left="4252"/>
    </w:pPr>
  </w:style>
  <w:style w:type="paragraph" w:styleId="Subtitle">
    <w:name w:val="Subtitle"/>
    <w:basedOn w:val="Normal"/>
    <w:qFormat/>
    <w:rsid w:val="008C4E0F"/>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C4E0F"/>
    <w:pPr>
      <w:ind w:left="220" w:hanging="220"/>
    </w:pPr>
  </w:style>
  <w:style w:type="paragraph" w:styleId="TableofFigures">
    <w:name w:val="table of figures"/>
    <w:basedOn w:val="Normal"/>
    <w:next w:val="Normal"/>
    <w:semiHidden/>
    <w:rsid w:val="008C4E0F"/>
  </w:style>
  <w:style w:type="paragraph" w:styleId="Title">
    <w:name w:val="Title"/>
    <w:basedOn w:val="Normal"/>
    <w:qFormat/>
    <w:rsid w:val="008C4E0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C4E0F"/>
    <w:pPr>
      <w:spacing w:before="120"/>
    </w:pPr>
    <w:rPr>
      <w:rFonts w:ascii="Arial" w:hAnsi="Arial" w:cs="Arial"/>
      <w:b/>
      <w:bCs/>
      <w:sz w:val="24"/>
      <w:szCs w:val="24"/>
    </w:rPr>
  </w:style>
  <w:style w:type="paragraph" w:styleId="TOC1">
    <w:name w:val="toc 1"/>
    <w:basedOn w:val="Normal"/>
    <w:next w:val="Normal"/>
    <w:autoRedefine/>
    <w:semiHidden/>
    <w:rsid w:val="008C4E0F"/>
  </w:style>
  <w:style w:type="paragraph" w:styleId="TOC2">
    <w:name w:val="toc 2"/>
    <w:basedOn w:val="Normal"/>
    <w:next w:val="Normal"/>
    <w:autoRedefine/>
    <w:semiHidden/>
    <w:rsid w:val="008C4E0F"/>
    <w:pPr>
      <w:ind w:left="220"/>
    </w:pPr>
  </w:style>
  <w:style w:type="paragraph" w:styleId="TOC3">
    <w:name w:val="toc 3"/>
    <w:basedOn w:val="Normal"/>
    <w:next w:val="Normal"/>
    <w:autoRedefine/>
    <w:semiHidden/>
    <w:rsid w:val="008C4E0F"/>
    <w:pPr>
      <w:ind w:left="440"/>
    </w:pPr>
  </w:style>
  <w:style w:type="paragraph" w:styleId="TOC4">
    <w:name w:val="toc 4"/>
    <w:basedOn w:val="Normal"/>
    <w:next w:val="Normal"/>
    <w:autoRedefine/>
    <w:semiHidden/>
    <w:rsid w:val="008C4E0F"/>
    <w:pPr>
      <w:ind w:left="660"/>
    </w:pPr>
  </w:style>
  <w:style w:type="paragraph" w:styleId="TOC5">
    <w:name w:val="toc 5"/>
    <w:basedOn w:val="Normal"/>
    <w:next w:val="Normal"/>
    <w:autoRedefine/>
    <w:semiHidden/>
    <w:rsid w:val="008C4E0F"/>
    <w:pPr>
      <w:ind w:left="880"/>
    </w:pPr>
  </w:style>
  <w:style w:type="paragraph" w:styleId="TOC6">
    <w:name w:val="toc 6"/>
    <w:basedOn w:val="Normal"/>
    <w:next w:val="Normal"/>
    <w:autoRedefine/>
    <w:semiHidden/>
    <w:rsid w:val="008C4E0F"/>
    <w:pPr>
      <w:ind w:left="1100"/>
    </w:pPr>
  </w:style>
  <w:style w:type="paragraph" w:styleId="TOC7">
    <w:name w:val="toc 7"/>
    <w:basedOn w:val="Normal"/>
    <w:next w:val="Normal"/>
    <w:autoRedefine/>
    <w:semiHidden/>
    <w:rsid w:val="008C4E0F"/>
    <w:pPr>
      <w:ind w:left="1320"/>
    </w:pPr>
  </w:style>
  <w:style w:type="paragraph" w:styleId="TOC8">
    <w:name w:val="toc 8"/>
    <w:basedOn w:val="Normal"/>
    <w:next w:val="Normal"/>
    <w:autoRedefine/>
    <w:semiHidden/>
    <w:rsid w:val="008C4E0F"/>
    <w:pPr>
      <w:ind w:left="1540"/>
    </w:pPr>
  </w:style>
  <w:style w:type="paragraph" w:styleId="TOC9">
    <w:name w:val="toc 9"/>
    <w:basedOn w:val="Normal"/>
    <w:next w:val="Normal"/>
    <w:autoRedefine/>
    <w:semiHidden/>
    <w:rsid w:val="008C4E0F"/>
    <w:pPr>
      <w:ind w:left="1760"/>
    </w:pPr>
  </w:style>
  <w:style w:type="paragraph" w:customStyle="1" w:styleId="textti120">
    <w:name w:val="textti12"/>
    <w:basedOn w:val="Normal"/>
    <w:rsid w:val="00A85B75"/>
    <w:pPr>
      <w:spacing w:after="170" w:line="280" w:lineRule="atLeast"/>
      <w:jc w:val="both"/>
    </w:pPr>
    <w:rPr>
      <w:rFonts w:eastAsia="SimSun"/>
      <w:sz w:val="24"/>
      <w:szCs w:val="24"/>
      <w:lang w:eastAsia="zh-CN"/>
    </w:rPr>
  </w:style>
  <w:style w:type="paragraph" w:customStyle="1" w:styleId="Revisione1">
    <w:name w:val="Revisione1"/>
    <w:hidden/>
    <w:uiPriority w:val="99"/>
    <w:semiHidden/>
    <w:rsid w:val="005B60E3"/>
    <w:rPr>
      <w:sz w:val="22"/>
      <w:lang w:eastAsia="ja-JP"/>
    </w:rPr>
  </w:style>
  <w:style w:type="paragraph" w:customStyle="1" w:styleId="Revisione2">
    <w:name w:val="Revisione2"/>
    <w:hidden/>
    <w:uiPriority w:val="99"/>
    <w:semiHidden/>
    <w:rsid w:val="005F7285"/>
    <w:rPr>
      <w:sz w:val="22"/>
      <w:lang w:eastAsia="ja-JP"/>
    </w:rPr>
  </w:style>
  <w:style w:type="paragraph" w:customStyle="1" w:styleId="EMEABodyText">
    <w:name w:val="EMEA Body Text"/>
    <w:basedOn w:val="Normal"/>
    <w:rsid w:val="00562077"/>
    <w:rPr>
      <w:rFonts w:eastAsia="SimSun"/>
      <w:snapToGrid w:val="0"/>
      <w:lang w:val="en-GB" w:eastAsia="zh-CN"/>
    </w:rPr>
  </w:style>
  <w:style w:type="character" w:customStyle="1" w:styleId="ListBulletChar">
    <w:name w:val="List Bullet Char"/>
    <w:link w:val="ListBullet"/>
    <w:rsid w:val="00D15D42"/>
    <w:rPr>
      <w:sz w:val="22"/>
      <w:lang w:eastAsia="ja-JP"/>
    </w:rPr>
  </w:style>
  <w:style w:type="character" w:customStyle="1" w:styleId="shorttext">
    <w:name w:val="short_text"/>
    <w:rsid w:val="00E00E35"/>
  </w:style>
  <w:style w:type="character" w:customStyle="1" w:styleId="hps">
    <w:name w:val="hps"/>
    <w:rsid w:val="00E00E35"/>
  </w:style>
  <w:style w:type="character" w:customStyle="1" w:styleId="st1">
    <w:name w:val="st1"/>
    <w:basedOn w:val="DefaultParagraphFont"/>
    <w:rsid w:val="003A226F"/>
  </w:style>
  <w:style w:type="character" w:customStyle="1" w:styleId="CommentTextChar">
    <w:name w:val="Comment Text Char"/>
    <w:link w:val="CommentText"/>
    <w:semiHidden/>
    <w:rsid w:val="008E3703"/>
    <w:rPr>
      <w:sz w:val="22"/>
      <w:lang w:eastAsia="ja-JP"/>
    </w:rPr>
  </w:style>
  <w:style w:type="character" w:customStyle="1" w:styleId="ParagraphChar">
    <w:name w:val="Paragraph Char"/>
    <w:link w:val="Paragraph"/>
    <w:locked/>
    <w:rsid w:val="008E3703"/>
    <w:rPr>
      <w:rFonts w:ascii="Arial" w:eastAsia="SimSun" w:hAnsi="Arial" w:cs="Arial"/>
      <w:sz w:val="24"/>
      <w:szCs w:val="24"/>
      <w:lang w:eastAsia="zh-CN"/>
    </w:rPr>
  </w:style>
  <w:style w:type="paragraph" w:customStyle="1" w:styleId="Paragraph">
    <w:name w:val="Paragraph"/>
    <w:basedOn w:val="Normal"/>
    <w:link w:val="ParagraphChar"/>
    <w:rsid w:val="008E3703"/>
    <w:pPr>
      <w:spacing w:after="170" w:line="280" w:lineRule="exact"/>
    </w:pPr>
    <w:rPr>
      <w:rFonts w:ascii="Arial" w:eastAsia="SimSun" w:hAnsi="Arial"/>
      <w:sz w:val="24"/>
      <w:szCs w:val="24"/>
      <w:lang w:val="x-none" w:eastAsia="zh-CN"/>
    </w:rPr>
  </w:style>
  <w:style w:type="paragraph" w:customStyle="1" w:styleId="TableText12">
    <w:name w:val="TableText:12"/>
    <w:basedOn w:val="Normal"/>
    <w:link w:val="TableText12Char"/>
    <w:rsid w:val="008E3703"/>
    <w:rPr>
      <w:rFonts w:eastAsia="MS Mincho"/>
      <w:sz w:val="24"/>
      <w:lang w:val="x-none"/>
    </w:rPr>
  </w:style>
  <w:style w:type="character" w:customStyle="1" w:styleId="TableText12Char">
    <w:name w:val="TableText:12 Char"/>
    <w:link w:val="TableText12"/>
    <w:rsid w:val="008E3703"/>
    <w:rPr>
      <w:rFonts w:eastAsia="MS Mincho"/>
      <w:sz w:val="24"/>
      <w:lang w:eastAsia="ja-JP"/>
    </w:rPr>
  </w:style>
  <w:style w:type="paragraph" w:customStyle="1" w:styleId="TableText10">
    <w:name w:val="TableText:10"/>
    <w:basedOn w:val="Normal"/>
    <w:link w:val="TableText10Char"/>
    <w:rsid w:val="008E3703"/>
    <w:rPr>
      <w:rFonts w:eastAsia="MS Mincho"/>
      <w:sz w:val="20"/>
      <w:lang w:val="x-none"/>
    </w:rPr>
  </w:style>
  <w:style w:type="character" w:customStyle="1" w:styleId="TableText10Char">
    <w:name w:val="TableText:10 Char"/>
    <w:link w:val="TableText10"/>
    <w:rsid w:val="008E3703"/>
    <w:rPr>
      <w:rFonts w:eastAsia="MS Mincho"/>
      <w:lang w:eastAsia="ja-JP"/>
    </w:rPr>
  </w:style>
  <w:style w:type="paragraph" w:customStyle="1" w:styleId="TableCell10Center">
    <w:name w:val="Table Cell 10 Center"/>
    <w:basedOn w:val="Normal"/>
    <w:rsid w:val="00AA5AAE"/>
    <w:pPr>
      <w:keepNext/>
      <w:keepLines/>
      <w:spacing w:before="50" w:after="50" w:line="240" w:lineRule="exact"/>
      <w:jc w:val="center"/>
    </w:pPr>
    <w:rPr>
      <w:rFonts w:ascii="Arial" w:eastAsia="SimSun" w:hAnsi="Arial"/>
      <w:sz w:val="20"/>
      <w:szCs w:val="24"/>
      <w:lang w:eastAsia="zh-CN"/>
    </w:rPr>
  </w:style>
  <w:style w:type="paragraph" w:customStyle="1" w:styleId="Revisione3">
    <w:name w:val="Revisione3"/>
    <w:hidden/>
    <w:uiPriority w:val="99"/>
    <w:semiHidden/>
    <w:rsid w:val="002B3B72"/>
    <w:rPr>
      <w:sz w:val="22"/>
      <w:lang w:eastAsia="ja-JP"/>
    </w:rPr>
  </w:style>
  <w:style w:type="paragraph" w:customStyle="1" w:styleId="Paragrafoelenco1">
    <w:name w:val="Paragrafo elenco1"/>
    <w:basedOn w:val="Normal"/>
    <w:uiPriority w:val="34"/>
    <w:qFormat/>
    <w:rsid w:val="00764C05"/>
    <w:pPr>
      <w:ind w:left="720"/>
      <w:contextualSpacing/>
    </w:pPr>
  </w:style>
  <w:style w:type="character" w:customStyle="1" w:styleId="Collegamentoipertestuale1">
    <w:name w:val="Collegamento ipertestuale1"/>
    <w:rsid w:val="00FD6236"/>
    <w:rPr>
      <w:color w:val="0000FF"/>
      <w:u w:val="single"/>
    </w:rPr>
  </w:style>
  <w:style w:type="paragraph" w:styleId="Revision">
    <w:name w:val="Revision"/>
    <w:hidden/>
    <w:uiPriority w:val="99"/>
    <w:semiHidden/>
    <w:rsid w:val="003D07BE"/>
    <w:rPr>
      <w:sz w:val="22"/>
      <w:lang w:eastAsia="ja-JP"/>
    </w:rPr>
  </w:style>
  <w:style w:type="character" w:customStyle="1" w:styleId="1">
    <w:name w:val="확인되지 않은 멘션1"/>
    <w:uiPriority w:val="99"/>
    <w:semiHidden/>
    <w:unhideWhenUsed/>
    <w:rsid w:val="0076757D"/>
    <w:rPr>
      <w:color w:val="605E5C"/>
      <w:shd w:val="clear" w:color="auto" w:fill="E1DFDD"/>
    </w:rPr>
  </w:style>
  <w:style w:type="paragraph" w:customStyle="1" w:styleId="BodytextAgency">
    <w:name w:val="Body text (Agency)"/>
    <w:basedOn w:val="Normal"/>
    <w:rsid w:val="00E95C16"/>
    <w:pPr>
      <w:spacing w:after="140" w:line="280" w:lineRule="atLeast"/>
    </w:pPr>
    <w:rPr>
      <w:rFonts w:ascii="Verdana" w:hAnsi="Verdana"/>
      <w:snapToGrid w:val="0"/>
      <w:sz w:val="18"/>
      <w:lang w:val="en-GB" w:eastAsia="fr-LU"/>
    </w:rPr>
  </w:style>
  <w:style w:type="paragraph" w:customStyle="1" w:styleId="No-numheading3Agency">
    <w:name w:val="No-num heading 3 (Agency)"/>
    <w:rsid w:val="00E95C16"/>
    <w:pPr>
      <w:keepNext/>
      <w:spacing w:before="280" w:after="220"/>
      <w:outlineLvl w:val="2"/>
    </w:pPr>
    <w:rPr>
      <w:rFonts w:ascii="Verdana" w:hAnsi="Verdana"/>
      <w:b/>
      <w:snapToGrid w:val="0"/>
      <w:kern w:val="32"/>
      <w:sz w:val="22"/>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1642">
      <w:bodyDiv w:val="1"/>
      <w:marLeft w:val="0"/>
      <w:marRight w:val="0"/>
      <w:marTop w:val="0"/>
      <w:marBottom w:val="0"/>
      <w:divBdr>
        <w:top w:val="none" w:sz="0" w:space="0" w:color="auto"/>
        <w:left w:val="none" w:sz="0" w:space="0" w:color="auto"/>
        <w:bottom w:val="none" w:sz="0" w:space="0" w:color="auto"/>
        <w:right w:val="none" w:sz="0" w:space="0" w:color="auto"/>
      </w:divBdr>
      <w:divsChild>
        <w:div w:id="346757108">
          <w:blockQuote w:val="1"/>
          <w:marLeft w:val="68"/>
          <w:marRight w:val="0"/>
          <w:marTop w:val="100"/>
          <w:marBottom w:val="100"/>
          <w:divBdr>
            <w:top w:val="none" w:sz="0" w:space="0" w:color="auto"/>
            <w:left w:val="single" w:sz="12" w:space="3" w:color="000080"/>
            <w:bottom w:val="none" w:sz="0" w:space="0" w:color="auto"/>
            <w:right w:val="none" w:sz="0" w:space="0" w:color="auto"/>
          </w:divBdr>
        </w:div>
      </w:divsChild>
    </w:div>
    <w:div w:id="27293008">
      <w:bodyDiv w:val="1"/>
      <w:marLeft w:val="0"/>
      <w:marRight w:val="0"/>
      <w:marTop w:val="0"/>
      <w:marBottom w:val="0"/>
      <w:divBdr>
        <w:top w:val="none" w:sz="0" w:space="0" w:color="auto"/>
        <w:left w:val="none" w:sz="0" w:space="0" w:color="auto"/>
        <w:bottom w:val="none" w:sz="0" w:space="0" w:color="auto"/>
        <w:right w:val="none" w:sz="0" w:space="0" w:color="auto"/>
      </w:divBdr>
      <w:divsChild>
        <w:div w:id="1835492826">
          <w:marLeft w:val="0"/>
          <w:marRight w:val="0"/>
          <w:marTop w:val="0"/>
          <w:marBottom w:val="0"/>
          <w:divBdr>
            <w:top w:val="none" w:sz="0" w:space="0" w:color="auto"/>
            <w:left w:val="none" w:sz="0" w:space="0" w:color="auto"/>
            <w:bottom w:val="none" w:sz="0" w:space="0" w:color="auto"/>
            <w:right w:val="none" w:sz="0" w:space="0" w:color="auto"/>
          </w:divBdr>
          <w:divsChild>
            <w:div w:id="802387288">
              <w:marLeft w:val="0"/>
              <w:marRight w:val="0"/>
              <w:marTop w:val="0"/>
              <w:marBottom w:val="0"/>
              <w:divBdr>
                <w:top w:val="none" w:sz="0" w:space="0" w:color="auto"/>
                <w:left w:val="none" w:sz="0" w:space="0" w:color="auto"/>
                <w:bottom w:val="none" w:sz="0" w:space="0" w:color="auto"/>
                <w:right w:val="none" w:sz="0" w:space="0" w:color="auto"/>
              </w:divBdr>
              <w:divsChild>
                <w:div w:id="66541725">
                  <w:marLeft w:val="0"/>
                  <w:marRight w:val="0"/>
                  <w:marTop w:val="0"/>
                  <w:marBottom w:val="0"/>
                  <w:divBdr>
                    <w:top w:val="none" w:sz="0" w:space="0" w:color="auto"/>
                    <w:left w:val="none" w:sz="0" w:space="0" w:color="auto"/>
                    <w:bottom w:val="none" w:sz="0" w:space="0" w:color="auto"/>
                    <w:right w:val="none" w:sz="0" w:space="0" w:color="auto"/>
                  </w:divBdr>
                  <w:divsChild>
                    <w:div w:id="813569559">
                      <w:marLeft w:val="0"/>
                      <w:marRight w:val="0"/>
                      <w:marTop w:val="0"/>
                      <w:marBottom w:val="0"/>
                      <w:divBdr>
                        <w:top w:val="none" w:sz="0" w:space="0" w:color="auto"/>
                        <w:left w:val="none" w:sz="0" w:space="0" w:color="auto"/>
                        <w:bottom w:val="none" w:sz="0" w:space="0" w:color="auto"/>
                        <w:right w:val="none" w:sz="0" w:space="0" w:color="auto"/>
                      </w:divBdr>
                      <w:divsChild>
                        <w:div w:id="2028872614">
                          <w:marLeft w:val="0"/>
                          <w:marRight w:val="0"/>
                          <w:marTop w:val="0"/>
                          <w:marBottom w:val="0"/>
                          <w:divBdr>
                            <w:top w:val="none" w:sz="0" w:space="0" w:color="auto"/>
                            <w:left w:val="none" w:sz="0" w:space="0" w:color="auto"/>
                            <w:bottom w:val="none" w:sz="0" w:space="0" w:color="auto"/>
                            <w:right w:val="none" w:sz="0" w:space="0" w:color="auto"/>
                          </w:divBdr>
                          <w:divsChild>
                            <w:div w:id="1150099047">
                              <w:marLeft w:val="0"/>
                              <w:marRight w:val="0"/>
                              <w:marTop w:val="0"/>
                              <w:marBottom w:val="0"/>
                              <w:divBdr>
                                <w:top w:val="none" w:sz="0" w:space="0" w:color="auto"/>
                                <w:left w:val="none" w:sz="0" w:space="0" w:color="auto"/>
                                <w:bottom w:val="none" w:sz="0" w:space="0" w:color="auto"/>
                                <w:right w:val="none" w:sz="0" w:space="0" w:color="auto"/>
                              </w:divBdr>
                              <w:divsChild>
                                <w:div w:id="1986080383">
                                  <w:marLeft w:val="0"/>
                                  <w:marRight w:val="0"/>
                                  <w:marTop w:val="0"/>
                                  <w:marBottom w:val="0"/>
                                  <w:divBdr>
                                    <w:top w:val="none" w:sz="0" w:space="0" w:color="auto"/>
                                    <w:left w:val="none" w:sz="0" w:space="0" w:color="auto"/>
                                    <w:bottom w:val="none" w:sz="0" w:space="0" w:color="auto"/>
                                    <w:right w:val="none" w:sz="0" w:space="0" w:color="auto"/>
                                  </w:divBdr>
                                  <w:divsChild>
                                    <w:div w:id="82075528">
                                      <w:marLeft w:val="0"/>
                                      <w:marRight w:val="0"/>
                                      <w:marTop w:val="0"/>
                                      <w:marBottom w:val="0"/>
                                      <w:divBdr>
                                        <w:top w:val="single" w:sz="6" w:space="0" w:color="F5F5F5"/>
                                        <w:left w:val="single" w:sz="6" w:space="0" w:color="F5F5F5"/>
                                        <w:bottom w:val="single" w:sz="6" w:space="0" w:color="F5F5F5"/>
                                        <w:right w:val="single" w:sz="6" w:space="0" w:color="F5F5F5"/>
                                      </w:divBdr>
                                      <w:divsChild>
                                        <w:div w:id="1572041726">
                                          <w:marLeft w:val="0"/>
                                          <w:marRight w:val="0"/>
                                          <w:marTop w:val="0"/>
                                          <w:marBottom w:val="0"/>
                                          <w:divBdr>
                                            <w:top w:val="none" w:sz="0" w:space="0" w:color="auto"/>
                                            <w:left w:val="none" w:sz="0" w:space="0" w:color="auto"/>
                                            <w:bottom w:val="none" w:sz="0" w:space="0" w:color="auto"/>
                                            <w:right w:val="none" w:sz="0" w:space="0" w:color="auto"/>
                                          </w:divBdr>
                                          <w:divsChild>
                                            <w:div w:id="21318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364879">
      <w:bodyDiv w:val="1"/>
      <w:marLeft w:val="0"/>
      <w:marRight w:val="0"/>
      <w:marTop w:val="0"/>
      <w:marBottom w:val="0"/>
      <w:divBdr>
        <w:top w:val="none" w:sz="0" w:space="0" w:color="auto"/>
        <w:left w:val="none" w:sz="0" w:space="0" w:color="auto"/>
        <w:bottom w:val="none" w:sz="0" w:space="0" w:color="auto"/>
        <w:right w:val="none" w:sz="0" w:space="0" w:color="auto"/>
      </w:divBdr>
      <w:divsChild>
        <w:div w:id="318387370">
          <w:marLeft w:val="0"/>
          <w:marRight w:val="0"/>
          <w:marTop w:val="0"/>
          <w:marBottom w:val="0"/>
          <w:divBdr>
            <w:top w:val="none" w:sz="0" w:space="0" w:color="auto"/>
            <w:left w:val="none" w:sz="0" w:space="0" w:color="auto"/>
            <w:bottom w:val="none" w:sz="0" w:space="0" w:color="auto"/>
            <w:right w:val="none" w:sz="0" w:space="0" w:color="auto"/>
          </w:divBdr>
          <w:divsChild>
            <w:div w:id="335891101">
              <w:marLeft w:val="0"/>
              <w:marRight w:val="0"/>
              <w:marTop w:val="0"/>
              <w:marBottom w:val="0"/>
              <w:divBdr>
                <w:top w:val="none" w:sz="0" w:space="0" w:color="auto"/>
                <w:left w:val="none" w:sz="0" w:space="0" w:color="auto"/>
                <w:bottom w:val="none" w:sz="0" w:space="0" w:color="auto"/>
                <w:right w:val="none" w:sz="0" w:space="0" w:color="auto"/>
              </w:divBdr>
              <w:divsChild>
                <w:div w:id="1866794051">
                  <w:marLeft w:val="0"/>
                  <w:marRight w:val="0"/>
                  <w:marTop w:val="0"/>
                  <w:marBottom w:val="0"/>
                  <w:divBdr>
                    <w:top w:val="none" w:sz="0" w:space="0" w:color="auto"/>
                    <w:left w:val="none" w:sz="0" w:space="0" w:color="auto"/>
                    <w:bottom w:val="none" w:sz="0" w:space="0" w:color="auto"/>
                    <w:right w:val="none" w:sz="0" w:space="0" w:color="auto"/>
                  </w:divBdr>
                  <w:divsChild>
                    <w:div w:id="1336956170">
                      <w:marLeft w:val="0"/>
                      <w:marRight w:val="0"/>
                      <w:marTop w:val="0"/>
                      <w:marBottom w:val="0"/>
                      <w:divBdr>
                        <w:top w:val="none" w:sz="0" w:space="0" w:color="auto"/>
                        <w:left w:val="none" w:sz="0" w:space="0" w:color="auto"/>
                        <w:bottom w:val="none" w:sz="0" w:space="0" w:color="auto"/>
                        <w:right w:val="none" w:sz="0" w:space="0" w:color="auto"/>
                      </w:divBdr>
                      <w:divsChild>
                        <w:div w:id="1099716719">
                          <w:marLeft w:val="0"/>
                          <w:marRight w:val="0"/>
                          <w:marTop w:val="0"/>
                          <w:marBottom w:val="0"/>
                          <w:divBdr>
                            <w:top w:val="none" w:sz="0" w:space="0" w:color="auto"/>
                            <w:left w:val="none" w:sz="0" w:space="0" w:color="auto"/>
                            <w:bottom w:val="none" w:sz="0" w:space="0" w:color="auto"/>
                            <w:right w:val="none" w:sz="0" w:space="0" w:color="auto"/>
                          </w:divBdr>
                          <w:divsChild>
                            <w:div w:id="1712993419">
                              <w:marLeft w:val="0"/>
                              <w:marRight w:val="0"/>
                              <w:marTop w:val="0"/>
                              <w:marBottom w:val="0"/>
                              <w:divBdr>
                                <w:top w:val="none" w:sz="0" w:space="0" w:color="auto"/>
                                <w:left w:val="none" w:sz="0" w:space="0" w:color="auto"/>
                                <w:bottom w:val="none" w:sz="0" w:space="0" w:color="auto"/>
                                <w:right w:val="none" w:sz="0" w:space="0" w:color="auto"/>
                              </w:divBdr>
                              <w:divsChild>
                                <w:div w:id="470900852">
                                  <w:marLeft w:val="0"/>
                                  <w:marRight w:val="0"/>
                                  <w:marTop w:val="0"/>
                                  <w:marBottom w:val="0"/>
                                  <w:divBdr>
                                    <w:top w:val="none" w:sz="0" w:space="0" w:color="auto"/>
                                    <w:left w:val="none" w:sz="0" w:space="0" w:color="auto"/>
                                    <w:bottom w:val="none" w:sz="0" w:space="0" w:color="auto"/>
                                    <w:right w:val="none" w:sz="0" w:space="0" w:color="auto"/>
                                  </w:divBdr>
                                  <w:divsChild>
                                    <w:div w:id="1312173213">
                                      <w:marLeft w:val="0"/>
                                      <w:marRight w:val="0"/>
                                      <w:marTop w:val="0"/>
                                      <w:marBottom w:val="0"/>
                                      <w:divBdr>
                                        <w:top w:val="single" w:sz="6" w:space="0" w:color="F5F5F5"/>
                                        <w:left w:val="single" w:sz="6" w:space="0" w:color="F5F5F5"/>
                                        <w:bottom w:val="single" w:sz="6" w:space="0" w:color="F5F5F5"/>
                                        <w:right w:val="single" w:sz="6" w:space="0" w:color="F5F5F5"/>
                                      </w:divBdr>
                                      <w:divsChild>
                                        <w:div w:id="860246681">
                                          <w:marLeft w:val="0"/>
                                          <w:marRight w:val="0"/>
                                          <w:marTop w:val="0"/>
                                          <w:marBottom w:val="0"/>
                                          <w:divBdr>
                                            <w:top w:val="none" w:sz="0" w:space="0" w:color="auto"/>
                                            <w:left w:val="none" w:sz="0" w:space="0" w:color="auto"/>
                                            <w:bottom w:val="none" w:sz="0" w:space="0" w:color="auto"/>
                                            <w:right w:val="none" w:sz="0" w:space="0" w:color="auto"/>
                                          </w:divBdr>
                                          <w:divsChild>
                                            <w:div w:id="12646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46291">
      <w:bodyDiv w:val="1"/>
      <w:marLeft w:val="0"/>
      <w:marRight w:val="0"/>
      <w:marTop w:val="0"/>
      <w:marBottom w:val="0"/>
      <w:divBdr>
        <w:top w:val="none" w:sz="0" w:space="0" w:color="auto"/>
        <w:left w:val="none" w:sz="0" w:space="0" w:color="auto"/>
        <w:bottom w:val="none" w:sz="0" w:space="0" w:color="auto"/>
        <w:right w:val="none" w:sz="0" w:space="0" w:color="auto"/>
      </w:divBdr>
      <w:divsChild>
        <w:div w:id="1580597685">
          <w:marLeft w:val="0"/>
          <w:marRight w:val="0"/>
          <w:marTop w:val="0"/>
          <w:marBottom w:val="0"/>
          <w:divBdr>
            <w:top w:val="none" w:sz="0" w:space="0" w:color="auto"/>
            <w:left w:val="none" w:sz="0" w:space="0" w:color="auto"/>
            <w:bottom w:val="none" w:sz="0" w:space="0" w:color="auto"/>
            <w:right w:val="none" w:sz="0" w:space="0" w:color="auto"/>
          </w:divBdr>
          <w:divsChild>
            <w:div w:id="476151512">
              <w:marLeft w:val="0"/>
              <w:marRight w:val="0"/>
              <w:marTop w:val="0"/>
              <w:marBottom w:val="0"/>
              <w:divBdr>
                <w:top w:val="none" w:sz="0" w:space="0" w:color="auto"/>
                <w:left w:val="none" w:sz="0" w:space="0" w:color="auto"/>
                <w:bottom w:val="none" w:sz="0" w:space="0" w:color="auto"/>
                <w:right w:val="none" w:sz="0" w:space="0" w:color="auto"/>
              </w:divBdr>
              <w:divsChild>
                <w:div w:id="1008752770">
                  <w:marLeft w:val="0"/>
                  <w:marRight w:val="0"/>
                  <w:marTop w:val="0"/>
                  <w:marBottom w:val="0"/>
                  <w:divBdr>
                    <w:top w:val="none" w:sz="0" w:space="0" w:color="auto"/>
                    <w:left w:val="none" w:sz="0" w:space="0" w:color="auto"/>
                    <w:bottom w:val="none" w:sz="0" w:space="0" w:color="auto"/>
                    <w:right w:val="none" w:sz="0" w:space="0" w:color="auto"/>
                  </w:divBdr>
                  <w:divsChild>
                    <w:div w:id="1637489234">
                      <w:marLeft w:val="0"/>
                      <w:marRight w:val="0"/>
                      <w:marTop w:val="0"/>
                      <w:marBottom w:val="0"/>
                      <w:divBdr>
                        <w:top w:val="none" w:sz="0" w:space="0" w:color="auto"/>
                        <w:left w:val="none" w:sz="0" w:space="0" w:color="auto"/>
                        <w:bottom w:val="none" w:sz="0" w:space="0" w:color="auto"/>
                        <w:right w:val="none" w:sz="0" w:space="0" w:color="auto"/>
                      </w:divBdr>
                      <w:divsChild>
                        <w:div w:id="641620524">
                          <w:marLeft w:val="0"/>
                          <w:marRight w:val="0"/>
                          <w:marTop w:val="0"/>
                          <w:marBottom w:val="0"/>
                          <w:divBdr>
                            <w:top w:val="none" w:sz="0" w:space="0" w:color="auto"/>
                            <w:left w:val="none" w:sz="0" w:space="0" w:color="auto"/>
                            <w:bottom w:val="none" w:sz="0" w:space="0" w:color="auto"/>
                            <w:right w:val="none" w:sz="0" w:space="0" w:color="auto"/>
                          </w:divBdr>
                          <w:divsChild>
                            <w:div w:id="798380616">
                              <w:marLeft w:val="0"/>
                              <w:marRight w:val="0"/>
                              <w:marTop w:val="0"/>
                              <w:marBottom w:val="0"/>
                              <w:divBdr>
                                <w:top w:val="none" w:sz="0" w:space="0" w:color="auto"/>
                                <w:left w:val="none" w:sz="0" w:space="0" w:color="auto"/>
                                <w:bottom w:val="none" w:sz="0" w:space="0" w:color="auto"/>
                                <w:right w:val="none" w:sz="0" w:space="0" w:color="auto"/>
                              </w:divBdr>
                              <w:divsChild>
                                <w:div w:id="1271014454">
                                  <w:marLeft w:val="0"/>
                                  <w:marRight w:val="0"/>
                                  <w:marTop w:val="0"/>
                                  <w:marBottom w:val="0"/>
                                  <w:divBdr>
                                    <w:top w:val="none" w:sz="0" w:space="0" w:color="auto"/>
                                    <w:left w:val="none" w:sz="0" w:space="0" w:color="auto"/>
                                    <w:bottom w:val="none" w:sz="0" w:space="0" w:color="auto"/>
                                    <w:right w:val="none" w:sz="0" w:space="0" w:color="auto"/>
                                  </w:divBdr>
                                  <w:divsChild>
                                    <w:div w:id="440950716">
                                      <w:marLeft w:val="0"/>
                                      <w:marRight w:val="0"/>
                                      <w:marTop w:val="0"/>
                                      <w:marBottom w:val="0"/>
                                      <w:divBdr>
                                        <w:top w:val="single" w:sz="6" w:space="0" w:color="F5F5F5"/>
                                        <w:left w:val="single" w:sz="6" w:space="0" w:color="F5F5F5"/>
                                        <w:bottom w:val="single" w:sz="6" w:space="0" w:color="F5F5F5"/>
                                        <w:right w:val="single" w:sz="6" w:space="0" w:color="F5F5F5"/>
                                      </w:divBdr>
                                      <w:divsChild>
                                        <w:div w:id="112099061">
                                          <w:marLeft w:val="0"/>
                                          <w:marRight w:val="0"/>
                                          <w:marTop w:val="0"/>
                                          <w:marBottom w:val="0"/>
                                          <w:divBdr>
                                            <w:top w:val="none" w:sz="0" w:space="0" w:color="auto"/>
                                            <w:left w:val="none" w:sz="0" w:space="0" w:color="auto"/>
                                            <w:bottom w:val="none" w:sz="0" w:space="0" w:color="auto"/>
                                            <w:right w:val="none" w:sz="0" w:space="0" w:color="auto"/>
                                          </w:divBdr>
                                          <w:divsChild>
                                            <w:div w:id="9862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44234">
      <w:bodyDiv w:val="1"/>
      <w:marLeft w:val="0"/>
      <w:marRight w:val="0"/>
      <w:marTop w:val="0"/>
      <w:marBottom w:val="0"/>
      <w:divBdr>
        <w:top w:val="none" w:sz="0" w:space="0" w:color="auto"/>
        <w:left w:val="none" w:sz="0" w:space="0" w:color="auto"/>
        <w:bottom w:val="none" w:sz="0" w:space="0" w:color="auto"/>
        <w:right w:val="none" w:sz="0" w:space="0" w:color="auto"/>
      </w:divBdr>
      <w:divsChild>
        <w:div w:id="1103502408">
          <w:marLeft w:val="0"/>
          <w:marRight w:val="0"/>
          <w:marTop w:val="0"/>
          <w:marBottom w:val="0"/>
          <w:divBdr>
            <w:top w:val="none" w:sz="0" w:space="0" w:color="auto"/>
            <w:left w:val="none" w:sz="0" w:space="0" w:color="auto"/>
            <w:bottom w:val="none" w:sz="0" w:space="0" w:color="auto"/>
            <w:right w:val="none" w:sz="0" w:space="0" w:color="auto"/>
          </w:divBdr>
          <w:divsChild>
            <w:div w:id="318922300">
              <w:marLeft w:val="0"/>
              <w:marRight w:val="0"/>
              <w:marTop w:val="0"/>
              <w:marBottom w:val="0"/>
              <w:divBdr>
                <w:top w:val="none" w:sz="0" w:space="0" w:color="auto"/>
                <w:left w:val="none" w:sz="0" w:space="0" w:color="auto"/>
                <w:bottom w:val="none" w:sz="0" w:space="0" w:color="auto"/>
                <w:right w:val="none" w:sz="0" w:space="0" w:color="auto"/>
              </w:divBdr>
              <w:divsChild>
                <w:div w:id="1331828358">
                  <w:marLeft w:val="0"/>
                  <w:marRight w:val="0"/>
                  <w:marTop w:val="0"/>
                  <w:marBottom w:val="0"/>
                  <w:divBdr>
                    <w:top w:val="none" w:sz="0" w:space="0" w:color="auto"/>
                    <w:left w:val="none" w:sz="0" w:space="0" w:color="auto"/>
                    <w:bottom w:val="none" w:sz="0" w:space="0" w:color="auto"/>
                    <w:right w:val="none" w:sz="0" w:space="0" w:color="auto"/>
                  </w:divBdr>
                  <w:divsChild>
                    <w:div w:id="1208493701">
                      <w:marLeft w:val="0"/>
                      <w:marRight w:val="0"/>
                      <w:marTop w:val="0"/>
                      <w:marBottom w:val="0"/>
                      <w:divBdr>
                        <w:top w:val="none" w:sz="0" w:space="0" w:color="auto"/>
                        <w:left w:val="none" w:sz="0" w:space="0" w:color="auto"/>
                        <w:bottom w:val="none" w:sz="0" w:space="0" w:color="auto"/>
                        <w:right w:val="none" w:sz="0" w:space="0" w:color="auto"/>
                      </w:divBdr>
                      <w:divsChild>
                        <w:div w:id="1050494406">
                          <w:marLeft w:val="0"/>
                          <w:marRight w:val="0"/>
                          <w:marTop w:val="0"/>
                          <w:marBottom w:val="0"/>
                          <w:divBdr>
                            <w:top w:val="none" w:sz="0" w:space="0" w:color="auto"/>
                            <w:left w:val="none" w:sz="0" w:space="0" w:color="auto"/>
                            <w:bottom w:val="none" w:sz="0" w:space="0" w:color="auto"/>
                            <w:right w:val="none" w:sz="0" w:space="0" w:color="auto"/>
                          </w:divBdr>
                          <w:divsChild>
                            <w:div w:id="388306593">
                              <w:marLeft w:val="0"/>
                              <w:marRight w:val="0"/>
                              <w:marTop w:val="0"/>
                              <w:marBottom w:val="0"/>
                              <w:divBdr>
                                <w:top w:val="none" w:sz="0" w:space="0" w:color="auto"/>
                                <w:left w:val="none" w:sz="0" w:space="0" w:color="auto"/>
                                <w:bottom w:val="none" w:sz="0" w:space="0" w:color="auto"/>
                                <w:right w:val="none" w:sz="0" w:space="0" w:color="auto"/>
                              </w:divBdr>
                              <w:divsChild>
                                <w:div w:id="1380548504">
                                  <w:marLeft w:val="0"/>
                                  <w:marRight w:val="0"/>
                                  <w:marTop w:val="0"/>
                                  <w:marBottom w:val="0"/>
                                  <w:divBdr>
                                    <w:top w:val="none" w:sz="0" w:space="0" w:color="auto"/>
                                    <w:left w:val="none" w:sz="0" w:space="0" w:color="auto"/>
                                    <w:bottom w:val="none" w:sz="0" w:space="0" w:color="auto"/>
                                    <w:right w:val="none" w:sz="0" w:space="0" w:color="auto"/>
                                  </w:divBdr>
                                  <w:divsChild>
                                    <w:div w:id="235827387">
                                      <w:marLeft w:val="0"/>
                                      <w:marRight w:val="0"/>
                                      <w:marTop w:val="0"/>
                                      <w:marBottom w:val="0"/>
                                      <w:divBdr>
                                        <w:top w:val="single" w:sz="6" w:space="0" w:color="F5F5F5"/>
                                        <w:left w:val="single" w:sz="6" w:space="0" w:color="F5F5F5"/>
                                        <w:bottom w:val="single" w:sz="6" w:space="0" w:color="F5F5F5"/>
                                        <w:right w:val="single" w:sz="6" w:space="0" w:color="F5F5F5"/>
                                      </w:divBdr>
                                      <w:divsChild>
                                        <w:div w:id="741759146">
                                          <w:marLeft w:val="0"/>
                                          <w:marRight w:val="0"/>
                                          <w:marTop w:val="0"/>
                                          <w:marBottom w:val="0"/>
                                          <w:divBdr>
                                            <w:top w:val="none" w:sz="0" w:space="0" w:color="auto"/>
                                            <w:left w:val="none" w:sz="0" w:space="0" w:color="auto"/>
                                            <w:bottom w:val="none" w:sz="0" w:space="0" w:color="auto"/>
                                            <w:right w:val="none" w:sz="0" w:space="0" w:color="auto"/>
                                          </w:divBdr>
                                          <w:divsChild>
                                            <w:div w:id="194584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82109">
      <w:bodyDiv w:val="1"/>
      <w:marLeft w:val="0"/>
      <w:marRight w:val="0"/>
      <w:marTop w:val="0"/>
      <w:marBottom w:val="0"/>
      <w:divBdr>
        <w:top w:val="none" w:sz="0" w:space="0" w:color="auto"/>
        <w:left w:val="none" w:sz="0" w:space="0" w:color="auto"/>
        <w:bottom w:val="none" w:sz="0" w:space="0" w:color="auto"/>
        <w:right w:val="none" w:sz="0" w:space="0" w:color="auto"/>
      </w:divBdr>
      <w:divsChild>
        <w:div w:id="343096454">
          <w:marLeft w:val="0"/>
          <w:marRight w:val="0"/>
          <w:marTop w:val="0"/>
          <w:marBottom w:val="0"/>
          <w:divBdr>
            <w:top w:val="none" w:sz="0" w:space="0" w:color="auto"/>
            <w:left w:val="none" w:sz="0" w:space="0" w:color="auto"/>
            <w:bottom w:val="none" w:sz="0" w:space="0" w:color="auto"/>
            <w:right w:val="none" w:sz="0" w:space="0" w:color="auto"/>
          </w:divBdr>
          <w:divsChild>
            <w:div w:id="2116439306">
              <w:marLeft w:val="0"/>
              <w:marRight w:val="0"/>
              <w:marTop w:val="0"/>
              <w:marBottom w:val="0"/>
              <w:divBdr>
                <w:top w:val="none" w:sz="0" w:space="0" w:color="auto"/>
                <w:left w:val="none" w:sz="0" w:space="0" w:color="auto"/>
                <w:bottom w:val="none" w:sz="0" w:space="0" w:color="auto"/>
                <w:right w:val="none" w:sz="0" w:space="0" w:color="auto"/>
              </w:divBdr>
              <w:divsChild>
                <w:div w:id="233704889">
                  <w:marLeft w:val="0"/>
                  <w:marRight w:val="0"/>
                  <w:marTop w:val="0"/>
                  <w:marBottom w:val="0"/>
                  <w:divBdr>
                    <w:top w:val="none" w:sz="0" w:space="0" w:color="auto"/>
                    <w:left w:val="none" w:sz="0" w:space="0" w:color="auto"/>
                    <w:bottom w:val="none" w:sz="0" w:space="0" w:color="auto"/>
                    <w:right w:val="none" w:sz="0" w:space="0" w:color="auto"/>
                  </w:divBdr>
                  <w:divsChild>
                    <w:div w:id="807236339">
                      <w:marLeft w:val="0"/>
                      <w:marRight w:val="0"/>
                      <w:marTop w:val="0"/>
                      <w:marBottom w:val="0"/>
                      <w:divBdr>
                        <w:top w:val="none" w:sz="0" w:space="0" w:color="auto"/>
                        <w:left w:val="none" w:sz="0" w:space="0" w:color="auto"/>
                        <w:bottom w:val="none" w:sz="0" w:space="0" w:color="auto"/>
                        <w:right w:val="none" w:sz="0" w:space="0" w:color="auto"/>
                      </w:divBdr>
                      <w:divsChild>
                        <w:div w:id="1003121903">
                          <w:marLeft w:val="0"/>
                          <w:marRight w:val="0"/>
                          <w:marTop w:val="45"/>
                          <w:marBottom w:val="0"/>
                          <w:divBdr>
                            <w:top w:val="none" w:sz="0" w:space="0" w:color="auto"/>
                            <w:left w:val="none" w:sz="0" w:space="0" w:color="auto"/>
                            <w:bottom w:val="none" w:sz="0" w:space="0" w:color="auto"/>
                            <w:right w:val="none" w:sz="0" w:space="0" w:color="auto"/>
                          </w:divBdr>
                          <w:divsChild>
                            <w:div w:id="2033069961">
                              <w:marLeft w:val="0"/>
                              <w:marRight w:val="0"/>
                              <w:marTop w:val="0"/>
                              <w:marBottom w:val="0"/>
                              <w:divBdr>
                                <w:top w:val="none" w:sz="0" w:space="0" w:color="auto"/>
                                <w:left w:val="none" w:sz="0" w:space="0" w:color="auto"/>
                                <w:bottom w:val="none" w:sz="0" w:space="0" w:color="auto"/>
                                <w:right w:val="none" w:sz="0" w:space="0" w:color="auto"/>
                              </w:divBdr>
                              <w:divsChild>
                                <w:div w:id="692461727">
                                  <w:marLeft w:val="2070"/>
                                  <w:marRight w:val="3810"/>
                                  <w:marTop w:val="0"/>
                                  <w:marBottom w:val="0"/>
                                  <w:divBdr>
                                    <w:top w:val="none" w:sz="0" w:space="0" w:color="auto"/>
                                    <w:left w:val="none" w:sz="0" w:space="0" w:color="auto"/>
                                    <w:bottom w:val="none" w:sz="0" w:space="0" w:color="auto"/>
                                    <w:right w:val="none" w:sz="0" w:space="0" w:color="auto"/>
                                  </w:divBdr>
                                  <w:divsChild>
                                    <w:div w:id="1665082418">
                                      <w:marLeft w:val="0"/>
                                      <w:marRight w:val="0"/>
                                      <w:marTop w:val="0"/>
                                      <w:marBottom w:val="0"/>
                                      <w:divBdr>
                                        <w:top w:val="none" w:sz="0" w:space="0" w:color="auto"/>
                                        <w:left w:val="none" w:sz="0" w:space="0" w:color="auto"/>
                                        <w:bottom w:val="none" w:sz="0" w:space="0" w:color="auto"/>
                                        <w:right w:val="none" w:sz="0" w:space="0" w:color="auto"/>
                                      </w:divBdr>
                                      <w:divsChild>
                                        <w:div w:id="921333974">
                                          <w:marLeft w:val="0"/>
                                          <w:marRight w:val="0"/>
                                          <w:marTop w:val="0"/>
                                          <w:marBottom w:val="0"/>
                                          <w:divBdr>
                                            <w:top w:val="none" w:sz="0" w:space="0" w:color="auto"/>
                                            <w:left w:val="none" w:sz="0" w:space="0" w:color="auto"/>
                                            <w:bottom w:val="none" w:sz="0" w:space="0" w:color="auto"/>
                                            <w:right w:val="none" w:sz="0" w:space="0" w:color="auto"/>
                                          </w:divBdr>
                                          <w:divsChild>
                                            <w:div w:id="1419475878">
                                              <w:marLeft w:val="0"/>
                                              <w:marRight w:val="0"/>
                                              <w:marTop w:val="0"/>
                                              <w:marBottom w:val="0"/>
                                              <w:divBdr>
                                                <w:top w:val="none" w:sz="0" w:space="0" w:color="auto"/>
                                                <w:left w:val="none" w:sz="0" w:space="0" w:color="auto"/>
                                                <w:bottom w:val="none" w:sz="0" w:space="0" w:color="auto"/>
                                                <w:right w:val="none" w:sz="0" w:space="0" w:color="auto"/>
                                              </w:divBdr>
                                              <w:divsChild>
                                                <w:div w:id="526212295">
                                                  <w:marLeft w:val="0"/>
                                                  <w:marRight w:val="0"/>
                                                  <w:marTop w:val="0"/>
                                                  <w:marBottom w:val="0"/>
                                                  <w:divBdr>
                                                    <w:top w:val="none" w:sz="0" w:space="0" w:color="auto"/>
                                                    <w:left w:val="none" w:sz="0" w:space="0" w:color="auto"/>
                                                    <w:bottom w:val="none" w:sz="0" w:space="0" w:color="auto"/>
                                                    <w:right w:val="none" w:sz="0" w:space="0" w:color="auto"/>
                                                  </w:divBdr>
                                                  <w:divsChild>
                                                    <w:div w:id="1681815685">
                                                      <w:marLeft w:val="0"/>
                                                      <w:marRight w:val="0"/>
                                                      <w:marTop w:val="0"/>
                                                      <w:marBottom w:val="0"/>
                                                      <w:divBdr>
                                                        <w:top w:val="none" w:sz="0" w:space="0" w:color="auto"/>
                                                        <w:left w:val="none" w:sz="0" w:space="0" w:color="auto"/>
                                                        <w:bottom w:val="none" w:sz="0" w:space="0" w:color="auto"/>
                                                        <w:right w:val="none" w:sz="0" w:space="0" w:color="auto"/>
                                                      </w:divBdr>
                                                      <w:divsChild>
                                                        <w:div w:id="1633098022">
                                                          <w:marLeft w:val="0"/>
                                                          <w:marRight w:val="0"/>
                                                          <w:marTop w:val="0"/>
                                                          <w:marBottom w:val="345"/>
                                                          <w:divBdr>
                                                            <w:top w:val="none" w:sz="0" w:space="0" w:color="auto"/>
                                                            <w:left w:val="none" w:sz="0" w:space="0" w:color="auto"/>
                                                            <w:bottom w:val="none" w:sz="0" w:space="0" w:color="auto"/>
                                                            <w:right w:val="none" w:sz="0" w:space="0" w:color="auto"/>
                                                          </w:divBdr>
                                                          <w:divsChild>
                                                            <w:div w:id="1955597619">
                                                              <w:marLeft w:val="0"/>
                                                              <w:marRight w:val="0"/>
                                                              <w:marTop w:val="0"/>
                                                              <w:marBottom w:val="0"/>
                                                              <w:divBdr>
                                                                <w:top w:val="none" w:sz="0" w:space="0" w:color="auto"/>
                                                                <w:left w:val="none" w:sz="0" w:space="0" w:color="auto"/>
                                                                <w:bottom w:val="none" w:sz="0" w:space="0" w:color="auto"/>
                                                                <w:right w:val="none" w:sz="0" w:space="0" w:color="auto"/>
                                                              </w:divBdr>
                                                              <w:divsChild>
                                                                <w:div w:id="1844975147">
                                                                  <w:marLeft w:val="0"/>
                                                                  <w:marRight w:val="0"/>
                                                                  <w:marTop w:val="0"/>
                                                                  <w:marBottom w:val="0"/>
                                                                  <w:divBdr>
                                                                    <w:top w:val="none" w:sz="0" w:space="0" w:color="auto"/>
                                                                    <w:left w:val="none" w:sz="0" w:space="0" w:color="auto"/>
                                                                    <w:bottom w:val="none" w:sz="0" w:space="0" w:color="auto"/>
                                                                    <w:right w:val="none" w:sz="0" w:space="0" w:color="auto"/>
                                                                  </w:divBdr>
                                                                  <w:divsChild>
                                                                    <w:div w:id="2131901677">
                                                                      <w:marLeft w:val="0"/>
                                                                      <w:marRight w:val="0"/>
                                                                      <w:marTop w:val="0"/>
                                                                      <w:marBottom w:val="0"/>
                                                                      <w:divBdr>
                                                                        <w:top w:val="none" w:sz="0" w:space="0" w:color="auto"/>
                                                                        <w:left w:val="none" w:sz="0" w:space="0" w:color="auto"/>
                                                                        <w:bottom w:val="none" w:sz="0" w:space="0" w:color="auto"/>
                                                                        <w:right w:val="none" w:sz="0" w:space="0" w:color="auto"/>
                                                                      </w:divBdr>
                                                                      <w:divsChild>
                                                                        <w:div w:id="851722575">
                                                                          <w:marLeft w:val="0"/>
                                                                          <w:marRight w:val="0"/>
                                                                          <w:marTop w:val="0"/>
                                                                          <w:marBottom w:val="0"/>
                                                                          <w:divBdr>
                                                                            <w:top w:val="none" w:sz="0" w:space="0" w:color="auto"/>
                                                                            <w:left w:val="none" w:sz="0" w:space="0" w:color="auto"/>
                                                                            <w:bottom w:val="none" w:sz="0" w:space="0" w:color="auto"/>
                                                                            <w:right w:val="none" w:sz="0" w:space="0" w:color="auto"/>
                                                                          </w:divBdr>
                                                                          <w:divsChild>
                                                                            <w:div w:id="1536961624">
                                                                              <w:marLeft w:val="0"/>
                                                                              <w:marRight w:val="0"/>
                                                                              <w:marTop w:val="0"/>
                                                                              <w:marBottom w:val="0"/>
                                                                              <w:divBdr>
                                                                                <w:top w:val="none" w:sz="0" w:space="0" w:color="auto"/>
                                                                                <w:left w:val="none" w:sz="0" w:space="0" w:color="auto"/>
                                                                                <w:bottom w:val="none" w:sz="0" w:space="0" w:color="auto"/>
                                                                                <w:right w:val="none" w:sz="0" w:space="0" w:color="auto"/>
                                                                              </w:divBdr>
                                                                              <w:divsChild>
                                                                                <w:div w:id="356662942">
                                                                                  <w:marLeft w:val="0"/>
                                                                                  <w:marRight w:val="0"/>
                                                                                  <w:marTop w:val="0"/>
                                                                                  <w:marBottom w:val="0"/>
                                                                                  <w:divBdr>
                                                                                    <w:top w:val="none" w:sz="0" w:space="0" w:color="auto"/>
                                                                                    <w:left w:val="none" w:sz="0" w:space="0" w:color="auto"/>
                                                                                    <w:bottom w:val="none" w:sz="0" w:space="0" w:color="auto"/>
                                                                                    <w:right w:val="none" w:sz="0" w:space="0" w:color="auto"/>
                                                                                  </w:divBdr>
                                                                                  <w:divsChild>
                                                                                    <w:div w:id="55058515">
                                                                                      <w:marLeft w:val="0"/>
                                                                                      <w:marRight w:val="0"/>
                                                                                      <w:marTop w:val="0"/>
                                                                                      <w:marBottom w:val="0"/>
                                                                                      <w:divBdr>
                                                                                        <w:top w:val="none" w:sz="0" w:space="0" w:color="auto"/>
                                                                                        <w:left w:val="none" w:sz="0" w:space="0" w:color="auto"/>
                                                                                        <w:bottom w:val="none" w:sz="0" w:space="0" w:color="auto"/>
                                                                                        <w:right w:val="none" w:sz="0" w:space="0" w:color="auto"/>
                                                                                      </w:divBdr>
                                                                                      <w:divsChild>
                                                                                        <w:div w:id="18670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3822">
      <w:bodyDiv w:val="1"/>
      <w:marLeft w:val="0"/>
      <w:marRight w:val="0"/>
      <w:marTop w:val="0"/>
      <w:marBottom w:val="0"/>
      <w:divBdr>
        <w:top w:val="none" w:sz="0" w:space="0" w:color="auto"/>
        <w:left w:val="none" w:sz="0" w:space="0" w:color="auto"/>
        <w:bottom w:val="none" w:sz="0" w:space="0" w:color="auto"/>
        <w:right w:val="none" w:sz="0" w:space="0" w:color="auto"/>
      </w:divBdr>
      <w:divsChild>
        <w:div w:id="1185631287">
          <w:marLeft w:val="0"/>
          <w:marRight w:val="0"/>
          <w:marTop w:val="0"/>
          <w:marBottom w:val="0"/>
          <w:divBdr>
            <w:top w:val="none" w:sz="0" w:space="0" w:color="auto"/>
            <w:left w:val="none" w:sz="0" w:space="0" w:color="auto"/>
            <w:bottom w:val="none" w:sz="0" w:space="0" w:color="auto"/>
            <w:right w:val="none" w:sz="0" w:space="0" w:color="auto"/>
          </w:divBdr>
          <w:divsChild>
            <w:div w:id="628049403">
              <w:marLeft w:val="0"/>
              <w:marRight w:val="0"/>
              <w:marTop w:val="0"/>
              <w:marBottom w:val="0"/>
              <w:divBdr>
                <w:top w:val="none" w:sz="0" w:space="0" w:color="auto"/>
                <w:left w:val="none" w:sz="0" w:space="0" w:color="auto"/>
                <w:bottom w:val="none" w:sz="0" w:space="0" w:color="auto"/>
                <w:right w:val="none" w:sz="0" w:space="0" w:color="auto"/>
              </w:divBdr>
              <w:divsChild>
                <w:div w:id="2061703751">
                  <w:marLeft w:val="0"/>
                  <w:marRight w:val="0"/>
                  <w:marTop w:val="0"/>
                  <w:marBottom w:val="0"/>
                  <w:divBdr>
                    <w:top w:val="none" w:sz="0" w:space="0" w:color="auto"/>
                    <w:left w:val="none" w:sz="0" w:space="0" w:color="auto"/>
                    <w:bottom w:val="none" w:sz="0" w:space="0" w:color="auto"/>
                    <w:right w:val="none" w:sz="0" w:space="0" w:color="auto"/>
                  </w:divBdr>
                  <w:divsChild>
                    <w:div w:id="182012049">
                      <w:marLeft w:val="0"/>
                      <w:marRight w:val="0"/>
                      <w:marTop w:val="0"/>
                      <w:marBottom w:val="0"/>
                      <w:divBdr>
                        <w:top w:val="none" w:sz="0" w:space="0" w:color="auto"/>
                        <w:left w:val="none" w:sz="0" w:space="0" w:color="auto"/>
                        <w:bottom w:val="none" w:sz="0" w:space="0" w:color="auto"/>
                        <w:right w:val="none" w:sz="0" w:space="0" w:color="auto"/>
                      </w:divBdr>
                      <w:divsChild>
                        <w:div w:id="380984433">
                          <w:marLeft w:val="0"/>
                          <w:marRight w:val="0"/>
                          <w:marTop w:val="0"/>
                          <w:marBottom w:val="0"/>
                          <w:divBdr>
                            <w:top w:val="none" w:sz="0" w:space="0" w:color="auto"/>
                            <w:left w:val="none" w:sz="0" w:space="0" w:color="auto"/>
                            <w:bottom w:val="none" w:sz="0" w:space="0" w:color="auto"/>
                            <w:right w:val="none" w:sz="0" w:space="0" w:color="auto"/>
                          </w:divBdr>
                          <w:divsChild>
                            <w:div w:id="1693024215">
                              <w:marLeft w:val="0"/>
                              <w:marRight w:val="0"/>
                              <w:marTop w:val="0"/>
                              <w:marBottom w:val="0"/>
                              <w:divBdr>
                                <w:top w:val="none" w:sz="0" w:space="0" w:color="auto"/>
                                <w:left w:val="none" w:sz="0" w:space="0" w:color="auto"/>
                                <w:bottom w:val="none" w:sz="0" w:space="0" w:color="auto"/>
                                <w:right w:val="none" w:sz="0" w:space="0" w:color="auto"/>
                              </w:divBdr>
                              <w:divsChild>
                                <w:div w:id="781537765">
                                  <w:marLeft w:val="0"/>
                                  <w:marRight w:val="0"/>
                                  <w:marTop w:val="0"/>
                                  <w:marBottom w:val="0"/>
                                  <w:divBdr>
                                    <w:top w:val="none" w:sz="0" w:space="0" w:color="auto"/>
                                    <w:left w:val="none" w:sz="0" w:space="0" w:color="auto"/>
                                    <w:bottom w:val="none" w:sz="0" w:space="0" w:color="auto"/>
                                    <w:right w:val="none" w:sz="0" w:space="0" w:color="auto"/>
                                  </w:divBdr>
                                  <w:divsChild>
                                    <w:div w:id="523908404">
                                      <w:marLeft w:val="0"/>
                                      <w:marRight w:val="0"/>
                                      <w:marTop w:val="0"/>
                                      <w:marBottom w:val="0"/>
                                      <w:divBdr>
                                        <w:top w:val="single" w:sz="6" w:space="0" w:color="F5F5F5"/>
                                        <w:left w:val="single" w:sz="6" w:space="0" w:color="F5F5F5"/>
                                        <w:bottom w:val="single" w:sz="6" w:space="0" w:color="F5F5F5"/>
                                        <w:right w:val="single" w:sz="6" w:space="0" w:color="F5F5F5"/>
                                      </w:divBdr>
                                      <w:divsChild>
                                        <w:div w:id="569969399">
                                          <w:marLeft w:val="0"/>
                                          <w:marRight w:val="0"/>
                                          <w:marTop w:val="0"/>
                                          <w:marBottom w:val="0"/>
                                          <w:divBdr>
                                            <w:top w:val="none" w:sz="0" w:space="0" w:color="auto"/>
                                            <w:left w:val="none" w:sz="0" w:space="0" w:color="auto"/>
                                            <w:bottom w:val="none" w:sz="0" w:space="0" w:color="auto"/>
                                            <w:right w:val="none" w:sz="0" w:space="0" w:color="auto"/>
                                          </w:divBdr>
                                          <w:divsChild>
                                            <w:div w:id="823592622">
                                              <w:marLeft w:val="0"/>
                                              <w:marRight w:val="0"/>
                                              <w:marTop w:val="0"/>
                                              <w:marBottom w:val="0"/>
                                              <w:divBdr>
                                                <w:top w:val="none" w:sz="0" w:space="0" w:color="auto"/>
                                                <w:left w:val="none" w:sz="0" w:space="0" w:color="auto"/>
                                                <w:bottom w:val="none" w:sz="0" w:space="0" w:color="auto"/>
                                                <w:right w:val="none" w:sz="0" w:space="0" w:color="auto"/>
                                              </w:divBdr>
                                            </w:div>
                                            <w:div w:id="1865439022">
                                              <w:marLeft w:val="0"/>
                                              <w:marRight w:val="0"/>
                                              <w:marTop w:val="0"/>
                                              <w:marBottom w:val="0"/>
                                              <w:divBdr>
                                                <w:top w:val="none" w:sz="0" w:space="0" w:color="auto"/>
                                                <w:left w:val="none" w:sz="0" w:space="0" w:color="auto"/>
                                                <w:bottom w:val="none" w:sz="0" w:space="0" w:color="auto"/>
                                                <w:right w:val="none" w:sz="0" w:space="0" w:color="auto"/>
                                              </w:divBdr>
                                              <w:divsChild>
                                                <w:div w:id="11351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8906">
                                      <w:marLeft w:val="0"/>
                                      <w:marRight w:val="0"/>
                                      <w:marTop w:val="0"/>
                                      <w:marBottom w:val="45"/>
                                      <w:divBdr>
                                        <w:top w:val="none" w:sz="0" w:space="0" w:color="auto"/>
                                        <w:left w:val="none" w:sz="0" w:space="0" w:color="auto"/>
                                        <w:bottom w:val="none" w:sz="0" w:space="0" w:color="auto"/>
                                        <w:right w:val="none" w:sz="0" w:space="0" w:color="auto"/>
                                      </w:divBdr>
                                      <w:divsChild>
                                        <w:div w:id="59981943">
                                          <w:marLeft w:val="0"/>
                                          <w:marRight w:val="0"/>
                                          <w:marTop w:val="0"/>
                                          <w:marBottom w:val="0"/>
                                          <w:divBdr>
                                            <w:top w:val="none" w:sz="0" w:space="0" w:color="auto"/>
                                            <w:left w:val="none" w:sz="0" w:space="0" w:color="auto"/>
                                            <w:bottom w:val="none" w:sz="0" w:space="0" w:color="auto"/>
                                            <w:right w:val="none" w:sz="0" w:space="0" w:color="auto"/>
                                          </w:divBdr>
                                          <w:divsChild>
                                            <w:div w:id="2033997703">
                                              <w:marLeft w:val="0"/>
                                              <w:marRight w:val="0"/>
                                              <w:marTop w:val="0"/>
                                              <w:marBottom w:val="0"/>
                                              <w:divBdr>
                                                <w:top w:val="none" w:sz="0" w:space="0" w:color="auto"/>
                                                <w:left w:val="none" w:sz="0" w:space="0" w:color="auto"/>
                                                <w:bottom w:val="none" w:sz="0" w:space="0" w:color="auto"/>
                                                <w:right w:val="none" w:sz="0" w:space="0" w:color="auto"/>
                                              </w:divBdr>
                                              <w:divsChild>
                                                <w:div w:id="8021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4724">
                                          <w:marLeft w:val="0"/>
                                          <w:marRight w:val="0"/>
                                          <w:marTop w:val="0"/>
                                          <w:marBottom w:val="0"/>
                                          <w:divBdr>
                                            <w:top w:val="none" w:sz="0" w:space="0" w:color="auto"/>
                                            <w:left w:val="none" w:sz="0" w:space="0" w:color="auto"/>
                                            <w:bottom w:val="none" w:sz="0" w:space="0" w:color="auto"/>
                                            <w:right w:val="none" w:sz="0" w:space="0" w:color="auto"/>
                                          </w:divBdr>
                                          <w:divsChild>
                                            <w:div w:id="1861965414">
                                              <w:marLeft w:val="0"/>
                                              <w:marRight w:val="0"/>
                                              <w:marTop w:val="0"/>
                                              <w:marBottom w:val="0"/>
                                              <w:divBdr>
                                                <w:top w:val="none" w:sz="0" w:space="0" w:color="auto"/>
                                                <w:left w:val="none" w:sz="0" w:space="0" w:color="auto"/>
                                                <w:bottom w:val="none" w:sz="0" w:space="0" w:color="auto"/>
                                                <w:right w:val="none" w:sz="0" w:space="0" w:color="auto"/>
                                              </w:divBdr>
                                              <w:divsChild>
                                                <w:div w:id="4609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8620">
                                          <w:marLeft w:val="0"/>
                                          <w:marRight w:val="0"/>
                                          <w:marTop w:val="0"/>
                                          <w:marBottom w:val="0"/>
                                          <w:divBdr>
                                            <w:top w:val="none" w:sz="0" w:space="0" w:color="auto"/>
                                            <w:left w:val="none" w:sz="0" w:space="0" w:color="auto"/>
                                            <w:bottom w:val="none" w:sz="0" w:space="0" w:color="auto"/>
                                            <w:right w:val="none" w:sz="0" w:space="0" w:color="auto"/>
                                          </w:divBdr>
                                          <w:divsChild>
                                            <w:div w:id="861627578">
                                              <w:marLeft w:val="0"/>
                                              <w:marRight w:val="0"/>
                                              <w:marTop w:val="0"/>
                                              <w:marBottom w:val="0"/>
                                              <w:divBdr>
                                                <w:top w:val="none" w:sz="0" w:space="0" w:color="auto"/>
                                                <w:left w:val="none" w:sz="0" w:space="0" w:color="auto"/>
                                                <w:bottom w:val="none" w:sz="0" w:space="0" w:color="auto"/>
                                                <w:right w:val="none" w:sz="0" w:space="0" w:color="auto"/>
                                              </w:divBdr>
                                              <w:divsChild>
                                                <w:div w:id="7222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251106">
                          <w:marLeft w:val="0"/>
                          <w:marRight w:val="0"/>
                          <w:marTop w:val="0"/>
                          <w:marBottom w:val="0"/>
                          <w:divBdr>
                            <w:top w:val="none" w:sz="0" w:space="0" w:color="auto"/>
                            <w:left w:val="none" w:sz="0" w:space="0" w:color="auto"/>
                            <w:bottom w:val="none" w:sz="0" w:space="0" w:color="auto"/>
                            <w:right w:val="none" w:sz="0" w:space="0" w:color="auto"/>
                          </w:divBdr>
                          <w:divsChild>
                            <w:div w:id="13386721">
                              <w:marLeft w:val="0"/>
                              <w:marRight w:val="0"/>
                              <w:marTop w:val="0"/>
                              <w:marBottom w:val="0"/>
                              <w:divBdr>
                                <w:top w:val="none" w:sz="0" w:space="0" w:color="auto"/>
                                <w:left w:val="none" w:sz="0" w:space="0" w:color="auto"/>
                                <w:bottom w:val="none" w:sz="0" w:space="0" w:color="auto"/>
                                <w:right w:val="none" w:sz="0" w:space="0" w:color="auto"/>
                              </w:divBdr>
                              <w:divsChild>
                                <w:div w:id="164175909">
                                  <w:marLeft w:val="0"/>
                                  <w:marRight w:val="0"/>
                                  <w:marTop w:val="0"/>
                                  <w:marBottom w:val="0"/>
                                  <w:divBdr>
                                    <w:top w:val="single" w:sz="6" w:space="0" w:color="C0C0C0"/>
                                    <w:left w:val="single" w:sz="6" w:space="0" w:color="D9D9D9"/>
                                    <w:bottom w:val="single" w:sz="6" w:space="0" w:color="D9D9D9"/>
                                    <w:right w:val="single" w:sz="6" w:space="0" w:color="D9D9D9"/>
                                  </w:divBdr>
                                  <w:divsChild>
                                    <w:div w:id="1524829111">
                                      <w:marLeft w:val="0"/>
                                      <w:marRight w:val="0"/>
                                      <w:marTop w:val="0"/>
                                      <w:marBottom w:val="0"/>
                                      <w:divBdr>
                                        <w:top w:val="none" w:sz="0" w:space="0" w:color="auto"/>
                                        <w:left w:val="none" w:sz="0" w:space="0" w:color="auto"/>
                                        <w:bottom w:val="none" w:sz="0" w:space="0" w:color="auto"/>
                                        <w:right w:val="none" w:sz="0" w:space="0" w:color="auto"/>
                                      </w:divBdr>
                                    </w:div>
                                  </w:divsChild>
                                </w:div>
                                <w:div w:id="540677004">
                                  <w:marLeft w:val="0"/>
                                  <w:marRight w:val="0"/>
                                  <w:marTop w:val="0"/>
                                  <w:marBottom w:val="0"/>
                                  <w:divBdr>
                                    <w:top w:val="none" w:sz="0" w:space="0" w:color="auto"/>
                                    <w:left w:val="none" w:sz="0" w:space="0" w:color="auto"/>
                                    <w:bottom w:val="none" w:sz="0" w:space="0" w:color="auto"/>
                                    <w:right w:val="none" w:sz="0" w:space="0" w:color="auto"/>
                                  </w:divBdr>
                                </w:div>
                                <w:div w:id="1179856302">
                                  <w:marLeft w:val="0"/>
                                  <w:marRight w:val="0"/>
                                  <w:marTop w:val="0"/>
                                  <w:marBottom w:val="0"/>
                                  <w:divBdr>
                                    <w:top w:val="none" w:sz="0" w:space="0" w:color="auto"/>
                                    <w:left w:val="none" w:sz="0" w:space="0" w:color="auto"/>
                                    <w:bottom w:val="none" w:sz="0" w:space="0" w:color="auto"/>
                                    <w:right w:val="none" w:sz="0" w:space="0" w:color="auto"/>
                                  </w:divBdr>
                                </w:div>
                                <w:div w:id="1953706839">
                                  <w:marLeft w:val="0"/>
                                  <w:marRight w:val="0"/>
                                  <w:marTop w:val="0"/>
                                  <w:marBottom w:val="0"/>
                                  <w:divBdr>
                                    <w:top w:val="single" w:sz="6" w:space="12" w:color="999999"/>
                                    <w:left w:val="single" w:sz="6" w:space="12" w:color="999999"/>
                                    <w:bottom w:val="single" w:sz="6" w:space="12" w:color="999999"/>
                                    <w:right w:val="single" w:sz="6" w:space="12" w:color="999999"/>
                                  </w:divBdr>
                                  <w:divsChild>
                                    <w:div w:id="219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8897">
      <w:bodyDiv w:val="1"/>
      <w:marLeft w:val="0"/>
      <w:marRight w:val="0"/>
      <w:marTop w:val="0"/>
      <w:marBottom w:val="0"/>
      <w:divBdr>
        <w:top w:val="none" w:sz="0" w:space="0" w:color="auto"/>
        <w:left w:val="none" w:sz="0" w:space="0" w:color="auto"/>
        <w:bottom w:val="none" w:sz="0" w:space="0" w:color="auto"/>
        <w:right w:val="none" w:sz="0" w:space="0" w:color="auto"/>
      </w:divBdr>
      <w:divsChild>
        <w:div w:id="1279798582">
          <w:marLeft w:val="0"/>
          <w:marRight w:val="0"/>
          <w:marTop w:val="0"/>
          <w:marBottom w:val="0"/>
          <w:divBdr>
            <w:top w:val="none" w:sz="0" w:space="0" w:color="auto"/>
            <w:left w:val="none" w:sz="0" w:space="0" w:color="auto"/>
            <w:bottom w:val="none" w:sz="0" w:space="0" w:color="auto"/>
            <w:right w:val="none" w:sz="0" w:space="0" w:color="auto"/>
          </w:divBdr>
          <w:divsChild>
            <w:div w:id="440036024">
              <w:marLeft w:val="0"/>
              <w:marRight w:val="0"/>
              <w:marTop w:val="0"/>
              <w:marBottom w:val="0"/>
              <w:divBdr>
                <w:top w:val="none" w:sz="0" w:space="0" w:color="auto"/>
                <w:left w:val="none" w:sz="0" w:space="0" w:color="auto"/>
                <w:bottom w:val="none" w:sz="0" w:space="0" w:color="auto"/>
                <w:right w:val="none" w:sz="0" w:space="0" w:color="auto"/>
              </w:divBdr>
              <w:divsChild>
                <w:div w:id="337392524">
                  <w:marLeft w:val="0"/>
                  <w:marRight w:val="0"/>
                  <w:marTop w:val="0"/>
                  <w:marBottom w:val="0"/>
                  <w:divBdr>
                    <w:top w:val="none" w:sz="0" w:space="0" w:color="auto"/>
                    <w:left w:val="none" w:sz="0" w:space="0" w:color="auto"/>
                    <w:bottom w:val="none" w:sz="0" w:space="0" w:color="auto"/>
                    <w:right w:val="none" w:sz="0" w:space="0" w:color="auto"/>
                  </w:divBdr>
                  <w:divsChild>
                    <w:div w:id="892813210">
                      <w:marLeft w:val="0"/>
                      <w:marRight w:val="0"/>
                      <w:marTop w:val="0"/>
                      <w:marBottom w:val="0"/>
                      <w:divBdr>
                        <w:top w:val="none" w:sz="0" w:space="0" w:color="auto"/>
                        <w:left w:val="none" w:sz="0" w:space="0" w:color="auto"/>
                        <w:bottom w:val="none" w:sz="0" w:space="0" w:color="auto"/>
                        <w:right w:val="none" w:sz="0" w:space="0" w:color="auto"/>
                      </w:divBdr>
                      <w:divsChild>
                        <w:div w:id="1467553308">
                          <w:marLeft w:val="0"/>
                          <w:marRight w:val="0"/>
                          <w:marTop w:val="0"/>
                          <w:marBottom w:val="0"/>
                          <w:divBdr>
                            <w:top w:val="none" w:sz="0" w:space="0" w:color="auto"/>
                            <w:left w:val="none" w:sz="0" w:space="0" w:color="auto"/>
                            <w:bottom w:val="none" w:sz="0" w:space="0" w:color="auto"/>
                            <w:right w:val="none" w:sz="0" w:space="0" w:color="auto"/>
                          </w:divBdr>
                          <w:divsChild>
                            <w:div w:id="1436900521">
                              <w:marLeft w:val="0"/>
                              <w:marRight w:val="0"/>
                              <w:marTop w:val="0"/>
                              <w:marBottom w:val="0"/>
                              <w:divBdr>
                                <w:top w:val="none" w:sz="0" w:space="0" w:color="auto"/>
                                <w:left w:val="none" w:sz="0" w:space="0" w:color="auto"/>
                                <w:bottom w:val="none" w:sz="0" w:space="0" w:color="auto"/>
                                <w:right w:val="none" w:sz="0" w:space="0" w:color="auto"/>
                              </w:divBdr>
                              <w:divsChild>
                                <w:div w:id="1724328221">
                                  <w:marLeft w:val="0"/>
                                  <w:marRight w:val="0"/>
                                  <w:marTop w:val="0"/>
                                  <w:marBottom w:val="0"/>
                                  <w:divBdr>
                                    <w:top w:val="none" w:sz="0" w:space="0" w:color="auto"/>
                                    <w:left w:val="none" w:sz="0" w:space="0" w:color="auto"/>
                                    <w:bottom w:val="none" w:sz="0" w:space="0" w:color="auto"/>
                                    <w:right w:val="none" w:sz="0" w:space="0" w:color="auto"/>
                                  </w:divBdr>
                                  <w:divsChild>
                                    <w:div w:id="1362781577">
                                      <w:marLeft w:val="0"/>
                                      <w:marRight w:val="0"/>
                                      <w:marTop w:val="0"/>
                                      <w:marBottom w:val="0"/>
                                      <w:divBdr>
                                        <w:top w:val="single" w:sz="6" w:space="0" w:color="F5F5F5"/>
                                        <w:left w:val="single" w:sz="6" w:space="0" w:color="F5F5F5"/>
                                        <w:bottom w:val="single" w:sz="6" w:space="0" w:color="F5F5F5"/>
                                        <w:right w:val="single" w:sz="6" w:space="0" w:color="F5F5F5"/>
                                      </w:divBdr>
                                      <w:divsChild>
                                        <w:div w:id="1049257136">
                                          <w:marLeft w:val="0"/>
                                          <w:marRight w:val="0"/>
                                          <w:marTop w:val="0"/>
                                          <w:marBottom w:val="0"/>
                                          <w:divBdr>
                                            <w:top w:val="none" w:sz="0" w:space="0" w:color="auto"/>
                                            <w:left w:val="none" w:sz="0" w:space="0" w:color="auto"/>
                                            <w:bottom w:val="none" w:sz="0" w:space="0" w:color="auto"/>
                                            <w:right w:val="none" w:sz="0" w:space="0" w:color="auto"/>
                                          </w:divBdr>
                                          <w:divsChild>
                                            <w:div w:id="6519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81230">
      <w:bodyDiv w:val="1"/>
      <w:marLeft w:val="0"/>
      <w:marRight w:val="0"/>
      <w:marTop w:val="0"/>
      <w:marBottom w:val="0"/>
      <w:divBdr>
        <w:top w:val="none" w:sz="0" w:space="0" w:color="auto"/>
        <w:left w:val="none" w:sz="0" w:space="0" w:color="auto"/>
        <w:bottom w:val="none" w:sz="0" w:space="0" w:color="auto"/>
        <w:right w:val="none" w:sz="0" w:space="0" w:color="auto"/>
      </w:divBdr>
      <w:divsChild>
        <w:div w:id="447314372">
          <w:marLeft w:val="0"/>
          <w:marRight w:val="0"/>
          <w:marTop w:val="0"/>
          <w:marBottom w:val="0"/>
          <w:divBdr>
            <w:top w:val="none" w:sz="0" w:space="0" w:color="auto"/>
            <w:left w:val="none" w:sz="0" w:space="0" w:color="auto"/>
            <w:bottom w:val="none" w:sz="0" w:space="0" w:color="auto"/>
            <w:right w:val="none" w:sz="0" w:space="0" w:color="auto"/>
          </w:divBdr>
          <w:divsChild>
            <w:div w:id="1763994362">
              <w:marLeft w:val="0"/>
              <w:marRight w:val="0"/>
              <w:marTop w:val="0"/>
              <w:marBottom w:val="0"/>
              <w:divBdr>
                <w:top w:val="none" w:sz="0" w:space="0" w:color="auto"/>
                <w:left w:val="none" w:sz="0" w:space="0" w:color="auto"/>
                <w:bottom w:val="none" w:sz="0" w:space="0" w:color="auto"/>
                <w:right w:val="none" w:sz="0" w:space="0" w:color="auto"/>
              </w:divBdr>
              <w:divsChild>
                <w:div w:id="51320696">
                  <w:marLeft w:val="0"/>
                  <w:marRight w:val="0"/>
                  <w:marTop w:val="0"/>
                  <w:marBottom w:val="0"/>
                  <w:divBdr>
                    <w:top w:val="none" w:sz="0" w:space="0" w:color="auto"/>
                    <w:left w:val="none" w:sz="0" w:space="0" w:color="auto"/>
                    <w:bottom w:val="none" w:sz="0" w:space="0" w:color="auto"/>
                    <w:right w:val="none" w:sz="0" w:space="0" w:color="auto"/>
                  </w:divBdr>
                  <w:divsChild>
                    <w:div w:id="1410813317">
                      <w:marLeft w:val="0"/>
                      <w:marRight w:val="0"/>
                      <w:marTop w:val="0"/>
                      <w:marBottom w:val="0"/>
                      <w:divBdr>
                        <w:top w:val="none" w:sz="0" w:space="0" w:color="auto"/>
                        <w:left w:val="none" w:sz="0" w:space="0" w:color="auto"/>
                        <w:bottom w:val="none" w:sz="0" w:space="0" w:color="auto"/>
                        <w:right w:val="none" w:sz="0" w:space="0" w:color="auto"/>
                      </w:divBdr>
                      <w:divsChild>
                        <w:div w:id="1228108003">
                          <w:marLeft w:val="0"/>
                          <w:marRight w:val="0"/>
                          <w:marTop w:val="0"/>
                          <w:marBottom w:val="0"/>
                          <w:divBdr>
                            <w:top w:val="none" w:sz="0" w:space="0" w:color="auto"/>
                            <w:left w:val="none" w:sz="0" w:space="0" w:color="auto"/>
                            <w:bottom w:val="none" w:sz="0" w:space="0" w:color="auto"/>
                            <w:right w:val="none" w:sz="0" w:space="0" w:color="auto"/>
                          </w:divBdr>
                          <w:divsChild>
                            <w:div w:id="334308580">
                              <w:marLeft w:val="0"/>
                              <w:marRight w:val="0"/>
                              <w:marTop w:val="0"/>
                              <w:marBottom w:val="0"/>
                              <w:divBdr>
                                <w:top w:val="none" w:sz="0" w:space="0" w:color="auto"/>
                                <w:left w:val="none" w:sz="0" w:space="0" w:color="auto"/>
                                <w:bottom w:val="none" w:sz="0" w:space="0" w:color="auto"/>
                                <w:right w:val="none" w:sz="0" w:space="0" w:color="auto"/>
                              </w:divBdr>
                              <w:divsChild>
                                <w:div w:id="1962496300">
                                  <w:marLeft w:val="0"/>
                                  <w:marRight w:val="0"/>
                                  <w:marTop w:val="0"/>
                                  <w:marBottom w:val="0"/>
                                  <w:divBdr>
                                    <w:top w:val="none" w:sz="0" w:space="0" w:color="auto"/>
                                    <w:left w:val="none" w:sz="0" w:space="0" w:color="auto"/>
                                    <w:bottom w:val="none" w:sz="0" w:space="0" w:color="auto"/>
                                    <w:right w:val="none" w:sz="0" w:space="0" w:color="auto"/>
                                  </w:divBdr>
                                  <w:divsChild>
                                    <w:div w:id="1544168463">
                                      <w:marLeft w:val="0"/>
                                      <w:marRight w:val="0"/>
                                      <w:marTop w:val="0"/>
                                      <w:marBottom w:val="0"/>
                                      <w:divBdr>
                                        <w:top w:val="single" w:sz="6" w:space="0" w:color="F5F5F5"/>
                                        <w:left w:val="single" w:sz="6" w:space="0" w:color="F5F5F5"/>
                                        <w:bottom w:val="single" w:sz="6" w:space="0" w:color="F5F5F5"/>
                                        <w:right w:val="single" w:sz="6" w:space="0" w:color="F5F5F5"/>
                                      </w:divBdr>
                                      <w:divsChild>
                                        <w:div w:id="154348309">
                                          <w:marLeft w:val="0"/>
                                          <w:marRight w:val="0"/>
                                          <w:marTop w:val="0"/>
                                          <w:marBottom w:val="0"/>
                                          <w:divBdr>
                                            <w:top w:val="none" w:sz="0" w:space="0" w:color="auto"/>
                                            <w:left w:val="none" w:sz="0" w:space="0" w:color="auto"/>
                                            <w:bottom w:val="none" w:sz="0" w:space="0" w:color="auto"/>
                                            <w:right w:val="none" w:sz="0" w:space="0" w:color="auto"/>
                                          </w:divBdr>
                                          <w:divsChild>
                                            <w:div w:id="21419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82296">
      <w:bodyDiv w:val="1"/>
      <w:marLeft w:val="0"/>
      <w:marRight w:val="0"/>
      <w:marTop w:val="0"/>
      <w:marBottom w:val="0"/>
      <w:divBdr>
        <w:top w:val="none" w:sz="0" w:space="0" w:color="auto"/>
        <w:left w:val="none" w:sz="0" w:space="0" w:color="auto"/>
        <w:bottom w:val="none" w:sz="0" w:space="0" w:color="auto"/>
        <w:right w:val="none" w:sz="0" w:space="0" w:color="auto"/>
      </w:divBdr>
      <w:divsChild>
        <w:div w:id="442305844">
          <w:marLeft w:val="0"/>
          <w:marRight w:val="0"/>
          <w:marTop w:val="0"/>
          <w:marBottom w:val="0"/>
          <w:divBdr>
            <w:top w:val="none" w:sz="0" w:space="0" w:color="auto"/>
            <w:left w:val="none" w:sz="0" w:space="0" w:color="auto"/>
            <w:bottom w:val="none" w:sz="0" w:space="0" w:color="auto"/>
            <w:right w:val="none" w:sz="0" w:space="0" w:color="auto"/>
          </w:divBdr>
          <w:divsChild>
            <w:div w:id="481236237">
              <w:marLeft w:val="0"/>
              <w:marRight w:val="0"/>
              <w:marTop w:val="0"/>
              <w:marBottom w:val="0"/>
              <w:divBdr>
                <w:top w:val="none" w:sz="0" w:space="0" w:color="auto"/>
                <w:left w:val="none" w:sz="0" w:space="0" w:color="auto"/>
                <w:bottom w:val="none" w:sz="0" w:space="0" w:color="auto"/>
                <w:right w:val="none" w:sz="0" w:space="0" w:color="auto"/>
              </w:divBdr>
              <w:divsChild>
                <w:div w:id="1988630327">
                  <w:marLeft w:val="0"/>
                  <w:marRight w:val="0"/>
                  <w:marTop w:val="0"/>
                  <w:marBottom w:val="0"/>
                  <w:divBdr>
                    <w:top w:val="none" w:sz="0" w:space="0" w:color="auto"/>
                    <w:left w:val="none" w:sz="0" w:space="0" w:color="auto"/>
                    <w:bottom w:val="none" w:sz="0" w:space="0" w:color="auto"/>
                    <w:right w:val="none" w:sz="0" w:space="0" w:color="auto"/>
                  </w:divBdr>
                  <w:divsChild>
                    <w:div w:id="1035303234">
                      <w:marLeft w:val="0"/>
                      <w:marRight w:val="0"/>
                      <w:marTop w:val="0"/>
                      <w:marBottom w:val="0"/>
                      <w:divBdr>
                        <w:top w:val="none" w:sz="0" w:space="0" w:color="auto"/>
                        <w:left w:val="none" w:sz="0" w:space="0" w:color="auto"/>
                        <w:bottom w:val="none" w:sz="0" w:space="0" w:color="auto"/>
                        <w:right w:val="none" w:sz="0" w:space="0" w:color="auto"/>
                      </w:divBdr>
                      <w:divsChild>
                        <w:div w:id="515995284">
                          <w:marLeft w:val="0"/>
                          <w:marRight w:val="0"/>
                          <w:marTop w:val="0"/>
                          <w:marBottom w:val="0"/>
                          <w:divBdr>
                            <w:top w:val="none" w:sz="0" w:space="0" w:color="auto"/>
                            <w:left w:val="none" w:sz="0" w:space="0" w:color="auto"/>
                            <w:bottom w:val="none" w:sz="0" w:space="0" w:color="auto"/>
                            <w:right w:val="none" w:sz="0" w:space="0" w:color="auto"/>
                          </w:divBdr>
                          <w:divsChild>
                            <w:div w:id="278071167">
                              <w:marLeft w:val="0"/>
                              <w:marRight w:val="0"/>
                              <w:marTop w:val="0"/>
                              <w:marBottom w:val="0"/>
                              <w:divBdr>
                                <w:top w:val="none" w:sz="0" w:space="0" w:color="auto"/>
                                <w:left w:val="none" w:sz="0" w:space="0" w:color="auto"/>
                                <w:bottom w:val="none" w:sz="0" w:space="0" w:color="auto"/>
                                <w:right w:val="none" w:sz="0" w:space="0" w:color="auto"/>
                              </w:divBdr>
                              <w:divsChild>
                                <w:div w:id="832836506">
                                  <w:marLeft w:val="0"/>
                                  <w:marRight w:val="0"/>
                                  <w:marTop w:val="0"/>
                                  <w:marBottom w:val="0"/>
                                  <w:divBdr>
                                    <w:top w:val="none" w:sz="0" w:space="0" w:color="auto"/>
                                    <w:left w:val="none" w:sz="0" w:space="0" w:color="auto"/>
                                    <w:bottom w:val="none" w:sz="0" w:space="0" w:color="auto"/>
                                    <w:right w:val="none" w:sz="0" w:space="0" w:color="auto"/>
                                  </w:divBdr>
                                  <w:divsChild>
                                    <w:div w:id="673728221">
                                      <w:marLeft w:val="0"/>
                                      <w:marRight w:val="0"/>
                                      <w:marTop w:val="0"/>
                                      <w:marBottom w:val="0"/>
                                      <w:divBdr>
                                        <w:top w:val="single" w:sz="6" w:space="0" w:color="F5F5F5"/>
                                        <w:left w:val="single" w:sz="6" w:space="0" w:color="F5F5F5"/>
                                        <w:bottom w:val="single" w:sz="6" w:space="0" w:color="F5F5F5"/>
                                        <w:right w:val="single" w:sz="6" w:space="0" w:color="F5F5F5"/>
                                      </w:divBdr>
                                      <w:divsChild>
                                        <w:div w:id="466625720">
                                          <w:marLeft w:val="0"/>
                                          <w:marRight w:val="0"/>
                                          <w:marTop w:val="0"/>
                                          <w:marBottom w:val="0"/>
                                          <w:divBdr>
                                            <w:top w:val="none" w:sz="0" w:space="0" w:color="auto"/>
                                            <w:left w:val="none" w:sz="0" w:space="0" w:color="auto"/>
                                            <w:bottom w:val="none" w:sz="0" w:space="0" w:color="auto"/>
                                            <w:right w:val="none" w:sz="0" w:space="0" w:color="auto"/>
                                          </w:divBdr>
                                          <w:divsChild>
                                            <w:div w:id="21225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45559">
      <w:bodyDiv w:val="1"/>
      <w:marLeft w:val="0"/>
      <w:marRight w:val="0"/>
      <w:marTop w:val="0"/>
      <w:marBottom w:val="0"/>
      <w:divBdr>
        <w:top w:val="none" w:sz="0" w:space="0" w:color="auto"/>
        <w:left w:val="none" w:sz="0" w:space="0" w:color="auto"/>
        <w:bottom w:val="none" w:sz="0" w:space="0" w:color="auto"/>
        <w:right w:val="none" w:sz="0" w:space="0" w:color="auto"/>
      </w:divBdr>
      <w:divsChild>
        <w:div w:id="297731449">
          <w:marLeft w:val="0"/>
          <w:marRight w:val="0"/>
          <w:marTop w:val="0"/>
          <w:marBottom w:val="0"/>
          <w:divBdr>
            <w:top w:val="none" w:sz="0" w:space="0" w:color="auto"/>
            <w:left w:val="none" w:sz="0" w:space="0" w:color="auto"/>
            <w:bottom w:val="none" w:sz="0" w:space="0" w:color="auto"/>
            <w:right w:val="none" w:sz="0" w:space="0" w:color="auto"/>
          </w:divBdr>
          <w:divsChild>
            <w:div w:id="1164276054">
              <w:marLeft w:val="0"/>
              <w:marRight w:val="0"/>
              <w:marTop w:val="0"/>
              <w:marBottom w:val="0"/>
              <w:divBdr>
                <w:top w:val="none" w:sz="0" w:space="0" w:color="auto"/>
                <w:left w:val="none" w:sz="0" w:space="0" w:color="auto"/>
                <w:bottom w:val="none" w:sz="0" w:space="0" w:color="auto"/>
                <w:right w:val="none" w:sz="0" w:space="0" w:color="auto"/>
              </w:divBdr>
              <w:divsChild>
                <w:div w:id="220487818">
                  <w:marLeft w:val="0"/>
                  <w:marRight w:val="0"/>
                  <w:marTop w:val="0"/>
                  <w:marBottom w:val="0"/>
                  <w:divBdr>
                    <w:top w:val="none" w:sz="0" w:space="0" w:color="auto"/>
                    <w:left w:val="none" w:sz="0" w:space="0" w:color="auto"/>
                    <w:bottom w:val="none" w:sz="0" w:space="0" w:color="auto"/>
                    <w:right w:val="none" w:sz="0" w:space="0" w:color="auto"/>
                  </w:divBdr>
                  <w:divsChild>
                    <w:div w:id="1808552245">
                      <w:marLeft w:val="0"/>
                      <w:marRight w:val="0"/>
                      <w:marTop w:val="0"/>
                      <w:marBottom w:val="0"/>
                      <w:divBdr>
                        <w:top w:val="none" w:sz="0" w:space="0" w:color="auto"/>
                        <w:left w:val="none" w:sz="0" w:space="0" w:color="auto"/>
                        <w:bottom w:val="none" w:sz="0" w:space="0" w:color="auto"/>
                        <w:right w:val="none" w:sz="0" w:space="0" w:color="auto"/>
                      </w:divBdr>
                      <w:divsChild>
                        <w:div w:id="1558739986">
                          <w:marLeft w:val="0"/>
                          <w:marRight w:val="0"/>
                          <w:marTop w:val="0"/>
                          <w:marBottom w:val="0"/>
                          <w:divBdr>
                            <w:top w:val="none" w:sz="0" w:space="0" w:color="auto"/>
                            <w:left w:val="none" w:sz="0" w:space="0" w:color="auto"/>
                            <w:bottom w:val="none" w:sz="0" w:space="0" w:color="auto"/>
                            <w:right w:val="none" w:sz="0" w:space="0" w:color="auto"/>
                          </w:divBdr>
                          <w:divsChild>
                            <w:div w:id="470904825">
                              <w:marLeft w:val="0"/>
                              <w:marRight w:val="0"/>
                              <w:marTop w:val="0"/>
                              <w:marBottom w:val="0"/>
                              <w:divBdr>
                                <w:top w:val="none" w:sz="0" w:space="0" w:color="auto"/>
                                <w:left w:val="none" w:sz="0" w:space="0" w:color="auto"/>
                                <w:bottom w:val="none" w:sz="0" w:space="0" w:color="auto"/>
                                <w:right w:val="none" w:sz="0" w:space="0" w:color="auto"/>
                              </w:divBdr>
                              <w:divsChild>
                                <w:div w:id="1448042500">
                                  <w:marLeft w:val="0"/>
                                  <w:marRight w:val="0"/>
                                  <w:marTop w:val="0"/>
                                  <w:marBottom w:val="0"/>
                                  <w:divBdr>
                                    <w:top w:val="none" w:sz="0" w:space="0" w:color="auto"/>
                                    <w:left w:val="none" w:sz="0" w:space="0" w:color="auto"/>
                                    <w:bottom w:val="none" w:sz="0" w:space="0" w:color="auto"/>
                                    <w:right w:val="none" w:sz="0" w:space="0" w:color="auto"/>
                                  </w:divBdr>
                                  <w:divsChild>
                                    <w:div w:id="605888903">
                                      <w:marLeft w:val="0"/>
                                      <w:marRight w:val="0"/>
                                      <w:marTop w:val="0"/>
                                      <w:marBottom w:val="0"/>
                                      <w:divBdr>
                                        <w:top w:val="single" w:sz="6" w:space="0" w:color="F5F5F5"/>
                                        <w:left w:val="single" w:sz="6" w:space="0" w:color="F5F5F5"/>
                                        <w:bottom w:val="single" w:sz="6" w:space="0" w:color="F5F5F5"/>
                                        <w:right w:val="single" w:sz="6" w:space="0" w:color="F5F5F5"/>
                                      </w:divBdr>
                                      <w:divsChild>
                                        <w:div w:id="1010833918">
                                          <w:marLeft w:val="0"/>
                                          <w:marRight w:val="0"/>
                                          <w:marTop w:val="0"/>
                                          <w:marBottom w:val="0"/>
                                          <w:divBdr>
                                            <w:top w:val="none" w:sz="0" w:space="0" w:color="auto"/>
                                            <w:left w:val="none" w:sz="0" w:space="0" w:color="auto"/>
                                            <w:bottom w:val="none" w:sz="0" w:space="0" w:color="auto"/>
                                            <w:right w:val="none" w:sz="0" w:space="0" w:color="auto"/>
                                          </w:divBdr>
                                          <w:divsChild>
                                            <w:div w:id="19314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860577">
      <w:bodyDiv w:val="1"/>
      <w:marLeft w:val="0"/>
      <w:marRight w:val="0"/>
      <w:marTop w:val="0"/>
      <w:marBottom w:val="0"/>
      <w:divBdr>
        <w:top w:val="none" w:sz="0" w:space="0" w:color="auto"/>
        <w:left w:val="none" w:sz="0" w:space="0" w:color="auto"/>
        <w:bottom w:val="none" w:sz="0" w:space="0" w:color="auto"/>
        <w:right w:val="none" w:sz="0" w:space="0" w:color="auto"/>
      </w:divBdr>
      <w:divsChild>
        <w:div w:id="2110156181">
          <w:blockQuote w:val="1"/>
          <w:marLeft w:val="68"/>
          <w:marRight w:val="0"/>
          <w:marTop w:val="100"/>
          <w:marBottom w:val="100"/>
          <w:divBdr>
            <w:top w:val="none" w:sz="0" w:space="0" w:color="auto"/>
            <w:left w:val="single" w:sz="12" w:space="3" w:color="000080"/>
            <w:bottom w:val="none" w:sz="0" w:space="0" w:color="auto"/>
            <w:right w:val="none" w:sz="0" w:space="0" w:color="auto"/>
          </w:divBdr>
        </w:div>
      </w:divsChild>
    </w:div>
    <w:div w:id="233708664">
      <w:bodyDiv w:val="1"/>
      <w:marLeft w:val="0"/>
      <w:marRight w:val="0"/>
      <w:marTop w:val="0"/>
      <w:marBottom w:val="0"/>
      <w:divBdr>
        <w:top w:val="none" w:sz="0" w:space="0" w:color="auto"/>
        <w:left w:val="none" w:sz="0" w:space="0" w:color="auto"/>
        <w:bottom w:val="none" w:sz="0" w:space="0" w:color="auto"/>
        <w:right w:val="none" w:sz="0" w:space="0" w:color="auto"/>
      </w:divBdr>
      <w:divsChild>
        <w:div w:id="1886674741">
          <w:blockQuote w:val="1"/>
          <w:marLeft w:val="68"/>
          <w:marRight w:val="0"/>
          <w:marTop w:val="100"/>
          <w:marBottom w:val="100"/>
          <w:divBdr>
            <w:top w:val="none" w:sz="0" w:space="0" w:color="auto"/>
            <w:left w:val="single" w:sz="12" w:space="3" w:color="000080"/>
            <w:bottom w:val="none" w:sz="0" w:space="0" w:color="auto"/>
            <w:right w:val="none" w:sz="0" w:space="0" w:color="auto"/>
          </w:divBdr>
        </w:div>
      </w:divsChild>
    </w:div>
    <w:div w:id="256520605">
      <w:bodyDiv w:val="1"/>
      <w:marLeft w:val="0"/>
      <w:marRight w:val="0"/>
      <w:marTop w:val="0"/>
      <w:marBottom w:val="0"/>
      <w:divBdr>
        <w:top w:val="none" w:sz="0" w:space="0" w:color="auto"/>
        <w:left w:val="none" w:sz="0" w:space="0" w:color="auto"/>
        <w:bottom w:val="none" w:sz="0" w:space="0" w:color="auto"/>
        <w:right w:val="none" w:sz="0" w:space="0" w:color="auto"/>
      </w:divBdr>
      <w:divsChild>
        <w:div w:id="1588803872">
          <w:marLeft w:val="0"/>
          <w:marRight w:val="0"/>
          <w:marTop w:val="0"/>
          <w:marBottom w:val="0"/>
          <w:divBdr>
            <w:top w:val="none" w:sz="0" w:space="0" w:color="auto"/>
            <w:left w:val="none" w:sz="0" w:space="0" w:color="auto"/>
            <w:bottom w:val="none" w:sz="0" w:space="0" w:color="auto"/>
            <w:right w:val="none" w:sz="0" w:space="0" w:color="auto"/>
          </w:divBdr>
          <w:divsChild>
            <w:div w:id="927809436">
              <w:marLeft w:val="0"/>
              <w:marRight w:val="0"/>
              <w:marTop w:val="0"/>
              <w:marBottom w:val="0"/>
              <w:divBdr>
                <w:top w:val="none" w:sz="0" w:space="0" w:color="auto"/>
                <w:left w:val="none" w:sz="0" w:space="0" w:color="auto"/>
                <w:bottom w:val="none" w:sz="0" w:space="0" w:color="auto"/>
                <w:right w:val="none" w:sz="0" w:space="0" w:color="auto"/>
              </w:divBdr>
              <w:divsChild>
                <w:div w:id="396979459">
                  <w:marLeft w:val="0"/>
                  <w:marRight w:val="0"/>
                  <w:marTop w:val="0"/>
                  <w:marBottom w:val="0"/>
                  <w:divBdr>
                    <w:top w:val="none" w:sz="0" w:space="0" w:color="auto"/>
                    <w:left w:val="none" w:sz="0" w:space="0" w:color="auto"/>
                    <w:bottom w:val="none" w:sz="0" w:space="0" w:color="auto"/>
                    <w:right w:val="none" w:sz="0" w:space="0" w:color="auto"/>
                  </w:divBdr>
                  <w:divsChild>
                    <w:div w:id="1799108899">
                      <w:marLeft w:val="0"/>
                      <w:marRight w:val="0"/>
                      <w:marTop w:val="0"/>
                      <w:marBottom w:val="0"/>
                      <w:divBdr>
                        <w:top w:val="none" w:sz="0" w:space="0" w:color="auto"/>
                        <w:left w:val="none" w:sz="0" w:space="0" w:color="auto"/>
                        <w:bottom w:val="none" w:sz="0" w:space="0" w:color="auto"/>
                        <w:right w:val="none" w:sz="0" w:space="0" w:color="auto"/>
                      </w:divBdr>
                      <w:divsChild>
                        <w:div w:id="400642713">
                          <w:marLeft w:val="0"/>
                          <w:marRight w:val="0"/>
                          <w:marTop w:val="0"/>
                          <w:marBottom w:val="0"/>
                          <w:divBdr>
                            <w:top w:val="none" w:sz="0" w:space="0" w:color="auto"/>
                            <w:left w:val="none" w:sz="0" w:space="0" w:color="auto"/>
                            <w:bottom w:val="none" w:sz="0" w:space="0" w:color="auto"/>
                            <w:right w:val="none" w:sz="0" w:space="0" w:color="auto"/>
                          </w:divBdr>
                          <w:divsChild>
                            <w:div w:id="1079013278">
                              <w:marLeft w:val="0"/>
                              <w:marRight w:val="0"/>
                              <w:marTop w:val="0"/>
                              <w:marBottom w:val="0"/>
                              <w:divBdr>
                                <w:top w:val="none" w:sz="0" w:space="0" w:color="auto"/>
                                <w:left w:val="none" w:sz="0" w:space="0" w:color="auto"/>
                                <w:bottom w:val="none" w:sz="0" w:space="0" w:color="auto"/>
                                <w:right w:val="none" w:sz="0" w:space="0" w:color="auto"/>
                              </w:divBdr>
                              <w:divsChild>
                                <w:div w:id="1393196403">
                                  <w:marLeft w:val="0"/>
                                  <w:marRight w:val="0"/>
                                  <w:marTop w:val="0"/>
                                  <w:marBottom w:val="0"/>
                                  <w:divBdr>
                                    <w:top w:val="none" w:sz="0" w:space="0" w:color="auto"/>
                                    <w:left w:val="none" w:sz="0" w:space="0" w:color="auto"/>
                                    <w:bottom w:val="none" w:sz="0" w:space="0" w:color="auto"/>
                                    <w:right w:val="none" w:sz="0" w:space="0" w:color="auto"/>
                                  </w:divBdr>
                                  <w:divsChild>
                                    <w:div w:id="1577548187">
                                      <w:marLeft w:val="0"/>
                                      <w:marRight w:val="0"/>
                                      <w:marTop w:val="0"/>
                                      <w:marBottom w:val="0"/>
                                      <w:divBdr>
                                        <w:top w:val="single" w:sz="6" w:space="0" w:color="F5F5F5"/>
                                        <w:left w:val="single" w:sz="6" w:space="0" w:color="F5F5F5"/>
                                        <w:bottom w:val="single" w:sz="6" w:space="0" w:color="F5F5F5"/>
                                        <w:right w:val="single" w:sz="6" w:space="0" w:color="F5F5F5"/>
                                      </w:divBdr>
                                      <w:divsChild>
                                        <w:div w:id="2043479716">
                                          <w:marLeft w:val="0"/>
                                          <w:marRight w:val="0"/>
                                          <w:marTop w:val="0"/>
                                          <w:marBottom w:val="0"/>
                                          <w:divBdr>
                                            <w:top w:val="none" w:sz="0" w:space="0" w:color="auto"/>
                                            <w:left w:val="none" w:sz="0" w:space="0" w:color="auto"/>
                                            <w:bottom w:val="none" w:sz="0" w:space="0" w:color="auto"/>
                                            <w:right w:val="none" w:sz="0" w:space="0" w:color="auto"/>
                                          </w:divBdr>
                                          <w:divsChild>
                                            <w:div w:id="17776771">
                                              <w:marLeft w:val="0"/>
                                              <w:marRight w:val="0"/>
                                              <w:marTop w:val="0"/>
                                              <w:marBottom w:val="0"/>
                                              <w:divBdr>
                                                <w:top w:val="none" w:sz="0" w:space="0" w:color="auto"/>
                                                <w:left w:val="none" w:sz="0" w:space="0" w:color="auto"/>
                                                <w:bottom w:val="none" w:sz="0" w:space="0" w:color="auto"/>
                                                <w:right w:val="none" w:sz="0" w:space="0" w:color="auto"/>
                                              </w:divBdr>
                                              <w:divsChild>
                                                <w:div w:id="1798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18088">
      <w:bodyDiv w:val="1"/>
      <w:marLeft w:val="0"/>
      <w:marRight w:val="0"/>
      <w:marTop w:val="0"/>
      <w:marBottom w:val="0"/>
      <w:divBdr>
        <w:top w:val="none" w:sz="0" w:space="0" w:color="auto"/>
        <w:left w:val="none" w:sz="0" w:space="0" w:color="auto"/>
        <w:bottom w:val="none" w:sz="0" w:space="0" w:color="auto"/>
        <w:right w:val="none" w:sz="0" w:space="0" w:color="auto"/>
      </w:divBdr>
      <w:divsChild>
        <w:div w:id="1434133777">
          <w:marLeft w:val="0"/>
          <w:marRight w:val="0"/>
          <w:marTop w:val="0"/>
          <w:marBottom w:val="0"/>
          <w:divBdr>
            <w:top w:val="none" w:sz="0" w:space="0" w:color="auto"/>
            <w:left w:val="none" w:sz="0" w:space="0" w:color="auto"/>
            <w:bottom w:val="none" w:sz="0" w:space="0" w:color="auto"/>
            <w:right w:val="none" w:sz="0" w:space="0" w:color="auto"/>
          </w:divBdr>
          <w:divsChild>
            <w:div w:id="1131437658">
              <w:marLeft w:val="0"/>
              <w:marRight w:val="0"/>
              <w:marTop w:val="0"/>
              <w:marBottom w:val="0"/>
              <w:divBdr>
                <w:top w:val="none" w:sz="0" w:space="0" w:color="auto"/>
                <w:left w:val="none" w:sz="0" w:space="0" w:color="auto"/>
                <w:bottom w:val="none" w:sz="0" w:space="0" w:color="auto"/>
                <w:right w:val="none" w:sz="0" w:space="0" w:color="auto"/>
              </w:divBdr>
              <w:divsChild>
                <w:div w:id="1904751398">
                  <w:marLeft w:val="0"/>
                  <w:marRight w:val="0"/>
                  <w:marTop w:val="0"/>
                  <w:marBottom w:val="0"/>
                  <w:divBdr>
                    <w:top w:val="none" w:sz="0" w:space="0" w:color="auto"/>
                    <w:left w:val="none" w:sz="0" w:space="0" w:color="auto"/>
                    <w:bottom w:val="none" w:sz="0" w:space="0" w:color="auto"/>
                    <w:right w:val="none" w:sz="0" w:space="0" w:color="auto"/>
                  </w:divBdr>
                  <w:divsChild>
                    <w:div w:id="1566139405">
                      <w:marLeft w:val="0"/>
                      <w:marRight w:val="0"/>
                      <w:marTop w:val="0"/>
                      <w:marBottom w:val="0"/>
                      <w:divBdr>
                        <w:top w:val="none" w:sz="0" w:space="0" w:color="auto"/>
                        <w:left w:val="none" w:sz="0" w:space="0" w:color="auto"/>
                        <w:bottom w:val="none" w:sz="0" w:space="0" w:color="auto"/>
                        <w:right w:val="none" w:sz="0" w:space="0" w:color="auto"/>
                      </w:divBdr>
                      <w:divsChild>
                        <w:div w:id="95179020">
                          <w:marLeft w:val="0"/>
                          <w:marRight w:val="0"/>
                          <w:marTop w:val="0"/>
                          <w:marBottom w:val="0"/>
                          <w:divBdr>
                            <w:top w:val="none" w:sz="0" w:space="0" w:color="auto"/>
                            <w:left w:val="none" w:sz="0" w:space="0" w:color="auto"/>
                            <w:bottom w:val="none" w:sz="0" w:space="0" w:color="auto"/>
                            <w:right w:val="none" w:sz="0" w:space="0" w:color="auto"/>
                          </w:divBdr>
                          <w:divsChild>
                            <w:div w:id="1573469812">
                              <w:marLeft w:val="0"/>
                              <w:marRight w:val="0"/>
                              <w:marTop w:val="0"/>
                              <w:marBottom w:val="0"/>
                              <w:divBdr>
                                <w:top w:val="none" w:sz="0" w:space="0" w:color="auto"/>
                                <w:left w:val="none" w:sz="0" w:space="0" w:color="auto"/>
                                <w:bottom w:val="none" w:sz="0" w:space="0" w:color="auto"/>
                                <w:right w:val="none" w:sz="0" w:space="0" w:color="auto"/>
                              </w:divBdr>
                              <w:divsChild>
                                <w:div w:id="1833718565">
                                  <w:marLeft w:val="0"/>
                                  <w:marRight w:val="0"/>
                                  <w:marTop w:val="0"/>
                                  <w:marBottom w:val="0"/>
                                  <w:divBdr>
                                    <w:top w:val="none" w:sz="0" w:space="0" w:color="auto"/>
                                    <w:left w:val="none" w:sz="0" w:space="0" w:color="auto"/>
                                    <w:bottom w:val="none" w:sz="0" w:space="0" w:color="auto"/>
                                    <w:right w:val="none" w:sz="0" w:space="0" w:color="auto"/>
                                  </w:divBdr>
                                  <w:divsChild>
                                    <w:div w:id="625545116">
                                      <w:marLeft w:val="0"/>
                                      <w:marRight w:val="0"/>
                                      <w:marTop w:val="0"/>
                                      <w:marBottom w:val="0"/>
                                      <w:divBdr>
                                        <w:top w:val="single" w:sz="6" w:space="0" w:color="F5F5F5"/>
                                        <w:left w:val="single" w:sz="6" w:space="0" w:color="F5F5F5"/>
                                        <w:bottom w:val="single" w:sz="6" w:space="0" w:color="F5F5F5"/>
                                        <w:right w:val="single" w:sz="6" w:space="0" w:color="F5F5F5"/>
                                      </w:divBdr>
                                      <w:divsChild>
                                        <w:div w:id="294263864">
                                          <w:marLeft w:val="0"/>
                                          <w:marRight w:val="0"/>
                                          <w:marTop w:val="0"/>
                                          <w:marBottom w:val="0"/>
                                          <w:divBdr>
                                            <w:top w:val="none" w:sz="0" w:space="0" w:color="auto"/>
                                            <w:left w:val="none" w:sz="0" w:space="0" w:color="auto"/>
                                            <w:bottom w:val="none" w:sz="0" w:space="0" w:color="auto"/>
                                            <w:right w:val="none" w:sz="0" w:space="0" w:color="auto"/>
                                          </w:divBdr>
                                          <w:divsChild>
                                            <w:div w:id="11715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287381">
      <w:bodyDiv w:val="1"/>
      <w:marLeft w:val="0"/>
      <w:marRight w:val="0"/>
      <w:marTop w:val="0"/>
      <w:marBottom w:val="0"/>
      <w:divBdr>
        <w:top w:val="none" w:sz="0" w:space="0" w:color="auto"/>
        <w:left w:val="none" w:sz="0" w:space="0" w:color="auto"/>
        <w:bottom w:val="none" w:sz="0" w:space="0" w:color="auto"/>
        <w:right w:val="none" w:sz="0" w:space="0" w:color="auto"/>
      </w:divBdr>
    </w:div>
    <w:div w:id="311640075">
      <w:bodyDiv w:val="1"/>
      <w:marLeft w:val="0"/>
      <w:marRight w:val="0"/>
      <w:marTop w:val="0"/>
      <w:marBottom w:val="0"/>
      <w:divBdr>
        <w:top w:val="none" w:sz="0" w:space="0" w:color="auto"/>
        <w:left w:val="none" w:sz="0" w:space="0" w:color="auto"/>
        <w:bottom w:val="none" w:sz="0" w:space="0" w:color="auto"/>
        <w:right w:val="none" w:sz="0" w:space="0" w:color="auto"/>
      </w:divBdr>
    </w:div>
    <w:div w:id="342901590">
      <w:bodyDiv w:val="1"/>
      <w:marLeft w:val="0"/>
      <w:marRight w:val="0"/>
      <w:marTop w:val="0"/>
      <w:marBottom w:val="0"/>
      <w:divBdr>
        <w:top w:val="none" w:sz="0" w:space="0" w:color="auto"/>
        <w:left w:val="none" w:sz="0" w:space="0" w:color="auto"/>
        <w:bottom w:val="none" w:sz="0" w:space="0" w:color="auto"/>
        <w:right w:val="none" w:sz="0" w:space="0" w:color="auto"/>
      </w:divBdr>
      <w:divsChild>
        <w:div w:id="166867201">
          <w:marLeft w:val="0"/>
          <w:marRight w:val="0"/>
          <w:marTop w:val="0"/>
          <w:marBottom w:val="0"/>
          <w:divBdr>
            <w:top w:val="none" w:sz="0" w:space="0" w:color="auto"/>
            <w:left w:val="none" w:sz="0" w:space="0" w:color="auto"/>
            <w:bottom w:val="none" w:sz="0" w:space="0" w:color="auto"/>
            <w:right w:val="none" w:sz="0" w:space="0" w:color="auto"/>
          </w:divBdr>
          <w:divsChild>
            <w:div w:id="1458067913">
              <w:marLeft w:val="0"/>
              <w:marRight w:val="0"/>
              <w:marTop w:val="0"/>
              <w:marBottom w:val="0"/>
              <w:divBdr>
                <w:top w:val="none" w:sz="0" w:space="0" w:color="auto"/>
                <w:left w:val="none" w:sz="0" w:space="0" w:color="auto"/>
                <w:bottom w:val="none" w:sz="0" w:space="0" w:color="auto"/>
                <w:right w:val="none" w:sz="0" w:space="0" w:color="auto"/>
              </w:divBdr>
              <w:divsChild>
                <w:div w:id="1959950156">
                  <w:marLeft w:val="0"/>
                  <w:marRight w:val="0"/>
                  <w:marTop w:val="0"/>
                  <w:marBottom w:val="0"/>
                  <w:divBdr>
                    <w:top w:val="none" w:sz="0" w:space="0" w:color="auto"/>
                    <w:left w:val="none" w:sz="0" w:space="0" w:color="auto"/>
                    <w:bottom w:val="none" w:sz="0" w:space="0" w:color="auto"/>
                    <w:right w:val="none" w:sz="0" w:space="0" w:color="auto"/>
                  </w:divBdr>
                  <w:divsChild>
                    <w:div w:id="1594702645">
                      <w:marLeft w:val="0"/>
                      <w:marRight w:val="0"/>
                      <w:marTop w:val="0"/>
                      <w:marBottom w:val="0"/>
                      <w:divBdr>
                        <w:top w:val="none" w:sz="0" w:space="0" w:color="auto"/>
                        <w:left w:val="none" w:sz="0" w:space="0" w:color="auto"/>
                        <w:bottom w:val="none" w:sz="0" w:space="0" w:color="auto"/>
                        <w:right w:val="none" w:sz="0" w:space="0" w:color="auto"/>
                      </w:divBdr>
                      <w:divsChild>
                        <w:div w:id="1453132780">
                          <w:marLeft w:val="0"/>
                          <w:marRight w:val="0"/>
                          <w:marTop w:val="0"/>
                          <w:marBottom w:val="0"/>
                          <w:divBdr>
                            <w:top w:val="none" w:sz="0" w:space="0" w:color="auto"/>
                            <w:left w:val="none" w:sz="0" w:space="0" w:color="auto"/>
                            <w:bottom w:val="none" w:sz="0" w:space="0" w:color="auto"/>
                            <w:right w:val="none" w:sz="0" w:space="0" w:color="auto"/>
                          </w:divBdr>
                          <w:divsChild>
                            <w:div w:id="1722754780">
                              <w:marLeft w:val="0"/>
                              <w:marRight w:val="0"/>
                              <w:marTop w:val="0"/>
                              <w:marBottom w:val="0"/>
                              <w:divBdr>
                                <w:top w:val="none" w:sz="0" w:space="0" w:color="auto"/>
                                <w:left w:val="none" w:sz="0" w:space="0" w:color="auto"/>
                                <w:bottom w:val="none" w:sz="0" w:space="0" w:color="auto"/>
                                <w:right w:val="none" w:sz="0" w:space="0" w:color="auto"/>
                              </w:divBdr>
                              <w:divsChild>
                                <w:div w:id="1270042532">
                                  <w:marLeft w:val="0"/>
                                  <w:marRight w:val="0"/>
                                  <w:marTop w:val="0"/>
                                  <w:marBottom w:val="0"/>
                                  <w:divBdr>
                                    <w:top w:val="none" w:sz="0" w:space="0" w:color="auto"/>
                                    <w:left w:val="none" w:sz="0" w:space="0" w:color="auto"/>
                                    <w:bottom w:val="none" w:sz="0" w:space="0" w:color="auto"/>
                                    <w:right w:val="none" w:sz="0" w:space="0" w:color="auto"/>
                                  </w:divBdr>
                                  <w:divsChild>
                                    <w:div w:id="580602327">
                                      <w:marLeft w:val="0"/>
                                      <w:marRight w:val="0"/>
                                      <w:marTop w:val="0"/>
                                      <w:marBottom w:val="0"/>
                                      <w:divBdr>
                                        <w:top w:val="single" w:sz="6" w:space="0" w:color="F5F5F5"/>
                                        <w:left w:val="single" w:sz="6" w:space="0" w:color="F5F5F5"/>
                                        <w:bottom w:val="single" w:sz="6" w:space="0" w:color="F5F5F5"/>
                                        <w:right w:val="single" w:sz="6" w:space="0" w:color="F5F5F5"/>
                                      </w:divBdr>
                                      <w:divsChild>
                                        <w:div w:id="789714039">
                                          <w:marLeft w:val="0"/>
                                          <w:marRight w:val="0"/>
                                          <w:marTop w:val="0"/>
                                          <w:marBottom w:val="0"/>
                                          <w:divBdr>
                                            <w:top w:val="none" w:sz="0" w:space="0" w:color="auto"/>
                                            <w:left w:val="none" w:sz="0" w:space="0" w:color="auto"/>
                                            <w:bottom w:val="none" w:sz="0" w:space="0" w:color="auto"/>
                                            <w:right w:val="none" w:sz="0" w:space="0" w:color="auto"/>
                                          </w:divBdr>
                                          <w:divsChild>
                                            <w:div w:id="12072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513504">
      <w:bodyDiv w:val="1"/>
      <w:marLeft w:val="0"/>
      <w:marRight w:val="0"/>
      <w:marTop w:val="0"/>
      <w:marBottom w:val="0"/>
      <w:divBdr>
        <w:top w:val="none" w:sz="0" w:space="0" w:color="auto"/>
        <w:left w:val="none" w:sz="0" w:space="0" w:color="auto"/>
        <w:bottom w:val="none" w:sz="0" w:space="0" w:color="auto"/>
        <w:right w:val="none" w:sz="0" w:space="0" w:color="auto"/>
      </w:divBdr>
      <w:divsChild>
        <w:div w:id="912667799">
          <w:marLeft w:val="0"/>
          <w:marRight w:val="0"/>
          <w:marTop w:val="0"/>
          <w:marBottom w:val="0"/>
          <w:divBdr>
            <w:top w:val="none" w:sz="0" w:space="0" w:color="auto"/>
            <w:left w:val="none" w:sz="0" w:space="0" w:color="auto"/>
            <w:bottom w:val="none" w:sz="0" w:space="0" w:color="auto"/>
            <w:right w:val="none" w:sz="0" w:space="0" w:color="auto"/>
          </w:divBdr>
          <w:divsChild>
            <w:div w:id="313022398">
              <w:marLeft w:val="0"/>
              <w:marRight w:val="0"/>
              <w:marTop w:val="0"/>
              <w:marBottom w:val="0"/>
              <w:divBdr>
                <w:top w:val="none" w:sz="0" w:space="0" w:color="auto"/>
                <w:left w:val="none" w:sz="0" w:space="0" w:color="auto"/>
                <w:bottom w:val="none" w:sz="0" w:space="0" w:color="auto"/>
                <w:right w:val="none" w:sz="0" w:space="0" w:color="auto"/>
              </w:divBdr>
              <w:divsChild>
                <w:div w:id="1415467578">
                  <w:marLeft w:val="0"/>
                  <w:marRight w:val="0"/>
                  <w:marTop w:val="0"/>
                  <w:marBottom w:val="0"/>
                  <w:divBdr>
                    <w:top w:val="none" w:sz="0" w:space="0" w:color="auto"/>
                    <w:left w:val="none" w:sz="0" w:space="0" w:color="auto"/>
                    <w:bottom w:val="none" w:sz="0" w:space="0" w:color="auto"/>
                    <w:right w:val="none" w:sz="0" w:space="0" w:color="auto"/>
                  </w:divBdr>
                  <w:divsChild>
                    <w:div w:id="1337459608">
                      <w:marLeft w:val="0"/>
                      <w:marRight w:val="0"/>
                      <w:marTop w:val="0"/>
                      <w:marBottom w:val="0"/>
                      <w:divBdr>
                        <w:top w:val="none" w:sz="0" w:space="0" w:color="auto"/>
                        <w:left w:val="none" w:sz="0" w:space="0" w:color="auto"/>
                        <w:bottom w:val="none" w:sz="0" w:space="0" w:color="auto"/>
                        <w:right w:val="none" w:sz="0" w:space="0" w:color="auto"/>
                      </w:divBdr>
                      <w:divsChild>
                        <w:div w:id="1705934715">
                          <w:marLeft w:val="0"/>
                          <w:marRight w:val="0"/>
                          <w:marTop w:val="0"/>
                          <w:marBottom w:val="0"/>
                          <w:divBdr>
                            <w:top w:val="none" w:sz="0" w:space="0" w:color="auto"/>
                            <w:left w:val="none" w:sz="0" w:space="0" w:color="auto"/>
                            <w:bottom w:val="none" w:sz="0" w:space="0" w:color="auto"/>
                            <w:right w:val="none" w:sz="0" w:space="0" w:color="auto"/>
                          </w:divBdr>
                          <w:divsChild>
                            <w:div w:id="1941373795">
                              <w:marLeft w:val="0"/>
                              <w:marRight w:val="0"/>
                              <w:marTop w:val="0"/>
                              <w:marBottom w:val="0"/>
                              <w:divBdr>
                                <w:top w:val="none" w:sz="0" w:space="0" w:color="auto"/>
                                <w:left w:val="none" w:sz="0" w:space="0" w:color="auto"/>
                                <w:bottom w:val="none" w:sz="0" w:space="0" w:color="auto"/>
                                <w:right w:val="none" w:sz="0" w:space="0" w:color="auto"/>
                              </w:divBdr>
                              <w:divsChild>
                                <w:div w:id="727074310">
                                  <w:marLeft w:val="0"/>
                                  <w:marRight w:val="0"/>
                                  <w:marTop w:val="0"/>
                                  <w:marBottom w:val="0"/>
                                  <w:divBdr>
                                    <w:top w:val="none" w:sz="0" w:space="0" w:color="auto"/>
                                    <w:left w:val="none" w:sz="0" w:space="0" w:color="auto"/>
                                    <w:bottom w:val="none" w:sz="0" w:space="0" w:color="auto"/>
                                    <w:right w:val="none" w:sz="0" w:space="0" w:color="auto"/>
                                  </w:divBdr>
                                  <w:divsChild>
                                    <w:div w:id="1588265108">
                                      <w:marLeft w:val="0"/>
                                      <w:marRight w:val="0"/>
                                      <w:marTop w:val="0"/>
                                      <w:marBottom w:val="0"/>
                                      <w:divBdr>
                                        <w:top w:val="single" w:sz="6" w:space="0" w:color="F5F5F5"/>
                                        <w:left w:val="single" w:sz="6" w:space="0" w:color="F5F5F5"/>
                                        <w:bottom w:val="single" w:sz="6" w:space="0" w:color="F5F5F5"/>
                                        <w:right w:val="single" w:sz="6" w:space="0" w:color="F5F5F5"/>
                                      </w:divBdr>
                                      <w:divsChild>
                                        <w:div w:id="837959633">
                                          <w:marLeft w:val="0"/>
                                          <w:marRight w:val="0"/>
                                          <w:marTop w:val="0"/>
                                          <w:marBottom w:val="0"/>
                                          <w:divBdr>
                                            <w:top w:val="none" w:sz="0" w:space="0" w:color="auto"/>
                                            <w:left w:val="none" w:sz="0" w:space="0" w:color="auto"/>
                                            <w:bottom w:val="none" w:sz="0" w:space="0" w:color="auto"/>
                                            <w:right w:val="none" w:sz="0" w:space="0" w:color="auto"/>
                                          </w:divBdr>
                                          <w:divsChild>
                                            <w:div w:id="12795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4164771">
      <w:bodyDiv w:val="1"/>
      <w:marLeft w:val="0"/>
      <w:marRight w:val="0"/>
      <w:marTop w:val="0"/>
      <w:marBottom w:val="0"/>
      <w:divBdr>
        <w:top w:val="none" w:sz="0" w:space="0" w:color="auto"/>
        <w:left w:val="none" w:sz="0" w:space="0" w:color="auto"/>
        <w:bottom w:val="none" w:sz="0" w:space="0" w:color="auto"/>
        <w:right w:val="none" w:sz="0" w:space="0" w:color="auto"/>
      </w:divBdr>
      <w:divsChild>
        <w:div w:id="663438261">
          <w:marLeft w:val="0"/>
          <w:marRight w:val="0"/>
          <w:marTop w:val="0"/>
          <w:marBottom w:val="0"/>
          <w:divBdr>
            <w:top w:val="none" w:sz="0" w:space="0" w:color="auto"/>
            <w:left w:val="none" w:sz="0" w:space="0" w:color="auto"/>
            <w:bottom w:val="none" w:sz="0" w:space="0" w:color="auto"/>
            <w:right w:val="none" w:sz="0" w:space="0" w:color="auto"/>
          </w:divBdr>
          <w:divsChild>
            <w:div w:id="508444164">
              <w:marLeft w:val="0"/>
              <w:marRight w:val="0"/>
              <w:marTop w:val="0"/>
              <w:marBottom w:val="0"/>
              <w:divBdr>
                <w:top w:val="none" w:sz="0" w:space="0" w:color="auto"/>
                <w:left w:val="none" w:sz="0" w:space="0" w:color="auto"/>
                <w:bottom w:val="none" w:sz="0" w:space="0" w:color="auto"/>
                <w:right w:val="none" w:sz="0" w:space="0" w:color="auto"/>
              </w:divBdr>
              <w:divsChild>
                <w:div w:id="841164673">
                  <w:marLeft w:val="0"/>
                  <w:marRight w:val="0"/>
                  <w:marTop w:val="0"/>
                  <w:marBottom w:val="0"/>
                  <w:divBdr>
                    <w:top w:val="none" w:sz="0" w:space="0" w:color="auto"/>
                    <w:left w:val="none" w:sz="0" w:space="0" w:color="auto"/>
                    <w:bottom w:val="none" w:sz="0" w:space="0" w:color="auto"/>
                    <w:right w:val="none" w:sz="0" w:space="0" w:color="auto"/>
                  </w:divBdr>
                  <w:divsChild>
                    <w:div w:id="64378771">
                      <w:marLeft w:val="0"/>
                      <w:marRight w:val="0"/>
                      <w:marTop w:val="0"/>
                      <w:marBottom w:val="0"/>
                      <w:divBdr>
                        <w:top w:val="none" w:sz="0" w:space="0" w:color="auto"/>
                        <w:left w:val="none" w:sz="0" w:space="0" w:color="auto"/>
                        <w:bottom w:val="none" w:sz="0" w:space="0" w:color="auto"/>
                        <w:right w:val="none" w:sz="0" w:space="0" w:color="auto"/>
                      </w:divBdr>
                      <w:divsChild>
                        <w:div w:id="416564586">
                          <w:marLeft w:val="0"/>
                          <w:marRight w:val="0"/>
                          <w:marTop w:val="0"/>
                          <w:marBottom w:val="0"/>
                          <w:divBdr>
                            <w:top w:val="none" w:sz="0" w:space="0" w:color="auto"/>
                            <w:left w:val="none" w:sz="0" w:space="0" w:color="auto"/>
                            <w:bottom w:val="none" w:sz="0" w:space="0" w:color="auto"/>
                            <w:right w:val="none" w:sz="0" w:space="0" w:color="auto"/>
                          </w:divBdr>
                          <w:divsChild>
                            <w:div w:id="1390570587">
                              <w:marLeft w:val="0"/>
                              <w:marRight w:val="0"/>
                              <w:marTop w:val="0"/>
                              <w:marBottom w:val="0"/>
                              <w:divBdr>
                                <w:top w:val="none" w:sz="0" w:space="0" w:color="auto"/>
                                <w:left w:val="none" w:sz="0" w:space="0" w:color="auto"/>
                                <w:bottom w:val="none" w:sz="0" w:space="0" w:color="auto"/>
                                <w:right w:val="none" w:sz="0" w:space="0" w:color="auto"/>
                              </w:divBdr>
                              <w:divsChild>
                                <w:div w:id="37633497">
                                  <w:marLeft w:val="0"/>
                                  <w:marRight w:val="0"/>
                                  <w:marTop w:val="0"/>
                                  <w:marBottom w:val="0"/>
                                  <w:divBdr>
                                    <w:top w:val="none" w:sz="0" w:space="0" w:color="auto"/>
                                    <w:left w:val="none" w:sz="0" w:space="0" w:color="auto"/>
                                    <w:bottom w:val="none" w:sz="0" w:space="0" w:color="auto"/>
                                    <w:right w:val="none" w:sz="0" w:space="0" w:color="auto"/>
                                  </w:divBdr>
                                  <w:divsChild>
                                    <w:div w:id="1904096486">
                                      <w:marLeft w:val="0"/>
                                      <w:marRight w:val="0"/>
                                      <w:marTop w:val="0"/>
                                      <w:marBottom w:val="0"/>
                                      <w:divBdr>
                                        <w:top w:val="single" w:sz="6" w:space="0" w:color="F5F5F5"/>
                                        <w:left w:val="single" w:sz="6" w:space="0" w:color="F5F5F5"/>
                                        <w:bottom w:val="single" w:sz="6" w:space="0" w:color="F5F5F5"/>
                                        <w:right w:val="single" w:sz="6" w:space="0" w:color="F5F5F5"/>
                                      </w:divBdr>
                                      <w:divsChild>
                                        <w:div w:id="968321878">
                                          <w:marLeft w:val="0"/>
                                          <w:marRight w:val="0"/>
                                          <w:marTop w:val="0"/>
                                          <w:marBottom w:val="0"/>
                                          <w:divBdr>
                                            <w:top w:val="none" w:sz="0" w:space="0" w:color="auto"/>
                                            <w:left w:val="none" w:sz="0" w:space="0" w:color="auto"/>
                                            <w:bottom w:val="none" w:sz="0" w:space="0" w:color="auto"/>
                                            <w:right w:val="none" w:sz="0" w:space="0" w:color="auto"/>
                                          </w:divBdr>
                                          <w:divsChild>
                                            <w:div w:id="5242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563253">
      <w:bodyDiv w:val="1"/>
      <w:marLeft w:val="0"/>
      <w:marRight w:val="0"/>
      <w:marTop w:val="0"/>
      <w:marBottom w:val="0"/>
      <w:divBdr>
        <w:top w:val="none" w:sz="0" w:space="0" w:color="auto"/>
        <w:left w:val="none" w:sz="0" w:space="0" w:color="auto"/>
        <w:bottom w:val="none" w:sz="0" w:space="0" w:color="auto"/>
        <w:right w:val="none" w:sz="0" w:space="0" w:color="auto"/>
      </w:divBdr>
    </w:div>
    <w:div w:id="442187879">
      <w:bodyDiv w:val="1"/>
      <w:marLeft w:val="0"/>
      <w:marRight w:val="0"/>
      <w:marTop w:val="0"/>
      <w:marBottom w:val="0"/>
      <w:divBdr>
        <w:top w:val="none" w:sz="0" w:space="0" w:color="auto"/>
        <w:left w:val="none" w:sz="0" w:space="0" w:color="auto"/>
        <w:bottom w:val="none" w:sz="0" w:space="0" w:color="auto"/>
        <w:right w:val="none" w:sz="0" w:space="0" w:color="auto"/>
      </w:divBdr>
      <w:divsChild>
        <w:div w:id="591398126">
          <w:marLeft w:val="0"/>
          <w:marRight w:val="0"/>
          <w:marTop w:val="0"/>
          <w:marBottom w:val="0"/>
          <w:divBdr>
            <w:top w:val="none" w:sz="0" w:space="0" w:color="auto"/>
            <w:left w:val="none" w:sz="0" w:space="0" w:color="auto"/>
            <w:bottom w:val="none" w:sz="0" w:space="0" w:color="auto"/>
            <w:right w:val="none" w:sz="0" w:space="0" w:color="auto"/>
          </w:divBdr>
          <w:divsChild>
            <w:div w:id="1426654763">
              <w:marLeft w:val="0"/>
              <w:marRight w:val="0"/>
              <w:marTop w:val="0"/>
              <w:marBottom w:val="0"/>
              <w:divBdr>
                <w:top w:val="none" w:sz="0" w:space="0" w:color="auto"/>
                <w:left w:val="none" w:sz="0" w:space="0" w:color="auto"/>
                <w:bottom w:val="none" w:sz="0" w:space="0" w:color="auto"/>
                <w:right w:val="none" w:sz="0" w:space="0" w:color="auto"/>
              </w:divBdr>
              <w:divsChild>
                <w:div w:id="1826627655">
                  <w:marLeft w:val="0"/>
                  <w:marRight w:val="0"/>
                  <w:marTop w:val="0"/>
                  <w:marBottom w:val="0"/>
                  <w:divBdr>
                    <w:top w:val="none" w:sz="0" w:space="0" w:color="auto"/>
                    <w:left w:val="none" w:sz="0" w:space="0" w:color="auto"/>
                    <w:bottom w:val="none" w:sz="0" w:space="0" w:color="auto"/>
                    <w:right w:val="none" w:sz="0" w:space="0" w:color="auto"/>
                  </w:divBdr>
                  <w:divsChild>
                    <w:div w:id="1621180006">
                      <w:marLeft w:val="0"/>
                      <w:marRight w:val="0"/>
                      <w:marTop w:val="0"/>
                      <w:marBottom w:val="0"/>
                      <w:divBdr>
                        <w:top w:val="none" w:sz="0" w:space="0" w:color="auto"/>
                        <w:left w:val="none" w:sz="0" w:space="0" w:color="auto"/>
                        <w:bottom w:val="none" w:sz="0" w:space="0" w:color="auto"/>
                        <w:right w:val="none" w:sz="0" w:space="0" w:color="auto"/>
                      </w:divBdr>
                      <w:divsChild>
                        <w:div w:id="671643168">
                          <w:marLeft w:val="0"/>
                          <w:marRight w:val="0"/>
                          <w:marTop w:val="0"/>
                          <w:marBottom w:val="0"/>
                          <w:divBdr>
                            <w:top w:val="none" w:sz="0" w:space="0" w:color="auto"/>
                            <w:left w:val="none" w:sz="0" w:space="0" w:color="auto"/>
                            <w:bottom w:val="none" w:sz="0" w:space="0" w:color="auto"/>
                            <w:right w:val="none" w:sz="0" w:space="0" w:color="auto"/>
                          </w:divBdr>
                          <w:divsChild>
                            <w:div w:id="745688107">
                              <w:marLeft w:val="0"/>
                              <w:marRight w:val="0"/>
                              <w:marTop w:val="0"/>
                              <w:marBottom w:val="0"/>
                              <w:divBdr>
                                <w:top w:val="none" w:sz="0" w:space="0" w:color="auto"/>
                                <w:left w:val="none" w:sz="0" w:space="0" w:color="auto"/>
                                <w:bottom w:val="none" w:sz="0" w:space="0" w:color="auto"/>
                                <w:right w:val="none" w:sz="0" w:space="0" w:color="auto"/>
                              </w:divBdr>
                              <w:divsChild>
                                <w:div w:id="1347096088">
                                  <w:marLeft w:val="0"/>
                                  <w:marRight w:val="0"/>
                                  <w:marTop w:val="0"/>
                                  <w:marBottom w:val="0"/>
                                  <w:divBdr>
                                    <w:top w:val="none" w:sz="0" w:space="0" w:color="auto"/>
                                    <w:left w:val="none" w:sz="0" w:space="0" w:color="auto"/>
                                    <w:bottom w:val="none" w:sz="0" w:space="0" w:color="auto"/>
                                    <w:right w:val="none" w:sz="0" w:space="0" w:color="auto"/>
                                  </w:divBdr>
                                  <w:divsChild>
                                    <w:div w:id="2097091604">
                                      <w:marLeft w:val="0"/>
                                      <w:marRight w:val="0"/>
                                      <w:marTop w:val="0"/>
                                      <w:marBottom w:val="0"/>
                                      <w:divBdr>
                                        <w:top w:val="single" w:sz="6" w:space="0" w:color="F5F5F5"/>
                                        <w:left w:val="single" w:sz="6" w:space="0" w:color="F5F5F5"/>
                                        <w:bottom w:val="single" w:sz="6" w:space="0" w:color="F5F5F5"/>
                                        <w:right w:val="single" w:sz="6" w:space="0" w:color="F5F5F5"/>
                                      </w:divBdr>
                                      <w:divsChild>
                                        <w:div w:id="848180955">
                                          <w:marLeft w:val="0"/>
                                          <w:marRight w:val="0"/>
                                          <w:marTop w:val="0"/>
                                          <w:marBottom w:val="0"/>
                                          <w:divBdr>
                                            <w:top w:val="none" w:sz="0" w:space="0" w:color="auto"/>
                                            <w:left w:val="none" w:sz="0" w:space="0" w:color="auto"/>
                                            <w:bottom w:val="none" w:sz="0" w:space="0" w:color="auto"/>
                                            <w:right w:val="none" w:sz="0" w:space="0" w:color="auto"/>
                                          </w:divBdr>
                                          <w:divsChild>
                                            <w:div w:id="14791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4646">
      <w:bodyDiv w:val="1"/>
      <w:marLeft w:val="0"/>
      <w:marRight w:val="0"/>
      <w:marTop w:val="0"/>
      <w:marBottom w:val="0"/>
      <w:divBdr>
        <w:top w:val="none" w:sz="0" w:space="0" w:color="auto"/>
        <w:left w:val="none" w:sz="0" w:space="0" w:color="auto"/>
        <w:bottom w:val="none" w:sz="0" w:space="0" w:color="auto"/>
        <w:right w:val="none" w:sz="0" w:space="0" w:color="auto"/>
      </w:divBdr>
      <w:divsChild>
        <w:div w:id="1510294910">
          <w:marLeft w:val="0"/>
          <w:marRight w:val="0"/>
          <w:marTop w:val="0"/>
          <w:marBottom w:val="0"/>
          <w:divBdr>
            <w:top w:val="none" w:sz="0" w:space="0" w:color="auto"/>
            <w:left w:val="none" w:sz="0" w:space="0" w:color="auto"/>
            <w:bottom w:val="none" w:sz="0" w:space="0" w:color="auto"/>
            <w:right w:val="none" w:sz="0" w:space="0" w:color="auto"/>
          </w:divBdr>
          <w:divsChild>
            <w:div w:id="353653778">
              <w:marLeft w:val="0"/>
              <w:marRight w:val="0"/>
              <w:marTop w:val="0"/>
              <w:marBottom w:val="0"/>
              <w:divBdr>
                <w:top w:val="none" w:sz="0" w:space="0" w:color="auto"/>
                <w:left w:val="none" w:sz="0" w:space="0" w:color="auto"/>
                <w:bottom w:val="none" w:sz="0" w:space="0" w:color="auto"/>
                <w:right w:val="none" w:sz="0" w:space="0" w:color="auto"/>
              </w:divBdr>
              <w:divsChild>
                <w:div w:id="932779857">
                  <w:marLeft w:val="0"/>
                  <w:marRight w:val="0"/>
                  <w:marTop w:val="0"/>
                  <w:marBottom w:val="0"/>
                  <w:divBdr>
                    <w:top w:val="none" w:sz="0" w:space="0" w:color="auto"/>
                    <w:left w:val="none" w:sz="0" w:space="0" w:color="auto"/>
                    <w:bottom w:val="none" w:sz="0" w:space="0" w:color="auto"/>
                    <w:right w:val="none" w:sz="0" w:space="0" w:color="auto"/>
                  </w:divBdr>
                  <w:divsChild>
                    <w:div w:id="462963761">
                      <w:marLeft w:val="0"/>
                      <w:marRight w:val="0"/>
                      <w:marTop w:val="0"/>
                      <w:marBottom w:val="0"/>
                      <w:divBdr>
                        <w:top w:val="none" w:sz="0" w:space="0" w:color="auto"/>
                        <w:left w:val="none" w:sz="0" w:space="0" w:color="auto"/>
                        <w:bottom w:val="none" w:sz="0" w:space="0" w:color="auto"/>
                        <w:right w:val="none" w:sz="0" w:space="0" w:color="auto"/>
                      </w:divBdr>
                      <w:divsChild>
                        <w:div w:id="317802852">
                          <w:marLeft w:val="0"/>
                          <w:marRight w:val="0"/>
                          <w:marTop w:val="0"/>
                          <w:marBottom w:val="0"/>
                          <w:divBdr>
                            <w:top w:val="none" w:sz="0" w:space="0" w:color="auto"/>
                            <w:left w:val="none" w:sz="0" w:space="0" w:color="auto"/>
                            <w:bottom w:val="none" w:sz="0" w:space="0" w:color="auto"/>
                            <w:right w:val="none" w:sz="0" w:space="0" w:color="auto"/>
                          </w:divBdr>
                          <w:divsChild>
                            <w:div w:id="1516111776">
                              <w:marLeft w:val="0"/>
                              <w:marRight w:val="0"/>
                              <w:marTop w:val="0"/>
                              <w:marBottom w:val="0"/>
                              <w:divBdr>
                                <w:top w:val="none" w:sz="0" w:space="0" w:color="auto"/>
                                <w:left w:val="none" w:sz="0" w:space="0" w:color="auto"/>
                                <w:bottom w:val="none" w:sz="0" w:space="0" w:color="auto"/>
                                <w:right w:val="none" w:sz="0" w:space="0" w:color="auto"/>
                              </w:divBdr>
                              <w:divsChild>
                                <w:div w:id="876817293">
                                  <w:marLeft w:val="0"/>
                                  <w:marRight w:val="0"/>
                                  <w:marTop w:val="0"/>
                                  <w:marBottom w:val="0"/>
                                  <w:divBdr>
                                    <w:top w:val="none" w:sz="0" w:space="0" w:color="auto"/>
                                    <w:left w:val="none" w:sz="0" w:space="0" w:color="auto"/>
                                    <w:bottom w:val="none" w:sz="0" w:space="0" w:color="auto"/>
                                    <w:right w:val="none" w:sz="0" w:space="0" w:color="auto"/>
                                  </w:divBdr>
                                  <w:divsChild>
                                    <w:div w:id="1932809043">
                                      <w:marLeft w:val="0"/>
                                      <w:marRight w:val="0"/>
                                      <w:marTop w:val="0"/>
                                      <w:marBottom w:val="0"/>
                                      <w:divBdr>
                                        <w:top w:val="single" w:sz="6" w:space="0" w:color="F5F5F5"/>
                                        <w:left w:val="single" w:sz="6" w:space="0" w:color="F5F5F5"/>
                                        <w:bottom w:val="single" w:sz="6" w:space="0" w:color="F5F5F5"/>
                                        <w:right w:val="single" w:sz="6" w:space="0" w:color="F5F5F5"/>
                                      </w:divBdr>
                                      <w:divsChild>
                                        <w:div w:id="585958797">
                                          <w:marLeft w:val="0"/>
                                          <w:marRight w:val="0"/>
                                          <w:marTop w:val="0"/>
                                          <w:marBottom w:val="0"/>
                                          <w:divBdr>
                                            <w:top w:val="none" w:sz="0" w:space="0" w:color="auto"/>
                                            <w:left w:val="none" w:sz="0" w:space="0" w:color="auto"/>
                                            <w:bottom w:val="none" w:sz="0" w:space="0" w:color="auto"/>
                                            <w:right w:val="none" w:sz="0" w:space="0" w:color="auto"/>
                                          </w:divBdr>
                                          <w:divsChild>
                                            <w:div w:id="15106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524105">
      <w:bodyDiv w:val="1"/>
      <w:marLeft w:val="0"/>
      <w:marRight w:val="0"/>
      <w:marTop w:val="0"/>
      <w:marBottom w:val="0"/>
      <w:divBdr>
        <w:top w:val="none" w:sz="0" w:space="0" w:color="auto"/>
        <w:left w:val="none" w:sz="0" w:space="0" w:color="auto"/>
        <w:bottom w:val="none" w:sz="0" w:space="0" w:color="auto"/>
        <w:right w:val="none" w:sz="0" w:space="0" w:color="auto"/>
      </w:divBdr>
      <w:divsChild>
        <w:div w:id="585843257">
          <w:marLeft w:val="0"/>
          <w:marRight w:val="0"/>
          <w:marTop w:val="0"/>
          <w:marBottom w:val="0"/>
          <w:divBdr>
            <w:top w:val="none" w:sz="0" w:space="0" w:color="auto"/>
            <w:left w:val="none" w:sz="0" w:space="0" w:color="auto"/>
            <w:bottom w:val="none" w:sz="0" w:space="0" w:color="auto"/>
            <w:right w:val="none" w:sz="0" w:space="0" w:color="auto"/>
          </w:divBdr>
          <w:divsChild>
            <w:div w:id="992223025">
              <w:marLeft w:val="0"/>
              <w:marRight w:val="0"/>
              <w:marTop w:val="0"/>
              <w:marBottom w:val="0"/>
              <w:divBdr>
                <w:top w:val="none" w:sz="0" w:space="0" w:color="auto"/>
                <w:left w:val="none" w:sz="0" w:space="0" w:color="auto"/>
                <w:bottom w:val="none" w:sz="0" w:space="0" w:color="auto"/>
                <w:right w:val="none" w:sz="0" w:space="0" w:color="auto"/>
              </w:divBdr>
              <w:divsChild>
                <w:div w:id="166676413">
                  <w:marLeft w:val="0"/>
                  <w:marRight w:val="0"/>
                  <w:marTop w:val="0"/>
                  <w:marBottom w:val="0"/>
                  <w:divBdr>
                    <w:top w:val="none" w:sz="0" w:space="0" w:color="auto"/>
                    <w:left w:val="none" w:sz="0" w:space="0" w:color="auto"/>
                    <w:bottom w:val="none" w:sz="0" w:space="0" w:color="auto"/>
                    <w:right w:val="none" w:sz="0" w:space="0" w:color="auto"/>
                  </w:divBdr>
                  <w:divsChild>
                    <w:div w:id="979071511">
                      <w:marLeft w:val="0"/>
                      <w:marRight w:val="0"/>
                      <w:marTop w:val="0"/>
                      <w:marBottom w:val="0"/>
                      <w:divBdr>
                        <w:top w:val="none" w:sz="0" w:space="0" w:color="auto"/>
                        <w:left w:val="none" w:sz="0" w:space="0" w:color="auto"/>
                        <w:bottom w:val="none" w:sz="0" w:space="0" w:color="auto"/>
                        <w:right w:val="none" w:sz="0" w:space="0" w:color="auto"/>
                      </w:divBdr>
                      <w:divsChild>
                        <w:div w:id="593054797">
                          <w:marLeft w:val="0"/>
                          <w:marRight w:val="0"/>
                          <w:marTop w:val="0"/>
                          <w:marBottom w:val="0"/>
                          <w:divBdr>
                            <w:top w:val="none" w:sz="0" w:space="0" w:color="auto"/>
                            <w:left w:val="none" w:sz="0" w:space="0" w:color="auto"/>
                            <w:bottom w:val="none" w:sz="0" w:space="0" w:color="auto"/>
                            <w:right w:val="none" w:sz="0" w:space="0" w:color="auto"/>
                          </w:divBdr>
                          <w:divsChild>
                            <w:div w:id="1332679692">
                              <w:marLeft w:val="0"/>
                              <w:marRight w:val="0"/>
                              <w:marTop w:val="0"/>
                              <w:marBottom w:val="0"/>
                              <w:divBdr>
                                <w:top w:val="none" w:sz="0" w:space="0" w:color="auto"/>
                                <w:left w:val="none" w:sz="0" w:space="0" w:color="auto"/>
                                <w:bottom w:val="none" w:sz="0" w:space="0" w:color="auto"/>
                                <w:right w:val="none" w:sz="0" w:space="0" w:color="auto"/>
                              </w:divBdr>
                              <w:divsChild>
                                <w:div w:id="1431588985">
                                  <w:marLeft w:val="0"/>
                                  <w:marRight w:val="0"/>
                                  <w:marTop w:val="0"/>
                                  <w:marBottom w:val="0"/>
                                  <w:divBdr>
                                    <w:top w:val="none" w:sz="0" w:space="0" w:color="auto"/>
                                    <w:left w:val="none" w:sz="0" w:space="0" w:color="auto"/>
                                    <w:bottom w:val="none" w:sz="0" w:space="0" w:color="auto"/>
                                    <w:right w:val="none" w:sz="0" w:space="0" w:color="auto"/>
                                  </w:divBdr>
                                  <w:divsChild>
                                    <w:div w:id="879904058">
                                      <w:marLeft w:val="0"/>
                                      <w:marRight w:val="0"/>
                                      <w:marTop w:val="0"/>
                                      <w:marBottom w:val="0"/>
                                      <w:divBdr>
                                        <w:top w:val="single" w:sz="6" w:space="0" w:color="F5F5F5"/>
                                        <w:left w:val="single" w:sz="6" w:space="0" w:color="F5F5F5"/>
                                        <w:bottom w:val="single" w:sz="6" w:space="0" w:color="F5F5F5"/>
                                        <w:right w:val="single" w:sz="6" w:space="0" w:color="F5F5F5"/>
                                      </w:divBdr>
                                      <w:divsChild>
                                        <w:div w:id="738670424">
                                          <w:marLeft w:val="0"/>
                                          <w:marRight w:val="0"/>
                                          <w:marTop w:val="0"/>
                                          <w:marBottom w:val="0"/>
                                          <w:divBdr>
                                            <w:top w:val="none" w:sz="0" w:space="0" w:color="auto"/>
                                            <w:left w:val="none" w:sz="0" w:space="0" w:color="auto"/>
                                            <w:bottom w:val="none" w:sz="0" w:space="0" w:color="auto"/>
                                            <w:right w:val="none" w:sz="0" w:space="0" w:color="auto"/>
                                          </w:divBdr>
                                          <w:divsChild>
                                            <w:div w:id="5002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6358848">
      <w:bodyDiv w:val="1"/>
      <w:marLeft w:val="0"/>
      <w:marRight w:val="0"/>
      <w:marTop w:val="0"/>
      <w:marBottom w:val="0"/>
      <w:divBdr>
        <w:top w:val="none" w:sz="0" w:space="0" w:color="auto"/>
        <w:left w:val="none" w:sz="0" w:space="0" w:color="auto"/>
        <w:bottom w:val="none" w:sz="0" w:space="0" w:color="auto"/>
        <w:right w:val="none" w:sz="0" w:space="0" w:color="auto"/>
      </w:divBdr>
    </w:div>
    <w:div w:id="537158119">
      <w:bodyDiv w:val="1"/>
      <w:marLeft w:val="0"/>
      <w:marRight w:val="0"/>
      <w:marTop w:val="0"/>
      <w:marBottom w:val="0"/>
      <w:divBdr>
        <w:top w:val="none" w:sz="0" w:space="0" w:color="auto"/>
        <w:left w:val="none" w:sz="0" w:space="0" w:color="auto"/>
        <w:bottom w:val="none" w:sz="0" w:space="0" w:color="auto"/>
        <w:right w:val="none" w:sz="0" w:space="0" w:color="auto"/>
      </w:divBdr>
      <w:divsChild>
        <w:div w:id="1077556922">
          <w:marLeft w:val="0"/>
          <w:marRight w:val="0"/>
          <w:marTop w:val="0"/>
          <w:marBottom w:val="0"/>
          <w:divBdr>
            <w:top w:val="none" w:sz="0" w:space="0" w:color="auto"/>
            <w:left w:val="none" w:sz="0" w:space="0" w:color="auto"/>
            <w:bottom w:val="none" w:sz="0" w:space="0" w:color="auto"/>
            <w:right w:val="none" w:sz="0" w:space="0" w:color="auto"/>
          </w:divBdr>
          <w:divsChild>
            <w:div w:id="1299533424">
              <w:marLeft w:val="0"/>
              <w:marRight w:val="0"/>
              <w:marTop w:val="0"/>
              <w:marBottom w:val="0"/>
              <w:divBdr>
                <w:top w:val="none" w:sz="0" w:space="0" w:color="auto"/>
                <w:left w:val="none" w:sz="0" w:space="0" w:color="auto"/>
                <w:bottom w:val="none" w:sz="0" w:space="0" w:color="auto"/>
                <w:right w:val="none" w:sz="0" w:space="0" w:color="auto"/>
              </w:divBdr>
              <w:divsChild>
                <w:div w:id="1479178998">
                  <w:marLeft w:val="0"/>
                  <w:marRight w:val="0"/>
                  <w:marTop w:val="0"/>
                  <w:marBottom w:val="0"/>
                  <w:divBdr>
                    <w:top w:val="none" w:sz="0" w:space="0" w:color="auto"/>
                    <w:left w:val="none" w:sz="0" w:space="0" w:color="auto"/>
                    <w:bottom w:val="none" w:sz="0" w:space="0" w:color="auto"/>
                    <w:right w:val="none" w:sz="0" w:space="0" w:color="auto"/>
                  </w:divBdr>
                  <w:divsChild>
                    <w:div w:id="1061557949">
                      <w:marLeft w:val="0"/>
                      <w:marRight w:val="0"/>
                      <w:marTop w:val="0"/>
                      <w:marBottom w:val="0"/>
                      <w:divBdr>
                        <w:top w:val="none" w:sz="0" w:space="0" w:color="auto"/>
                        <w:left w:val="none" w:sz="0" w:space="0" w:color="auto"/>
                        <w:bottom w:val="none" w:sz="0" w:space="0" w:color="auto"/>
                        <w:right w:val="none" w:sz="0" w:space="0" w:color="auto"/>
                      </w:divBdr>
                      <w:divsChild>
                        <w:div w:id="1558474458">
                          <w:marLeft w:val="0"/>
                          <w:marRight w:val="0"/>
                          <w:marTop w:val="0"/>
                          <w:marBottom w:val="0"/>
                          <w:divBdr>
                            <w:top w:val="none" w:sz="0" w:space="0" w:color="auto"/>
                            <w:left w:val="none" w:sz="0" w:space="0" w:color="auto"/>
                            <w:bottom w:val="none" w:sz="0" w:space="0" w:color="auto"/>
                            <w:right w:val="none" w:sz="0" w:space="0" w:color="auto"/>
                          </w:divBdr>
                          <w:divsChild>
                            <w:div w:id="63111277">
                              <w:marLeft w:val="0"/>
                              <w:marRight w:val="0"/>
                              <w:marTop w:val="0"/>
                              <w:marBottom w:val="0"/>
                              <w:divBdr>
                                <w:top w:val="none" w:sz="0" w:space="0" w:color="auto"/>
                                <w:left w:val="none" w:sz="0" w:space="0" w:color="auto"/>
                                <w:bottom w:val="none" w:sz="0" w:space="0" w:color="auto"/>
                                <w:right w:val="none" w:sz="0" w:space="0" w:color="auto"/>
                              </w:divBdr>
                              <w:divsChild>
                                <w:div w:id="1177236247">
                                  <w:marLeft w:val="0"/>
                                  <w:marRight w:val="0"/>
                                  <w:marTop w:val="0"/>
                                  <w:marBottom w:val="0"/>
                                  <w:divBdr>
                                    <w:top w:val="none" w:sz="0" w:space="0" w:color="auto"/>
                                    <w:left w:val="none" w:sz="0" w:space="0" w:color="auto"/>
                                    <w:bottom w:val="none" w:sz="0" w:space="0" w:color="auto"/>
                                    <w:right w:val="none" w:sz="0" w:space="0" w:color="auto"/>
                                  </w:divBdr>
                                  <w:divsChild>
                                    <w:div w:id="684213304">
                                      <w:marLeft w:val="0"/>
                                      <w:marRight w:val="0"/>
                                      <w:marTop w:val="0"/>
                                      <w:marBottom w:val="0"/>
                                      <w:divBdr>
                                        <w:top w:val="single" w:sz="6" w:space="0" w:color="F5F5F5"/>
                                        <w:left w:val="single" w:sz="6" w:space="0" w:color="F5F5F5"/>
                                        <w:bottom w:val="single" w:sz="6" w:space="0" w:color="F5F5F5"/>
                                        <w:right w:val="single" w:sz="6" w:space="0" w:color="F5F5F5"/>
                                      </w:divBdr>
                                      <w:divsChild>
                                        <w:div w:id="884177956">
                                          <w:marLeft w:val="0"/>
                                          <w:marRight w:val="0"/>
                                          <w:marTop w:val="0"/>
                                          <w:marBottom w:val="0"/>
                                          <w:divBdr>
                                            <w:top w:val="none" w:sz="0" w:space="0" w:color="auto"/>
                                            <w:left w:val="none" w:sz="0" w:space="0" w:color="auto"/>
                                            <w:bottom w:val="none" w:sz="0" w:space="0" w:color="auto"/>
                                            <w:right w:val="none" w:sz="0" w:space="0" w:color="auto"/>
                                          </w:divBdr>
                                          <w:divsChild>
                                            <w:div w:id="13128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041840">
      <w:bodyDiv w:val="1"/>
      <w:marLeft w:val="0"/>
      <w:marRight w:val="0"/>
      <w:marTop w:val="0"/>
      <w:marBottom w:val="0"/>
      <w:divBdr>
        <w:top w:val="none" w:sz="0" w:space="0" w:color="auto"/>
        <w:left w:val="none" w:sz="0" w:space="0" w:color="auto"/>
        <w:bottom w:val="none" w:sz="0" w:space="0" w:color="auto"/>
        <w:right w:val="none" w:sz="0" w:space="0" w:color="auto"/>
      </w:divBdr>
      <w:divsChild>
        <w:div w:id="248541446">
          <w:marLeft w:val="0"/>
          <w:marRight w:val="0"/>
          <w:marTop w:val="0"/>
          <w:marBottom w:val="0"/>
          <w:divBdr>
            <w:top w:val="none" w:sz="0" w:space="0" w:color="auto"/>
            <w:left w:val="none" w:sz="0" w:space="0" w:color="auto"/>
            <w:bottom w:val="none" w:sz="0" w:space="0" w:color="auto"/>
            <w:right w:val="none" w:sz="0" w:space="0" w:color="auto"/>
          </w:divBdr>
          <w:divsChild>
            <w:div w:id="1284769703">
              <w:marLeft w:val="0"/>
              <w:marRight w:val="0"/>
              <w:marTop w:val="0"/>
              <w:marBottom w:val="0"/>
              <w:divBdr>
                <w:top w:val="none" w:sz="0" w:space="0" w:color="auto"/>
                <w:left w:val="none" w:sz="0" w:space="0" w:color="auto"/>
                <w:bottom w:val="none" w:sz="0" w:space="0" w:color="auto"/>
                <w:right w:val="none" w:sz="0" w:space="0" w:color="auto"/>
              </w:divBdr>
              <w:divsChild>
                <w:div w:id="178855560">
                  <w:marLeft w:val="0"/>
                  <w:marRight w:val="0"/>
                  <w:marTop w:val="0"/>
                  <w:marBottom w:val="0"/>
                  <w:divBdr>
                    <w:top w:val="none" w:sz="0" w:space="0" w:color="auto"/>
                    <w:left w:val="none" w:sz="0" w:space="0" w:color="auto"/>
                    <w:bottom w:val="none" w:sz="0" w:space="0" w:color="auto"/>
                    <w:right w:val="none" w:sz="0" w:space="0" w:color="auto"/>
                  </w:divBdr>
                  <w:divsChild>
                    <w:div w:id="639962613">
                      <w:marLeft w:val="0"/>
                      <w:marRight w:val="0"/>
                      <w:marTop w:val="0"/>
                      <w:marBottom w:val="0"/>
                      <w:divBdr>
                        <w:top w:val="none" w:sz="0" w:space="0" w:color="auto"/>
                        <w:left w:val="none" w:sz="0" w:space="0" w:color="auto"/>
                        <w:bottom w:val="none" w:sz="0" w:space="0" w:color="auto"/>
                        <w:right w:val="none" w:sz="0" w:space="0" w:color="auto"/>
                      </w:divBdr>
                      <w:divsChild>
                        <w:div w:id="868101214">
                          <w:marLeft w:val="0"/>
                          <w:marRight w:val="0"/>
                          <w:marTop w:val="0"/>
                          <w:marBottom w:val="0"/>
                          <w:divBdr>
                            <w:top w:val="none" w:sz="0" w:space="0" w:color="auto"/>
                            <w:left w:val="none" w:sz="0" w:space="0" w:color="auto"/>
                            <w:bottom w:val="none" w:sz="0" w:space="0" w:color="auto"/>
                            <w:right w:val="none" w:sz="0" w:space="0" w:color="auto"/>
                          </w:divBdr>
                          <w:divsChild>
                            <w:div w:id="2135556741">
                              <w:marLeft w:val="0"/>
                              <w:marRight w:val="0"/>
                              <w:marTop w:val="0"/>
                              <w:marBottom w:val="0"/>
                              <w:divBdr>
                                <w:top w:val="none" w:sz="0" w:space="0" w:color="auto"/>
                                <w:left w:val="none" w:sz="0" w:space="0" w:color="auto"/>
                                <w:bottom w:val="none" w:sz="0" w:space="0" w:color="auto"/>
                                <w:right w:val="none" w:sz="0" w:space="0" w:color="auto"/>
                              </w:divBdr>
                              <w:divsChild>
                                <w:div w:id="902638218">
                                  <w:marLeft w:val="0"/>
                                  <w:marRight w:val="0"/>
                                  <w:marTop w:val="0"/>
                                  <w:marBottom w:val="0"/>
                                  <w:divBdr>
                                    <w:top w:val="none" w:sz="0" w:space="0" w:color="auto"/>
                                    <w:left w:val="none" w:sz="0" w:space="0" w:color="auto"/>
                                    <w:bottom w:val="none" w:sz="0" w:space="0" w:color="auto"/>
                                    <w:right w:val="none" w:sz="0" w:space="0" w:color="auto"/>
                                  </w:divBdr>
                                  <w:divsChild>
                                    <w:div w:id="1672365743">
                                      <w:marLeft w:val="0"/>
                                      <w:marRight w:val="0"/>
                                      <w:marTop w:val="0"/>
                                      <w:marBottom w:val="0"/>
                                      <w:divBdr>
                                        <w:top w:val="single" w:sz="6" w:space="0" w:color="F5F5F5"/>
                                        <w:left w:val="single" w:sz="6" w:space="0" w:color="F5F5F5"/>
                                        <w:bottom w:val="single" w:sz="6" w:space="0" w:color="F5F5F5"/>
                                        <w:right w:val="single" w:sz="6" w:space="0" w:color="F5F5F5"/>
                                      </w:divBdr>
                                      <w:divsChild>
                                        <w:div w:id="505246924">
                                          <w:marLeft w:val="0"/>
                                          <w:marRight w:val="0"/>
                                          <w:marTop w:val="0"/>
                                          <w:marBottom w:val="0"/>
                                          <w:divBdr>
                                            <w:top w:val="none" w:sz="0" w:space="0" w:color="auto"/>
                                            <w:left w:val="none" w:sz="0" w:space="0" w:color="auto"/>
                                            <w:bottom w:val="none" w:sz="0" w:space="0" w:color="auto"/>
                                            <w:right w:val="none" w:sz="0" w:space="0" w:color="auto"/>
                                          </w:divBdr>
                                          <w:divsChild>
                                            <w:div w:id="1289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4605677">
      <w:bodyDiv w:val="1"/>
      <w:marLeft w:val="0"/>
      <w:marRight w:val="0"/>
      <w:marTop w:val="0"/>
      <w:marBottom w:val="0"/>
      <w:divBdr>
        <w:top w:val="none" w:sz="0" w:space="0" w:color="auto"/>
        <w:left w:val="none" w:sz="0" w:space="0" w:color="auto"/>
        <w:bottom w:val="none" w:sz="0" w:space="0" w:color="auto"/>
        <w:right w:val="none" w:sz="0" w:space="0" w:color="auto"/>
      </w:divBdr>
      <w:divsChild>
        <w:div w:id="536546893">
          <w:marLeft w:val="0"/>
          <w:marRight w:val="0"/>
          <w:marTop w:val="0"/>
          <w:marBottom w:val="0"/>
          <w:divBdr>
            <w:top w:val="none" w:sz="0" w:space="0" w:color="auto"/>
            <w:left w:val="none" w:sz="0" w:space="0" w:color="auto"/>
            <w:bottom w:val="none" w:sz="0" w:space="0" w:color="auto"/>
            <w:right w:val="none" w:sz="0" w:space="0" w:color="auto"/>
          </w:divBdr>
          <w:divsChild>
            <w:div w:id="1463771464">
              <w:marLeft w:val="0"/>
              <w:marRight w:val="0"/>
              <w:marTop w:val="0"/>
              <w:marBottom w:val="0"/>
              <w:divBdr>
                <w:top w:val="none" w:sz="0" w:space="0" w:color="auto"/>
                <w:left w:val="none" w:sz="0" w:space="0" w:color="auto"/>
                <w:bottom w:val="none" w:sz="0" w:space="0" w:color="auto"/>
                <w:right w:val="none" w:sz="0" w:space="0" w:color="auto"/>
              </w:divBdr>
              <w:divsChild>
                <w:div w:id="691803069">
                  <w:marLeft w:val="0"/>
                  <w:marRight w:val="0"/>
                  <w:marTop w:val="0"/>
                  <w:marBottom w:val="0"/>
                  <w:divBdr>
                    <w:top w:val="none" w:sz="0" w:space="0" w:color="auto"/>
                    <w:left w:val="none" w:sz="0" w:space="0" w:color="auto"/>
                    <w:bottom w:val="none" w:sz="0" w:space="0" w:color="auto"/>
                    <w:right w:val="none" w:sz="0" w:space="0" w:color="auto"/>
                  </w:divBdr>
                  <w:divsChild>
                    <w:div w:id="1451361141">
                      <w:marLeft w:val="0"/>
                      <w:marRight w:val="0"/>
                      <w:marTop w:val="0"/>
                      <w:marBottom w:val="0"/>
                      <w:divBdr>
                        <w:top w:val="none" w:sz="0" w:space="0" w:color="auto"/>
                        <w:left w:val="none" w:sz="0" w:space="0" w:color="auto"/>
                        <w:bottom w:val="none" w:sz="0" w:space="0" w:color="auto"/>
                        <w:right w:val="none" w:sz="0" w:space="0" w:color="auto"/>
                      </w:divBdr>
                      <w:divsChild>
                        <w:div w:id="687609503">
                          <w:marLeft w:val="0"/>
                          <w:marRight w:val="0"/>
                          <w:marTop w:val="0"/>
                          <w:marBottom w:val="0"/>
                          <w:divBdr>
                            <w:top w:val="none" w:sz="0" w:space="0" w:color="auto"/>
                            <w:left w:val="none" w:sz="0" w:space="0" w:color="auto"/>
                            <w:bottom w:val="none" w:sz="0" w:space="0" w:color="auto"/>
                            <w:right w:val="none" w:sz="0" w:space="0" w:color="auto"/>
                          </w:divBdr>
                          <w:divsChild>
                            <w:div w:id="167520974">
                              <w:marLeft w:val="0"/>
                              <w:marRight w:val="0"/>
                              <w:marTop w:val="0"/>
                              <w:marBottom w:val="0"/>
                              <w:divBdr>
                                <w:top w:val="none" w:sz="0" w:space="0" w:color="auto"/>
                                <w:left w:val="none" w:sz="0" w:space="0" w:color="auto"/>
                                <w:bottom w:val="none" w:sz="0" w:space="0" w:color="auto"/>
                                <w:right w:val="none" w:sz="0" w:space="0" w:color="auto"/>
                              </w:divBdr>
                              <w:divsChild>
                                <w:div w:id="730034728">
                                  <w:marLeft w:val="0"/>
                                  <w:marRight w:val="0"/>
                                  <w:marTop w:val="0"/>
                                  <w:marBottom w:val="0"/>
                                  <w:divBdr>
                                    <w:top w:val="none" w:sz="0" w:space="0" w:color="auto"/>
                                    <w:left w:val="none" w:sz="0" w:space="0" w:color="auto"/>
                                    <w:bottom w:val="none" w:sz="0" w:space="0" w:color="auto"/>
                                    <w:right w:val="none" w:sz="0" w:space="0" w:color="auto"/>
                                  </w:divBdr>
                                  <w:divsChild>
                                    <w:div w:id="166868183">
                                      <w:marLeft w:val="0"/>
                                      <w:marRight w:val="0"/>
                                      <w:marTop w:val="0"/>
                                      <w:marBottom w:val="0"/>
                                      <w:divBdr>
                                        <w:top w:val="single" w:sz="6" w:space="0" w:color="F5F5F5"/>
                                        <w:left w:val="single" w:sz="6" w:space="0" w:color="F5F5F5"/>
                                        <w:bottom w:val="single" w:sz="6" w:space="0" w:color="F5F5F5"/>
                                        <w:right w:val="single" w:sz="6" w:space="0" w:color="F5F5F5"/>
                                      </w:divBdr>
                                      <w:divsChild>
                                        <w:div w:id="1170680578">
                                          <w:marLeft w:val="0"/>
                                          <w:marRight w:val="0"/>
                                          <w:marTop w:val="0"/>
                                          <w:marBottom w:val="0"/>
                                          <w:divBdr>
                                            <w:top w:val="none" w:sz="0" w:space="0" w:color="auto"/>
                                            <w:left w:val="none" w:sz="0" w:space="0" w:color="auto"/>
                                            <w:bottom w:val="none" w:sz="0" w:space="0" w:color="auto"/>
                                            <w:right w:val="none" w:sz="0" w:space="0" w:color="auto"/>
                                          </w:divBdr>
                                          <w:divsChild>
                                            <w:div w:id="3876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969227">
      <w:bodyDiv w:val="1"/>
      <w:marLeft w:val="0"/>
      <w:marRight w:val="0"/>
      <w:marTop w:val="0"/>
      <w:marBottom w:val="0"/>
      <w:divBdr>
        <w:top w:val="none" w:sz="0" w:space="0" w:color="auto"/>
        <w:left w:val="none" w:sz="0" w:space="0" w:color="auto"/>
        <w:bottom w:val="none" w:sz="0" w:space="0" w:color="auto"/>
        <w:right w:val="none" w:sz="0" w:space="0" w:color="auto"/>
      </w:divBdr>
      <w:divsChild>
        <w:div w:id="794519574">
          <w:blockQuote w:val="1"/>
          <w:marLeft w:val="68"/>
          <w:marRight w:val="0"/>
          <w:marTop w:val="100"/>
          <w:marBottom w:val="100"/>
          <w:divBdr>
            <w:top w:val="none" w:sz="0" w:space="0" w:color="auto"/>
            <w:left w:val="single" w:sz="12" w:space="3" w:color="000080"/>
            <w:bottom w:val="none" w:sz="0" w:space="0" w:color="auto"/>
            <w:right w:val="none" w:sz="0" w:space="0" w:color="auto"/>
          </w:divBdr>
        </w:div>
      </w:divsChild>
    </w:div>
    <w:div w:id="734160426">
      <w:bodyDiv w:val="1"/>
      <w:marLeft w:val="0"/>
      <w:marRight w:val="0"/>
      <w:marTop w:val="0"/>
      <w:marBottom w:val="0"/>
      <w:divBdr>
        <w:top w:val="none" w:sz="0" w:space="0" w:color="auto"/>
        <w:left w:val="none" w:sz="0" w:space="0" w:color="auto"/>
        <w:bottom w:val="none" w:sz="0" w:space="0" w:color="auto"/>
        <w:right w:val="none" w:sz="0" w:space="0" w:color="auto"/>
      </w:divBdr>
      <w:divsChild>
        <w:div w:id="2060862964">
          <w:marLeft w:val="0"/>
          <w:marRight w:val="0"/>
          <w:marTop w:val="0"/>
          <w:marBottom w:val="0"/>
          <w:divBdr>
            <w:top w:val="none" w:sz="0" w:space="0" w:color="auto"/>
            <w:left w:val="none" w:sz="0" w:space="0" w:color="auto"/>
            <w:bottom w:val="none" w:sz="0" w:space="0" w:color="auto"/>
            <w:right w:val="none" w:sz="0" w:space="0" w:color="auto"/>
          </w:divBdr>
          <w:divsChild>
            <w:div w:id="812869929">
              <w:marLeft w:val="0"/>
              <w:marRight w:val="0"/>
              <w:marTop w:val="0"/>
              <w:marBottom w:val="0"/>
              <w:divBdr>
                <w:top w:val="none" w:sz="0" w:space="0" w:color="auto"/>
                <w:left w:val="none" w:sz="0" w:space="0" w:color="auto"/>
                <w:bottom w:val="none" w:sz="0" w:space="0" w:color="auto"/>
                <w:right w:val="none" w:sz="0" w:space="0" w:color="auto"/>
              </w:divBdr>
              <w:divsChild>
                <w:div w:id="1388919286">
                  <w:marLeft w:val="0"/>
                  <w:marRight w:val="0"/>
                  <w:marTop w:val="0"/>
                  <w:marBottom w:val="0"/>
                  <w:divBdr>
                    <w:top w:val="none" w:sz="0" w:space="0" w:color="auto"/>
                    <w:left w:val="none" w:sz="0" w:space="0" w:color="auto"/>
                    <w:bottom w:val="none" w:sz="0" w:space="0" w:color="auto"/>
                    <w:right w:val="none" w:sz="0" w:space="0" w:color="auto"/>
                  </w:divBdr>
                  <w:divsChild>
                    <w:div w:id="603615729">
                      <w:marLeft w:val="0"/>
                      <w:marRight w:val="0"/>
                      <w:marTop w:val="0"/>
                      <w:marBottom w:val="0"/>
                      <w:divBdr>
                        <w:top w:val="none" w:sz="0" w:space="0" w:color="auto"/>
                        <w:left w:val="none" w:sz="0" w:space="0" w:color="auto"/>
                        <w:bottom w:val="none" w:sz="0" w:space="0" w:color="auto"/>
                        <w:right w:val="none" w:sz="0" w:space="0" w:color="auto"/>
                      </w:divBdr>
                      <w:divsChild>
                        <w:div w:id="285281218">
                          <w:marLeft w:val="0"/>
                          <w:marRight w:val="0"/>
                          <w:marTop w:val="0"/>
                          <w:marBottom w:val="0"/>
                          <w:divBdr>
                            <w:top w:val="none" w:sz="0" w:space="0" w:color="auto"/>
                            <w:left w:val="none" w:sz="0" w:space="0" w:color="auto"/>
                            <w:bottom w:val="none" w:sz="0" w:space="0" w:color="auto"/>
                            <w:right w:val="none" w:sz="0" w:space="0" w:color="auto"/>
                          </w:divBdr>
                          <w:divsChild>
                            <w:div w:id="1349673017">
                              <w:marLeft w:val="0"/>
                              <w:marRight w:val="0"/>
                              <w:marTop w:val="0"/>
                              <w:marBottom w:val="0"/>
                              <w:divBdr>
                                <w:top w:val="none" w:sz="0" w:space="0" w:color="auto"/>
                                <w:left w:val="none" w:sz="0" w:space="0" w:color="auto"/>
                                <w:bottom w:val="none" w:sz="0" w:space="0" w:color="auto"/>
                                <w:right w:val="none" w:sz="0" w:space="0" w:color="auto"/>
                              </w:divBdr>
                              <w:divsChild>
                                <w:div w:id="142703069">
                                  <w:marLeft w:val="0"/>
                                  <w:marRight w:val="0"/>
                                  <w:marTop w:val="0"/>
                                  <w:marBottom w:val="0"/>
                                  <w:divBdr>
                                    <w:top w:val="none" w:sz="0" w:space="0" w:color="auto"/>
                                    <w:left w:val="none" w:sz="0" w:space="0" w:color="auto"/>
                                    <w:bottom w:val="none" w:sz="0" w:space="0" w:color="auto"/>
                                    <w:right w:val="none" w:sz="0" w:space="0" w:color="auto"/>
                                  </w:divBdr>
                                  <w:divsChild>
                                    <w:div w:id="1508056840">
                                      <w:marLeft w:val="0"/>
                                      <w:marRight w:val="0"/>
                                      <w:marTop w:val="0"/>
                                      <w:marBottom w:val="0"/>
                                      <w:divBdr>
                                        <w:top w:val="single" w:sz="6" w:space="0" w:color="F5F5F5"/>
                                        <w:left w:val="single" w:sz="6" w:space="0" w:color="F5F5F5"/>
                                        <w:bottom w:val="single" w:sz="6" w:space="0" w:color="F5F5F5"/>
                                        <w:right w:val="single" w:sz="6" w:space="0" w:color="F5F5F5"/>
                                      </w:divBdr>
                                      <w:divsChild>
                                        <w:div w:id="1591739831">
                                          <w:marLeft w:val="0"/>
                                          <w:marRight w:val="0"/>
                                          <w:marTop w:val="0"/>
                                          <w:marBottom w:val="0"/>
                                          <w:divBdr>
                                            <w:top w:val="none" w:sz="0" w:space="0" w:color="auto"/>
                                            <w:left w:val="none" w:sz="0" w:space="0" w:color="auto"/>
                                            <w:bottom w:val="none" w:sz="0" w:space="0" w:color="auto"/>
                                            <w:right w:val="none" w:sz="0" w:space="0" w:color="auto"/>
                                          </w:divBdr>
                                          <w:divsChild>
                                            <w:div w:id="14051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474661">
      <w:bodyDiv w:val="1"/>
      <w:marLeft w:val="0"/>
      <w:marRight w:val="0"/>
      <w:marTop w:val="0"/>
      <w:marBottom w:val="0"/>
      <w:divBdr>
        <w:top w:val="none" w:sz="0" w:space="0" w:color="auto"/>
        <w:left w:val="none" w:sz="0" w:space="0" w:color="auto"/>
        <w:bottom w:val="none" w:sz="0" w:space="0" w:color="auto"/>
        <w:right w:val="none" w:sz="0" w:space="0" w:color="auto"/>
      </w:divBdr>
    </w:div>
    <w:div w:id="805974328">
      <w:bodyDiv w:val="1"/>
      <w:marLeft w:val="0"/>
      <w:marRight w:val="0"/>
      <w:marTop w:val="0"/>
      <w:marBottom w:val="0"/>
      <w:divBdr>
        <w:top w:val="none" w:sz="0" w:space="0" w:color="auto"/>
        <w:left w:val="none" w:sz="0" w:space="0" w:color="auto"/>
        <w:bottom w:val="none" w:sz="0" w:space="0" w:color="auto"/>
        <w:right w:val="none" w:sz="0" w:space="0" w:color="auto"/>
      </w:divBdr>
      <w:divsChild>
        <w:div w:id="184178055">
          <w:marLeft w:val="0"/>
          <w:marRight w:val="0"/>
          <w:marTop w:val="0"/>
          <w:marBottom w:val="0"/>
          <w:divBdr>
            <w:top w:val="none" w:sz="0" w:space="0" w:color="auto"/>
            <w:left w:val="none" w:sz="0" w:space="0" w:color="auto"/>
            <w:bottom w:val="none" w:sz="0" w:space="0" w:color="auto"/>
            <w:right w:val="none" w:sz="0" w:space="0" w:color="auto"/>
          </w:divBdr>
          <w:divsChild>
            <w:div w:id="395863791">
              <w:marLeft w:val="0"/>
              <w:marRight w:val="0"/>
              <w:marTop w:val="0"/>
              <w:marBottom w:val="0"/>
              <w:divBdr>
                <w:top w:val="none" w:sz="0" w:space="0" w:color="auto"/>
                <w:left w:val="none" w:sz="0" w:space="0" w:color="auto"/>
                <w:bottom w:val="none" w:sz="0" w:space="0" w:color="auto"/>
                <w:right w:val="none" w:sz="0" w:space="0" w:color="auto"/>
              </w:divBdr>
              <w:divsChild>
                <w:div w:id="122819376">
                  <w:marLeft w:val="0"/>
                  <w:marRight w:val="0"/>
                  <w:marTop w:val="0"/>
                  <w:marBottom w:val="0"/>
                  <w:divBdr>
                    <w:top w:val="none" w:sz="0" w:space="0" w:color="auto"/>
                    <w:left w:val="none" w:sz="0" w:space="0" w:color="auto"/>
                    <w:bottom w:val="none" w:sz="0" w:space="0" w:color="auto"/>
                    <w:right w:val="none" w:sz="0" w:space="0" w:color="auto"/>
                  </w:divBdr>
                  <w:divsChild>
                    <w:div w:id="265504529">
                      <w:marLeft w:val="0"/>
                      <w:marRight w:val="0"/>
                      <w:marTop w:val="0"/>
                      <w:marBottom w:val="0"/>
                      <w:divBdr>
                        <w:top w:val="none" w:sz="0" w:space="0" w:color="auto"/>
                        <w:left w:val="none" w:sz="0" w:space="0" w:color="auto"/>
                        <w:bottom w:val="none" w:sz="0" w:space="0" w:color="auto"/>
                        <w:right w:val="none" w:sz="0" w:space="0" w:color="auto"/>
                      </w:divBdr>
                      <w:divsChild>
                        <w:div w:id="895312403">
                          <w:marLeft w:val="0"/>
                          <w:marRight w:val="0"/>
                          <w:marTop w:val="0"/>
                          <w:marBottom w:val="0"/>
                          <w:divBdr>
                            <w:top w:val="none" w:sz="0" w:space="0" w:color="auto"/>
                            <w:left w:val="none" w:sz="0" w:space="0" w:color="auto"/>
                            <w:bottom w:val="none" w:sz="0" w:space="0" w:color="auto"/>
                            <w:right w:val="none" w:sz="0" w:space="0" w:color="auto"/>
                          </w:divBdr>
                          <w:divsChild>
                            <w:div w:id="1734967023">
                              <w:marLeft w:val="0"/>
                              <w:marRight w:val="0"/>
                              <w:marTop w:val="0"/>
                              <w:marBottom w:val="0"/>
                              <w:divBdr>
                                <w:top w:val="none" w:sz="0" w:space="0" w:color="auto"/>
                                <w:left w:val="none" w:sz="0" w:space="0" w:color="auto"/>
                                <w:bottom w:val="none" w:sz="0" w:space="0" w:color="auto"/>
                                <w:right w:val="none" w:sz="0" w:space="0" w:color="auto"/>
                              </w:divBdr>
                              <w:divsChild>
                                <w:div w:id="977733478">
                                  <w:marLeft w:val="0"/>
                                  <w:marRight w:val="0"/>
                                  <w:marTop w:val="0"/>
                                  <w:marBottom w:val="0"/>
                                  <w:divBdr>
                                    <w:top w:val="none" w:sz="0" w:space="0" w:color="auto"/>
                                    <w:left w:val="none" w:sz="0" w:space="0" w:color="auto"/>
                                    <w:bottom w:val="none" w:sz="0" w:space="0" w:color="auto"/>
                                    <w:right w:val="none" w:sz="0" w:space="0" w:color="auto"/>
                                  </w:divBdr>
                                  <w:divsChild>
                                    <w:div w:id="1954090407">
                                      <w:marLeft w:val="0"/>
                                      <w:marRight w:val="0"/>
                                      <w:marTop w:val="0"/>
                                      <w:marBottom w:val="0"/>
                                      <w:divBdr>
                                        <w:top w:val="single" w:sz="6" w:space="0" w:color="F5F5F5"/>
                                        <w:left w:val="single" w:sz="6" w:space="0" w:color="F5F5F5"/>
                                        <w:bottom w:val="single" w:sz="6" w:space="0" w:color="F5F5F5"/>
                                        <w:right w:val="single" w:sz="6" w:space="0" w:color="F5F5F5"/>
                                      </w:divBdr>
                                      <w:divsChild>
                                        <w:div w:id="753628244">
                                          <w:marLeft w:val="0"/>
                                          <w:marRight w:val="0"/>
                                          <w:marTop w:val="0"/>
                                          <w:marBottom w:val="0"/>
                                          <w:divBdr>
                                            <w:top w:val="none" w:sz="0" w:space="0" w:color="auto"/>
                                            <w:left w:val="none" w:sz="0" w:space="0" w:color="auto"/>
                                            <w:bottom w:val="none" w:sz="0" w:space="0" w:color="auto"/>
                                            <w:right w:val="none" w:sz="0" w:space="0" w:color="auto"/>
                                          </w:divBdr>
                                          <w:divsChild>
                                            <w:div w:id="10617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785283">
      <w:bodyDiv w:val="1"/>
      <w:marLeft w:val="0"/>
      <w:marRight w:val="0"/>
      <w:marTop w:val="0"/>
      <w:marBottom w:val="0"/>
      <w:divBdr>
        <w:top w:val="none" w:sz="0" w:space="0" w:color="auto"/>
        <w:left w:val="none" w:sz="0" w:space="0" w:color="auto"/>
        <w:bottom w:val="none" w:sz="0" w:space="0" w:color="auto"/>
        <w:right w:val="none" w:sz="0" w:space="0" w:color="auto"/>
      </w:divBdr>
      <w:divsChild>
        <w:div w:id="1018190569">
          <w:marLeft w:val="0"/>
          <w:marRight w:val="0"/>
          <w:marTop w:val="0"/>
          <w:marBottom w:val="0"/>
          <w:divBdr>
            <w:top w:val="none" w:sz="0" w:space="0" w:color="auto"/>
            <w:left w:val="none" w:sz="0" w:space="0" w:color="auto"/>
            <w:bottom w:val="none" w:sz="0" w:space="0" w:color="auto"/>
            <w:right w:val="none" w:sz="0" w:space="0" w:color="auto"/>
          </w:divBdr>
          <w:divsChild>
            <w:div w:id="1272082198">
              <w:marLeft w:val="0"/>
              <w:marRight w:val="0"/>
              <w:marTop w:val="0"/>
              <w:marBottom w:val="0"/>
              <w:divBdr>
                <w:top w:val="none" w:sz="0" w:space="0" w:color="auto"/>
                <w:left w:val="none" w:sz="0" w:space="0" w:color="auto"/>
                <w:bottom w:val="none" w:sz="0" w:space="0" w:color="auto"/>
                <w:right w:val="none" w:sz="0" w:space="0" w:color="auto"/>
              </w:divBdr>
              <w:divsChild>
                <w:div w:id="1396319163">
                  <w:marLeft w:val="0"/>
                  <w:marRight w:val="0"/>
                  <w:marTop w:val="0"/>
                  <w:marBottom w:val="0"/>
                  <w:divBdr>
                    <w:top w:val="none" w:sz="0" w:space="0" w:color="auto"/>
                    <w:left w:val="none" w:sz="0" w:space="0" w:color="auto"/>
                    <w:bottom w:val="none" w:sz="0" w:space="0" w:color="auto"/>
                    <w:right w:val="none" w:sz="0" w:space="0" w:color="auto"/>
                  </w:divBdr>
                  <w:divsChild>
                    <w:div w:id="2097094567">
                      <w:marLeft w:val="0"/>
                      <w:marRight w:val="0"/>
                      <w:marTop w:val="0"/>
                      <w:marBottom w:val="0"/>
                      <w:divBdr>
                        <w:top w:val="none" w:sz="0" w:space="0" w:color="auto"/>
                        <w:left w:val="none" w:sz="0" w:space="0" w:color="auto"/>
                        <w:bottom w:val="none" w:sz="0" w:space="0" w:color="auto"/>
                        <w:right w:val="none" w:sz="0" w:space="0" w:color="auto"/>
                      </w:divBdr>
                      <w:divsChild>
                        <w:div w:id="1034502932">
                          <w:marLeft w:val="0"/>
                          <w:marRight w:val="0"/>
                          <w:marTop w:val="0"/>
                          <w:marBottom w:val="0"/>
                          <w:divBdr>
                            <w:top w:val="none" w:sz="0" w:space="0" w:color="auto"/>
                            <w:left w:val="none" w:sz="0" w:space="0" w:color="auto"/>
                            <w:bottom w:val="none" w:sz="0" w:space="0" w:color="auto"/>
                            <w:right w:val="none" w:sz="0" w:space="0" w:color="auto"/>
                          </w:divBdr>
                          <w:divsChild>
                            <w:div w:id="1466041769">
                              <w:marLeft w:val="0"/>
                              <w:marRight w:val="0"/>
                              <w:marTop w:val="0"/>
                              <w:marBottom w:val="0"/>
                              <w:divBdr>
                                <w:top w:val="none" w:sz="0" w:space="0" w:color="auto"/>
                                <w:left w:val="none" w:sz="0" w:space="0" w:color="auto"/>
                                <w:bottom w:val="none" w:sz="0" w:space="0" w:color="auto"/>
                                <w:right w:val="none" w:sz="0" w:space="0" w:color="auto"/>
                              </w:divBdr>
                              <w:divsChild>
                                <w:div w:id="1575697571">
                                  <w:marLeft w:val="0"/>
                                  <w:marRight w:val="0"/>
                                  <w:marTop w:val="0"/>
                                  <w:marBottom w:val="0"/>
                                  <w:divBdr>
                                    <w:top w:val="none" w:sz="0" w:space="0" w:color="auto"/>
                                    <w:left w:val="none" w:sz="0" w:space="0" w:color="auto"/>
                                    <w:bottom w:val="none" w:sz="0" w:space="0" w:color="auto"/>
                                    <w:right w:val="none" w:sz="0" w:space="0" w:color="auto"/>
                                  </w:divBdr>
                                  <w:divsChild>
                                    <w:div w:id="799301421">
                                      <w:marLeft w:val="0"/>
                                      <w:marRight w:val="0"/>
                                      <w:marTop w:val="0"/>
                                      <w:marBottom w:val="0"/>
                                      <w:divBdr>
                                        <w:top w:val="single" w:sz="6" w:space="0" w:color="F5F5F5"/>
                                        <w:left w:val="single" w:sz="6" w:space="0" w:color="F5F5F5"/>
                                        <w:bottom w:val="single" w:sz="6" w:space="0" w:color="F5F5F5"/>
                                        <w:right w:val="single" w:sz="6" w:space="0" w:color="F5F5F5"/>
                                      </w:divBdr>
                                      <w:divsChild>
                                        <w:div w:id="1298804524">
                                          <w:marLeft w:val="0"/>
                                          <w:marRight w:val="0"/>
                                          <w:marTop w:val="0"/>
                                          <w:marBottom w:val="0"/>
                                          <w:divBdr>
                                            <w:top w:val="none" w:sz="0" w:space="0" w:color="auto"/>
                                            <w:left w:val="none" w:sz="0" w:space="0" w:color="auto"/>
                                            <w:bottom w:val="none" w:sz="0" w:space="0" w:color="auto"/>
                                            <w:right w:val="none" w:sz="0" w:space="0" w:color="auto"/>
                                          </w:divBdr>
                                          <w:divsChild>
                                            <w:div w:id="8449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118816">
      <w:bodyDiv w:val="1"/>
      <w:marLeft w:val="0"/>
      <w:marRight w:val="0"/>
      <w:marTop w:val="0"/>
      <w:marBottom w:val="0"/>
      <w:divBdr>
        <w:top w:val="none" w:sz="0" w:space="0" w:color="auto"/>
        <w:left w:val="none" w:sz="0" w:space="0" w:color="auto"/>
        <w:bottom w:val="none" w:sz="0" w:space="0" w:color="auto"/>
        <w:right w:val="none" w:sz="0" w:space="0" w:color="auto"/>
      </w:divBdr>
      <w:divsChild>
        <w:div w:id="1271857177">
          <w:marLeft w:val="0"/>
          <w:marRight w:val="0"/>
          <w:marTop w:val="0"/>
          <w:marBottom w:val="0"/>
          <w:divBdr>
            <w:top w:val="none" w:sz="0" w:space="0" w:color="auto"/>
            <w:left w:val="none" w:sz="0" w:space="0" w:color="auto"/>
            <w:bottom w:val="none" w:sz="0" w:space="0" w:color="auto"/>
            <w:right w:val="none" w:sz="0" w:space="0" w:color="auto"/>
          </w:divBdr>
          <w:divsChild>
            <w:div w:id="1047755506">
              <w:marLeft w:val="0"/>
              <w:marRight w:val="0"/>
              <w:marTop w:val="0"/>
              <w:marBottom w:val="0"/>
              <w:divBdr>
                <w:top w:val="none" w:sz="0" w:space="0" w:color="auto"/>
                <w:left w:val="none" w:sz="0" w:space="0" w:color="auto"/>
                <w:bottom w:val="none" w:sz="0" w:space="0" w:color="auto"/>
                <w:right w:val="none" w:sz="0" w:space="0" w:color="auto"/>
              </w:divBdr>
              <w:divsChild>
                <w:div w:id="1937711194">
                  <w:marLeft w:val="0"/>
                  <w:marRight w:val="0"/>
                  <w:marTop w:val="0"/>
                  <w:marBottom w:val="0"/>
                  <w:divBdr>
                    <w:top w:val="none" w:sz="0" w:space="0" w:color="auto"/>
                    <w:left w:val="none" w:sz="0" w:space="0" w:color="auto"/>
                    <w:bottom w:val="none" w:sz="0" w:space="0" w:color="auto"/>
                    <w:right w:val="none" w:sz="0" w:space="0" w:color="auto"/>
                  </w:divBdr>
                  <w:divsChild>
                    <w:div w:id="1171604795">
                      <w:marLeft w:val="0"/>
                      <w:marRight w:val="0"/>
                      <w:marTop w:val="0"/>
                      <w:marBottom w:val="0"/>
                      <w:divBdr>
                        <w:top w:val="none" w:sz="0" w:space="0" w:color="auto"/>
                        <w:left w:val="none" w:sz="0" w:space="0" w:color="auto"/>
                        <w:bottom w:val="none" w:sz="0" w:space="0" w:color="auto"/>
                        <w:right w:val="none" w:sz="0" w:space="0" w:color="auto"/>
                      </w:divBdr>
                      <w:divsChild>
                        <w:div w:id="1881556121">
                          <w:marLeft w:val="0"/>
                          <w:marRight w:val="0"/>
                          <w:marTop w:val="0"/>
                          <w:marBottom w:val="0"/>
                          <w:divBdr>
                            <w:top w:val="none" w:sz="0" w:space="0" w:color="auto"/>
                            <w:left w:val="none" w:sz="0" w:space="0" w:color="auto"/>
                            <w:bottom w:val="none" w:sz="0" w:space="0" w:color="auto"/>
                            <w:right w:val="none" w:sz="0" w:space="0" w:color="auto"/>
                          </w:divBdr>
                          <w:divsChild>
                            <w:div w:id="1884561890">
                              <w:marLeft w:val="0"/>
                              <w:marRight w:val="0"/>
                              <w:marTop w:val="0"/>
                              <w:marBottom w:val="0"/>
                              <w:divBdr>
                                <w:top w:val="none" w:sz="0" w:space="0" w:color="auto"/>
                                <w:left w:val="none" w:sz="0" w:space="0" w:color="auto"/>
                                <w:bottom w:val="none" w:sz="0" w:space="0" w:color="auto"/>
                                <w:right w:val="none" w:sz="0" w:space="0" w:color="auto"/>
                              </w:divBdr>
                              <w:divsChild>
                                <w:div w:id="762383197">
                                  <w:marLeft w:val="0"/>
                                  <w:marRight w:val="0"/>
                                  <w:marTop w:val="0"/>
                                  <w:marBottom w:val="0"/>
                                  <w:divBdr>
                                    <w:top w:val="none" w:sz="0" w:space="0" w:color="auto"/>
                                    <w:left w:val="none" w:sz="0" w:space="0" w:color="auto"/>
                                    <w:bottom w:val="none" w:sz="0" w:space="0" w:color="auto"/>
                                    <w:right w:val="none" w:sz="0" w:space="0" w:color="auto"/>
                                  </w:divBdr>
                                  <w:divsChild>
                                    <w:div w:id="1042904770">
                                      <w:marLeft w:val="0"/>
                                      <w:marRight w:val="0"/>
                                      <w:marTop w:val="0"/>
                                      <w:marBottom w:val="0"/>
                                      <w:divBdr>
                                        <w:top w:val="single" w:sz="6" w:space="0" w:color="F5F5F5"/>
                                        <w:left w:val="single" w:sz="6" w:space="0" w:color="F5F5F5"/>
                                        <w:bottom w:val="single" w:sz="6" w:space="0" w:color="F5F5F5"/>
                                        <w:right w:val="single" w:sz="6" w:space="0" w:color="F5F5F5"/>
                                      </w:divBdr>
                                      <w:divsChild>
                                        <w:div w:id="1143935422">
                                          <w:marLeft w:val="0"/>
                                          <w:marRight w:val="0"/>
                                          <w:marTop w:val="0"/>
                                          <w:marBottom w:val="0"/>
                                          <w:divBdr>
                                            <w:top w:val="none" w:sz="0" w:space="0" w:color="auto"/>
                                            <w:left w:val="none" w:sz="0" w:space="0" w:color="auto"/>
                                            <w:bottom w:val="none" w:sz="0" w:space="0" w:color="auto"/>
                                            <w:right w:val="none" w:sz="0" w:space="0" w:color="auto"/>
                                          </w:divBdr>
                                          <w:divsChild>
                                            <w:div w:id="829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617585">
      <w:bodyDiv w:val="1"/>
      <w:marLeft w:val="0"/>
      <w:marRight w:val="0"/>
      <w:marTop w:val="0"/>
      <w:marBottom w:val="0"/>
      <w:divBdr>
        <w:top w:val="none" w:sz="0" w:space="0" w:color="auto"/>
        <w:left w:val="none" w:sz="0" w:space="0" w:color="auto"/>
        <w:bottom w:val="none" w:sz="0" w:space="0" w:color="auto"/>
        <w:right w:val="none" w:sz="0" w:space="0" w:color="auto"/>
      </w:divBdr>
    </w:div>
    <w:div w:id="1006127328">
      <w:bodyDiv w:val="1"/>
      <w:marLeft w:val="0"/>
      <w:marRight w:val="0"/>
      <w:marTop w:val="0"/>
      <w:marBottom w:val="0"/>
      <w:divBdr>
        <w:top w:val="none" w:sz="0" w:space="0" w:color="auto"/>
        <w:left w:val="none" w:sz="0" w:space="0" w:color="auto"/>
        <w:bottom w:val="none" w:sz="0" w:space="0" w:color="auto"/>
        <w:right w:val="none" w:sz="0" w:space="0" w:color="auto"/>
      </w:divBdr>
      <w:divsChild>
        <w:div w:id="600525023">
          <w:marLeft w:val="0"/>
          <w:marRight w:val="0"/>
          <w:marTop w:val="0"/>
          <w:marBottom w:val="0"/>
          <w:divBdr>
            <w:top w:val="none" w:sz="0" w:space="0" w:color="auto"/>
            <w:left w:val="none" w:sz="0" w:space="0" w:color="auto"/>
            <w:bottom w:val="none" w:sz="0" w:space="0" w:color="auto"/>
            <w:right w:val="none" w:sz="0" w:space="0" w:color="auto"/>
          </w:divBdr>
          <w:divsChild>
            <w:div w:id="1516766196">
              <w:marLeft w:val="0"/>
              <w:marRight w:val="0"/>
              <w:marTop w:val="0"/>
              <w:marBottom w:val="0"/>
              <w:divBdr>
                <w:top w:val="none" w:sz="0" w:space="0" w:color="auto"/>
                <w:left w:val="none" w:sz="0" w:space="0" w:color="auto"/>
                <w:bottom w:val="none" w:sz="0" w:space="0" w:color="auto"/>
                <w:right w:val="none" w:sz="0" w:space="0" w:color="auto"/>
              </w:divBdr>
              <w:divsChild>
                <w:div w:id="551580232">
                  <w:marLeft w:val="0"/>
                  <w:marRight w:val="0"/>
                  <w:marTop w:val="0"/>
                  <w:marBottom w:val="0"/>
                  <w:divBdr>
                    <w:top w:val="none" w:sz="0" w:space="0" w:color="auto"/>
                    <w:left w:val="none" w:sz="0" w:space="0" w:color="auto"/>
                    <w:bottom w:val="none" w:sz="0" w:space="0" w:color="auto"/>
                    <w:right w:val="none" w:sz="0" w:space="0" w:color="auto"/>
                  </w:divBdr>
                  <w:divsChild>
                    <w:div w:id="1469975860">
                      <w:marLeft w:val="0"/>
                      <w:marRight w:val="0"/>
                      <w:marTop w:val="0"/>
                      <w:marBottom w:val="0"/>
                      <w:divBdr>
                        <w:top w:val="none" w:sz="0" w:space="0" w:color="auto"/>
                        <w:left w:val="none" w:sz="0" w:space="0" w:color="auto"/>
                        <w:bottom w:val="none" w:sz="0" w:space="0" w:color="auto"/>
                        <w:right w:val="none" w:sz="0" w:space="0" w:color="auto"/>
                      </w:divBdr>
                      <w:divsChild>
                        <w:div w:id="193618146">
                          <w:marLeft w:val="0"/>
                          <w:marRight w:val="0"/>
                          <w:marTop w:val="0"/>
                          <w:marBottom w:val="0"/>
                          <w:divBdr>
                            <w:top w:val="none" w:sz="0" w:space="0" w:color="auto"/>
                            <w:left w:val="none" w:sz="0" w:space="0" w:color="auto"/>
                            <w:bottom w:val="none" w:sz="0" w:space="0" w:color="auto"/>
                            <w:right w:val="none" w:sz="0" w:space="0" w:color="auto"/>
                          </w:divBdr>
                          <w:divsChild>
                            <w:div w:id="2068067922">
                              <w:marLeft w:val="0"/>
                              <w:marRight w:val="0"/>
                              <w:marTop w:val="0"/>
                              <w:marBottom w:val="0"/>
                              <w:divBdr>
                                <w:top w:val="none" w:sz="0" w:space="0" w:color="auto"/>
                                <w:left w:val="none" w:sz="0" w:space="0" w:color="auto"/>
                                <w:bottom w:val="none" w:sz="0" w:space="0" w:color="auto"/>
                                <w:right w:val="none" w:sz="0" w:space="0" w:color="auto"/>
                              </w:divBdr>
                              <w:divsChild>
                                <w:div w:id="1439326685">
                                  <w:marLeft w:val="0"/>
                                  <w:marRight w:val="0"/>
                                  <w:marTop w:val="0"/>
                                  <w:marBottom w:val="0"/>
                                  <w:divBdr>
                                    <w:top w:val="none" w:sz="0" w:space="0" w:color="auto"/>
                                    <w:left w:val="none" w:sz="0" w:space="0" w:color="auto"/>
                                    <w:bottom w:val="none" w:sz="0" w:space="0" w:color="auto"/>
                                    <w:right w:val="none" w:sz="0" w:space="0" w:color="auto"/>
                                  </w:divBdr>
                                  <w:divsChild>
                                    <w:div w:id="1869875770">
                                      <w:marLeft w:val="0"/>
                                      <w:marRight w:val="0"/>
                                      <w:marTop w:val="0"/>
                                      <w:marBottom w:val="0"/>
                                      <w:divBdr>
                                        <w:top w:val="single" w:sz="6" w:space="0" w:color="F5F5F5"/>
                                        <w:left w:val="single" w:sz="6" w:space="0" w:color="F5F5F5"/>
                                        <w:bottom w:val="single" w:sz="6" w:space="0" w:color="F5F5F5"/>
                                        <w:right w:val="single" w:sz="6" w:space="0" w:color="F5F5F5"/>
                                      </w:divBdr>
                                      <w:divsChild>
                                        <w:div w:id="911501479">
                                          <w:marLeft w:val="0"/>
                                          <w:marRight w:val="0"/>
                                          <w:marTop w:val="0"/>
                                          <w:marBottom w:val="0"/>
                                          <w:divBdr>
                                            <w:top w:val="none" w:sz="0" w:space="0" w:color="auto"/>
                                            <w:left w:val="none" w:sz="0" w:space="0" w:color="auto"/>
                                            <w:bottom w:val="none" w:sz="0" w:space="0" w:color="auto"/>
                                            <w:right w:val="none" w:sz="0" w:space="0" w:color="auto"/>
                                          </w:divBdr>
                                          <w:divsChild>
                                            <w:div w:id="10696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365772">
      <w:bodyDiv w:val="1"/>
      <w:marLeft w:val="0"/>
      <w:marRight w:val="0"/>
      <w:marTop w:val="0"/>
      <w:marBottom w:val="0"/>
      <w:divBdr>
        <w:top w:val="none" w:sz="0" w:space="0" w:color="auto"/>
        <w:left w:val="none" w:sz="0" w:space="0" w:color="auto"/>
        <w:bottom w:val="none" w:sz="0" w:space="0" w:color="auto"/>
        <w:right w:val="none" w:sz="0" w:space="0" w:color="auto"/>
      </w:divBdr>
      <w:divsChild>
        <w:div w:id="1627195281">
          <w:marLeft w:val="0"/>
          <w:marRight w:val="0"/>
          <w:marTop w:val="0"/>
          <w:marBottom w:val="0"/>
          <w:divBdr>
            <w:top w:val="none" w:sz="0" w:space="0" w:color="auto"/>
            <w:left w:val="none" w:sz="0" w:space="0" w:color="auto"/>
            <w:bottom w:val="none" w:sz="0" w:space="0" w:color="auto"/>
            <w:right w:val="none" w:sz="0" w:space="0" w:color="auto"/>
          </w:divBdr>
          <w:divsChild>
            <w:div w:id="91705008">
              <w:marLeft w:val="0"/>
              <w:marRight w:val="0"/>
              <w:marTop w:val="0"/>
              <w:marBottom w:val="0"/>
              <w:divBdr>
                <w:top w:val="none" w:sz="0" w:space="0" w:color="auto"/>
                <w:left w:val="none" w:sz="0" w:space="0" w:color="auto"/>
                <w:bottom w:val="none" w:sz="0" w:space="0" w:color="auto"/>
                <w:right w:val="none" w:sz="0" w:space="0" w:color="auto"/>
              </w:divBdr>
              <w:divsChild>
                <w:div w:id="575675954">
                  <w:marLeft w:val="0"/>
                  <w:marRight w:val="0"/>
                  <w:marTop w:val="0"/>
                  <w:marBottom w:val="0"/>
                  <w:divBdr>
                    <w:top w:val="none" w:sz="0" w:space="0" w:color="auto"/>
                    <w:left w:val="none" w:sz="0" w:space="0" w:color="auto"/>
                    <w:bottom w:val="none" w:sz="0" w:space="0" w:color="auto"/>
                    <w:right w:val="none" w:sz="0" w:space="0" w:color="auto"/>
                  </w:divBdr>
                  <w:divsChild>
                    <w:div w:id="1400636287">
                      <w:marLeft w:val="0"/>
                      <w:marRight w:val="0"/>
                      <w:marTop w:val="0"/>
                      <w:marBottom w:val="0"/>
                      <w:divBdr>
                        <w:top w:val="none" w:sz="0" w:space="0" w:color="auto"/>
                        <w:left w:val="none" w:sz="0" w:space="0" w:color="auto"/>
                        <w:bottom w:val="none" w:sz="0" w:space="0" w:color="auto"/>
                        <w:right w:val="none" w:sz="0" w:space="0" w:color="auto"/>
                      </w:divBdr>
                      <w:divsChild>
                        <w:div w:id="40055193">
                          <w:marLeft w:val="0"/>
                          <w:marRight w:val="0"/>
                          <w:marTop w:val="0"/>
                          <w:marBottom w:val="0"/>
                          <w:divBdr>
                            <w:top w:val="none" w:sz="0" w:space="0" w:color="auto"/>
                            <w:left w:val="none" w:sz="0" w:space="0" w:color="auto"/>
                            <w:bottom w:val="none" w:sz="0" w:space="0" w:color="auto"/>
                            <w:right w:val="none" w:sz="0" w:space="0" w:color="auto"/>
                          </w:divBdr>
                          <w:divsChild>
                            <w:div w:id="770272494">
                              <w:marLeft w:val="0"/>
                              <w:marRight w:val="0"/>
                              <w:marTop w:val="0"/>
                              <w:marBottom w:val="0"/>
                              <w:divBdr>
                                <w:top w:val="none" w:sz="0" w:space="0" w:color="auto"/>
                                <w:left w:val="none" w:sz="0" w:space="0" w:color="auto"/>
                                <w:bottom w:val="none" w:sz="0" w:space="0" w:color="auto"/>
                                <w:right w:val="none" w:sz="0" w:space="0" w:color="auto"/>
                              </w:divBdr>
                              <w:divsChild>
                                <w:div w:id="865484719">
                                  <w:marLeft w:val="0"/>
                                  <w:marRight w:val="0"/>
                                  <w:marTop w:val="0"/>
                                  <w:marBottom w:val="0"/>
                                  <w:divBdr>
                                    <w:top w:val="none" w:sz="0" w:space="0" w:color="auto"/>
                                    <w:left w:val="none" w:sz="0" w:space="0" w:color="auto"/>
                                    <w:bottom w:val="none" w:sz="0" w:space="0" w:color="auto"/>
                                    <w:right w:val="none" w:sz="0" w:space="0" w:color="auto"/>
                                  </w:divBdr>
                                  <w:divsChild>
                                    <w:div w:id="396906389">
                                      <w:marLeft w:val="0"/>
                                      <w:marRight w:val="0"/>
                                      <w:marTop w:val="0"/>
                                      <w:marBottom w:val="0"/>
                                      <w:divBdr>
                                        <w:top w:val="single" w:sz="6" w:space="0" w:color="F5F5F5"/>
                                        <w:left w:val="single" w:sz="6" w:space="0" w:color="F5F5F5"/>
                                        <w:bottom w:val="single" w:sz="6" w:space="0" w:color="F5F5F5"/>
                                        <w:right w:val="single" w:sz="6" w:space="0" w:color="F5F5F5"/>
                                      </w:divBdr>
                                      <w:divsChild>
                                        <w:div w:id="819224276">
                                          <w:marLeft w:val="0"/>
                                          <w:marRight w:val="0"/>
                                          <w:marTop w:val="0"/>
                                          <w:marBottom w:val="0"/>
                                          <w:divBdr>
                                            <w:top w:val="none" w:sz="0" w:space="0" w:color="auto"/>
                                            <w:left w:val="none" w:sz="0" w:space="0" w:color="auto"/>
                                            <w:bottom w:val="none" w:sz="0" w:space="0" w:color="auto"/>
                                            <w:right w:val="none" w:sz="0" w:space="0" w:color="auto"/>
                                          </w:divBdr>
                                          <w:divsChild>
                                            <w:div w:id="18569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749659">
      <w:bodyDiv w:val="1"/>
      <w:marLeft w:val="0"/>
      <w:marRight w:val="0"/>
      <w:marTop w:val="0"/>
      <w:marBottom w:val="0"/>
      <w:divBdr>
        <w:top w:val="none" w:sz="0" w:space="0" w:color="auto"/>
        <w:left w:val="none" w:sz="0" w:space="0" w:color="auto"/>
        <w:bottom w:val="none" w:sz="0" w:space="0" w:color="auto"/>
        <w:right w:val="none" w:sz="0" w:space="0" w:color="auto"/>
      </w:divBdr>
      <w:divsChild>
        <w:div w:id="1761220091">
          <w:marLeft w:val="0"/>
          <w:marRight w:val="0"/>
          <w:marTop w:val="0"/>
          <w:marBottom w:val="0"/>
          <w:divBdr>
            <w:top w:val="none" w:sz="0" w:space="0" w:color="auto"/>
            <w:left w:val="none" w:sz="0" w:space="0" w:color="auto"/>
            <w:bottom w:val="none" w:sz="0" w:space="0" w:color="auto"/>
            <w:right w:val="none" w:sz="0" w:space="0" w:color="auto"/>
          </w:divBdr>
          <w:divsChild>
            <w:div w:id="831405740">
              <w:marLeft w:val="0"/>
              <w:marRight w:val="0"/>
              <w:marTop w:val="0"/>
              <w:marBottom w:val="0"/>
              <w:divBdr>
                <w:top w:val="none" w:sz="0" w:space="0" w:color="auto"/>
                <w:left w:val="none" w:sz="0" w:space="0" w:color="auto"/>
                <w:bottom w:val="none" w:sz="0" w:space="0" w:color="auto"/>
                <w:right w:val="none" w:sz="0" w:space="0" w:color="auto"/>
              </w:divBdr>
              <w:divsChild>
                <w:div w:id="2081367244">
                  <w:marLeft w:val="0"/>
                  <w:marRight w:val="0"/>
                  <w:marTop w:val="0"/>
                  <w:marBottom w:val="0"/>
                  <w:divBdr>
                    <w:top w:val="none" w:sz="0" w:space="0" w:color="auto"/>
                    <w:left w:val="none" w:sz="0" w:space="0" w:color="auto"/>
                    <w:bottom w:val="none" w:sz="0" w:space="0" w:color="auto"/>
                    <w:right w:val="none" w:sz="0" w:space="0" w:color="auto"/>
                  </w:divBdr>
                  <w:divsChild>
                    <w:div w:id="102573856">
                      <w:marLeft w:val="0"/>
                      <w:marRight w:val="0"/>
                      <w:marTop w:val="0"/>
                      <w:marBottom w:val="0"/>
                      <w:divBdr>
                        <w:top w:val="none" w:sz="0" w:space="0" w:color="auto"/>
                        <w:left w:val="none" w:sz="0" w:space="0" w:color="auto"/>
                        <w:bottom w:val="none" w:sz="0" w:space="0" w:color="auto"/>
                        <w:right w:val="none" w:sz="0" w:space="0" w:color="auto"/>
                      </w:divBdr>
                      <w:divsChild>
                        <w:div w:id="1419280300">
                          <w:marLeft w:val="0"/>
                          <w:marRight w:val="0"/>
                          <w:marTop w:val="0"/>
                          <w:marBottom w:val="0"/>
                          <w:divBdr>
                            <w:top w:val="none" w:sz="0" w:space="0" w:color="auto"/>
                            <w:left w:val="none" w:sz="0" w:space="0" w:color="auto"/>
                            <w:bottom w:val="none" w:sz="0" w:space="0" w:color="auto"/>
                            <w:right w:val="none" w:sz="0" w:space="0" w:color="auto"/>
                          </w:divBdr>
                          <w:divsChild>
                            <w:div w:id="561527344">
                              <w:marLeft w:val="0"/>
                              <w:marRight w:val="0"/>
                              <w:marTop w:val="0"/>
                              <w:marBottom w:val="0"/>
                              <w:divBdr>
                                <w:top w:val="none" w:sz="0" w:space="0" w:color="auto"/>
                                <w:left w:val="none" w:sz="0" w:space="0" w:color="auto"/>
                                <w:bottom w:val="none" w:sz="0" w:space="0" w:color="auto"/>
                                <w:right w:val="none" w:sz="0" w:space="0" w:color="auto"/>
                              </w:divBdr>
                              <w:divsChild>
                                <w:div w:id="490409979">
                                  <w:marLeft w:val="0"/>
                                  <w:marRight w:val="0"/>
                                  <w:marTop w:val="0"/>
                                  <w:marBottom w:val="0"/>
                                  <w:divBdr>
                                    <w:top w:val="none" w:sz="0" w:space="0" w:color="auto"/>
                                    <w:left w:val="none" w:sz="0" w:space="0" w:color="auto"/>
                                    <w:bottom w:val="none" w:sz="0" w:space="0" w:color="auto"/>
                                    <w:right w:val="none" w:sz="0" w:space="0" w:color="auto"/>
                                  </w:divBdr>
                                  <w:divsChild>
                                    <w:div w:id="806821133">
                                      <w:marLeft w:val="0"/>
                                      <w:marRight w:val="0"/>
                                      <w:marTop w:val="0"/>
                                      <w:marBottom w:val="0"/>
                                      <w:divBdr>
                                        <w:top w:val="single" w:sz="6" w:space="0" w:color="F5F5F5"/>
                                        <w:left w:val="single" w:sz="6" w:space="0" w:color="F5F5F5"/>
                                        <w:bottom w:val="single" w:sz="6" w:space="0" w:color="F5F5F5"/>
                                        <w:right w:val="single" w:sz="6" w:space="0" w:color="F5F5F5"/>
                                      </w:divBdr>
                                      <w:divsChild>
                                        <w:div w:id="1769622601">
                                          <w:marLeft w:val="0"/>
                                          <w:marRight w:val="0"/>
                                          <w:marTop w:val="0"/>
                                          <w:marBottom w:val="0"/>
                                          <w:divBdr>
                                            <w:top w:val="none" w:sz="0" w:space="0" w:color="auto"/>
                                            <w:left w:val="none" w:sz="0" w:space="0" w:color="auto"/>
                                            <w:bottom w:val="none" w:sz="0" w:space="0" w:color="auto"/>
                                            <w:right w:val="none" w:sz="0" w:space="0" w:color="auto"/>
                                          </w:divBdr>
                                          <w:divsChild>
                                            <w:div w:id="213991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6751532">
          <w:marLeft w:val="0"/>
          <w:marRight w:val="0"/>
          <w:marTop w:val="0"/>
          <w:marBottom w:val="0"/>
          <w:divBdr>
            <w:top w:val="none" w:sz="0" w:space="0" w:color="auto"/>
            <w:left w:val="none" w:sz="0" w:space="0" w:color="auto"/>
            <w:bottom w:val="none" w:sz="0" w:space="0" w:color="auto"/>
            <w:right w:val="none" w:sz="0" w:space="0" w:color="auto"/>
          </w:divBdr>
          <w:divsChild>
            <w:div w:id="1260138057">
              <w:marLeft w:val="0"/>
              <w:marRight w:val="0"/>
              <w:marTop w:val="0"/>
              <w:marBottom w:val="0"/>
              <w:divBdr>
                <w:top w:val="none" w:sz="0" w:space="0" w:color="auto"/>
                <w:left w:val="none" w:sz="0" w:space="0" w:color="auto"/>
                <w:bottom w:val="none" w:sz="0" w:space="0" w:color="auto"/>
                <w:right w:val="none" w:sz="0" w:space="0" w:color="auto"/>
              </w:divBdr>
              <w:divsChild>
                <w:div w:id="548617709">
                  <w:marLeft w:val="0"/>
                  <w:marRight w:val="0"/>
                  <w:marTop w:val="0"/>
                  <w:marBottom w:val="0"/>
                  <w:divBdr>
                    <w:top w:val="none" w:sz="0" w:space="0" w:color="auto"/>
                    <w:left w:val="none" w:sz="0" w:space="0" w:color="auto"/>
                    <w:bottom w:val="none" w:sz="0" w:space="0" w:color="auto"/>
                    <w:right w:val="none" w:sz="0" w:space="0" w:color="auto"/>
                  </w:divBdr>
                  <w:divsChild>
                    <w:div w:id="1505511627">
                      <w:marLeft w:val="0"/>
                      <w:marRight w:val="0"/>
                      <w:marTop w:val="0"/>
                      <w:marBottom w:val="0"/>
                      <w:divBdr>
                        <w:top w:val="none" w:sz="0" w:space="0" w:color="auto"/>
                        <w:left w:val="none" w:sz="0" w:space="0" w:color="auto"/>
                        <w:bottom w:val="none" w:sz="0" w:space="0" w:color="auto"/>
                        <w:right w:val="none" w:sz="0" w:space="0" w:color="auto"/>
                      </w:divBdr>
                      <w:divsChild>
                        <w:div w:id="542133713">
                          <w:marLeft w:val="0"/>
                          <w:marRight w:val="0"/>
                          <w:marTop w:val="0"/>
                          <w:marBottom w:val="0"/>
                          <w:divBdr>
                            <w:top w:val="none" w:sz="0" w:space="0" w:color="auto"/>
                            <w:left w:val="none" w:sz="0" w:space="0" w:color="auto"/>
                            <w:bottom w:val="none" w:sz="0" w:space="0" w:color="auto"/>
                            <w:right w:val="none" w:sz="0" w:space="0" w:color="auto"/>
                          </w:divBdr>
                          <w:divsChild>
                            <w:div w:id="1484590832">
                              <w:marLeft w:val="0"/>
                              <w:marRight w:val="0"/>
                              <w:marTop w:val="0"/>
                              <w:marBottom w:val="0"/>
                              <w:divBdr>
                                <w:top w:val="none" w:sz="0" w:space="0" w:color="auto"/>
                                <w:left w:val="none" w:sz="0" w:space="0" w:color="auto"/>
                                <w:bottom w:val="none" w:sz="0" w:space="0" w:color="auto"/>
                                <w:right w:val="none" w:sz="0" w:space="0" w:color="auto"/>
                              </w:divBdr>
                              <w:divsChild>
                                <w:div w:id="876697665">
                                  <w:marLeft w:val="0"/>
                                  <w:marRight w:val="0"/>
                                  <w:marTop w:val="0"/>
                                  <w:marBottom w:val="0"/>
                                  <w:divBdr>
                                    <w:top w:val="none" w:sz="0" w:space="0" w:color="auto"/>
                                    <w:left w:val="none" w:sz="0" w:space="0" w:color="auto"/>
                                    <w:bottom w:val="none" w:sz="0" w:space="0" w:color="auto"/>
                                    <w:right w:val="none" w:sz="0" w:space="0" w:color="auto"/>
                                  </w:divBdr>
                                  <w:divsChild>
                                    <w:div w:id="1998918258">
                                      <w:marLeft w:val="0"/>
                                      <w:marRight w:val="0"/>
                                      <w:marTop w:val="0"/>
                                      <w:marBottom w:val="0"/>
                                      <w:divBdr>
                                        <w:top w:val="single" w:sz="6" w:space="0" w:color="F5F5F5"/>
                                        <w:left w:val="single" w:sz="6" w:space="0" w:color="F5F5F5"/>
                                        <w:bottom w:val="single" w:sz="6" w:space="0" w:color="F5F5F5"/>
                                        <w:right w:val="single" w:sz="6" w:space="0" w:color="F5F5F5"/>
                                      </w:divBdr>
                                      <w:divsChild>
                                        <w:div w:id="1412460875">
                                          <w:marLeft w:val="0"/>
                                          <w:marRight w:val="0"/>
                                          <w:marTop w:val="0"/>
                                          <w:marBottom w:val="0"/>
                                          <w:divBdr>
                                            <w:top w:val="none" w:sz="0" w:space="0" w:color="auto"/>
                                            <w:left w:val="none" w:sz="0" w:space="0" w:color="auto"/>
                                            <w:bottom w:val="none" w:sz="0" w:space="0" w:color="auto"/>
                                            <w:right w:val="none" w:sz="0" w:space="0" w:color="auto"/>
                                          </w:divBdr>
                                          <w:divsChild>
                                            <w:div w:id="1917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8055">
      <w:bodyDiv w:val="1"/>
      <w:marLeft w:val="0"/>
      <w:marRight w:val="0"/>
      <w:marTop w:val="0"/>
      <w:marBottom w:val="0"/>
      <w:divBdr>
        <w:top w:val="none" w:sz="0" w:space="0" w:color="auto"/>
        <w:left w:val="none" w:sz="0" w:space="0" w:color="auto"/>
        <w:bottom w:val="none" w:sz="0" w:space="0" w:color="auto"/>
        <w:right w:val="none" w:sz="0" w:space="0" w:color="auto"/>
      </w:divBdr>
    </w:div>
    <w:div w:id="1321352203">
      <w:bodyDiv w:val="1"/>
      <w:marLeft w:val="0"/>
      <w:marRight w:val="0"/>
      <w:marTop w:val="0"/>
      <w:marBottom w:val="0"/>
      <w:divBdr>
        <w:top w:val="none" w:sz="0" w:space="0" w:color="auto"/>
        <w:left w:val="none" w:sz="0" w:space="0" w:color="auto"/>
        <w:bottom w:val="none" w:sz="0" w:space="0" w:color="auto"/>
        <w:right w:val="none" w:sz="0" w:space="0" w:color="auto"/>
      </w:divBdr>
      <w:divsChild>
        <w:div w:id="99376450">
          <w:marLeft w:val="0"/>
          <w:marRight w:val="0"/>
          <w:marTop w:val="0"/>
          <w:marBottom w:val="0"/>
          <w:divBdr>
            <w:top w:val="none" w:sz="0" w:space="0" w:color="auto"/>
            <w:left w:val="none" w:sz="0" w:space="0" w:color="auto"/>
            <w:bottom w:val="none" w:sz="0" w:space="0" w:color="auto"/>
            <w:right w:val="none" w:sz="0" w:space="0" w:color="auto"/>
          </w:divBdr>
          <w:divsChild>
            <w:div w:id="1273322886">
              <w:marLeft w:val="0"/>
              <w:marRight w:val="0"/>
              <w:marTop w:val="0"/>
              <w:marBottom w:val="0"/>
              <w:divBdr>
                <w:top w:val="none" w:sz="0" w:space="0" w:color="auto"/>
                <w:left w:val="none" w:sz="0" w:space="0" w:color="auto"/>
                <w:bottom w:val="none" w:sz="0" w:space="0" w:color="auto"/>
                <w:right w:val="none" w:sz="0" w:space="0" w:color="auto"/>
              </w:divBdr>
              <w:divsChild>
                <w:div w:id="1413888633">
                  <w:marLeft w:val="0"/>
                  <w:marRight w:val="0"/>
                  <w:marTop w:val="0"/>
                  <w:marBottom w:val="0"/>
                  <w:divBdr>
                    <w:top w:val="none" w:sz="0" w:space="0" w:color="auto"/>
                    <w:left w:val="none" w:sz="0" w:space="0" w:color="auto"/>
                    <w:bottom w:val="none" w:sz="0" w:space="0" w:color="auto"/>
                    <w:right w:val="none" w:sz="0" w:space="0" w:color="auto"/>
                  </w:divBdr>
                  <w:divsChild>
                    <w:div w:id="637107464">
                      <w:marLeft w:val="0"/>
                      <w:marRight w:val="0"/>
                      <w:marTop w:val="0"/>
                      <w:marBottom w:val="0"/>
                      <w:divBdr>
                        <w:top w:val="none" w:sz="0" w:space="0" w:color="auto"/>
                        <w:left w:val="none" w:sz="0" w:space="0" w:color="auto"/>
                        <w:bottom w:val="none" w:sz="0" w:space="0" w:color="auto"/>
                        <w:right w:val="none" w:sz="0" w:space="0" w:color="auto"/>
                      </w:divBdr>
                      <w:divsChild>
                        <w:div w:id="1970820606">
                          <w:marLeft w:val="0"/>
                          <w:marRight w:val="0"/>
                          <w:marTop w:val="0"/>
                          <w:marBottom w:val="0"/>
                          <w:divBdr>
                            <w:top w:val="none" w:sz="0" w:space="0" w:color="auto"/>
                            <w:left w:val="none" w:sz="0" w:space="0" w:color="auto"/>
                            <w:bottom w:val="none" w:sz="0" w:space="0" w:color="auto"/>
                            <w:right w:val="none" w:sz="0" w:space="0" w:color="auto"/>
                          </w:divBdr>
                          <w:divsChild>
                            <w:div w:id="1984655144">
                              <w:marLeft w:val="0"/>
                              <w:marRight w:val="0"/>
                              <w:marTop w:val="0"/>
                              <w:marBottom w:val="0"/>
                              <w:divBdr>
                                <w:top w:val="none" w:sz="0" w:space="0" w:color="auto"/>
                                <w:left w:val="none" w:sz="0" w:space="0" w:color="auto"/>
                                <w:bottom w:val="none" w:sz="0" w:space="0" w:color="auto"/>
                                <w:right w:val="none" w:sz="0" w:space="0" w:color="auto"/>
                              </w:divBdr>
                              <w:divsChild>
                                <w:div w:id="610743613">
                                  <w:marLeft w:val="0"/>
                                  <w:marRight w:val="0"/>
                                  <w:marTop w:val="0"/>
                                  <w:marBottom w:val="0"/>
                                  <w:divBdr>
                                    <w:top w:val="none" w:sz="0" w:space="0" w:color="auto"/>
                                    <w:left w:val="none" w:sz="0" w:space="0" w:color="auto"/>
                                    <w:bottom w:val="none" w:sz="0" w:space="0" w:color="auto"/>
                                    <w:right w:val="none" w:sz="0" w:space="0" w:color="auto"/>
                                  </w:divBdr>
                                  <w:divsChild>
                                    <w:div w:id="1989705628">
                                      <w:marLeft w:val="60"/>
                                      <w:marRight w:val="0"/>
                                      <w:marTop w:val="0"/>
                                      <w:marBottom w:val="0"/>
                                      <w:divBdr>
                                        <w:top w:val="none" w:sz="0" w:space="0" w:color="auto"/>
                                        <w:left w:val="none" w:sz="0" w:space="0" w:color="auto"/>
                                        <w:bottom w:val="none" w:sz="0" w:space="0" w:color="auto"/>
                                        <w:right w:val="none" w:sz="0" w:space="0" w:color="auto"/>
                                      </w:divBdr>
                                      <w:divsChild>
                                        <w:div w:id="1484465461">
                                          <w:marLeft w:val="0"/>
                                          <w:marRight w:val="0"/>
                                          <w:marTop w:val="0"/>
                                          <w:marBottom w:val="0"/>
                                          <w:divBdr>
                                            <w:top w:val="none" w:sz="0" w:space="0" w:color="auto"/>
                                            <w:left w:val="none" w:sz="0" w:space="0" w:color="auto"/>
                                            <w:bottom w:val="none" w:sz="0" w:space="0" w:color="auto"/>
                                            <w:right w:val="none" w:sz="0" w:space="0" w:color="auto"/>
                                          </w:divBdr>
                                          <w:divsChild>
                                            <w:div w:id="1515920241">
                                              <w:marLeft w:val="0"/>
                                              <w:marRight w:val="0"/>
                                              <w:marTop w:val="0"/>
                                              <w:marBottom w:val="120"/>
                                              <w:divBdr>
                                                <w:top w:val="single" w:sz="6" w:space="0" w:color="F5F5F5"/>
                                                <w:left w:val="single" w:sz="6" w:space="0" w:color="F5F5F5"/>
                                                <w:bottom w:val="single" w:sz="6" w:space="0" w:color="F5F5F5"/>
                                                <w:right w:val="single" w:sz="6" w:space="0" w:color="F5F5F5"/>
                                              </w:divBdr>
                                              <w:divsChild>
                                                <w:div w:id="1681853363">
                                                  <w:marLeft w:val="0"/>
                                                  <w:marRight w:val="0"/>
                                                  <w:marTop w:val="0"/>
                                                  <w:marBottom w:val="0"/>
                                                  <w:divBdr>
                                                    <w:top w:val="none" w:sz="0" w:space="0" w:color="auto"/>
                                                    <w:left w:val="none" w:sz="0" w:space="0" w:color="auto"/>
                                                    <w:bottom w:val="none" w:sz="0" w:space="0" w:color="auto"/>
                                                    <w:right w:val="none" w:sz="0" w:space="0" w:color="auto"/>
                                                  </w:divBdr>
                                                  <w:divsChild>
                                                    <w:div w:id="11465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283637">
      <w:bodyDiv w:val="1"/>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sChild>
            <w:div w:id="913005134">
              <w:marLeft w:val="0"/>
              <w:marRight w:val="0"/>
              <w:marTop w:val="0"/>
              <w:marBottom w:val="0"/>
              <w:divBdr>
                <w:top w:val="none" w:sz="0" w:space="0" w:color="auto"/>
                <w:left w:val="none" w:sz="0" w:space="0" w:color="auto"/>
                <w:bottom w:val="none" w:sz="0" w:space="0" w:color="auto"/>
                <w:right w:val="none" w:sz="0" w:space="0" w:color="auto"/>
              </w:divBdr>
              <w:divsChild>
                <w:div w:id="603653902">
                  <w:marLeft w:val="0"/>
                  <w:marRight w:val="0"/>
                  <w:marTop w:val="0"/>
                  <w:marBottom w:val="0"/>
                  <w:divBdr>
                    <w:top w:val="none" w:sz="0" w:space="0" w:color="auto"/>
                    <w:left w:val="none" w:sz="0" w:space="0" w:color="auto"/>
                    <w:bottom w:val="none" w:sz="0" w:space="0" w:color="auto"/>
                    <w:right w:val="none" w:sz="0" w:space="0" w:color="auto"/>
                  </w:divBdr>
                  <w:divsChild>
                    <w:div w:id="12076465">
                      <w:marLeft w:val="0"/>
                      <w:marRight w:val="0"/>
                      <w:marTop w:val="0"/>
                      <w:marBottom w:val="0"/>
                      <w:divBdr>
                        <w:top w:val="none" w:sz="0" w:space="0" w:color="auto"/>
                        <w:left w:val="none" w:sz="0" w:space="0" w:color="auto"/>
                        <w:bottom w:val="none" w:sz="0" w:space="0" w:color="auto"/>
                        <w:right w:val="none" w:sz="0" w:space="0" w:color="auto"/>
                      </w:divBdr>
                      <w:divsChild>
                        <w:div w:id="905265577">
                          <w:marLeft w:val="0"/>
                          <w:marRight w:val="0"/>
                          <w:marTop w:val="0"/>
                          <w:marBottom w:val="0"/>
                          <w:divBdr>
                            <w:top w:val="none" w:sz="0" w:space="0" w:color="auto"/>
                            <w:left w:val="none" w:sz="0" w:space="0" w:color="auto"/>
                            <w:bottom w:val="none" w:sz="0" w:space="0" w:color="auto"/>
                            <w:right w:val="none" w:sz="0" w:space="0" w:color="auto"/>
                          </w:divBdr>
                          <w:divsChild>
                            <w:div w:id="1222790287">
                              <w:marLeft w:val="0"/>
                              <w:marRight w:val="0"/>
                              <w:marTop w:val="0"/>
                              <w:marBottom w:val="0"/>
                              <w:divBdr>
                                <w:top w:val="none" w:sz="0" w:space="0" w:color="auto"/>
                                <w:left w:val="none" w:sz="0" w:space="0" w:color="auto"/>
                                <w:bottom w:val="none" w:sz="0" w:space="0" w:color="auto"/>
                                <w:right w:val="none" w:sz="0" w:space="0" w:color="auto"/>
                              </w:divBdr>
                              <w:divsChild>
                                <w:div w:id="721558695">
                                  <w:marLeft w:val="0"/>
                                  <w:marRight w:val="0"/>
                                  <w:marTop w:val="0"/>
                                  <w:marBottom w:val="0"/>
                                  <w:divBdr>
                                    <w:top w:val="none" w:sz="0" w:space="0" w:color="auto"/>
                                    <w:left w:val="none" w:sz="0" w:space="0" w:color="auto"/>
                                    <w:bottom w:val="none" w:sz="0" w:space="0" w:color="auto"/>
                                    <w:right w:val="none" w:sz="0" w:space="0" w:color="auto"/>
                                  </w:divBdr>
                                  <w:divsChild>
                                    <w:div w:id="724910176">
                                      <w:marLeft w:val="60"/>
                                      <w:marRight w:val="0"/>
                                      <w:marTop w:val="0"/>
                                      <w:marBottom w:val="0"/>
                                      <w:divBdr>
                                        <w:top w:val="none" w:sz="0" w:space="0" w:color="auto"/>
                                        <w:left w:val="none" w:sz="0" w:space="0" w:color="auto"/>
                                        <w:bottom w:val="none" w:sz="0" w:space="0" w:color="auto"/>
                                        <w:right w:val="none" w:sz="0" w:space="0" w:color="auto"/>
                                      </w:divBdr>
                                      <w:divsChild>
                                        <w:div w:id="202139666">
                                          <w:marLeft w:val="0"/>
                                          <w:marRight w:val="0"/>
                                          <w:marTop w:val="0"/>
                                          <w:marBottom w:val="0"/>
                                          <w:divBdr>
                                            <w:top w:val="none" w:sz="0" w:space="0" w:color="auto"/>
                                            <w:left w:val="none" w:sz="0" w:space="0" w:color="auto"/>
                                            <w:bottom w:val="none" w:sz="0" w:space="0" w:color="auto"/>
                                            <w:right w:val="none" w:sz="0" w:space="0" w:color="auto"/>
                                          </w:divBdr>
                                          <w:divsChild>
                                            <w:div w:id="23020179">
                                              <w:marLeft w:val="0"/>
                                              <w:marRight w:val="0"/>
                                              <w:marTop w:val="0"/>
                                              <w:marBottom w:val="120"/>
                                              <w:divBdr>
                                                <w:top w:val="single" w:sz="6" w:space="0" w:color="F5F5F5"/>
                                                <w:left w:val="single" w:sz="6" w:space="0" w:color="F5F5F5"/>
                                                <w:bottom w:val="single" w:sz="6" w:space="0" w:color="F5F5F5"/>
                                                <w:right w:val="single" w:sz="6" w:space="0" w:color="F5F5F5"/>
                                              </w:divBdr>
                                              <w:divsChild>
                                                <w:div w:id="194316475">
                                                  <w:marLeft w:val="0"/>
                                                  <w:marRight w:val="0"/>
                                                  <w:marTop w:val="0"/>
                                                  <w:marBottom w:val="0"/>
                                                  <w:divBdr>
                                                    <w:top w:val="none" w:sz="0" w:space="0" w:color="auto"/>
                                                    <w:left w:val="none" w:sz="0" w:space="0" w:color="auto"/>
                                                    <w:bottom w:val="none" w:sz="0" w:space="0" w:color="auto"/>
                                                    <w:right w:val="none" w:sz="0" w:space="0" w:color="auto"/>
                                                  </w:divBdr>
                                                  <w:divsChild>
                                                    <w:div w:id="12148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886908">
      <w:bodyDiv w:val="1"/>
      <w:marLeft w:val="0"/>
      <w:marRight w:val="0"/>
      <w:marTop w:val="0"/>
      <w:marBottom w:val="0"/>
      <w:divBdr>
        <w:top w:val="none" w:sz="0" w:space="0" w:color="auto"/>
        <w:left w:val="none" w:sz="0" w:space="0" w:color="auto"/>
        <w:bottom w:val="none" w:sz="0" w:space="0" w:color="auto"/>
        <w:right w:val="none" w:sz="0" w:space="0" w:color="auto"/>
      </w:divBdr>
      <w:divsChild>
        <w:div w:id="1295217868">
          <w:marLeft w:val="0"/>
          <w:marRight w:val="0"/>
          <w:marTop w:val="0"/>
          <w:marBottom w:val="0"/>
          <w:divBdr>
            <w:top w:val="none" w:sz="0" w:space="0" w:color="auto"/>
            <w:left w:val="none" w:sz="0" w:space="0" w:color="auto"/>
            <w:bottom w:val="none" w:sz="0" w:space="0" w:color="auto"/>
            <w:right w:val="none" w:sz="0" w:space="0" w:color="auto"/>
          </w:divBdr>
          <w:divsChild>
            <w:div w:id="1166549627">
              <w:marLeft w:val="0"/>
              <w:marRight w:val="0"/>
              <w:marTop w:val="0"/>
              <w:marBottom w:val="0"/>
              <w:divBdr>
                <w:top w:val="none" w:sz="0" w:space="0" w:color="auto"/>
                <w:left w:val="none" w:sz="0" w:space="0" w:color="auto"/>
                <w:bottom w:val="none" w:sz="0" w:space="0" w:color="auto"/>
                <w:right w:val="none" w:sz="0" w:space="0" w:color="auto"/>
              </w:divBdr>
              <w:divsChild>
                <w:div w:id="1685746631">
                  <w:marLeft w:val="0"/>
                  <w:marRight w:val="0"/>
                  <w:marTop w:val="0"/>
                  <w:marBottom w:val="0"/>
                  <w:divBdr>
                    <w:top w:val="none" w:sz="0" w:space="0" w:color="auto"/>
                    <w:left w:val="none" w:sz="0" w:space="0" w:color="auto"/>
                    <w:bottom w:val="none" w:sz="0" w:space="0" w:color="auto"/>
                    <w:right w:val="none" w:sz="0" w:space="0" w:color="auto"/>
                  </w:divBdr>
                  <w:divsChild>
                    <w:div w:id="260144576">
                      <w:marLeft w:val="0"/>
                      <w:marRight w:val="0"/>
                      <w:marTop w:val="0"/>
                      <w:marBottom w:val="0"/>
                      <w:divBdr>
                        <w:top w:val="none" w:sz="0" w:space="0" w:color="auto"/>
                        <w:left w:val="none" w:sz="0" w:space="0" w:color="auto"/>
                        <w:bottom w:val="none" w:sz="0" w:space="0" w:color="auto"/>
                        <w:right w:val="none" w:sz="0" w:space="0" w:color="auto"/>
                      </w:divBdr>
                      <w:divsChild>
                        <w:div w:id="1698652901">
                          <w:marLeft w:val="0"/>
                          <w:marRight w:val="0"/>
                          <w:marTop w:val="0"/>
                          <w:marBottom w:val="0"/>
                          <w:divBdr>
                            <w:top w:val="none" w:sz="0" w:space="0" w:color="auto"/>
                            <w:left w:val="none" w:sz="0" w:space="0" w:color="auto"/>
                            <w:bottom w:val="none" w:sz="0" w:space="0" w:color="auto"/>
                            <w:right w:val="none" w:sz="0" w:space="0" w:color="auto"/>
                          </w:divBdr>
                          <w:divsChild>
                            <w:div w:id="838735195">
                              <w:marLeft w:val="0"/>
                              <w:marRight w:val="0"/>
                              <w:marTop w:val="0"/>
                              <w:marBottom w:val="0"/>
                              <w:divBdr>
                                <w:top w:val="none" w:sz="0" w:space="0" w:color="auto"/>
                                <w:left w:val="none" w:sz="0" w:space="0" w:color="auto"/>
                                <w:bottom w:val="none" w:sz="0" w:space="0" w:color="auto"/>
                                <w:right w:val="none" w:sz="0" w:space="0" w:color="auto"/>
                              </w:divBdr>
                              <w:divsChild>
                                <w:div w:id="228657564">
                                  <w:marLeft w:val="0"/>
                                  <w:marRight w:val="0"/>
                                  <w:marTop w:val="0"/>
                                  <w:marBottom w:val="0"/>
                                  <w:divBdr>
                                    <w:top w:val="none" w:sz="0" w:space="0" w:color="auto"/>
                                    <w:left w:val="none" w:sz="0" w:space="0" w:color="auto"/>
                                    <w:bottom w:val="none" w:sz="0" w:space="0" w:color="auto"/>
                                    <w:right w:val="none" w:sz="0" w:space="0" w:color="auto"/>
                                  </w:divBdr>
                                  <w:divsChild>
                                    <w:div w:id="1855417952">
                                      <w:marLeft w:val="0"/>
                                      <w:marRight w:val="0"/>
                                      <w:marTop w:val="0"/>
                                      <w:marBottom w:val="0"/>
                                      <w:divBdr>
                                        <w:top w:val="single" w:sz="6" w:space="0" w:color="F5F5F5"/>
                                        <w:left w:val="single" w:sz="6" w:space="0" w:color="F5F5F5"/>
                                        <w:bottom w:val="single" w:sz="6" w:space="0" w:color="F5F5F5"/>
                                        <w:right w:val="single" w:sz="6" w:space="0" w:color="F5F5F5"/>
                                      </w:divBdr>
                                      <w:divsChild>
                                        <w:div w:id="1146629316">
                                          <w:marLeft w:val="0"/>
                                          <w:marRight w:val="0"/>
                                          <w:marTop w:val="0"/>
                                          <w:marBottom w:val="0"/>
                                          <w:divBdr>
                                            <w:top w:val="none" w:sz="0" w:space="0" w:color="auto"/>
                                            <w:left w:val="none" w:sz="0" w:space="0" w:color="auto"/>
                                            <w:bottom w:val="none" w:sz="0" w:space="0" w:color="auto"/>
                                            <w:right w:val="none" w:sz="0" w:space="0" w:color="auto"/>
                                          </w:divBdr>
                                          <w:divsChild>
                                            <w:div w:id="7960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474493">
      <w:bodyDiv w:val="1"/>
      <w:marLeft w:val="0"/>
      <w:marRight w:val="0"/>
      <w:marTop w:val="0"/>
      <w:marBottom w:val="0"/>
      <w:divBdr>
        <w:top w:val="none" w:sz="0" w:space="0" w:color="auto"/>
        <w:left w:val="none" w:sz="0" w:space="0" w:color="auto"/>
        <w:bottom w:val="none" w:sz="0" w:space="0" w:color="auto"/>
        <w:right w:val="none" w:sz="0" w:space="0" w:color="auto"/>
      </w:divBdr>
      <w:divsChild>
        <w:div w:id="1562911832">
          <w:marLeft w:val="0"/>
          <w:marRight w:val="0"/>
          <w:marTop w:val="0"/>
          <w:marBottom w:val="0"/>
          <w:divBdr>
            <w:top w:val="none" w:sz="0" w:space="0" w:color="auto"/>
            <w:left w:val="none" w:sz="0" w:space="0" w:color="auto"/>
            <w:bottom w:val="none" w:sz="0" w:space="0" w:color="auto"/>
            <w:right w:val="none" w:sz="0" w:space="0" w:color="auto"/>
          </w:divBdr>
          <w:divsChild>
            <w:div w:id="952321562">
              <w:marLeft w:val="0"/>
              <w:marRight w:val="0"/>
              <w:marTop w:val="0"/>
              <w:marBottom w:val="0"/>
              <w:divBdr>
                <w:top w:val="none" w:sz="0" w:space="0" w:color="auto"/>
                <w:left w:val="none" w:sz="0" w:space="0" w:color="auto"/>
                <w:bottom w:val="none" w:sz="0" w:space="0" w:color="auto"/>
                <w:right w:val="none" w:sz="0" w:space="0" w:color="auto"/>
              </w:divBdr>
              <w:divsChild>
                <w:div w:id="1659924162">
                  <w:marLeft w:val="0"/>
                  <w:marRight w:val="0"/>
                  <w:marTop w:val="0"/>
                  <w:marBottom w:val="0"/>
                  <w:divBdr>
                    <w:top w:val="none" w:sz="0" w:space="0" w:color="auto"/>
                    <w:left w:val="none" w:sz="0" w:space="0" w:color="auto"/>
                    <w:bottom w:val="none" w:sz="0" w:space="0" w:color="auto"/>
                    <w:right w:val="none" w:sz="0" w:space="0" w:color="auto"/>
                  </w:divBdr>
                  <w:divsChild>
                    <w:div w:id="542714705">
                      <w:marLeft w:val="0"/>
                      <w:marRight w:val="0"/>
                      <w:marTop w:val="0"/>
                      <w:marBottom w:val="0"/>
                      <w:divBdr>
                        <w:top w:val="none" w:sz="0" w:space="0" w:color="auto"/>
                        <w:left w:val="none" w:sz="0" w:space="0" w:color="auto"/>
                        <w:bottom w:val="none" w:sz="0" w:space="0" w:color="auto"/>
                        <w:right w:val="none" w:sz="0" w:space="0" w:color="auto"/>
                      </w:divBdr>
                      <w:divsChild>
                        <w:div w:id="1496265142">
                          <w:marLeft w:val="0"/>
                          <w:marRight w:val="0"/>
                          <w:marTop w:val="0"/>
                          <w:marBottom w:val="0"/>
                          <w:divBdr>
                            <w:top w:val="none" w:sz="0" w:space="0" w:color="auto"/>
                            <w:left w:val="none" w:sz="0" w:space="0" w:color="auto"/>
                            <w:bottom w:val="none" w:sz="0" w:space="0" w:color="auto"/>
                            <w:right w:val="none" w:sz="0" w:space="0" w:color="auto"/>
                          </w:divBdr>
                          <w:divsChild>
                            <w:div w:id="203904835">
                              <w:marLeft w:val="0"/>
                              <w:marRight w:val="0"/>
                              <w:marTop w:val="0"/>
                              <w:marBottom w:val="0"/>
                              <w:divBdr>
                                <w:top w:val="none" w:sz="0" w:space="0" w:color="auto"/>
                                <w:left w:val="none" w:sz="0" w:space="0" w:color="auto"/>
                                <w:bottom w:val="none" w:sz="0" w:space="0" w:color="auto"/>
                                <w:right w:val="none" w:sz="0" w:space="0" w:color="auto"/>
                              </w:divBdr>
                              <w:divsChild>
                                <w:div w:id="1203787899">
                                  <w:marLeft w:val="0"/>
                                  <w:marRight w:val="0"/>
                                  <w:marTop w:val="0"/>
                                  <w:marBottom w:val="0"/>
                                  <w:divBdr>
                                    <w:top w:val="none" w:sz="0" w:space="0" w:color="auto"/>
                                    <w:left w:val="none" w:sz="0" w:space="0" w:color="auto"/>
                                    <w:bottom w:val="none" w:sz="0" w:space="0" w:color="auto"/>
                                    <w:right w:val="none" w:sz="0" w:space="0" w:color="auto"/>
                                  </w:divBdr>
                                  <w:divsChild>
                                    <w:div w:id="258564945">
                                      <w:marLeft w:val="0"/>
                                      <w:marRight w:val="0"/>
                                      <w:marTop w:val="0"/>
                                      <w:marBottom w:val="0"/>
                                      <w:divBdr>
                                        <w:top w:val="single" w:sz="6" w:space="0" w:color="F5F5F5"/>
                                        <w:left w:val="single" w:sz="6" w:space="0" w:color="F5F5F5"/>
                                        <w:bottom w:val="single" w:sz="6" w:space="0" w:color="F5F5F5"/>
                                        <w:right w:val="single" w:sz="6" w:space="0" w:color="F5F5F5"/>
                                      </w:divBdr>
                                      <w:divsChild>
                                        <w:div w:id="245768915">
                                          <w:marLeft w:val="0"/>
                                          <w:marRight w:val="0"/>
                                          <w:marTop w:val="0"/>
                                          <w:marBottom w:val="0"/>
                                          <w:divBdr>
                                            <w:top w:val="none" w:sz="0" w:space="0" w:color="auto"/>
                                            <w:left w:val="none" w:sz="0" w:space="0" w:color="auto"/>
                                            <w:bottom w:val="none" w:sz="0" w:space="0" w:color="auto"/>
                                            <w:right w:val="none" w:sz="0" w:space="0" w:color="auto"/>
                                          </w:divBdr>
                                          <w:divsChild>
                                            <w:div w:id="6392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859814">
      <w:bodyDiv w:val="1"/>
      <w:marLeft w:val="0"/>
      <w:marRight w:val="0"/>
      <w:marTop w:val="0"/>
      <w:marBottom w:val="0"/>
      <w:divBdr>
        <w:top w:val="none" w:sz="0" w:space="0" w:color="auto"/>
        <w:left w:val="none" w:sz="0" w:space="0" w:color="auto"/>
        <w:bottom w:val="none" w:sz="0" w:space="0" w:color="auto"/>
        <w:right w:val="none" w:sz="0" w:space="0" w:color="auto"/>
      </w:divBdr>
      <w:divsChild>
        <w:div w:id="529686420">
          <w:marLeft w:val="0"/>
          <w:marRight w:val="0"/>
          <w:marTop w:val="0"/>
          <w:marBottom w:val="0"/>
          <w:divBdr>
            <w:top w:val="none" w:sz="0" w:space="0" w:color="auto"/>
            <w:left w:val="none" w:sz="0" w:space="0" w:color="auto"/>
            <w:bottom w:val="none" w:sz="0" w:space="0" w:color="auto"/>
            <w:right w:val="none" w:sz="0" w:space="0" w:color="auto"/>
          </w:divBdr>
          <w:divsChild>
            <w:div w:id="833111926">
              <w:marLeft w:val="0"/>
              <w:marRight w:val="0"/>
              <w:marTop w:val="0"/>
              <w:marBottom w:val="0"/>
              <w:divBdr>
                <w:top w:val="none" w:sz="0" w:space="0" w:color="auto"/>
                <w:left w:val="none" w:sz="0" w:space="0" w:color="auto"/>
                <w:bottom w:val="none" w:sz="0" w:space="0" w:color="auto"/>
                <w:right w:val="none" w:sz="0" w:space="0" w:color="auto"/>
              </w:divBdr>
              <w:divsChild>
                <w:div w:id="293759188">
                  <w:marLeft w:val="0"/>
                  <w:marRight w:val="0"/>
                  <w:marTop w:val="0"/>
                  <w:marBottom w:val="0"/>
                  <w:divBdr>
                    <w:top w:val="none" w:sz="0" w:space="0" w:color="auto"/>
                    <w:left w:val="none" w:sz="0" w:space="0" w:color="auto"/>
                    <w:bottom w:val="none" w:sz="0" w:space="0" w:color="auto"/>
                    <w:right w:val="none" w:sz="0" w:space="0" w:color="auto"/>
                  </w:divBdr>
                  <w:divsChild>
                    <w:div w:id="1871717439">
                      <w:marLeft w:val="0"/>
                      <w:marRight w:val="0"/>
                      <w:marTop w:val="0"/>
                      <w:marBottom w:val="0"/>
                      <w:divBdr>
                        <w:top w:val="none" w:sz="0" w:space="0" w:color="auto"/>
                        <w:left w:val="none" w:sz="0" w:space="0" w:color="auto"/>
                        <w:bottom w:val="none" w:sz="0" w:space="0" w:color="auto"/>
                        <w:right w:val="none" w:sz="0" w:space="0" w:color="auto"/>
                      </w:divBdr>
                      <w:divsChild>
                        <w:div w:id="538399849">
                          <w:marLeft w:val="0"/>
                          <w:marRight w:val="0"/>
                          <w:marTop w:val="0"/>
                          <w:marBottom w:val="0"/>
                          <w:divBdr>
                            <w:top w:val="none" w:sz="0" w:space="0" w:color="auto"/>
                            <w:left w:val="none" w:sz="0" w:space="0" w:color="auto"/>
                            <w:bottom w:val="none" w:sz="0" w:space="0" w:color="auto"/>
                            <w:right w:val="none" w:sz="0" w:space="0" w:color="auto"/>
                          </w:divBdr>
                          <w:divsChild>
                            <w:div w:id="1573394244">
                              <w:marLeft w:val="0"/>
                              <w:marRight w:val="0"/>
                              <w:marTop w:val="0"/>
                              <w:marBottom w:val="0"/>
                              <w:divBdr>
                                <w:top w:val="none" w:sz="0" w:space="0" w:color="auto"/>
                                <w:left w:val="none" w:sz="0" w:space="0" w:color="auto"/>
                                <w:bottom w:val="none" w:sz="0" w:space="0" w:color="auto"/>
                                <w:right w:val="none" w:sz="0" w:space="0" w:color="auto"/>
                              </w:divBdr>
                              <w:divsChild>
                                <w:div w:id="897209706">
                                  <w:marLeft w:val="0"/>
                                  <w:marRight w:val="0"/>
                                  <w:marTop w:val="0"/>
                                  <w:marBottom w:val="0"/>
                                  <w:divBdr>
                                    <w:top w:val="none" w:sz="0" w:space="0" w:color="auto"/>
                                    <w:left w:val="none" w:sz="0" w:space="0" w:color="auto"/>
                                    <w:bottom w:val="none" w:sz="0" w:space="0" w:color="auto"/>
                                    <w:right w:val="none" w:sz="0" w:space="0" w:color="auto"/>
                                  </w:divBdr>
                                  <w:divsChild>
                                    <w:div w:id="1236862054">
                                      <w:marLeft w:val="0"/>
                                      <w:marRight w:val="0"/>
                                      <w:marTop w:val="0"/>
                                      <w:marBottom w:val="0"/>
                                      <w:divBdr>
                                        <w:top w:val="single" w:sz="6" w:space="0" w:color="F5F5F5"/>
                                        <w:left w:val="single" w:sz="6" w:space="0" w:color="F5F5F5"/>
                                        <w:bottom w:val="single" w:sz="6" w:space="0" w:color="F5F5F5"/>
                                        <w:right w:val="single" w:sz="6" w:space="0" w:color="F5F5F5"/>
                                      </w:divBdr>
                                      <w:divsChild>
                                        <w:div w:id="1453790388">
                                          <w:marLeft w:val="0"/>
                                          <w:marRight w:val="0"/>
                                          <w:marTop w:val="0"/>
                                          <w:marBottom w:val="0"/>
                                          <w:divBdr>
                                            <w:top w:val="none" w:sz="0" w:space="0" w:color="auto"/>
                                            <w:left w:val="none" w:sz="0" w:space="0" w:color="auto"/>
                                            <w:bottom w:val="none" w:sz="0" w:space="0" w:color="auto"/>
                                            <w:right w:val="none" w:sz="0" w:space="0" w:color="auto"/>
                                          </w:divBdr>
                                          <w:divsChild>
                                            <w:div w:id="16965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216514">
      <w:bodyDiv w:val="1"/>
      <w:marLeft w:val="0"/>
      <w:marRight w:val="0"/>
      <w:marTop w:val="0"/>
      <w:marBottom w:val="0"/>
      <w:divBdr>
        <w:top w:val="none" w:sz="0" w:space="0" w:color="auto"/>
        <w:left w:val="none" w:sz="0" w:space="0" w:color="auto"/>
        <w:bottom w:val="none" w:sz="0" w:space="0" w:color="auto"/>
        <w:right w:val="none" w:sz="0" w:space="0" w:color="auto"/>
      </w:divBdr>
      <w:divsChild>
        <w:div w:id="2100908964">
          <w:marLeft w:val="0"/>
          <w:marRight w:val="0"/>
          <w:marTop w:val="0"/>
          <w:marBottom w:val="0"/>
          <w:divBdr>
            <w:top w:val="none" w:sz="0" w:space="0" w:color="auto"/>
            <w:left w:val="none" w:sz="0" w:space="0" w:color="auto"/>
            <w:bottom w:val="none" w:sz="0" w:space="0" w:color="auto"/>
            <w:right w:val="none" w:sz="0" w:space="0" w:color="auto"/>
          </w:divBdr>
          <w:divsChild>
            <w:div w:id="1152015717">
              <w:marLeft w:val="0"/>
              <w:marRight w:val="0"/>
              <w:marTop w:val="0"/>
              <w:marBottom w:val="0"/>
              <w:divBdr>
                <w:top w:val="none" w:sz="0" w:space="0" w:color="auto"/>
                <w:left w:val="none" w:sz="0" w:space="0" w:color="auto"/>
                <w:bottom w:val="none" w:sz="0" w:space="0" w:color="auto"/>
                <w:right w:val="none" w:sz="0" w:space="0" w:color="auto"/>
              </w:divBdr>
              <w:divsChild>
                <w:div w:id="786243374">
                  <w:marLeft w:val="0"/>
                  <w:marRight w:val="0"/>
                  <w:marTop w:val="0"/>
                  <w:marBottom w:val="0"/>
                  <w:divBdr>
                    <w:top w:val="none" w:sz="0" w:space="0" w:color="auto"/>
                    <w:left w:val="none" w:sz="0" w:space="0" w:color="auto"/>
                    <w:bottom w:val="none" w:sz="0" w:space="0" w:color="auto"/>
                    <w:right w:val="none" w:sz="0" w:space="0" w:color="auto"/>
                  </w:divBdr>
                  <w:divsChild>
                    <w:div w:id="1178424517">
                      <w:marLeft w:val="0"/>
                      <w:marRight w:val="0"/>
                      <w:marTop w:val="0"/>
                      <w:marBottom w:val="0"/>
                      <w:divBdr>
                        <w:top w:val="none" w:sz="0" w:space="0" w:color="auto"/>
                        <w:left w:val="none" w:sz="0" w:space="0" w:color="auto"/>
                        <w:bottom w:val="none" w:sz="0" w:space="0" w:color="auto"/>
                        <w:right w:val="none" w:sz="0" w:space="0" w:color="auto"/>
                      </w:divBdr>
                      <w:divsChild>
                        <w:div w:id="166211726">
                          <w:marLeft w:val="0"/>
                          <w:marRight w:val="0"/>
                          <w:marTop w:val="0"/>
                          <w:marBottom w:val="0"/>
                          <w:divBdr>
                            <w:top w:val="none" w:sz="0" w:space="0" w:color="auto"/>
                            <w:left w:val="none" w:sz="0" w:space="0" w:color="auto"/>
                            <w:bottom w:val="none" w:sz="0" w:space="0" w:color="auto"/>
                            <w:right w:val="none" w:sz="0" w:space="0" w:color="auto"/>
                          </w:divBdr>
                          <w:divsChild>
                            <w:div w:id="382872469">
                              <w:marLeft w:val="0"/>
                              <w:marRight w:val="0"/>
                              <w:marTop w:val="0"/>
                              <w:marBottom w:val="0"/>
                              <w:divBdr>
                                <w:top w:val="none" w:sz="0" w:space="0" w:color="auto"/>
                                <w:left w:val="none" w:sz="0" w:space="0" w:color="auto"/>
                                <w:bottom w:val="none" w:sz="0" w:space="0" w:color="auto"/>
                                <w:right w:val="none" w:sz="0" w:space="0" w:color="auto"/>
                              </w:divBdr>
                              <w:divsChild>
                                <w:div w:id="1561751430">
                                  <w:marLeft w:val="0"/>
                                  <w:marRight w:val="0"/>
                                  <w:marTop w:val="0"/>
                                  <w:marBottom w:val="0"/>
                                  <w:divBdr>
                                    <w:top w:val="none" w:sz="0" w:space="0" w:color="auto"/>
                                    <w:left w:val="none" w:sz="0" w:space="0" w:color="auto"/>
                                    <w:bottom w:val="none" w:sz="0" w:space="0" w:color="auto"/>
                                    <w:right w:val="none" w:sz="0" w:space="0" w:color="auto"/>
                                  </w:divBdr>
                                  <w:divsChild>
                                    <w:div w:id="337122835">
                                      <w:marLeft w:val="0"/>
                                      <w:marRight w:val="0"/>
                                      <w:marTop w:val="0"/>
                                      <w:marBottom w:val="0"/>
                                      <w:divBdr>
                                        <w:top w:val="single" w:sz="6" w:space="0" w:color="F5F5F5"/>
                                        <w:left w:val="single" w:sz="6" w:space="0" w:color="F5F5F5"/>
                                        <w:bottom w:val="single" w:sz="6" w:space="0" w:color="F5F5F5"/>
                                        <w:right w:val="single" w:sz="6" w:space="0" w:color="F5F5F5"/>
                                      </w:divBdr>
                                      <w:divsChild>
                                        <w:div w:id="1907380273">
                                          <w:marLeft w:val="0"/>
                                          <w:marRight w:val="0"/>
                                          <w:marTop w:val="0"/>
                                          <w:marBottom w:val="0"/>
                                          <w:divBdr>
                                            <w:top w:val="none" w:sz="0" w:space="0" w:color="auto"/>
                                            <w:left w:val="none" w:sz="0" w:space="0" w:color="auto"/>
                                            <w:bottom w:val="none" w:sz="0" w:space="0" w:color="auto"/>
                                            <w:right w:val="none" w:sz="0" w:space="0" w:color="auto"/>
                                          </w:divBdr>
                                          <w:divsChild>
                                            <w:div w:id="13344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983666">
      <w:bodyDiv w:val="1"/>
      <w:marLeft w:val="0"/>
      <w:marRight w:val="0"/>
      <w:marTop w:val="0"/>
      <w:marBottom w:val="0"/>
      <w:divBdr>
        <w:top w:val="none" w:sz="0" w:space="0" w:color="auto"/>
        <w:left w:val="none" w:sz="0" w:space="0" w:color="auto"/>
        <w:bottom w:val="none" w:sz="0" w:space="0" w:color="auto"/>
        <w:right w:val="none" w:sz="0" w:space="0" w:color="auto"/>
      </w:divBdr>
      <w:divsChild>
        <w:div w:id="971592502">
          <w:marLeft w:val="0"/>
          <w:marRight w:val="0"/>
          <w:marTop w:val="0"/>
          <w:marBottom w:val="0"/>
          <w:divBdr>
            <w:top w:val="none" w:sz="0" w:space="0" w:color="auto"/>
            <w:left w:val="none" w:sz="0" w:space="0" w:color="auto"/>
            <w:bottom w:val="none" w:sz="0" w:space="0" w:color="auto"/>
            <w:right w:val="none" w:sz="0" w:space="0" w:color="auto"/>
          </w:divBdr>
          <w:divsChild>
            <w:div w:id="471217854">
              <w:marLeft w:val="0"/>
              <w:marRight w:val="0"/>
              <w:marTop w:val="0"/>
              <w:marBottom w:val="0"/>
              <w:divBdr>
                <w:top w:val="none" w:sz="0" w:space="0" w:color="auto"/>
                <w:left w:val="none" w:sz="0" w:space="0" w:color="auto"/>
                <w:bottom w:val="none" w:sz="0" w:space="0" w:color="auto"/>
                <w:right w:val="none" w:sz="0" w:space="0" w:color="auto"/>
              </w:divBdr>
              <w:divsChild>
                <w:div w:id="1598908801">
                  <w:marLeft w:val="0"/>
                  <w:marRight w:val="0"/>
                  <w:marTop w:val="0"/>
                  <w:marBottom w:val="0"/>
                  <w:divBdr>
                    <w:top w:val="none" w:sz="0" w:space="0" w:color="auto"/>
                    <w:left w:val="none" w:sz="0" w:space="0" w:color="auto"/>
                    <w:bottom w:val="none" w:sz="0" w:space="0" w:color="auto"/>
                    <w:right w:val="none" w:sz="0" w:space="0" w:color="auto"/>
                  </w:divBdr>
                  <w:divsChild>
                    <w:div w:id="1401369219">
                      <w:marLeft w:val="0"/>
                      <w:marRight w:val="0"/>
                      <w:marTop w:val="0"/>
                      <w:marBottom w:val="0"/>
                      <w:divBdr>
                        <w:top w:val="none" w:sz="0" w:space="0" w:color="auto"/>
                        <w:left w:val="none" w:sz="0" w:space="0" w:color="auto"/>
                        <w:bottom w:val="none" w:sz="0" w:space="0" w:color="auto"/>
                        <w:right w:val="none" w:sz="0" w:space="0" w:color="auto"/>
                      </w:divBdr>
                      <w:divsChild>
                        <w:div w:id="152530310">
                          <w:marLeft w:val="0"/>
                          <w:marRight w:val="0"/>
                          <w:marTop w:val="0"/>
                          <w:marBottom w:val="0"/>
                          <w:divBdr>
                            <w:top w:val="none" w:sz="0" w:space="0" w:color="auto"/>
                            <w:left w:val="none" w:sz="0" w:space="0" w:color="auto"/>
                            <w:bottom w:val="none" w:sz="0" w:space="0" w:color="auto"/>
                            <w:right w:val="none" w:sz="0" w:space="0" w:color="auto"/>
                          </w:divBdr>
                          <w:divsChild>
                            <w:div w:id="623121099">
                              <w:marLeft w:val="0"/>
                              <w:marRight w:val="0"/>
                              <w:marTop w:val="0"/>
                              <w:marBottom w:val="0"/>
                              <w:divBdr>
                                <w:top w:val="none" w:sz="0" w:space="0" w:color="auto"/>
                                <w:left w:val="none" w:sz="0" w:space="0" w:color="auto"/>
                                <w:bottom w:val="none" w:sz="0" w:space="0" w:color="auto"/>
                                <w:right w:val="none" w:sz="0" w:space="0" w:color="auto"/>
                              </w:divBdr>
                              <w:divsChild>
                                <w:div w:id="2095861273">
                                  <w:marLeft w:val="0"/>
                                  <w:marRight w:val="0"/>
                                  <w:marTop w:val="0"/>
                                  <w:marBottom w:val="0"/>
                                  <w:divBdr>
                                    <w:top w:val="none" w:sz="0" w:space="0" w:color="auto"/>
                                    <w:left w:val="none" w:sz="0" w:space="0" w:color="auto"/>
                                    <w:bottom w:val="none" w:sz="0" w:space="0" w:color="auto"/>
                                    <w:right w:val="none" w:sz="0" w:space="0" w:color="auto"/>
                                  </w:divBdr>
                                  <w:divsChild>
                                    <w:div w:id="1381322614">
                                      <w:marLeft w:val="0"/>
                                      <w:marRight w:val="0"/>
                                      <w:marTop w:val="0"/>
                                      <w:marBottom w:val="0"/>
                                      <w:divBdr>
                                        <w:top w:val="single" w:sz="6" w:space="0" w:color="F5F5F5"/>
                                        <w:left w:val="single" w:sz="6" w:space="0" w:color="F5F5F5"/>
                                        <w:bottom w:val="single" w:sz="6" w:space="0" w:color="F5F5F5"/>
                                        <w:right w:val="single" w:sz="6" w:space="0" w:color="F5F5F5"/>
                                      </w:divBdr>
                                      <w:divsChild>
                                        <w:div w:id="1317614254">
                                          <w:marLeft w:val="0"/>
                                          <w:marRight w:val="0"/>
                                          <w:marTop w:val="0"/>
                                          <w:marBottom w:val="0"/>
                                          <w:divBdr>
                                            <w:top w:val="none" w:sz="0" w:space="0" w:color="auto"/>
                                            <w:left w:val="none" w:sz="0" w:space="0" w:color="auto"/>
                                            <w:bottom w:val="none" w:sz="0" w:space="0" w:color="auto"/>
                                            <w:right w:val="none" w:sz="0" w:space="0" w:color="auto"/>
                                          </w:divBdr>
                                          <w:divsChild>
                                            <w:div w:id="1407724672">
                                              <w:marLeft w:val="0"/>
                                              <w:marRight w:val="0"/>
                                              <w:marTop w:val="0"/>
                                              <w:marBottom w:val="0"/>
                                              <w:divBdr>
                                                <w:top w:val="none" w:sz="0" w:space="0" w:color="auto"/>
                                                <w:left w:val="none" w:sz="0" w:space="0" w:color="auto"/>
                                                <w:bottom w:val="none" w:sz="0" w:space="0" w:color="auto"/>
                                                <w:right w:val="none" w:sz="0" w:space="0" w:color="auto"/>
                                              </w:divBdr>
                                              <w:divsChild>
                                                <w:div w:id="11549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722639">
      <w:bodyDiv w:val="1"/>
      <w:marLeft w:val="0"/>
      <w:marRight w:val="0"/>
      <w:marTop w:val="0"/>
      <w:marBottom w:val="0"/>
      <w:divBdr>
        <w:top w:val="none" w:sz="0" w:space="0" w:color="auto"/>
        <w:left w:val="none" w:sz="0" w:space="0" w:color="auto"/>
        <w:bottom w:val="none" w:sz="0" w:space="0" w:color="auto"/>
        <w:right w:val="none" w:sz="0" w:space="0" w:color="auto"/>
      </w:divBdr>
    </w:div>
    <w:div w:id="1650283201">
      <w:bodyDiv w:val="1"/>
      <w:marLeft w:val="0"/>
      <w:marRight w:val="0"/>
      <w:marTop w:val="0"/>
      <w:marBottom w:val="0"/>
      <w:divBdr>
        <w:top w:val="none" w:sz="0" w:space="0" w:color="auto"/>
        <w:left w:val="none" w:sz="0" w:space="0" w:color="auto"/>
        <w:bottom w:val="none" w:sz="0" w:space="0" w:color="auto"/>
        <w:right w:val="none" w:sz="0" w:space="0" w:color="auto"/>
      </w:divBdr>
      <w:divsChild>
        <w:div w:id="1797679027">
          <w:marLeft w:val="0"/>
          <w:marRight w:val="0"/>
          <w:marTop w:val="0"/>
          <w:marBottom w:val="0"/>
          <w:divBdr>
            <w:top w:val="none" w:sz="0" w:space="0" w:color="auto"/>
            <w:left w:val="none" w:sz="0" w:space="0" w:color="auto"/>
            <w:bottom w:val="none" w:sz="0" w:space="0" w:color="auto"/>
            <w:right w:val="none" w:sz="0" w:space="0" w:color="auto"/>
          </w:divBdr>
          <w:divsChild>
            <w:div w:id="1229654790">
              <w:marLeft w:val="0"/>
              <w:marRight w:val="0"/>
              <w:marTop w:val="0"/>
              <w:marBottom w:val="0"/>
              <w:divBdr>
                <w:top w:val="none" w:sz="0" w:space="0" w:color="auto"/>
                <w:left w:val="none" w:sz="0" w:space="0" w:color="auto"/>
                <w:bottom w:val="none" w:sz="0" w:space="0" w:color="auto"/>
                <w:right w:val="none" w:sz="0" w:space="0" w:color="auto"/>
              </w:divBdr>
              <w:divsChild>
                <w:div w:id="912814580">
                  <w:marLeft w:val="0"/>
                  <w:marRight w:val="0"/>
                  <w:marTop w:val="0"/>
                  <w:marBottom w:val="0"/>
                  <w:divBdr>
                    <w:top w:val="none" w:sz="0" w:space="0" w:color="auto"/>
                    <w:left w:val="none" w:sz="0" w:space="0" w:color="auto"/>
                    <w:bottom w:val="none" w:sz="0" w:space="0" w:color="auto"/>
                    <w:right w:val="none" w:sz="0" w:space="0" w:color="auto"/>
                  </w:divBdr>
                  <w:divsChild>
                    <w:div w:id="1497384149">
                      <w:marLeft w:val="0"/>
                      <w:marRight w:val="0"/>
                      <w:marTop w:val="0"/>
                      <w:marBottom w:val="0"/>
                      <w:divBdr>
                        <w:top w:val="none" w:sz="0" w:space="0" w:color="auto"/>
                        <w:left w:val="none" w:sz="0" w:space="0" w:color="auto"/>
                        <w:bottom w:val="none" w:sz="0" w:space="0" w:color="auto"/>
                        <w:right w:val="none" w:sz="0" w:space="0" w:color="auto"/>
                      </w:divBdr>
                      <w:divsChild>
                        <w:div w:id="1113330672">
                          <w:marLeft w:val="0"/>
                          <w:marRight w:val="0"/>
                          <w:marTop w:val="0"/>
                          <w:marBottom w:val="0"/>
                          <w:divBdr>
                            <w:top w:val="none" w:sz="0" w:space="0" w:color="auto"/>
                            <w:left w:val="none" w:sz="0" w:space="0" w:color="auto"/>
                            <w:bottom w:val="none" w:sz="0" w:space="0" w:color="auto"/>
                            <w:right w:val="none" w:sz="0" w:space="0" w:color="auto"/>
                          </w:divBdr>
                          <w:divsChild>
                            <w:div w:id="1989702075">
                              <w:marLeft w:val="0"/>
                              <w:marRight w:val="0"/>
                              <w:marTop w:val="0"/>
                              <w:marBottom w:val="0"/>
                              <w:divBdr>
                                <w:top w:val="none" w:sz="0" w:space="0" w:color="auto"/>
                                <w:left w:val="none" w:sz="0" w:space="0" w:color="auto"/>
                                <w:bottom w:val="none" w:sz="0" w:space="0" w:color="auto"/>
                                <w:right w:val="none" w:sz="0" w:space="0" w:color="auto"/>
                              </w:divBdr>
                              <w:divsChild>
                                <w:div w:id="1237324297">
                                  <w:marLeft w:val="0"/>
                                  <w:marRight w:val="0"/>
                                  <w:marTop w:val="0"/>
                                  <w:marBottom w:val="0"/>
                                  <w:divBdr>
                                    <w:top w:val="none" w:sz="0" w:space="0" w:color="auto"/>
                                    <w:left w:val="none" w:sz="0" w:space="0" w:color="auto"/>
                                    <w:bottom w:val="none" w:sz="0" w:space="0" w:color="auto"/>
                                    <w:right w:val="none" w:sz="0" w:space="0" w:color="auto"/>
                                  </w:divBdr>
                                  <w:divsChild>
                                    <w:div w:id="73741588">
                                      <w:marLeft w:val="0"/>
                                      <w:marRight w:val="0"/>
                                      <w:marTop w:val="0"/>
                                      <w:marBottom w:val="0"/>
                                      <w:divBdr>
                                        <w:top w:val="single" w:sz="6" w:space="0" w:color="F5F5F5"/>
                                        <w:left w:val="single" w:sz="6" w:space="0" w:color="F5F5F5"/>
                                        <w:bottom w:val="single" w:sz="6" w:space="0" w:color="F5F5F5"/>
                                        <w:right w:val="single" w:sz="6" w:space="0" w:color="F5F5F5"/>
                                      </w:divBdr>
                                      <w:divsChild>
                                        <w:div w:id="1490906203">
                                          <w:marLeft w:val="0"/>
                                          <w:marRight w:val="0"/>
                                          <w:marTop w:val="0"/>
                                          <w:marBottom w:val="0"/>
                                          <w:divBdr>
                                            <w:top w:val="none" w:sz="0" w:space="0" w:color="auto"/>
                                            <w:left w:val="none" w:sz="0" w:space="0" w:color="auto"/>
                                            <w:bottom w:val="none" w:sz="0" w:space="0" w:color="auto"/>
                                            <w:right w:val="none" w:sz="0" w:space="0" w:color="auto"/>
                                          </w:divBdr>
                                          <w:divsChild>
                                            <w:div w:id="185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64545">
      <w:bodyDiv w:val="1"/>
      <w:marLeft w:val="0"/>
      <w:marRight w:val="0"/>
      <w:marTop w:val="0"/>
      <w:marBottom w:val="0"/>
      <w:divBdr>
        <w:top w:val="none" w:sz="0" w:space="0" w:color="auto"/>
        <w:left w:val="none" w:sz="0" w:space="0" w:color="auto"/>
        <w:bottom w:val="none" w:sz="0" w:space="0" w:color="auto"/>
        <w:right w:val="none" w:sz="0" w:space="0" w:color="auto"/>
      </w:divBdr>
      <w:divsChild>
        <w:div w:id="2076856909">
          <w:marLeft w:val="0"/>
          <w:marRight w:val="0"/>
          <w:marTop w:val="0"/>
          <w:marBottom w:val="0"/>
          <w:divBdr>
            <w:top w:val="none" w:sz="0" w:space="0" w:color="auto"/>
            <w:left w:val="none" w:sz="0" w:space="0" w:color="auto"/>
            <w:bottom w:val="none" w:sz="0" w:space="0" w:color="auto"/>
            <w:right w:val="none" w:sz="0" w:space="0" w:color="auto"/>
          </w:divBdr>
          <w:divsChild>
            <w:div w:id="1947079331">
              <w:marLeft w:val="0"/>
              <w:marRight w:val="0"/>
              <w:marTop w:val="0"/>
              <w:marBottom w:val="0"/>
              <w:divBdr>
                <w:top w:val="none" w:sz="0" w:space="0" w:color="auto"/>
                <w:left w:val="none" w:sz="0" w:space="0" w:color="auto"/>
                <w:bottom w:val="none" w:sz="0" w:space="0" w:color="auto"/>
                <w:right w:val="none" w:sz="0" w:space="0" w:color="auto"/>
              </w:divBdr>
              <w:divsChild>
                <w:div w:id="796143225">
                  <w:marLeft w:val="0"/>
                  <w:marRight w:val="0"/>
                  <w:marTop w:val="0"/>
                  <w:marBottom w:val="0"/>
                  <w:divBdr>
                    <w:top w:val="none" w:sz="0" w:space="0" w:color="auto"/>
                    <w:left w:val="none" w:sz="0" w:space="0" w:color="auto"/>
                    <w:bottom w:val="none" w:sz="0" w:space="0" w:color="auto"/>
                    <w:right w:val="none" w:sz="0" w:space="0" w:color="auto"/>
                  </w:divBdr>
                  <w:divsChild>
                    <w:div w:id="1181823097">
                      <w:marLeft w:val="0"/>
                      <w:marRight w:val="0"/>
                      <w:marTop w:val="0"/>
                      <w:marBottom w:val="0"/>
                      <w:divBdr>
                        <w:top w:val="none" w:sz="0" w:space="0" w:color="auto"/>
                        <w:left w:val="none" w:sz="0" w:space="0" w:color="auto"/>
                        <w:bottom w:val="none" w:sz="0" w:space="0" w:color="auto"/>
                        <w:right w:val="none" w:sz="0" w:space="0" w:color="auto"/>
                      </w:divBdr>
                      <w:divsChild>
                        <w:div w:id="1466000833">
                          <w:marLeft w:val="0"/>
                          <w:marRight w:val="0"/>
                          <w:marTop w:val="0"/>
                          <w:marBottom w:val="0"/>
                          <w:divBdr>
                            <w:top w:val="none" w:sz="0" w:space="0" w:color="auto"/>
                            <w:left w:val="none" w:sz="0" w:space="0" w:color="auto"/>
                            <w:bottom w:val="none" w:sz="0" w:space="0" w:color="auto"/>
                            <w:right w:val="none" w:sz="0" w:space="0" w:color="auto"/>
                          </w:divBdr>
                          <w:divsChild>
                            <w:div w:id="349768113">
                              <w:marLeft w:val="0"/>
                              <w:marRight w:val="0"/>
                              <w:marTop w:val="0"/>
                              <w:marBottom w:val="0"/>
                              <w:divBdr>
                                <w:top w:val="none" w:sz="0" w:space="0" w:color="auto"/>
                                <w:left w:val="none" w:sz="0" w:space="0" w:color="auto"/>
                                <w:bottom w:val="none" w:sz="0" w:space="0" w:color="auto"/>
                                <w:right w:val="none" w:sz="0" w:space="0" w:color="auto"/>
                              </w:divBdr>
                              <w:divsChild>
                                <w:div w:id="843202211">
                                  <w:marLeft w:val="0"/>
                                  <w:marRight w:val="0"/>
                                  <w:marTop w:val="0"/>
                                  <w:marBottom w:val="0"/>
                                  <w:divBdr>
                                    <w:top w:val="none" w:sz="0" w:space="0" w:color="auto"/>
                                    <w:left w:val="none" w:sz="0" w:space="0" w:color="auto"/>
                                    <w:bottom w:val="none" w:sz="0" w:space="0" w:color="auto"/>
                                    <w:right w:val="none" w:sz="0" w:space="0" w:color="auto"/>
                                  </w:divBdr>
                                  <w:divsChild>
                                    <w:div w:id="947468333">
                                      <w:marLeft w:val="0"/>
                                      <w:marRight w:val="0"/>
                                      <w:marTop w:val="0"/>
                                      <w:marBottom w:val="0"/>
                                      <w:divBdr>
                                        <w:top w:val="single" w:sz="6" w:space="0" w:color="F5F5F5"/>
                                        <w:left w:val="single" w:sz="6" w:space="0" w:color="F5F5F5"/>
                                        <w:bottom w:val="single" w:sz="6" w:space="0" w:color="F5F5F5"/>
                                        <w:right w:val="single" w:sz="6" w:space="0" w:color="F5F5F5"/>
                                      </w:divBdr>
                                      <w:divsChild>
                                        <w:div w:id="1571383905">
                                          <w:marLeft w:val="0"/>
                                          <w:marRight w:val="0"/>
                                          <w:marTop w:val="0"/>
                                          <w:marBottom w:val="0"/>
                                          <w:divBdr>
                                            <w:top w:val="none" w:sz="0" w:space="0" w:color="auto"/>
                                            <w:left w:val="none" w:sz="0" w:space="0" w:color="auto"/>
                                            <w:bottom w:val="none" w:sz="0" w:space="0" w:color="auto"/>
                                            <w:right w:val="none" w:sz="0" w:space="0" w:color="auto"/>
                                          </w:divBdr>
                                          <w:divsChild>
                                            <w:div w:id="69554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951221">
      <w:bodyDiv w:val="1"/>
      <w:marLeft w:val="0"/>
      <w:marRight w:val="0"/>
      <w:marTop w:val="0"/>
      <w:marBottom w:val="0"/>
      <w:divBdr>
        <w:top w:val="none" w:sz="0" w:space="0" w:color="auto"/>
        <w:left w:val="none" w:sz="0" w:space="0" w:color="auto"/>
        <w:bottom w:val="none" w:sz="0" w:space="0" w:color="auto"/>
        <w:right w:val="none" w:sz="0" w:space="0" w:color="auto"/>
      </w:divBdr>
      <w:divsChild>
        <w:div w:id="1501003340">
          <w:marLeft w:val="0"/>
          <w:marRight w:val="0"/>
          <w:marTop w:val="0"/>
          <w:marBottom w:val="0"/>
          <w:divBdr>
            <w:top w:val="none" w:sz="0" w:space="0" w:color="auto"/>
            <w:left w:val="none" w:sz="0" w:space="0" w:color="auto"/>
            <w:bottom w:val="none" w:sz="0" w:space="0" w:color="auto"/>
            <w:right w:val="none" w:sz="0" w:space="0" w:color="auto"/>
          </w:divBdr>
          <w:divsChild>
            <w:div w:id="2038046034">
              <w:marLeft w:val="0"/>
              <w:marRight w:val="0"/>
              <w:marTop w:val="0"/>
              <w:marBottom w:val="0"/>
              <w:divBdr>
                <w:top w:val="none" w:sz="0" w:space="0" w:color="auto"/>
                <w:left w:val="none" w:sz="0" w:space="0" w:color="auto"/>
                <w:bottom w:val="none" w:sz="0" w:space="0" w:color="auto"/>
                <w:right w:val="none" w:sz="0" w:space="0" w:color="auto"/>
              </w:divBdr>
              <w:divsChild>
                <w:div w:id="731998502">
                  <w:marLeft w:val="0"/>
                  <w:marRight w:val="0"/>
                  <w:marTop w:val="0"/>
                  <w:marBottom w:val="0"/>
                  <w:divBdr>
                    <w:top w:val="none" w:sz="0" w:space="0" w:color="auto"/>
                    <w:left w:val="none" w:sz="0" w:space="0" w:color="auto"/>
                    <w:bottom w:val="none" w:sz="0" w:space="0" w:color="auto"/>
                    <w:right w:val="none" w:sz="0" w:space="0" w:color="auto"/>
                  </w:divBdr>
                  <w:divsChild>
                    <w:div w:id="783305818">
                      <w:marLeft w:val="0"/>
                      <w:marRight w:val="0"/>
                      <w:marTop w:val="0"/>
                      <w:marBottom w:val="0"/>
                      <w:divBdr>
                        <w:top w:val="none" w:sz="0" w:space="0" w:color="auto"/>
                        <w:left w:val="none" w:sz="0" w:space="0" w:color="auto"/>
                        <w:bottom w:val="none" w:sz="0" w:space="0" w:color="auto"/>
                        <w:right w:val="none" w:sz="0" w:space="0" w:color="auto"/>
                      </w:divBdr>
                      <w:divsChild>
                        <w:div w:id="930814585">
                          <w:marLeft w:val="0"/>
                          <w:marRight w:val="0"/>
                          <w:marTop w:val="0"/>
                          <w:marBottom w:val="0"/>
                          <w:divBdr>
                            <w:top w:val="none" w:sz="0" w:space="0" w:color="auto"/>
                            <w:left w:val="none" w:sz="0" w:space="0" w:color="auto"/>
                            <w:bottom w:val="none" w:sz="0" w:space="0" w:color="auto"/>
                            <w:right w:val="none" w:sz="0" w:space="0" w:color="auto"/>
                          </w:divBdr>
                          <w:divsChild>
                            <w:div w:id="174350020">
                              <w:marLeft w:val="0"/>
                              <w:marRight w:val="0"/>
                              <w:marTop w:val="0"/>
                              <w:marBottom w:val="0"/>
                              <w:divBdr>
                                <w:top w:val="none" w:sz="0" w:space="0" w:color="auto"/>
                                <w:left w:val="none" w:sz="0" w:space="0" w:color="auto"/>
                                <w:bottom w:val="none" w:sz="0" w:space="0" w:color="auto"/>
                                <w:right w:val="none" w:sz="0" w:space="0" w:color="auto"/>
                              </w:divBdr>
                              <w:divsChild>
                                <w:div w:id="1659576049">
                                  <w:marLeft w:val="0"/>
                                  <w:marRight w:val="0"/>
                                  <w:marTop w:val="0"/>
                                  <w:marBottom w:val="0"/>
                                  <w:divBdr>
                                    <w:top w:val="none" w:sz="0" w:space="0" w:color="auto"/>
                                    <w:left w:val="none" w:sz="0" w:space="0" w:color="auto"/>
                                    <w:bottom w:val="none" w:sz="0" w:space="0" w:color="auto"/>
                                    <w:right w:val="none" w:sz="0" w:space="0" w:color="auto"/>
                                  </w:divBdr>
                                  <w:divsChild>
                                    <w:div w:id="541598888">
                                      <w:marLeft w:val="0"/>
                                      <w:marRight w:val="0"/>
                                      <w:marTop w:val="0"/>
                                      <w:marBottom w:val="0"/>
                                      <w:divBdr>
                                        <w:top w:val="single" w:sz="6" w:space="0" w:color="F5F5F5"/>
                                        <w:left w:val="single" w:sz="6" w:space="0" w:color="F5F5F5"/>
                                        <w:bottom w:val="single" w:sz="6" w:space="0" w:color="F5F5F5"/>
                                        <w:right w:val="single" w:sz="6" w:space="0" w:color="F5F5F5"/>
                                      </w:divBdr>
                                      <w:divsChild>
                                        <w:div w:id="167061050">
                                          <w:marLeft w:val="0"/>
                                          <w:marRight w:val="0"/>
                                          <w:marTop w:val="0"/>
                                          <w:marBottom w:val="0"/>
                                          <w:divBdr>
                                            <w:top w:val="none" w:sz="0" w:space="0" w:color="auto"/>
                                            <w:left w:val="none" w:sz="0" w:space="0" w:color="auto"/>
                                            <w:bottom w:val="none" w:sz="0" w:space="0" w:color="auto"/>
                                            <w:right w:val="none" w:sz="0" w:space="0" w:color="auto"/>
                                          </w:divBdr>
                                          <w:divsChild>
                                            <w:div w:id="10330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094061">
      <w:bodyDiv w:val="1"/>
      <w:marLeft w:val="0"/>
      <w:marRight w:val="0"/>
      <w:marTop w:val="0"/>
      <w:marBottom w:val="0"/>
      <w:divBdr>
        <w:top w:val="none" w:sz="0" w:space="0" w:color="auto"/>
        <w:left w:val="none" w:sz="0" w:space="0" w:color="auto"/>
        <w:bottom w:val="none" w:sz="0" w:space="0" w:color="auto"/>
        <w:right w:val="none" w:sz="0" w:space="0" w:color="auto"/>
      </w:divBdr>
    </w:div>
    <w:div w:id="1797748236">
      <w:bodyDiv w:val="1"/>
      <w:marLeft w:val="0"/>
      <w:marRight w:val="0"/>
      <w:marTop w:val="0"/>
      <w:marBottom w:val="0"/>
      <w:divBdr>
        <w:top w:val="none" w:sz="0" w:space="0" w:color="auto"/>
        <w:left w:val="none" w:sz="0" w:space="0" w:color="auto"/>
        <w:bottom w:val="none" w:sz="0" w:space="0" w:color="auto"/>
        <w:right w:val="none" w:sz="0" w:space="0" w:color="auto"/>
      </w:divBdr>
      <w:divsChild>
        <w:div w:id="1251934277">
          <w:marLeft w:val="0"/>
          <w:marRight w:val="0"/>
          <w:marTop w:val="0"/>
          <w:marBottom w:val="0"/>
          <w:divBdr>
            <w:top w:val="none" w:sz="0" w:space="0" w:color="auto"/>
            <w:left w:val="none" w:sz="0" w:space="0" w:color="auto"/>
            <w:bottom w:val="none" w:sz="0" w:space="0" w:color="auto"/>
            <w:right w:val="none" w:sz="0" w:space="0" w:color="auto"/>
          </w:divBdr>
          <w:divsChild>
            <w:div w:id="1655913415">
              <w:marLeft w:val="0"/>
              <w:marRight w:val="0"/>
              <w:marTop w:val="0"/>
              <w:marBottom w:val="0"/>
              <w:divBdr>
                <w:top w:val="none" w:sz="0" w:space="0" w:color="auto"/>
                <w:left w:val="none" w:sz="0" w:space="0" w:color="auto"/>
                <w:bottom w:val="none" w:sz="0" w:space="0" w:color="auto"/>
                <w:right w:val="none" w:sz="0" w:space="0" w:color="auto"/>
              </w:divBdr>
              <w:divsChild>
                <w:div w:id="1690835212">
                  <w:marLeft w:val="0"/>
                  <w:marRight w:val="0"/>
                  <w:marTop w:val="0"/>
                  <w:marBottom w:val="0"/>
                  <w:divBdr>
                    <w:top w:val="none" w:sz="0" w:space="0" w:color="auto"/>
                    <w:left w:val="none" w:sz="0" w:space="0" w:color="auto"/>
                    <w:bottom w:val="none" w:sz="0" w:space="0" w:color="auto"/>
                    <w:right w:val="none" w:sz="0" w:space="0" w:color="auto"/>
                  </w:divBdr>
                  <w:divsChild>
                    <w:div w:id="915170374">
                      <w:marLeft w:val="0"/>
                      <w:marRight w:val="0"/>
                      <w:marTop w:val="0"/>
                      <w:marBottom w:val="0"/>
                      <w:divBdr>
                        <w:top w:val="none" w:sz="0" w:space="0" w:color="auto"/>
                        <w:left w:val="none" w:sz="0" w:space="0" w:color="auto"/>
                        <w:bottom w:val="none" w:sz="0" w:space="0" w:color="auto"/>
                        <w:right w:val="none" w:sz="0" w:space="0" w:color="auto"/>
                      </w:divBdr>
                      <w:divsChild>
                        <w:div w:id="1282029573">
                          <w:marLeft w:val="0"/>
                          <w:marRight w:val="0"/>
                          <w:marTop w:val="0"/>
                          <w:marBottom w:val="0"/>
                          <w:divBdr>
                            <w:top w:val="none" w:sz="0" w:space="0" w:color="auto"/>
                            <w:left w:val="none" w:sz="0" w:space="0" w:color="auto"/>
                            <w:bottom w:val="none" w:sz="0" w:space="0" w:color="auto"/>
                            <w:right w:val="none" w:sz="0" w:space="0" w:color="auto"/>
                          </w:divBdr>
                          <w:divsChild>
                            <w:div w:id="1731805908">
                              <w:marLeft w:val="0"/>
                              <w:marRight w:val="0"/>
                              <w:marTop w:val="0"/>
                              <w:marBottom w:val="0"/>
                              <w:divBdr>
                                <w:top w:val="none" w:sz="0" w:space="0" w:color="auto"/>
                                <w:left w:val="none" w:sz="0" w:space="0" w:color="auto"/>
                                <w:bottom w:val="none" w:sz="0" w:space="0" w:color="auto"/>
                                <w:right w:val="none" w:sz="0" w:space="0" w:color="auto"/>
                              </w:divBdr>
                              <w:divsChild>
                                <w:div w:id="584996526">
                                  <w:marLeft w:val="0"/>
                                  <w:marRight w:val="0"/>
                                  <w:marTop w:val="0"/>
                                  <w:marBottom w:val="0"/>
                                  <w:divBdr>
                                    <w:top w:val="none" w:sz="0" w:space="0" w:color="auto"/>
                                    <w:left w:val="none" w:sz="0" w:space="0" w:color="auto"/>
                                    <w:bottom w:val="none" w:sz="0" w:space="0" w:color="auto"/>
                                    <w:right w:val="none" w:sz="0" w:space="0" w:color="auto"/>
                                  </w:divBdr>
                                  <w:divsChild>
                                    <w:div w:id="607278894">
                                      <w:marLeft w:val="0"/>
                                      <w:marRight w:val="0"/>
                                      <w:marTop w:val="0"/>
                                      <w:marBottom w:val="0"/>
                                      <w:divBdr>
                                        <w:top w:val="single" w:sz="6" w:space="0" w:color="F5F5F5"/>
                                        <w:left w:val="single" w:sz="6" w:space="0" w:color="F5F5F5"/>
                                        <w:bottom w:val="single" w:sz="6" w:space="0" w:color="F5F5F5"/>
                                        <w:right w:val="single" w:sz="6" w:space="0" w:color="F5F5F5"/>
                                      </w:divBdr>
                                      <w:divsChild>
                                        <w:div w:id="1437408536">
                                          <w:marLeft w:val="0"/>
                                          <w:marRight w:val="0"/>
                                          <w:marTop w:val="0"/>
                                          <w:marBottom w:val="0"/>
                                          <w:divBdr>
                                            <w:top w:val="none" w:sz="0" w:space="0" w:color="auto"/>
                                            <w:left w:val="none" w:sz="0" w:space="0" w:color="auto"/>
                                            <w:bottom w:val="none" w:sz="0" w:space="0" w:color="auto"/>
                                            <w:right w:val="none" w:sz="0" w:space="0" w:color="auto"/>
                                          </w:divBdr>
                                          <w:divsChild>
                                            <w:div w:id="4143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164052">
      <w:bodyDiv w:val="1"/>
      <w:marLeft w:val="0"/>
      <w:marRight w:val="0"/>
      <w:marTop w:val="0"/>
      <w:marBottom w:val="0"/>
      <w:divBdr>
        <w:top w:val="none" w:sz="0" w:space="0" w:color="auto"/>
        <w:left w:val="none" w:sz="0" w:space="0" w:color="auto"/>
        <w:bottom w:val="none" w:sz="0" w:space="0" w:color="auto"/>
        <w:right w:val="none" w:sz="0" w:space="0" w:color="auto"/>
      </w:divBdr>
      <w:divsChild>
        <w:div w:id="366758897">
          <w:marLeft w:val="0"/>
          <w:marRight w:val="0"/>
          <w:marTop w:val="0"/>
          <w:marBottom w:val="0"/>
          <w:divBdr>
            <w:top w:val="none" w:sz="0" w:space="0" w:color="auto"/>
            <w:left w:val="none" w:sz="0" w:space="0" w:color="auto"/>
            <w:bottom w:val="none" w:sz="0" w:space="0" w:color="auto"/>
            <w:right w:val="none" w:sz="0" w:space="0" w:color="auto"/>
          </w:divBdr>
          <w:divsChild>
            <w:div w:id="1446654576">
              <w:marLeft w:val="0"/>
              <w:marRight w:val="0"/>
              <w:marTop w:val="0"/>
              <w:marBottom w:val="0"/>
              <w:divBdr>
                <w:top w:val="none" w:sz="0" w:space="0" w:color="auto"/>
                <w:left w:val="none" w:sz="0" w:space="0" w:color="auto"/>
                <w:bottom w:val="none" w:sz="0" w:space="0" w:color="auto"/>
                <w:right w:val="none" w:sz="0" w:space="0" w:color="auto"/>
              </w:divBdr>
              <w:divsChild>
                <w:div w:id="245500991">
                  <w:marLeft w:val="0"/>
                  <w:marRight w:val="0"/>
                  <w:marTop w:val="0"/>
                  <w:marBottom w:val="0"/>
                  <w:divBdr>
                    <w:top w:val="none" w:sz="0" w:space="0" w:color="auto"/>
                    <w:left w:val="none" w:sz="0" w:space="0" w:color="auto"/>
                    <w:bottom w:val="none" w:sz="0" w:space="0" w:color="auto"/>
                    <w:right w:val="none" w:sz="0" w:space="0" w:color="auto"/>
                  </w:divBdr>
                  <w:divsChild>
                    <w:div w:id="2042047598">
                      <w:marLeft w:val="0"/>
                      <w:marRight w:val="0"/>
                      <w:marTop w:val="0"/>
                      <w:marBottom w:val="0"/>
                      <w:divBdr>
                        <w:top w:val="none" w:sz="0" w:space="0" w:color="auto"/>
                        <w:left w:val="none" w:sz="0" w:space="0" w:color="auto"/>
                        <w:bottom w:val="none" w:sz="0" w:space="0" w:color="auto"/>
                        <w:right w:val="none" w:sz="0" w:space="0" w:color="auto"/>
                      </w:divBdr>
                      <w:divsChild>
                        <w:div w:id="1185678660">
                          <w:marLeft w:val="0"/>
                          <w:marRight w:val="0"/>
                          <w:marTop w:val="0"/>
                          <w:marBottom w:val="0"/>
                          <w:divBdr>
                            <w:top w:val="none" w:sz="0" w:space="0" w:color="auto"/>
                            <w:left w:val="none" w:sz="0" w:space="0" w:color="auto"/>
                            <w:bottom w:val="none" w:sz="0" w:space="0" w:color="auto"/>
                            <w:right w:val="none" w:sz="0" w:space="0" w:color="auto"/>
                          </w:divBdr>
                          <w:divsChild>
                            <w:div w:id="1437094646">
                              <w:marLeft w:val="0"/>
                              <w:marRight w:val="0"/>
                              <w:marTop w:val="0"/>
                              <w:marBottom w:val="0"/>
                              <w:divBdr>
                                <w:top w:val="none" w:sz="0" w:space="0" w:color="auto"/>
                                <w:left w:val="none" w:sz="0" w:space="0" w:color="auto"/>
                                <w:bottom w:val="none" w:sz="0" w:space="0" w:color="auto"/>
                                <w:right w:val="none" w:sz="0" w:space="0" w:color="auto"/>
                              </w:divBdr>
                              <w:divsChild>
                                <w:div w:id="1796874841">
                                  <w:marLeft w:val="0"/>
                                  <w:marRight w:val="0"/>
                                  <w:marTop w:val="0"/>
                                  <w:marBottom w:val="0"/>
                                  <w:divBdr>
                                    <w:top w:val="none" w:sz="0" w:space="0" w:color="auto"/>
                                    <w:left w:val="none" w:sz="0" w:space="0" w:color="auto"/>
                                    <w:bottom w:val="none" w:sz="0" w:space="0" w:color="auto"/>
                                    <w:right w:val="none" w:sz="0" w:space="0" w:color="auto"/>
                                  </w:divBdr>
                                  <w:divsChild>
                                    <w:div w:id="1726294375">
                                      <w:marLeft w:val="0"/>
                                      <w:marRight w:val="0"/>
                                      <w:marTop w:val="0"/>
                                      <w:marBottom w:val="0"/>
                                      <w:divBdr>
                                        <w:top w:val="single" w:sz="6" w:space="0" w:color="F5F5F5"/>
                                        <w:left w:val="single" w:sz="6" w:space="0" w:color="F5F5F5"/>
                                        <w:bottom w:val="single" w:sz="6" w:space="0" w:color="F5F5F5"/>
                                        <w:right w:val="single" w:sz="6" w:space="0" w:color="F5F5F5"/>
                                      </w:divBdr>
                                      <w:divsChild>
                                        <w:div w:id="2117091245">
                                          <w:marLeft w:val="0"/>
                                          <w:marRight w:val="0"/>
                                          <w:marTop w:val="0"/>
                                          <w:marBottom w:val="0"/>
                                          <w:divBdr>
                                            <w:top w:val="none" w:sz="0" w:space="0" w:color="auto"/>
                                            <w:left w:val="none" w:sz="0" w:space="0" w:color="auto"/>
                                            <w:bottom w:val="none" w:sz="0" w:space="0" w:color="auto"/>
                                            <w:right w:val="none" w:sz="0" w:space="0" w:color="auto"/>
                                          </w:divBdr>
                                          <w:divsChild>
                                            <w:div w:id="9728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516654">
      <w:bodyDiv w:val="1"/>
      <w:marLeft w:val="0"/>
      <w:marRight w:val="0"/>
      <w:marTop w:val="0"/>
      <w:marBottom w:val="0"/>
      <w:divBdr>
        <w:top w:val="none" w:sz="0" w:space="0" w:color="auto"/>
        <w:left w:val="none" w:sz="0" w:space="0" w:color="auto"/>
        <w:bottom w:val="none" w:sz="0" w:space="0" w:color="auto"/>
        <w:right w:val="none" w:sz="0" w:space="0" w:color="auto"/>
      </w:divBdr>
      <w:divsChild>
        <w:div w:id="526601755">
          <w:marLeft w:val="0"/>
          <w:marRight w:val="0"/>
          <w:marTop w:val="0"/>
          <w:marBottom w:val="0"/>
          <w:divBdr>
            <w:top w:val="none" w:sz="0" w:space="0" w:color="auto"/>
            <w:left w:val="none" w:sz="0" w:space="0" w:color="auto"/>
            <w:bottom w:val="none" w:sz="0" w:space="0" w:color="auto"/>
            <w:right w:val="none" w:sz="0" w:space="0" w:color="auto"/>
          </w:divBdr>
          <w:divsChild>
            <w:div w:id="1580020680">
              <w:marLeft w:val="0"/>
              <w:marRight w:val="0"/>
              <w:marTop w:val="0"/>
              <w:marBottom w:val="0"/>
              <w:divBdr>
                <w:top w:val="none" w:sz="0" w:space="0" w:color="auto"/>
                <w:left w:val="none" w:sz="0" w:space="0" w:color="auto"/>
                <w:bottom w:val="none" w:sz="0" w:space="0" w:color="auto"/>
                <w:right w:val="none" w:sz="0" w:space="0" w:color="auto"/>
              </w:divBdr>
              <w:divsChild>
                <w:div w:id="552539643">
                  <w:marLeft w:val="0"/>
                  <w:marRight w:val="0"/>
                  <w:marTop w:val="0"/>
                  <w:marBottom w:val="0"/>
                  <w:divBdr>
                    <w:top w:val="none" w:sz="0" w:space="0" w:color="auto"/>
                    <w:left w:val="none" w:sz="0" w:space="0" w:color="auto"/>
                    <w:bottom w:val="none" w:sz="0" w:space="0" w:color="auto"/>
                    <w:right w:val="none" w:sz="0" w:space="0" w:color="auto"/>
                  </w:divBdr>
                  <w:divsChild>
                    <w:div w:id="331570563">
                      <w:marLeft w:val="0"/>
                      <w:marRight w:val="0"/>
                      <w:marTop w:val="0"/>
                      <w:marBottom w:val="0"/>
                      <w:divBdr>
                        <w:top w:val="none" w:sz="0" w:space="0" w:color="auto"/>
                        <w:left w:val="none" w:sz="0" w:space="0" w:color="auto"/>
                        <w:bottom w:val="none" w:sz="0" w:space="0" w:color="auto"/>
                        <w:right w:val="none" w:sz="0" w:space="0" w:color="auto"/>
                      </w:divBdr>
                      <w:divsChild>
                        <w:div w:id="95946956">
                          <w:marLeft w:val="0"/>
                          <w:marRight w:val="0"/>
                          <w:marTop w:val="0"/>
                          <w:marBottom w:val="0"/>
                          <w:divBdr>
                            <w:top w:val="none" w:sz="0" w:space="0" w:color="auto"/>
                            <w:left w:val="none" w:sz="0" w:space="0" w:color="auto"/>
                            <w:bottom w:val="none" w:sz="0" w:space="0" w:color="auto"/>
                            <w:right w:val="none" w:sz="0" w:space="0" w:color="auto"/>
                          </w:divBdr>
                          <w:divsChild>
                            <w:div w:id="1710304082">
                              <w:marLeft w:val="0"/>
                              <w:marRight w:val="0"/>
                              <w:marTop w:val="0"/>
                              <w:marBottom w:val="0"/>
                              <w:divBdr>
                                <w:top w:val="none" w:sz="0" w:space="0" w:color="auto"/>
                                <w:left w:val="none" w:sz="0" w:space="0" w:color="auto"/>
                                <w:bottom w:val="none" w:sz="0" w:space="0" w:color="auto"/>
                                <w:right w:val="none" w:sz="0" w:space="0" w:color="auto"/>
                              </w:divBdr>
                              <w:divsChild>
                                <w:div w:id="2123572219">
                                  <w:marLeft w:val="0"/>
                                  <w:marRight w:val="0"/>
                                  <w:marTop w:val="0"/>
                                  <w:marBottom w:val="0"/>
                                  <w:divBdr>
                                    <w:top w:val="none" w:sz="0" w:space="0" w:color="auto"/>
                                    <w:left w:val="none" w:sz="0" w:space="0" w:color="auto"/>
                                    <w:bottom w:val="none" w:sz="0" w:space="0" w:color="auto"/>
                                    <w:right w:val="none" w:sz="0" w:space="0" w:color="auto"/>
                                  </w:divBdr>
                                  <w:divsChild>
                                    <w:div w:id="616838017">
                                      <w:marLeft w:val="0"/>
                                      <w:marRight w:val="0"/>
                                      <w:marTop w:val="0"/>
                                      <w:marBottom w:val="0"/>
                                      <w:divBdr>
                                        <w:top w:val="single" w:sz="6" w:space="0" w:color="F5F5F5"/>
                                        <w:left w:val="single" w:sz="6" w:space="0" w:color="F5F5F5"/>
                                        <w:bottom w:val="single" w:sz="6" w:space="0" w:color="F5F5F5"/>
                                        <w:right w:val="single" w:sz="6" w:space="0" w:color="F5F5F5"/>
                                      </w:divBdr>
                                      <w:divsChild>
                                        <w:div w:id="1895390586">
                                          <w:marLeft w:val="0"/>
                                          <w:marRight w:val="0"/>
                                          <w:marTop w:val="0"/>
                                          <w:marBottom w:val="0"/>
                                          <w:divBdr>
                                            <w:top w:val="none" w:sz="0" w:space="0" w:color="auto"/>
                                            <w:left w:val="none" w:sz="0" w:space="0" w:color="auto"/>
                                            <w:bottom w:val="none" w:sz="0" w:space="0" w:color="auto"/>
                                            <w:right w:val="none" w:sz="0" w:space="0" w:color="auto"/>
                                          </w:divBdr>
                                          <w:divsChild>
                                            <w:div w:id="17084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4821278">
      <w:bodyDiv w:val="1"/>
      <w:marLeft w:val="0"/>
      <w:marRight w:val="0"/>
      <w:marTop w:val="0"/>
      <w:marBottom w:val="0"/>
      <w:divBdr>
        <w:top w:val="none" w:sz="0" w:space="0" w:color="auto"/>
        <w:left w:val="none" w:sz="0" w:space="0" w:color="auto"/>
        <w:bottom w:val="none" w:sz="0" w:space="0" w:color="auto"/>
        <w:right w:val="none" w:sz="0" w:space="0" w:color="auto"/>
      </w:divBdr>
      <w:divsChild>
        <w:div w:id="677538009">
          <w:marLeft w:val="0"/>
          <w:marRight w:val="0"/>
          <w:marTop w:val="0"/>
          <w:marBottom w:val="0"/>
          <w:divBdr>
            <w:top w:val="none" w:sz="0" w:space="0" w:color="auto"/>
            <w:left w:val="none" w:sz="0" w:space="0" w:color="auto"/>
            <w:bottom w:val="none" w:sz="0" w:space="0" w:color="auto"/>
            <w:right w:val="none" w:sz="0" w:space="0" w:color="auto"/>
          </w:divBdr>
          <w:divsChild>
            <w:div w:id="1458333357">
              <w:marLeft w:val="0"/>
              <w:marRight w:val="0"/>
              <w:marTop w:val="0"/>
              <w:marBottom w:val="0"/>
              <w:divBdr>
                <w:top w:val="none" w:sz="0" w:space="0" w:color="auto"/>
                <w:left w:val="none" w:sz="0" w:space="0" w:color="auto"/>
                <w:bottom w:val="none" w:sz="0" w:space="0" w:color="auto"/>
                <w:right w:val="none" w:sz="0" w:space="0" w:color="auto"/>
              </w:divBdr>
              <w:divsChild>
                <w:div w:id="384069098">
                  <w:marLeft w:val="0"/>
                  <w:marRight w:val="0"/>
                  <w:marTop w:val="0"/>
                  <w:marBottom w:val="0"/>
                  <w:divBdr>
                    <w:top w:val="none" w:sz="0" w:space="0" w:color="auto"/>
                    <w:left w:val="none" w:sz="0" w:space="0" w:color="auto"/>
                    <w:bottom w:val="none" w:sz="0" w:space="0" w:color="auto"/>
                    <w:right w:val="none" w:sz="0" w:space="0" w:color="auto"/>
                  </w:divBdr>
                  <w:divsChild>
                    <w:div w:id="1632589147">
                      <w:marLeft w:val="0"/>
                      <w:marRight w:val="0"/>
                      <w:marTop w:val="0"/>
                      <w:marBottom w:val="0"/>
                      <w:divBdr>
                        <w:top w:val="none" w:sz="0" w:space="0" w:color="auto"/>
                        <w:left w:val="none" w:sz="0" w:space="0" w:color="auto"/>
                        <w:bottom w:val="none" w:sz="0" w:space="0" w:color="auto"/>
                        <w:right w:val="none" w:sz="0" w:space="0" w:color="auto"/>
                      </w:divBdr>
                      <w:divsChild>
                        <w:div w:id="707335482">
                          <w:marLeft w:val="0"/>
                          <w:marRight w:val="0"/>
                          <w:marTop w:val="0"/>
                          <w:marBottom w:val="0"/>
                          <w:divBdr>
                            <w:top w:val="none" w:sz="0" w:space="0" w:color="auto"/>
                            <w:left w:val="none" w:sz="0" w:space="0" w:color="auto"/>
                            <w:bottom w:val="none" w:sz="0" w:space="0" w:color="auto"/>
                            <w:right w:val="none" w:sz="0" w:space="0" w:color="auto"/>
                          </w:divBdr>
                          <w:divsChild>
                            <w:div w:id="2133862284">
                              <w:marLeft w:val="0"/>
                              <w:marRight w:val="0"/>
                              <w:marTop w:val="0"/>
                              <w:marBottom w:val="0"/>
                              <w:divBdr>
                                <w:top w:val="none" w:sz="0" w:space="0" w:color="auto"/>
                                <w:left w:val="none" w:sz="0" w:space="0" w:color="auto"/>
                                <w:bottom w:val="none" w:sz="0" w:space="0" w:color="auto"/>
                                <w:right w:val="none" w:sz="0" w:space="0" w:color="auto"/>
                              </w:divBdr>
                              <w:divsChild>
                                <w:div w:id="1106730974">
                                  <w:marLeft w:val="0"/>
                                  <w:marRight w:val="0"/>
                                  <w:marTop w:val="0"/>
                                  <w:marBottom w:val="0"/>
                                  <w:divBdr>
                                    <w:top w:val="none" w:sz="0" w:space="0" w:color="auto"/>
                                    <w:left w:val="none" w:sz="0" w:space="0" w:color="auto"/>
                                    <w:bottom w:val="none" w:sz="0" w:space="0" w:color="auto"/>
                                    <w:right w:val="none" w:sz="0" w:space="0" w:color="auto"/>
                                  </w:divBdr>
                                  <w:divsChild>
                                    <w:div w:id="355812485">
                                      <w:marLeft w:val="0"/>
                                      <w:marRight w:val="0"/>
                                      <w:marTop w:val="0"/>
                                      <w:marBottom w:val="0"/>
                                      <w:divBdr>
                                        <w:top w:val="single" w:sz="6" w:space="0" w:color="F5F5F5"/>
                                        <w:left w:val="single" w:sz="6" w:space="0" w:color="F5F5F5"/>
                                        <w:bottom w:val="single" w:sz="6" w:space="0" w:color="F5F5F5"/>
                                        <w:right w:val="single" w:sz="6" w:space="0" w:color="F5F5F5"/>
                                      </w:divBdr>
                                      <w:divsChild>
                                        <w:div w:id="2143496255">
                                          <w:marLeft w:val="0"/>
                                          <w:marRight w:val="0"/>
                                          <w:marTop w:val="0"/>
                                          <w:marBottom w:val="0"/>
                                          <w:divBdr>
                                            <w:top w:val="none" w:sz="0" w:space="0" w:color="auto"/>
                                            <w:left w:val="none" w:sz="0" w:space="0" w:color="auto"/>
                                            <w:bottom w:val="none" w:sz="0" w:space="0" w:color="auto"/>
                                            <w:right w:val="none" w:sz="0" w:space="0" w:color="auto"/>
                                          </w:divBdr>
                                          <w:divsChild>
                                            <w:div w:id="10075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181933">
      <w:bodyDiv w:val="1"/>
      <w:marLeft w:val="0"/>
      <w:marRight w:val="0"/>
      <w:marTop w:val="0"/>
      <w:marBottom w:val="0"/>
      <w:divBdr>
        <w:top w:val="none" w:sz="0" w:space="0" w:color="auto"/>
        <w:left w:val="none" w:sz="0" w:space="0" w:color="auto"/>
        <w:bottom w:val="none" w:sz="0" w:space="0" w:color="auto"/>
        <w:right w:val="none" w:sz="0" w:space="0" w:color="auto"/>
      </w:divBdr>
      <w:divsChild>
        <w:div w:id="938487167">
          <w:marLeft w:val="0"/>
          <w:marRight w:val="0"/>
          <w:marTop w:val="0"/>
          <w:marBottom w:val="0"/>
          <w:divBdr>
            <w:top w:val="none" w:sz="0" w:space="0" w:color="auto"/>
            <w:left w:val="none" w:sz="0" w:space="0" w:color="auto"/>
            <w:bottom w:val="none" w:sz="0" w:space="0" w:color="auto"/>
            <w:right w:val="none" w:sz="0" w:space="0" w:color="auto"/>
          </w:divBdr>
          <w:divsChild>
            <w:div w:id="1946188396">
              <w:marLeft w:val="0"/>
              <w:marRight w:val="0"/>
              <w:marTop w:val="0"/>
              <w:marBottom w:val="0"/>
              <w:divBdr>
                <w:top w:val="none" w:sz="0" w:space="0" w:color="auto"/>
                <w:left w:val="none" w:sz="0" w:space="0" w:color="auto"/>
                <w:bottom w:val="none" w:sz="0" w:space="0" w:color="auto"/>
                <w:right w:val="none" w:sz="0" w:space="0" w:color="auto"/>
              </w:divBdr>
              <w:divsChild>
                <w:div w:id="925571280">
                  <w:marLeft w:val="0"/>
                  <w:marRight w:val="0"/>
                  <w:marTop w:val="0"/>
                  <w:marBottom w:val="0"/>
                  <w:divBdr>
                    <w:top w:val="none" w:sz="0" w:space="0" w:color="auto"/>
                    <w:left w:val="none" w:sz="0" w:space="0" w:color="auto"/>
                    <w:bottom w:val="none" w:sz="0" w:space="0" w:color="auto"/>
                    <w:right w:val="none" w:sz="0" w:space="0" w:color="auto"/>
                  </w:divBdr>
                  <w:divsChild>
                    <w:div w:id="955790514">
                      <w:marLeft w:val="0"/>
                      <w:marRight w:val="0"/>
                      <w:marTop w:val="0"/>
                      <w:marBottom w:val="0"/>
                      <w:divBdr>
                        <w:top w:val="none" w:sz="0" w:space="0" w:color="auto"/>
                        <w:left w:val="none" w:sz="0" w:space="0" w:color="auto"/>
                        <w:bottom w:val="none" w:sz="0" w:space="0" w:color="auto"/>
                        <w:right w:val="none" w:sz="0" w:space="0" w:color="auto"/>
                      </w:divBdr>
                      <w:divsChild>
                        <w:div w:id="576280937">
                          <w:marLeft w:val="0"/>
                          <w:marRight w:val="0"/>
                          <w:marTop w:val="0"/>
                          <w:marBottom w:val="0"/>
                          <w:divBdr>
                            <w:top w:val="none" w:sz="0" w:space="0" w:color="auto"/>
                            <w:left w:val="none" w:sz="0" w:space="0" w:color="auto"/>
                            <w:bottom w:val="none" w:sz="0" w:space="0" w:color="auto"/>
                            <w:right w:val="none" w:sz="0" w:space="0" w:color="auto"/>
                          </w:divBdr>
                          <w:divsChild>
                            <w:div w:id="651562426">
                              <w:marLeft w:val="0"/>
                              <w:marRight w:val="0"/>
                              <w:marTop w:val="0"/>
                              <w:marBottom w:val="0"/>
                              <w:divBdr>
                                <w:top w:val="none" w:sz="0" w:space="0" w:color="auto"/>
                                <w:left w:val="none" w:sz="0" w:space="0" w:color="auto"/>
                                <w:bottom w:val="none" w:sz="0" w:space="0" w:color="auto"/>
                                <w:right w:val="none" w:sz="0" w:space="0" w:color="auto"/>
                              </w:divBdr>
                              <w:divsChild>
                                <w:div w:id="1659915417">
                                  <w:marLeft w:val="0"/>
                                  <w:marRight w:val="0"/>
                                  <w:marTop w:val="0"/>
                                  <w:marBottom w:val="0"/>
                                  <w:divBdr>
                                    <w:top w:val="none" w:sz="0" w:space="0" w:color="auto"/>
                                    <w:left w:val="none" w:sz="0" w:space="0" w:color="auto"/>
                                    <w:bottom w:val="none" w:sz="0" w:space="0" w:color="auto"/>
                                    <w:right w:val="none" w:sz="0" w:space="0" w:color="auto"/>
                                  </w:divBdr>
                                  <w:divsChild>
                                    <w:div w:id="931471421">
                                      <w:marLeft w:val="60"/>
                                      <w:marRight w:val="0"/>
                                      <w:marTop w:val="0"/>
                                      <w:marBottom w:val="0"/>
                                      <w:divBdr>
                                        <w:top w:val="none" w:sz="0" w:space="0" w:color="auto"/>
                                        <w:left w:val="none" w:sz="0" w:space="0" w:color="auto"/>
                                        <w:bottom w:val="none" w:sz="0" w:space="0" w:color="auto"/>
                                        <w:right w:val="none" w:sz="0" w:space="0" w:color="auto"/>
                                      </w:divBdr>
                                      <w:divsChild>
                                        <w:div w:id="1164006074">
                                          <w:marLeft w:val="0"/>
                                          <w:marRight w:val="0"/>
                                          <w:marTop w:val="0"/>
                                          <w:marBottom w:val="0"/>
                                          <w:divBdr>
                                            <w:top w:val="none" w:sz="0" w:space="0" w:color="auto"/>
                                            <w:left w:val="none" w:sz="0" w:space="0" w:color="auto"/>
                                            <w:bottom w:val="none" w:sz="0" w:space="0" w:color="auto"/>
                                            <w:right w:val="none" w:sz="0" w:space="0" w:color="auto"/>
                                          </w:divBdr>
                                          <w:divsChild>
                                            <w:div w:id="1534878385">
                                              <w:marLeft w:val="0"/>
                                              <w:marRight w:val="0"/>
                                              <w:marTop w:val="0"/>
                                              <w:marBottom w:val="120"/>
                                              <w:divBdr>
                                                <w:top w:val="single" w:sz="6" w:space="0" w:color="F5F5F5"/>
                                                <w:left w:val="single" w:sz="6" w:space="0" w:color="F5F5F5"/>
                                                <w:bottom w:val="single" w:sz="6" w:space="0" w:color="F5F5F5"/>
                                                <w:right w:val="single" w:sz="6" w:space="0" w:color="F5F5F5"/>
                                              </w:divBdr>
                                              <w:divsChild>
                                                <w:div w:id="1845976023">
                                                  <w:marLeft w:val="0"/>
                                                  <w:marRight w:val="0"/>
                                                  <w:marTop w:val="0"/>
                                                  <w:marBottom w:val="0"/>
                                                  <w:divBdr>
                                                    <w:top w:val="none" w:sz="0" w:space="0" w:color="auto"/>
                                                    <w:left w:val="none" w:sz="0" w:space="0" w:color="auto"/>
                                                    <w:bottom w:val="none" w:sz="0" w:space="0" w:color="auto"/>
                                                    <w:right w:val="none" w:sz="0" w:space="0" w:color="auto"/>
                                                  </w:divBdr>
                                                  <w:divsChild>
                                                    <w:div w:id="16357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8052561">
      <w:bodyDiv w:val="1"/>
      <w:marLeft w:val="0"/>
      <w:marRight w:val="0"/>
      <w:marTop w:val="0"/>
      <w:marBottom w:val="0"/>
      <w:divBdr>
        <w:top w:val="none" w:sz="0" w:space="0" w:color="auto"/>
        <w:left w:val="none" w:sz="0" w:space="0" w:color="auto"/>
        <w:bottom w:val="none" w:sz="0" w:space="0" w:color="auto"/>
        <w:right w:val="none" w:sz="0" w:space="0" w:color="auto"/>
      </w:divBdr>
      <w:divsChild>
        <w:div w:id="1087111878">
          <w:marLeft w:val="0"/>
          <w:marRight w:val="0"/>
          <w:marTop w:val="0"/>
          <w:marBottom w:val="0"/>
          <w:divBdr>
            <w:top w:val="none" w:sz="0" w:space="0" w:color="auto"/>
            <w:left w:val="none" w:sz="0" w:space="0" w:color="auto"/>
            <w:bottom w:val="none" w:sz="0" w:space="0" w:color="auto"/>
            <w:right w:val="none" w:sz="0" w:space="0" w:color="auto"/>
          </w:divBdr>
          <w:divsChild>
            <w:div w:id="580871527">
              <w:marLeft w:val="0"/>
              <w:marRight w:val="0"/>
              <w:marTop w:val="0"/>
              <w:marBottom w:val="0"/>
              <w:divBdr>
                <w:top w:val="none" w:sz="0" w:space="0" w:color="auto"/>
                <w:left w:val="none" w:sz="0" w:space="0" w:color="auto"/>
                <w:bottom w:val="none" w:sz="0" w:space="0" w:color="auto"/>
                <w:right w:val="none" w:sz="0" w:space="0" w:color="auto"/>
              </w:divBdr>
              <w:divsChild>
                <w:div w:id="1099564303">
                  <w:marLeft w:val="0"/>
                  <w:marRight w:val="0"/>
                  <w:marTop w:val="0"/>
                  <w:marBottom w:val="0"/>
                  <w:divBdr>
                    <w:top w:val="none" w:sz="0" w:space="0" w:color="auto"/>
                    <w:left w:val="none" w:sz="0" w:space="0" w:color="auto"/>
                    <w:bottom w:val="none" w:sz="0" w:space="0" w:color="auto"/>
                    <w:right w:val="none" w:sz="0" w:space="0" w:color="auto"/>
                  </w:divBdr>
                  <w:divsChild>
                    <w:div w:id="865826963">
                      <w:marLeft w:val="0"/>
                      <w:marRight w:val="0"/>
                      <w:marTop w:val="0"/>
                      <w:marBottom w:val="0"/>
                      <w:divBdr>
                        <w:top w:val="none" w:sz="0" w:space="0" w:color="auto"/>
                        <w:left w:val="none" w:sz="0" w:space="0" w:color="auto"/>
                        <w:bottom w:val="none" w:sz="0" w:space="0" w:color="auto"/>
                        <w:right w:val="none" w:sz="0" w:space="0" w:color="auto"/>
                      </w:divBdr>
                      <w:divsChild>
                        <w:div w:id="1615400152">
                          <w:marLeft w:val="0"/>
                          <w:marRight w:val="0"/>
                          <w:marTop w:val="0"/>
                          <w:marBottom w:val="0"/>
                          <w:divBdr>
                            <w:top w:val="none" w:sz="0" w:space="0" w:color="auto"/>
                            <w:left w:val="none" w:sz="0" w:space="0" w:color="auto"/>
                            <w:bottom w:val="none" w:sz="0" w:space="0" w:color="auto"/>
                            <w:right w:val="none" w:sz="0" w:space="0" w:color="auto"/>
                          </w:divBdr>
                          <w:divsChild>
                            <w:div w:id="891307539">
                              <w:marLeft w:val="0"/>
                              <w:marRight w:val="0"/>
                              <w:marTop w:val="0"/>
                              <w:marBottom w:val="0"/>
                              <w:divBdr>
                                <w:top w:val="none" w:sz="0" w:space="0" w:color="auto"/>
                                <w:left w:val="none" w:sz="0" w:space="0" w:color="auto"/>
                                <w:bottom w:val="none" w:sz="0" w:space="0" w:color="auto"/>
                                <w:right w:val="none" w:sz="0" w:space="0" w:color="auto"/>
                              </w:divBdr>
                              <w:divsChild>
                                <w:div w:id="1506171635">
                                  <w:marLeft w:val="0"/>
                                  <w:marRight w:val="0"/>
                                  <w:marTop w:val="0"/>
                                  <w:marBottom w:val="0"/>
                                  <w:divBdr>
                                    <w:top w:val="none" w:sz="0" w:space="0" w:color="auto"/>
                                    <w:left w:val="none" w:sz="0" w:space="0" w:color="auto"/>
                                    <w:bottom w:val="none" w:sz="0" w:space="0" w:color="auto"/>
                                    <w:right w:val="none" w:sz="0" w:space="0" w:color="auto"/>
                                  </w:divBdr>
                                  <w:divsChild>
                                    <w:div w:id="2020695532">
                                      <w:marLeft w:val="0"/>
                                      <w:marRight w:val="0"/>
                                      <w:marTop w:val="0"/>
                                      <w:marBottom w:val="0"/>
                                      <w:divBdr>
                                        <w:top w:val="none" w:sz="0" w:space="0" w:color="auto"/>
                                        <w:left w:val="none" w:sz="0" w:space="0" w:color="auto"/>
                                        <w:bottom w:val="none" w:sz="0" w:space="0" w:color="auto"/>
                                        <w:right w:val="none" w:sz="0" w:space="0" w:color="auto"/>
                                      </w:divBdr>
                                      <w:divsChild>
                                        <w:div w:id="1724675503">
                                          <w:marLeft w:val="0"/>
                                          <w:marRight w:val="0"/>
                                          <w:marTop w:val="0"/>
                                          <w:marBottom w:val="0"/>
                                          <w:divBdr>
                                            <w:top w:val="none" w:sz="0" w:space="0" w:color="auto"/>
                                            <w:left w:val="none" w:sz="0" w:space="0" w:color="auto"/>
                                            <w:bottom w:val="none" w:sz="0" w:space="0" w:color="auto"/>
                                            <w:right w:val="none" w:sz="0" w:space="0" w:color="auto"/>
                                          </w:divBdr>
                                          <w:divsChild>
                                            <w:div w:id="659238080">
                                              <w:marLeft w:val="0"/>
                                              <w:marRight w:val="0"/>
                                              <w:marTop w:val="0"/>
                                              <w:marBottom w:val="0"/>
                                              <w:divBdr>
                                                <w:top w:val="single" w:sz="6" w:space="0" w:color="F5F5F5"/>
                                                <w:left w:val="single" w:sz="6" w:space="0" w:color="F5F5F5"/>
                                                <w:bottom w:val="single" w:sz="6" w:space="0" w:color="F5F5F5"/>
                                                <w:right w:val="single" w:sz="6" w:space="0" w:color="F5F5F5"/>
                                              </w:divBdr>
                                              <w:divsChild>
                                                <w:div w:id="1719012180">
                                                  <w:marLeft w:val="0"/>
                                                  <w:marRight w:val="0"/>
                                                  <w:marTop w:val="0"/>
                                                  <w:marBottom w:val="0"/>
                                                  <w:divBdr>
                                                    <w:top w:val="none" w:sz="0" w:space="0" w:color="auto"/>
                                                    <w:left w:val="none" w:sz="0" w:space="0" w:color="auto"/>
                                                    <w:bottom w:val="none" w:sz="0" w:space="0" w:color="auto"/>
                                                    <w:right w:val="none" w:sz="0" w:space="0" w:color="auto"/>
                                                  </w:divBdr>
                                                  <w:divsChild>
                                                    <w:div w:id="16998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164117">
      <w:bodyDiv w:val="1"/>
      <w:marLeft w:val="0"/>
      <w:marRight w:val="0"/>
      <w:marTop w:val="0"/>
      <w:marBottom w:val="0"/>
      <w:divBdr>
        <w:top w:val="none" w:sz="0" w:space="0" w:color="auto"/>
        <w:left w:val="none" w:sz="0" w:space="0" w:color="auto"/>
        <w:bottom w:val="none" w:sz="0" w:space="0" w:color="auto"/>
        <w:right w:val="none" w:sz="0" w:space="0" w:color="auto"/>
      </w:divBdr>
      <w:divsChild>
        <w:div w:id="597178842">
          <w:marLeft w:val="0"/>
          <w:marRight w:val="0"/>
          <w:marTop w:val="0"/>
          <w:marBottom w:val="0"/>
          <w:divBdr>
            <w:top w:val="none" w:sz="0" w:space="0" w:color="auto"/>
            <w:left w:val="none" w:sz="0" w:space="0" w:color="auto"/>
            <w:bottom w:val="none" w:sz="0" w:space="0" w:color="auto"/>
            <w:right w:val="none" w:sz="0" w:space="0" w:color="auto"/>
          </w:divBdr>
          <w:divsChild>
            <w:div w:id="1026322894">
              <w:marLeft w:val="0"/>
              <w:marRight w:val="0"/>
              <w:marTop w:val="0"/>
              <w:marBottom w:val="0"/>
              <w:divBdr>
                <w:top w:val="none" w:sz="0" w:space="0" w:color="auto"/>
                <w:left w:val="none" w:sz="0" w:space="0" w:color="auto"/>
                <w:bottom w:val="none" w:sz="0" w:space="0" w:color="auto"/>
                <w:right w:val="none" w:sz="0" w:space="0" w:color="auto"/>
              </w:divBdr>
              <w:divsChild>
                <w:div w:id="286816906">
                  <w:marLeft w:val="0"/>
                  <w:marRight w:val="0"/>
                  <w:marTop w:val="0"/>
                  <w:marBottom w:val="0"/>
                  <w:divBdr>
                    <w:top w:val="none" w:sz="0" w:space="0" w:color="auto"/>
                    <w:left w:val="none" w:sz="0" w:space="0" w:color="auto"/>
                    <w:bottom w:val="none" w:sz="0" w:space="0" w:color="auto"/>
                    <w:right w:val="none" w:sz="0" w:space="0" w:color="auto"/>
                  </w:divBdr>
                  <w:divsChild>
                    <w:div w:id="1618759462">
                      <w:marLeft w:val="0"/>
                      <w:marRight w:val="0"/>
                      <w:marTop w:val="0"/>
                      <w:marBottom w:val="0"/>
                      <w:divBdr>
                        <w:top w:val="none" w:sz="0" w:space="0" w:color="auto"/>
                        <w:left w:val="none" w:sz="0" w:space="0" w:color="auto"/>
                        <w:bottom w:val="none" w:sz="0" w:space="0" w:color="auto"/>
                        <w:right w:val="none" w:sz="0" w:space="0" w:color="auto"/>
                      </w:divBdr>
                      <w:divsChild>
                        <w:div w:id="1851065991">
                          <w:marLeft w:val="0"/>
                          <w:marRight w:val="0"/>
                          <w:marTop w:val="0"/>
                          <w:marBottom w:val="0"/>
                          <w:divBdr>
                            <w:top w:val="none" w:sz="0" w:space="0" w:color="auto"/>
                            <w:left w:val="none" w:sz="0" w:space="0" w:color="auto"/>
                            <w:bottom w:val="none" w:sz="0" w:space="0" w:color="auto"/>
                            <w:right w:val="none" w:sz="0" w:space="0" w:color="auto"/>
                          </w:divBdr>
                          <w:divsChild>
                            <w:div w:id="1364479818">
                              <w:marLeft w:val="0"/>
                              <w:marRight w:val="0"/>
                              <w:marTop w:val="0"/>
                              <w:marBottom w:val="0"/>
                              <w:divBdr>
                                <w:top w:val="none" w:sz="0" w:space="0" w:color="auto"/>
                                <w:left w:val="none" w:sz="0" w:space="0" w:color="auto"/>
                                <w:bottom w:val="none" w:sz="0" w:space="0" w:color="auto"/>
                                <w:right w:val="none" w:sz="0" w:space="0" w:color="auto"/>
                              </w:divBdr>
                              <w:divsChild>
                                <w:div w:id="265699828">
                                  <w:marLeft w:val="0"/>
                                  <w:marRight w:val="0"/>
                                  <w:marTop w:val="0"/>
                                  <w:marBottom w:val="0"/>
                                  <w:divBdr>
                                    <w:top w:val="none" w:sz="0" w:space="0" w:color="auto"/>
                                    <w:left w:val="none" w:sz="0" w:space="0" w:color="auto"/>
                                    <w:bottom w:val="none" w:sz="0" w:space="0" w:color="auto"/>
                                    <w:right w:val="none" w:sz="0" w:space="0" w:color="auto"/>
                                  </w:divBdr>
                                  <w:divsChild>
                                    <w:div w:id="1566842692">
                                      <w:marLeft w:val="0"/>
                                      <w:marRight w:val="0"/>
                                      <w:marTop w:val="0"/>
                                      <w:marBottom w:val="0"/>
                                      <w:divBdr>
                                        <w:top w:val="single" w:sz="6" w:space="0" w:color="F5F5F5"/>
                                        <w:left w:val="single" w:sz="6" w:space="0" w:color="F5F5F5"/>
                                        <w:bottom w:val="single" w:sz="6" w:space="0" w:color="F5F5F5"/>
                                        <w:right w:val="single" w:sz="6" w:space="0" w:color="F5F5F5"/>
                                      </w:divBdr>
                                      <w:divsChild>
                                        <w:div w:id="1839996752">
                                          <w:marLeft w:val="0"/>
                                          <w:marRight w:val="0"/>
                                          <w:marTop w:val="0"/>
                                          <w:marBottom w:val="0"/>
                                          <w:divBdr>
                                            <w:top w:val="none" w:sz="0" w:space="0" w:color="auto"/>
                                            <w:left w:val="none" w:sz="0" w:space="0" w:color="auto"/>
                                            <w:bottom w:val="none" w:sz="0" w:space="0" w:color="auto"/>
                                            <w:right w:val="none" w:sz="0" w:space="0" w:color="auto"/>
                                          </w:divBdr>
                                          <w:divsChild>
                                            <w:div w:id="2515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941899">
      <w:bodyDiv w:val="1"/>
      <w:marLeft w:val="0"/>
      <w:marRight w:val="0"/>
      <w:marTop w:val="0"/>
      <w:marBottom w:val="0"/>
      <w:divBdr>
        <w:top w:val="none" w:sz="0" w:space="0" w:color="auto"/>
        <w:left w:val="none" w:sz="0" w:space="0" w:color="auto"/>
        <w:bottom w:val="none" w:sz="0" w:space="0" w:color="auto"/>
        <w:right w:val="none" w:sz="0" w:space="0" w:color="auto"/>
      </w:divBdr>
      <w:divsChild>
        <w:div w:id="1397556144">
          <w:marLeft w:val="0"/>
          <w:marRight w:val="0"/>
          <w:marTop w:val="0"/>
          <w:marBottom w:val="0"/>
          <w:divBdr>
            <w:top w:val="none" w:sz="0" w:space="0" w:color="auto"/>
            <w:left w:val="none" w:sz="0" w:space="0" w:color="auto"/>
            <w:bottom w:val="none" w:sz="0" w:space="0" w:color="auto"/>
            <w:right w:val="none" w:sz="0" w:space="0" w:color="auto"/>
          </w:divBdr>
          <w:divsChild>
            <w:div w:id="1727223346">
              <w:marLeft w:val="0"/>
              <w:marRight w:val="0"/>
              <w:marTop w:val="0"/>
              <w:marBottom w:val="0"/>
              <w:divBdr>
                <w:top w:val="none" w:sz="0" w:space="0" w:color="auto"/>
                <w:left w:val="none" w:sz="0" w:space="0" w:color="auto"/>
                <w:bottom w:val="none" w:sz="0" w:space="0" w:color="auto"/>
                <w:right w:val="none" w:sz="0" w:space="0" w:color="auto"/>
              </w:divBdr>
              <w:divsChild>
                <w:div w:id="464858648">
                  <w:marLeft w:val="0"/>
                  <w:marRight w:val="0"/>
                  <w:marTop w:val="0"/>
                  <w:marBottom w:val="0"/>
                  <w:divBdr>
                    <w:top w:val="none" w:sz="0" w:space="0" w:color="auto"/>
                    <w:left w:val="none" w:sz="0" w:space="0" w:color="auto"/>
                    <w:bottom w:val="none" w:sz="0" w:space="0" w:color="auto"/>
                    <w:right w:val="none" w:sz="0" w:space="0" w:color="auto"/>
                  </w:divBdr>
                  <w:divsChild>
                    <w:div w:id="1424836757">
                      <w:marLeft w:val="0"/>
                      <w:marRight w:val="0"/>
                      <w:marTop w:val="0"/>
                      <w:marBottom w:val="0"/>
                      <w:divBdr>
                        <w:top w:val="none" w:sz="0" w:space="0" w:color="auto"/>
                        <w:left w:val="none" w:sz="0" w:space="0" w:color="auto"/>
                        <w:bottom w:val="none" w:sz="0" w:space="0" w:color="auto"/>
                        <w:right w:val="none" w:sz="0" w:space="0" w:color="auto"/>
                      </w:divBdr>
                      <w:divsChild>
                        <w:div w:id="2117628948">
                          <w:marLeft w:val="0"/>
                          <w:marRight w:val="0"/>
                          <w:marTop w:val="0"/>
                          <w:marBottom w:val="0"/>
                          <w:divBdr>
                            <w:top w:val="none" w:sz="0" w:space="0" w:color="auto"/>
                            <w:left w:val="none" w:sz="0" w:space="0" w:color="auto"/>
                            <w:bottom w:val="none" w:sz="0" w:space="0" w:color="auto"/>
                            <w:right w:val="none" w:sz="0" w:space="0" w:color="auto"/>
                          </w:divBdr>
                          <w:divsChild>
                            <w:div w:id="1669363954">
                              <w:marLeft w:val="0"/>
                              <w:marRight w:val="0"/>
                              <w:marTop w:val="0"/>
                              <w:marBottom w:val="0"/>
                              <w:divBdr>
                                <w:top w:val="none" w:sz="0" w:space="0" w:color="auto"/>
                                <w:left w:val="none" w:sz="0" w:space="0" w:color="auto"/>
                                <w:bottom w:val="none" w:sz="0" w:space="0" w:color="auto"/>
                                <w:right w:val="none" w:sz="0" w:space="0" w:color="auto"/>
                              </w:divBdr>
                              <w:divsChild>
                                <w:div w:id="837110989">
                                  <w:marLeft w:val="0"/>
                                  <w:marRight w:val="0"/>
                                  <w:marTop w:val="0"/>
                                  <w:marBottom w:val="0"/>
                                  <w:divBdr>
                                    <w:top w:val="none" w:sz="0" w:space="0" w:color="auto"/>
                                    <w:left w:val="none" w:sz="0" w:space="0" w:color="auto"/>
                                    <w:bottom w:val="none" w:sz="0" w:space="0" w:color="auto"/>
                                    <w:right w:val="none" w:sz="0" w:space="0" w:color="auto"/>
                                  </w:divBdr>
                                  <w:divsChild>
                                    <w:div w:id="1830753716">
                                      <w:marLeft w:val="0"/>
                                      <w:marRight w:val="0"/>
                                      <w:marTop w:val="0"/>
                                      <w:marBottom w:val="0"/>
                                      <w:divBdr>
                                        <w:top w:val="single" w:sz="6" w:space="0" w:color="F5F5F5"/>
                                        <w:left w:val="single" w:sz="6" w:space="0" w:color="F5F5F5"/>
                                        <w:bottom w:val="single" w:sz="6" w:space="0" w:color="F5F5F5"/>
                                        <w:right w:val="single" w:sz="6" w:space="0" w:color="F5F5F5"/>
                                      </w:divBdr>
                                      <w:divsChild>
                                        <w:div w:id="1490443296">
                                          <w:marLeft w:val="0"/>
                                          <w:marRight w:val="0"/>
                                          <w:marTop w:val="0"/>
                                          <w:marBottom w:val="0"/>
                                          <w:divBdr>
                                            <w:top w:val="none" w:sz="0" w:space="0" w:color="auto"/>
                                            <w:left w:val="none" w:sz="0" w:space="0" w:color="auto"/>
                                            <w:bottom w:val="none" w:sz="0" w:space="0" w:color="auto"/>
                                            <w:right w:val="none" w:sz="0" w:space="0" w:color="auto"/>
                                          </w:divBdr>
                                          <w:divsChild>
                                            <w:div w:id="12522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066835">
      <w:bodyDiv w:val="1"/>
      <w:marLeft w:val="0"/>
      <w:marRight w:val="0"/>
      <w:marTop w:val="0"/>
      <w:marBottom w:val="0"/>
      <w:divBdr>
        <w:top w:val="none" w:sz="0" w:space="0" w:color="auto"/>
        <w:left w:val="none" w:sz="0" w:space="0" w:color="auto"/>
        <w:bottom w:val="none" w:sz="0" w:space="0" w:color="auto"/>
        <w:right w:val="none" w:sz="0" w:space="0" w:color="auto"/>
      </w:divBdr>
      <w:divsChild>
        <w:div w:id="1309944545">
          <w:marLeft w:val="0"/>
          <w:marRight w:val="0"/>
          <w:marTop w:val="0"/>
          <w:marBottom w:val="0"/>
          <w:divBdr>
            <w:top w:val="none" w:sz="0" w:space="0" w:color="auto"/>
            <w:left w:val="none" w:sz="0" w:space="0" w:color="auto"/>
            <w:bottom w:val="none" w:sz="0" w:space="0" w:color="auto"/>
            <w:right w:val="none" w:sz="0" w:space="0" w:color="auto"/>
          </w:divBdr>
          <w:divsChild>
            <w:div w:id="221646387">
              <w:marLeft w:val="0"/>
              <w:marRight w:val="0"/>
              <w:marTop w:val="0"/>
              <w:marBottom w:val="0"/>
              <w:divBdr>
                <w:top w:val="none" w:sz="0" w:space="0" w:color="auto"/>
                <w:left w:val="none" w:sz="0" w:space="0" w:color="auto"/>
                <w:bottom w:val="none" w:sz="0" w:space="0" w:color="auto"/>
                <w:right w:val="none" w:sz="0" w:space="0" w:color="auto"/>
              </w:divBdr>
              <w:divsChild>
                <w:div w:id="1569920258">
                  <w:marLeft w:val="0"/>
                  <w:marRight w:val="0"/>
                  <w:marTop w:val="0"/>
                  <w:marBottom w:val="0"/>
                  <w:divBdr>
                    <w:top w:val="none" w:sz="0" w:space="0" w:color="auto"/>
                    <w:left w:val="none" w:sz="0" w:space="0" w:color="auto"/>
                    <w:bottom w:val="none" w:sz="0" w:space="0" w:color="auto"/>
                    <w:right w:val="none" w:sz="0" w:space="0" w:color="auto"/>
                  </w:divBdr>
                  <w:divsChild>
                    <w:div w:id="2066833037">
                      <w:marLeft w:val="0"/>
                      <w:marRight w:val="0"/>
                      <w:marTop w:val="0"/>
                      <w:marBottom w:val="0"/>
                      <w:divBdr>
                        <w:top w:val="none" w:sz="0" w:space="0" w:color="auto"/>
                        <w:left w:val="none" w:sz="0" w:space="0" w:color="auto"/>
                        <w:bottom w:val="none" w:sz="0" w:space="0" w:color="auto"/>
                        <w:right w:val="none" w:sz="0" w:space="0" w:color="auto"/>
                      </w:divBdr>
                      <w:divsChild>
                        <w:div w:id="166755293">
                          <w:marLeft w:val="0"/>
                          <w:marRight w:val="0"/>
                          <w:marTop w:val="0"/>
                          <w:marBottom w:val="0"/>
                          <w:divBdr>
                            <w:top w:val="none" w:sz="0" w:space="0" w:color="auto"/>
                            <w:left w:val="none" w:sz="0" w:space="0" w:color="auto"/>
                            <w:bottom w:val="none" w:sz="0" w:space="0" w:color="auto"/>
                            <w:right w:val="none" w:sz="0" w:space="0" w:color="auto"/>
                          </w:divBdr>
                          <w:divsChild>
                            <w:div w:id="1751197402">
                              <w:marLeft w:val="0"/>
                              <w:marRight w:val="0"/>
                              <w:marTop w:val="0"/>
                              <w:marBottom w:val="0"/>
                              <w:divBdr>
                                <w:top w:val="none" w:sz="0" w:space="0" w:color="auto"/>
                                <w:left w:val="none" w:sz="0" w:space="0" w:color="auto"/>
                                <w:bottom w:val="none" w:sz="0" w:space="0" w:color="auto"/>
                                <w:right w:val="none" w:sz="0" w:space="0" w:color="auto"/>
                              </w:divBdr>
                              <w:divsChild>
                                <w:div w:id="1446266217">
                                  <w:marLeft w:val="0"/>
                                  <w:marRight w:val="0"/>
                                  <w:marTop w:val="0"/>
                                  <w:marBottom w:val="0"/>
                                  <w:divBdr>
                                    <w:top w:val="none" w:sz="0" w:space="0" w:color="auto"/>
                                    <w:left w:val="none" w:sz="0" w:space="0" w:color="auto"/>
                                    <w:bottom w:val="none" w:sz="0" w:space="0" w:color="auto"/>
                                    <w:right w:val="none" w:sz="0" w:space="0" w:color="auto"/>
                                  </w:divBdr>
                                  <w:divsChild>
                                    <w:div w:id="975185167">
                                      <w:marLeft w:val="0"/>
                                      <w:marRight w:val="0"/>
                                      <w:marTop w:val="0"/>
                                      <w:marBottom w:val="0"/>
                                      <w:divBdr>
                                        <w:top w:val="single" w:sz="6" w:space="0" w:color="F5F5F5"/>
                                        <w:left w:val="single" w:sz="6" w:space="0" w:color="F5F5F5"/>
                                        <w:bottom w:val="single" w:sz="6" w:space="0" w:color="F5F5F5"/>
                                        <w:right w:val="single" w:sz="6" w:space="0" w:color="F5F5F5"/>
                                      </w:divBdr>
                                      <w:divsChild>
                                        <w:div w:id="1480422490">
                                          <w:marLeft w:val="0"/>
                                          <w:marRight w:val="0"/>
                                          <w:marTop w:val="0"/>
                                          <w:marBottom w:val="0"/>
                                          <w:divBdr>
                                            <w:top w:val="none" w:sz="0" w:space="0" w:color="auto"/>
                                            <w:left w:val="none" w:sz="0" w:space="0" w:color="auto"/>
                                            <w:bottom w:val="none" w:sz="0" w:space="0" w:color="auto"/>
                                            <w:right w:val="none" w:sz="0" w:space="0" w:color="auto"/>
                                          </w:divBdr>
                                          <w:divsChild>
                                            <w:div w:id="11970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bioepis.mi@medinformation.co.uk"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bioepis.mi@medinformation.co.uk" TargetMode="External"/><Relationship Id="rId29"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http://www.ema.europa.eu" TargetMode="External"/><Relationship Id="rId45"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ema.europa.eu/documents/template-form/appendix-v-adverse-drug-reaction-reporting-details_en.doc"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20" Type="http://schemas.openxmlformats.org/officeDocument/2006/relationships/hyperlink" Target="mailto:bioepis.mi@medinformation.co.uk" TargetMode="External"/><Relationship Id="rId41"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EMADOC-1700519818-2657484</_dlc_DocId>
    <_dlc_DocIdUrl xmlns="a034c160-bfb7-45f5-8632-2eb7e0508071">
      <Url>https://euema.sharepoint.com/sites/CRM/_layouts/15/DocIdRedir.aspx?ID=EMADOC-1700519818-2657484</Url>
      <Description>EMADOC-1700519818-2657484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3B361A-0D10-4E87-BC35-D0D87961D89F}">
  <ds:schemaRefs>
    <ds:schemaRef ds:uri="http://schemas.microsoft.com/sharepoint/v3/contenttype/forms"/>
  </ds:schemaRefs>
</ds:datastoreItem>
</file>

<file path=customXml/itemProps2.xml><?xml version="1.0" encoding="utf-8"?>
<ds:datastoreItem xmlns:ds="http://schemas.openxmlformats.org/officeDocument/2006/customXml" ds:itemID="{695CE9F6-9971-4120-A5E4-12E5B8108F5D}"/>
</file>

<file path=customXml/itemProps3.xml><?xml version="1.0" encoding="utf-8"?>
<ds:datastoreItem xmlns:ds="http://schemas.openxmlformats.org/officeDocument/2006/customXml" ds:itemID="{2C7BE026-4067-4EB4-B795-2C1960A58B64}">
  <ds:schemaRefs>
    <ds:schemaRef ds:uri="http://schemas.microsoft.com/office/2006/metadata/longProperties"/>
  </ds:schemaRefs>
</ds:datastoreItem>
</file>

<file path=customXml/itemProps4.xml><?xml version="1.0" encoding="utf-8"?>
<ds:datastoreItem xmlns:ds="http://schemas.openxmlformats.org/officeDocument/2006/customXml" ds:itemID="{E3E68787-8C35-4524-BCD3-5FE98CDC0188}">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5.xml><?xml version="1.0" encoding="utf-8"?>
<ds:datastoreItem xmlns:ds="http://schemas.openxmlformats.org/officeDocument/2006/customXml" ds:itemID="{3D6FDCA2-57E2-4CEC-9778-57E04F8581ED}">
  <ds:schemaRefs>
    <ds:schemaRef ds:uri="http://schemas.openxmlformats.org/officeDocument/2006/bibliography"/>
  </ds:schemaRefs>
</ds:datastoreItem>
</file>

<file path=customXml/itemProps6.xml><?xml version="1.0" encoding="utf-8"?>
<ds:datastoreItem xmlns:ds="http://schemas.openxmlformats.org/officeDocument/2006/customXml" ds:itemID="{E5D4E801-3E55-48D1-A07B-C4E0D46A586C}"/>
</file>

<file path=docProps/app.xml><?xml version="1.0" encoding="utf-8"?>
<Properties xmlns="http://schemas.openxmlformats.org/officeDocument/2006/extended-properties" xmlns:vt="http://schemas.openxmlformats.org/officeDocument/2006/docPropsVTypes">
  <Template>Normal.dotm</Template>
  <TotalTime>0</TotalTime>
  <Pages>79</Pages>
  <Words>30900</Words>
  <Characters>176135</Characters>
  <Application>Microsoft Office Word</Application>
  <DocSecurity>0</DocSecurity>
  <Lines>1467</Lines>
  <Paragraphs>413</Paragraphs>
  <ScaleCrop>false</ScaleCrop>
  <HeadingPairs>
    <vt:vector size="6" baseType="variant">
      <vt:variant>
        <vt:lpstr>Title</vt:lpstr>
      </vt:variant>
      <vt:variant>
        <vt:i4>1</vt:i4>
      </vt:variant>
      <vt:variant>
        <vt:lpstr>Título</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206622</CharactersWithSpaces>
  <SharedDoc>false</SharedDoc>
  <HLinks>
    <vt:vector size="198" baseType="variant">
      <vt:variant>
        <vt:i4>1245197</vt:i4>
      </vt:variant>
      <vt:variant>
        <vt:i4>96</vt:i4>
      </vt:variant>
      <vt:variant>
        <vt:i4>0</vt:i4>
      </vt:variant>
      <vt:variant>
        <vt:i4>5</vt:i4>
      </vt:variant>
      <vt:variant>
        <vt:lpwstr>http://www.ema.europa.eu/</vt:lpwstr>
      </vt:variant>
      <vt:variant>
        <vt:lpwstr/>
      </vt:variant>
      <vt:variant>
        <vt:i4>1638434</vt:i4>
      </vt:variant>
      <vt:variant>
        <vt:i4>93</vt:i4>
      </vt:variant>
      <vt:variant>
        <vt:i4>0</vt:i4>
      </vt:variant>
      <vt:variant>
        <vt:i4>5</vt:i4>
      </vt:variant>
      <vt:variant>
        <vt:lpwstr>mailto:bioepis.mi@medinformation.co.uk</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6029375</vt:i4>
      </vt:variant>
      <vt:variant>
        <vt:i4>42</vt:i4>
      </vt:variant>
      <vt:variant>
        <vt:i4>0</vt:i4>
      </vt:variant>
      <vt:variant>
        <vt:i4>5</vt:i4>
      </vt:variant>
      <vt:variant>
        <vt:lpwstr>mailto:dpoc.germany@organon.com</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1638434</vt:i4>
      </vt:variant>
      <vt:variant>
        <vt:i4>6</vt:i4>
      </vt:variant>
      <vt:variant>
        <vt:i4>0</vt:i4>
      </vt:variant>
      <vt:variant>
        <vt:i4>5</vt:i4>
      </vt:variant>
      <vt:variant>
        <vt:lpwstr>mailto:bioepis.mi@medinformation.co.uk</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2025-06-18T10:37:00Z</dcterms:created>
  <dcterms:modified xsi:type="dcterms:W3CDTF">2025-09-16T02:27:00Z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7ff47516-0483-4584-a753-536b00ce544e</vt:lpwstr>
  </property>
  <property fmtid="{D5CDD505-2E9C-101B-9397-08002B2CF9AE}" pid="5" name="MediaServiceImageTags">
    <vt:lpwstr/>
  </property>
</Properties>
</file>